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drawings/drawing1.xml" ContentType="application/vnd.openxmlformats-officedocument.drawingml.chartshapes+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drawings/drawing2.xml" ContentType="application/vnd.openxmlformats-officedocument.drawingml.chartshapes+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20.xml" ContentType="application/vnd.openxmlformats-officedocument.themeOverride+xml"/>
  <Override PartName="/word/drawings/drawing3.xml" ContentType="application/vnd.openxmlformats-officedocument.drawingml.chartshapes+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7.xml" ContentType="application/vnd.openxmlformats-officedocument.themeOverride+xml"/>
  <Override PartName="/word/charts/chart28.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3.xml" ContentType="application/vnd.openxmlformats-officedocument.drawingml.chart+xml"/>
  <Override PartName="/word/charts/style25.xml" ContentType="application/vnd.ms-office.chartstyle+xml"/>
  <Override PartName="/word/charts/colors25.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FE586E" w14:textId="77777777" w:rsidR="003F3FCD" w:rsidRDefault="003F3FCD" w:rsidP="00336496">
      <w:pPr>
        <w:widowControl w:val="0"/>
        <w:ind w:firstLine="0"/>
      </w:pPr>
    </w:p>
    <w:p w14:paraId="6382B6EA" w14:textId="12727CA6" w:rsidR="00AE4268" w:rsidRPr="00546A5E" w:rsidRDefault="00AE4268" w:rsidP="00AE4268">
      <w:pPr>
        <w:pStyle w:val="Heading1"/>
        <w:spacing w:before="0" w:after="360"/>
        <w:jc w:val="center"/>
        <w:rPr>
          <w:rFonts w:eastAsia="Times New Roman" w:cs="Times New Roman"/>
          <w:sz w:val="44"/>
          <w:szCs w:val="44"/>
        </w:rPr>
      </w:pPr>
      <w:bookmarkStart w:id="0" w:name="_Toc126236624"/>
      <w:r w:rsidRPr="00546A5E">
        <w:rPr>
          <w:rFonts w:eastAsia="Times New Roman" w:cs="Times New Roman"/>
          <w:sz w:val="44"/>
          <w:szCs w:val="44"/>
        </w:rPr>
        <w:t>I. B</w:t>
      </w:r>
      <w:r w:rsidR="00D66612" w:rsidRPr="00546A5E">
        <w:rPr>
          <w:rFonts w:eastAsia="Times New Roman" w:cs="Times New Roman"/>
          <w:sz w:val="44"/>
          <w:szCs w:val="44"/>
        </w:rPr>
        <w:t xml:space="preserve">UDŽETA IETVARS </w:t>
      </w:r>
      <w:r w:rsidRPr="00546A5E">
        <w:rPr>
          <w:rFonts w:eastAsia="Times New Roman" w:cs="Times New Roman"/>
          <w:sz w:val="44"/>
          <w:szCs w:val="44"/>
        </w:rPr>
        <w:t>202</w:t>
      </w:r>
      <w:r w:rsidR="003E5CCE">
        <w:rPr>
          <w:rFonts w:eastAsia="Times New Roman" w:cs="Times New Roman"/>
          <w:sz w:val="44"/>
          <w:szCs w:val="44"/>
        </w:rPr>
        <w:t>4</w:t>
      </w:r>
      <w:r w:rsidRPr="00546A5E">
        <w:rPr>
          <w:rFonts w:eastAsia="Times New Roman" w:cs="Times New Roman"/>
          <w:sz w:val="44"/>
          <w:szCs w:val="44"/>
        </w:rPr>
        <w:t>., 202</w:t>
      </w:r>
      <w:r w:rsidR="003E5CCE">
        <w:rPr>
          <w:rFonts w:eastAsia="Times New Roman" w:cs="Times New Roman"/>
          <w:sz w:val="44"/>
          <w:szCs w:val="44"/>
        </w:rPr>
        <w:t>5</w:t>
      </w:r>
      <w:r w:rsidRPr="00546A5E">
        <w:rPr>
          <w:rFonts w:eastAsia="Times New Roman" w:cs="Times New Roman"/>
          <w:sz w:val="44"/>
          <w:szCs w:val="44"/>
        </w:rPr>
        <w:t xml:space="preserve">. </w:t>
      </w:r>
      <w:r w:rsidR="00D66612" w:rsidRPr="00546A5E">
        <w:rPr>
          <w:rFonts w:eastAsia="Times New Roman" w:cs="Times New Roman"/>
          <w:sz w:val="44"/>
          <w:szCs w:val="44"/>
        </w:rPr>
        <w:t>UN</w:t>
      </w:r>
      <w:r w:rsidRPr="00546A5E">
        <w:rPr>
          <w:rFonts w:eastAsia="Times New Roman" w:cs="Times New Roman"/>
          <w:sz w:val="44"/>
          <w:szCs w:val="44"/>
        </w:rPr>
        <w:t xml:space="preserve"> 202</w:t>
      </w:r>
      <w:r w:rsidR="003E5CCE">
        <w:rPr>
          <w:rFonts w:eastAsia="Times New Roman" w:cs="Times New Roman"/>
          <w:sz w:val="44"/>
          <w:szCs w:val="44"/>
        </w:rPr>
        <w:t>6</w:t>
      </w:r>
      <w:r w:rsidRPr="00546A5E">
        <w:rPr>
          <w:rFonts w:eastAsia="Times New Roman" w:cs="Times New Roman"/>
          <w:sz w:val="44"/>
          <w:szCs w:val="44"/>
        </w:rPr>
        <w:t>.</w:t>
      </w:r>
      <w:r w:rsidR="00A24569">
        <w:rPr>
          <w:rFonts w:eastAsia="Times New Roman" w:cs="Times New Roman"/>
          <w:sz w:val="44"/>
          <w:szCs w:val="44"/>
        </w:rPr>
        <w:t> </w:t>
      </w:r>
      <w:r w:rsidR="00D66612" w:rsidRPr="00546A5E">
        <w:rPr>
          <w:rFonts w:eastAsia="Times New Roman" w:cs="Times New Roman"/>
          <w:sz w:val="44"/>
          <w:szCs w:val="44"/>
        </w:rPr>
        <w:t>GADAM</w:t>
      </w:r>
      <w:bookmarkEnd w:id="0"/>
    </w:p>
    <w:p w14:paraId="5662F46D" w14:textId="4955E452" w:rsidR="00C74C27" w:rsidRPr="00C74C27" w:rsidRDefault="00130376" w:rsidP="00C74C27">
      <w:pPr>
        <w:keepNext/>
        <w:keepLines/>
        <w:spacing w:before="240" w:after="240"/>
        <w:ind w:firstLine="318"/>
        <w:jc w:val="center"/>
        <w:outlineLvl w:val="0"/>
        <w:rPr>
          <w:rFonts w:eastAsia="Times New Roman" w:cs="Times New Roman"/>
          <w:b/>
          <w:bCs/>
          <w:color w:val="000000"/>
          <w:sz w:val="40"/>
          <w:szCs w:val="36"/>
        </w:rPr>
      </w:pPr>
      <w:bookmarkStart w:id="1" w:name="_Toc126044006"/>
      <w:r>
        <w:rPr>
          <w:rFonts w:eastAsia="Times New Roman" w:cs="Times New Roman"/>
          <w:b/>
          <w:bCs/>
          <w:color w:val="000000"/>
          <w:sz w:val="40"/>
          <w:szCs w:val="36"/>
        </w:rPr>
        <w:t>1. </w:t>
      </w:r>
      <w:r w:rsidR="00C74C27" w:rsidRPr="00C74C27">
        <w:rPr>
          <w:rFonts w:eastAsia="Times New Roman" w:cs="Times New Roman"/>
          <w:b/>
          <w:bCs/>
          <w:color w:val="000000"/>
          <w:sz w:val="40"/>
          <w:szCs w:val="36"/>
        </w:rPr>
        <w:t>Makroekonomiskās attīstības apraksts</w:t>
      </w:r>
      <w:r w:rsidR="00C74C27" w:rsidRPr="00C74C27">
        <w:rPr>
          <w:rFonts w:eastAsia="Times New Roman" w:cs="Times New Roman"/>
          <w:b/>
          <w:bCs/>
          <w:color w:val="000000"/>
          <w:sz w:val="40"/>
          <w:szCs w:val="44"/>
          <w:vertAlign w:val="superscript"/>
        </w:rPr>
        <w:footnoteReference w:id="1"/>
      </w:r>
      <w:bookmarkEnd w:id="1"/>
    </w:p>
    <w:p w14:paraId="2D47EEB6" w14:textId="77777777" w:rsidR="00C74C27" w:rsidRPr="00C74C27" w:rsidRDefault="00C74C27" w:rsidP="00C74C27">
      <w:pPr>
        <w:keepNext/>
        <w:keepLines/>
        <w:spacing w:before="240" w:after="240"/>
        <w:ind w:firstLine="0"/>
        <w:jc w:val="center"/>
        <w:outlineLvl w:val="1"/>
        <w:rPr>
          <w:rFonts w:eastAsia="Times New Roman" w:cs="Times New Roman"/>
          <w:b/>
          <w:bCs/>
          <w:color w:val="000000"/>
          <w:sz w:val="36"/>
          <w:szCs w:val="28"/>
        </w:rPr>
      </w:pPr>
      <w:bookmarkStart w:id="2" w:name="_Toc126044007"/>
      <w:r w:rsidRPr="00C74C27">
        <w:rPr>
          <w:rFonts w:eastAsia="Times New Roman" w:cs="Times New Roman"/>
          <w:b/>
          <w:bCs/>
          <w:color w:val="000000"/>
          <w:sz w:val="36"/>
          <w:szCs w:val="28"/>
        </w:rPr>
        <w:t>1.1. Ārējā ekonomiskā vide</w:t>
      </w:r>
      <w:bookmarkEnd w:id="2"/>
    </w:p>
    <w:p w14:paraId="3B9D9249" w14:textId="6AA62FBB" w:rsidR="00C74C27" w:rsidRPr="00C74C27" w:rsidRDefault="00C74C27" w:rsidP="00C74C27">
      <w:pPr>
        <w:widowControl w:val="0"/>
        <w:rPr>
          <w:rFonts w:eastAsia="Times New Roman" w:cs="Times New Roman"/>
        </w:rPr>
      </w:pPr>
      <w:r w:rsidRPr="00C74C27">
        <w:rPr>
          <w:rFonts w:eastAsia="Times New Roman" w:cs="Times New Roman"/>
        </w:rPr>
        <w:t>Pasaules ekonomikas izaugsme pēc spēcīgās atgūšanās no Covid-19 pandēmijas 2021.</w:t>
      </w:r>
      <w:r w:rsidR="00E744D6">
        <w:rPr>
          <w:rFonts w:eastAsia="Times New Roman" w:cs="Times New Roman"/>
        </w:rPr>
        <w:t> </w:t>
      </w:r>
      <w:r w:rsidRPr="00C74C27">
        <w:rPr>
          <w:rFonts w:eastAsia="Times New Roman" w:cs="Times New Roman"/>
        </w:rPr>
        <w:t xml:space="preserve">gadā pērn palēninājās līdz 3,5%, bet šogad un nākamgad, pēc Starptautiskā Valūtas fonda (SVF) jaunākajām (šā gada jūlija) prognozēm, izaugsme būs vēl zemāka, 3% apmērā. Lai gan salīdzinājumā ar aprīļa prognozēm ekonomikas pieauguma tempi ir nedaudz paaugstināti, tie tomēr ir vēsturiski zemā līmenī un ekonomisko aktivitāti turpina vājināt centrālo banku veiktie procentu likmju paaugstinājumi, lai ierobežotu inflāciju. Ekonomisko situāciju pasaulē jau kopš 2022. gada februāra nosaka Krievijas iesāktais karš Ukrainā un tā veicinātā </w:t>
      </w:r>
      <w:proofErr w:type="spellStart"/>
      <w:r w:rsidRPr="00C74C27">
        <w:rPr>
          <w:rFonts w:eastAsia="Times New Roman" w:cs="Times New Roman"/>
        </w:rPr>
        <w:t>energokrīze</w:t>
      </w:r>
      <w:proofErr w:type="spellEnd"/>
      <w:r w:rsidRPr="00C74C27">
        <w:rPr>
          <w:rFonts w:eastAsia="Times New Roman" w:cs="Times New Roman"/>
        </w:rPr>
        <w:t>, ievērojami paaugstinot energoresursu cenas, ceļot kopējo inflācijas līmeni un kopā ar procentu likmju celšanu arī būtiski palēninot ekonomikas attīstību.</w:t>
      </w:r>
    </w:p>
    <w:p w14:paraId="2701D004" w14:textId="77777777" w:rsidR="00C74C27" w:rsidRPr="00C74C27" w:rsidRDefault="00C74C27" w:rsidP="00C74C27">
      <w:pPr>
        <w:widowControl w:val="0"/>
        <w:rPr>
          <w:rFonts w:eastAsia="Times New Roman" w:cs="Times New Roman"/>
        </w:rPr>
      </w:pPr>
      <w:r w:rsidRPr="00C74C27">
        <w:rPr>
          <w:rFonts w:eastAsia="Times New Roman" w:cs="Times New Roman"/>
        </w:rPr>
        <w:t>Līdzīgi kā pasaulē kopumā zema izaugsme prognozēta arī ES un galvenajām Latvijas ārējās tirdzniecības partnervalstīm. Pēc Eiropas Komisijas (EK) pēdējām, šā gada septembra prognozēm, ekonomikas izaugsme Eiropas Savienības valstīs šogad palēnināsies līdz 0,8%, salīdzinot ar 3,5% izaugsmi pērn. Zemā līmenī ekonomikas attīstības tempi saglabāsies arī 2024. gadā, kad ES ekonomikas izaugsme veidos 1,4%. Jaunākās izaugsmes prognozes ES ir tādā pašā līmenī, kā EK bija prognozējusi šā gada februārī, bet salīdzinājumā ar iepriekšējām, šā gada maija prognozēm, kuras izmantotas Finanšu ministrijas (FM) izstrādāto makroekonomisko prognožu ārējās vides pieņēmumos, tās ir nedaudz pazeminātas – par 0,2 procentpunktiem 2023. gadam un par 0,3 procentpunktiem 2024. gadam.</w:t>
      </w:r>
    </w:p>
    <w:p w14:paraId="0B95E699" w14:textId="77777777" w:rsidR="00C74C27" w:rsidRPr="00C74C27" w:rsidRDefault="00C74C27" w:rsidP="00C74C27">
      <w:pPr>
        <w:widowControl w:val="0"/>
        <w:rPr>
          <w:rFonts w:eastAsia="Times New Roman" w:cs="Times New Roman"/>
        </w:rPr>
      </w:pPr>
      <w:r w:rsidRPr="00C74C27">
        <w:rPr>
          <w:rFonts w:eastAsia="Times New Roman" w:cs="Times New Roman"/>
        </w:rPr>
        <w:t>Latvijas desmit galveno ārējās tirdzniecības partnervalstu - Lietuvas, Igaunijas, Vācijas, Zviedrijas, Krievijas, Apvienotās Karalistes, Somijas, Dānijas, Nīderlandes un Polijas - kopējās izaugsmes prognozes salīdzinājumā ar gada sākumā prognozēto 2023. gadam palielinājušās pavisam nenozīmīgi – par 0,1 procentpunktu, bet 2024. gadam tās nav mainījušās (skat. 1.1. tabulu). Kopumā Latvijas tirdzniecības partnervalstīm izaugsme šogad prognozēta zemāka nekā ES kopumā, kas atspoguļo nelabvēlīgāko ekonomisko situāciju tieši Austrumeiropas reģionā, Baltijas valstīs un Skandināvijā.</w:t>
      </w:r>
    </w:p>
    <w:p w14:paraId="10BC3774" w14:textId="77777777" w:rsidR="00C74C27" w:rsidRPr="00C74C27" w:rsidRDefault="00C74C27" w:rsidP="00C74C27">
      <w:pPr>
        <w:widowControl w:val="0"/>
        <w:numPr>
          <w:ilvl w:val="1"/>
          <w:numId w:val="41"/>
        </w:numPr>
        <w:spacing w:after="160" w:line="259" w:lineRule="auto"/>
        <w:contextualSpacing/>
        <w:jc w:val="right"/>
        <w:rPr>
          <w:rFonts w:eastAsia="Times New Roman" w:cs="Times New Roman"/>
          <w:b/>
          <w:i/>
          <w:iCs/>
          <w:szCs w:val="24"/>
        </w:rPr>
      </w:pPr>
      <w:r w:rsidRPr="00C74C27">
        <w:rPr>
          <w:rFonts w:eastAsia="Times New Roman" w:cs="Times New Roman"/>
          <w:b/>
          <w:i/>
          <w:iCs/>
          <w:szCs w:val="24"/>
        </w:rPr>
        <w:t xml:space="preserve">tabula. IKP </w:t>
      </w:r>
      <w:r w:rsidRPr="00C74C27">
        <w:rPr>
          <w:rFonts w:eastAsia="Times New Roman" w:cs="Times New Roman"/>
          <w:b/>
          <w:i/>
          <w:color w:val="000000"/>
        </w:rPr>
        <w:t>pieauguma</w:t>
      </w:r>
      <w:r w:rsidRPr="00C74C27">
        <w:rPr>
          <w:rFonts w:eastAsia="Times New Roman" w:cs="Times New Roman"/>
          <w:b/>
          <w:i/>
          <w:iCs/>
          <w:szCs w:val="24"/>
        </w:rPr>
        <w:t xml:space="preserve"> prognozes 2023. un 2024. gadam</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559"/>
        <w:gridCol w:w="1332"/>
        <w:gridCol w:w="1333"/>
        <w:gridCol w:w="1332"/>
        <w:gridCol w:w="1333"/>
      </w:tblGrid>
      <w:tr w:rsidR="00C74C27" w:rsidRPr="00C74C27" w14:paraId="6E00AC3E" w14:textId="77777777" w:rsidTr="005B2BAF">
        <w:trPr>
          <w:trHeight w:val="839"/>
          <w:tblHeader/>
          <w:jc w:val="center"/>
        </w:trPr>
        <w:tc>
          <w:tcPr>
            <w:tcW w:w="1984" w:type="dxa"/>
            <w:vMerge w:val="restart"/>
            <w:shd w:val="clear" w:color="auto" w:fill="BDD6EE"/>
            <w:vAlign w:val="center"/>
            <w:hideMark/>
          </w:tcPr>
          <w:p w14:paraId="1FA815A4" w14:textId="77777777" w:rsidR="00C74C27" w:rsidRPr="00C74C27" w:rsidRDefault="00C74C27" w:rsidP="00C74C27">
            <w:pPr>
              <w:spacing w:after="0"/>
              <w:ind w:firstLine="0"/>
              <w:jc w:val="center"/>
              <w:rPr>
                <w:rFonts w:eastAsia="Calibri" w:cs="Times New Roman"/>
                <w:b/>
                <w:sz w:val="20"/>
                <w:szCs w:val="20"/>
              </w:rPr>
            </w:pPr>
            <w:r w:rsidRPr="00C74C27">
              <w:rPr>
                <w:rFonts w:eastAsia="Calibri" w:cs="Times New Roman"/>
                <w:b/>
                <w:sz w:val="20"/>
                <w:szCs w:val="20"/>
              </w:rPr>
              <w:t xml:space="preserve">Valsts </w:t>
            </w:r>
          </w:p>
        </w:tc>
        <w:tc>
          <w:tcPr>
            <w:tcW w:w="1559" w:type="dxa"/>
            <w:vMerge w:val="restart"/>
            <w:shd w:val="clear" w:color="auto" w:fill="BDD6EE"/>
            <w:vAlign w:val="center"/>
            <w:hideMark/>
          </w:tcPr>
          <w:p w14:paraId="0E52E669" w14:textId="77777777" w:rsidR="00C74C27" w:rsidRPr="00C74C27" w:rsidRDefault="00C74C27" w:rsidP="00C74C27">
            <w:pPr>
              <w:spacing w:after="0"/>
              <w:ind w:firstLine="0"/>
              <w:jc w:val="center"/>
              <w:rPr>
                <w:rFonts w:eastAsia="Calibri" w:cs="Times New Roman"/>
                <w:b/>
                <w:sz w:val="20"/>
                <w:szCs w:val="20"/>
              </w:rPr>
            </w:pPr>
            <w:r w:rsidRPr="00C74C27">
              <w:rPr>
                <w:rFonts w:eastAsia="Calibri" w:cs="Times New Roman"/>
                <w:b/>
                <w:sz w:val="20"/>
                <w:szCs w:val="20"/>
              </w:rPr>
              <w:t>Īpatsvars kopējā Latvijas preču eksportā 2022. gadā</w:t>
            </w:r>
          </w:p>
        </w:tc>
        <w:tc>
          <w:tcPr>
            <w:tcW w:w="2665" w:type="dxa"/>
            <w:gridSpan w:val="2"/>
            <w:shd w:val="clear" w:color="auto" w:fill="BDD6EE"/>
            <w:vAlign w:val="center"/>
            <w:hideMark/>
          </w:tcPr>
          <w:p w14:paraId="1D5DF59B" w14:textId="77777777" w:rsidR="00C74C27" w:rsidRPr="00C74C27" w:rsidRDefault="00C74C27" w:rsidP="00C74C27">
            <w:pPr>
              <w:spacing w:after="0"/>
              <w:ind w:firstLine="0"/>
              <w:jc w:val="center"/>
              <w:rPr>
                <w:rFonts w:eastAsia="Calibri" w:cs="Times New Roman"/>
                <w:b/>
                <w:sz w:val="20"/>
                <w:szCs w:val="20"/>
              </w:rPr>
            </w:pPr>
            <w:r w:rsidRPr="00C74C27">
              <w:rPr>
                <w:rFonts w:eastAsia="Calibri" w:cs="Times New Roman"/>
                <w:b/>
                <w:sz w:val="20"/>
                <w:szCs w:val="20"/>
              </w:rPr>
              <w:t xml:space="preserve">IKP pieauguma prognoze salīdzināmās cenās, g/g, %, </w:t>
            </w:r>
          </w:p>
          <w:p w14:paraId="38A3FC46" w14:textId="77777777" w:rsidR="00C74C27" w:rsidRPr="00C74C27" w:rsidRDefault="00C74C27" w:rsidP="00C74C27">
            <w:pPr>
              <w:spacing w:after="0"/>
              <w:ind w:firstLine="0"/>
              <w:jc w:val="center"/>
              <w:rPr>
                <w:rFonts w:eastAsia="Calibri" w:cs="Times New Roman"/>
                <w:b/>
                <w:sz w:val="20"/>
                <w:szCs w:val="20"/>
              </w:rPr>
            </w:pPr>
            <w:r w:rsidRPr="00C74C27">
              <w:rPr>
                <w:rFonts w:eastAsia="Calibri" w:cs="Times New Roman"/>
                <w:b/>
                <w:sz w:val="20"/>
                <w:szCs w:val="20"/>
              </w:rPr>
              <w:t>EK, 2023. gada maijs</w:t>
            </w:r>
          </w:p>
          <w:p w14:paraId="0611CF6B" w14:textId="77777777" w:rsidR="00C74C27" w:rsidRPr="00C74C27" w:rsidRDefault="00C74C27" w:rsidP="00C74C27">
            <w:pPr>
              <w:spacing w:after="0"/>
              <w:ind w:firstLine="0"/>
              <w:jc w:val="center"/>
              <w:rPr>
                <w:rFonts w:eastAsia="Calibri" w:cs="Times New Roman"/>
                <w:b/>
                <w:sz w:val="20"/>
                <w:szCs w:val="20"/>
              </w:rPr>
            </w:pPr>
            <w:r w:rsidRPr="00C74C27">
              <w:rPr>
                <w:rFonts w:eastAsia="Calibri" w:cs="Times New Roman"/>
                <w:b/>
                <w:sz w:val="20"/>
                <w:szCs w:val="20"/>
              </w:rPr>
              <w:t>* EK, 2023. gada septembris</w:t>
            </w:r>
          </w:p>
          <w:p w14:paraId="744EE202" w14:textId="77777777" w:rsidR="00C74C27" w:rsidRPr="00C74C27" w:rsidRDefault="00C74C27" w:rsidP="00C74C27">
            <w:pPr>
              <w:spacing w:after="0"/>
              <w:ind w:firstLine="0"/>
              <w:jc w:val="center"/>
              <w:rPr>
                <w:rFonts w:eastAsia="Calibri" w:cs="Times New Roman"/>
                <w:b/>
                <w:sz w:val="20"/>
                <w:szCs w:val="20"/>
              </w:rPr>
            </w:pPr>
            <w:r w:rsidRPr="00C74C27">
              <w:rPr>
                <w:rFonts w:eastAsia="Calibri" w:cs="Times New Roman"/>
                <w:b/>
                <w:sz w:val="20"/>
                <w:szCs w:val="20"/>
              </w:rPr>
              <w:t>** SVF, 2023. gada jūlijs</w:t>
            </w:r>
          </w:p>
        </w:tc>
        <w:tc>
          <w:tcPr>
            <w:tcW w:w="2665" w:type="dxa"/>
            <w:gridSpan w:val="2"/>
            <w:shd w:val="clear" w:color="auto" w:fill="BDD6EE"/>
            <w:vAlign w:val="center"/>
            <w:hideMark/>
          </w:tcPr>
          <w:p w14:paraId="11415207" w14:textId="77777777" w:rsidR="00C74C27" w:rsidRPr="00C74C27" w:rsidRDefault="00C74C27" w:rsidP="00C74C27">
            <w:pPr>
              <w:spacing w:after="0"/>
              <w:ind w:firstLine="0"/>
              <w:jc w:val="center"/>
              <w:rPr>
                <w:rFonts w:eastAsia="Calibri" w:cs="Times New Roman"/>
                <w:b/>
                <w:sz w:val="20"/>
                <w:szCs w:val="20"/>
              </w:rPr>
            </w:pPr>
            <w:r w:rsidRPr="00C74C27">
              <w:rPr>
                <w:rFonts w:eastAsia="Calibri" w:cs="Times New Roman"/>
                <w:b/>
                <w:sz w:val="20"/>
                <w:szCs w:val="20"/>
              </w:rPr>
              <w:t>Izmaiņas pret EK 2023. gada februāra prognozēm, procentpunkti</w:t>
            </w:r>
          </w:p>
          <w:p w14:paraId="11F48E38" w14:textId="77777777" w:rsidR="00C74C27" w:rsidRPr="00C74C27" w:rsidRDefault="00C74C27" w:rsidP="00C74C27">
            <w:pPr>
              <w:spacing w:after="0"/>
              <w:ind w:firstLine="0"/>
              <w:jc w:val="center"/>
              <w:rPr>
                <w:rFonts w:eastAsia="Calibri" w:cs="Times New Roman"/>
                <w:b/>
                <w:sz w:val="20"/>
                <w:szCs w:val="20"/>
              </w:rPr>
            </w:pPr>
            <w:r w:rsidRPr="00C74C27">
              <w:rPr>
                <w:rFonts w:eastAsia="Calibri" w:cs="Times New Roman"/>
                <w:b/>
                <w:sz w:val="20"/>
                <w:szCs w:val="20"/>
              </w:rPr>
              <w:t>** pret SVF janvāra prognozēm</w:t>
            </w:r>
          </w:p>
        </w:tc>
      </w:tr>
      <w:tr w:rsidR="00C74C27" w:rsidRPr="00C74C27" w14:paraId="40C510E5" w14:textId="77777777" w:rsidTr="005B2BAF">
        <w:trPr>
          <w:trHeight w:val="268"/>
          <w:tblHeader/>
          <w:jc w:val="center"/>
        </w:trPr>
        <w:tc>
          <w:tcPr>
            <w:tcW w:w="1984" w:type="dxa"/>
            <w:vMerge/>
            <w:shd w:val="clear" w:color="auto" w:fill="BDD6EE"/>
            <w:vAlign w:val="center"/>
            <w:hideMark/>
          </w:tcPr>
          <w:p w14:paraId="2ADCC5AE" w14:textId="77777777" w:rsidR="00C74C27" w:rsidRPr="00C74C27" w:rsidRDefault="00C74C27" w:rsidP="00C74C27">
            <w:pPr>
              <w:spacing w:after="0"/>
              <w:ind w:firstLine="0"/>
              <w:rPr>
                <w:rFonts w:eastAsia="Calibri" w:cs="Times New Roman"/>
                <w:sz w:val="20"/>
                <w:szCs w:val="20"/>
              </w:rPr>
            </w:pPr>
          </w:p>
        </w:tc>
        <w:tc>
          <w:tcPr>
            <w:tcW w:w="1559" w:type="dxa"/>
            <w:vMerge/>
            <w:shd w:val="clear" w:color="auto" w:fill="BDD6EE"/>
            <w:vAlign w:val="center"/>
            <w:hideMark/>
          </w:tcPr>
          <w:p w14:paraId="72986120" w14:textId="77777777" w:rsidR="00C74C27" w:rsidRPr="00C74C27" w:rsidRDefault="00C74C27" w:rsidP="00C74C27">
            <w:pPr>
              <w:spacing w:after="0"/>
              <w:ind w:firstLine="0"/>
              <w:jc w:val="center"/>
              <w:rPr>
                <w:rFonts w:eastAsia="Calibri" w:cs="Times New Roman"/>
                <w:sz w:val="20"/>
                <w:szCs w:val="20"/>
              </w:rPr>
            </w:pPr>
          </w:p>
        </w:tc>
        <w:tc>
          <w:tcPr>
            <w:tcW w:w="1332" w:type="dxa"/>
            <w:shd w:val="clear" w:color="auto" w:fill="BDD6EE"/>
            <w:vAlign w:val="center"/>
            <w:hideMark/>
          </w:tcPr>
          <w:p w14:paraId="5AD2FC50"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rPr>
              <w:t>2023.</w:t>
            </w:r>
          </w:p>
        </w:tc>
        <w:tc>
          <w:tcPr>
            <w:tcW w:w="1333" w:type="dxa"/>
            <w:shd w:val="clear" w:color="auto" w:fill="BDD6EE"/>
            <w:vAlign w:val="center"/>
            <w:hideMark/>
          </w:tcPr>
          <w:p w14:paraId="6B267448"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rPr>
              <w:t>2024.</w:t>
            </w:r>
          </w:p>
        </w:tc>
        <w:tc>
          <w:tcPr>
            <w:tcW w:w="1332" w:type="dxa"/>
            <w:shd w:val="clear" w:color="auto" w:fill="BDD6EE"/>
            <w:vAlign w:val="center"/>
          </w:tcPr>
          <w:p w14:paraId="3D47EB96"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rPr>
              <w:t>2023.</w:t>
            </w:r>
          </w:p>
        </w:tc>
        <w:tc>
          <w:tcPr>
            <w:tcW w:w="1333" w:type="dxa"/>
            <w:shd w:val="clear" w:color="auto" w:fill="BDD6EE"/>
            <w:vAlign w:val="center"/>
          </w:tcPr>
          <w:p w14:paraId="0B25B608"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rPr>
              <w:t>2024.</w:t>
            </w:r>
          </w:p>
        </w:tc>
      </w:tr>
      <w:tr w:rsidR="00C74C27" w:rsidRPr="00C74C27" w14:paraId="50AD959A" w14:textId="77777777" w:rsidTr="005B2BAF">
        <w:trPr>
          <w:trHeight w:val="283"/>
          <w:jc w:val="center"/>
        </w:trPr>
        <w:tc>
          <w:tcPr>
            <w:tcW w:w="1984" w:type="dxa"/>
            <w:shd w:val="clear" w:color="auto" w:fill="auto"/>
            <w:vAlign w:val="center"/>
            <w:hideMark/>
          </w:tcPr>
          <w:p w14:paraId="6325FFAD" w14:textId="77777777" w:rsidR="00C74C27" w:rsidRPr="00C74C27" w:rsidRDefault="00C74C27" w:rsidP="00C74C27">
            <w:pPr>
              <w:spacing w:after="0"/>
              <w:ind w:firstLine="0"/>
              <w:jc w:val="left"/>
              <w:rPr>
                <w:rFonts w:eastAsia="Calibri" w:cs="Times New Roman"/>
                <w:sz w:val="20"/>
                <w:szCs w:val="20"/>
                <w:lang w:eastAsia="en-US"/>
              </w:rPr>
            </w:pPr>
            <w:r w:rsidRPr="00C74C27">
              <w:rPr>
                <w:rFonts w:eastAsia="Calibri" w:cs="Times New Roman"/>
                <w:sz w:val="20"/>
                <w:szCs w:val="20"/>
              </w:rPr>
              <w:t>Lietuva</w:t>
            </w:r>
          </w:p>
        </w:tc>
        <w:tc>
          <w:tcPr>
            <w:tcW w:w="1559" w:type="dxa"/>
            <w:shd w:val="clear" w:color="auto" w:fill="auto"/>
            <w:vAlign w:val="bottom"/>
            <w:hideMark/>
          </w:tcPr>
          <w:p w14:paraId="43CE6B8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18,2%</w:t>
            </w:r>
          </w:p>
        </w:tc>
        <w:tc>
          <w:tcPr>
            <w:tcW w:w="1332" w:type="dxa"/>
            <w:shd w:val="clear" w:color="auto" w:fill="auto"/>
            <w:noWrap/>
            <w:vAlign w:val="bottom"/>
            <w:hideMark/>
          </w:tcPr>
          <w:p w14:paraId="6101336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0,5</w:t>
            </w:r>
          </w:p>
        </w:tc>
        <w:tc>
          <w:tcPr>
            <w:tcW w:w="1333" w:type="dxa"/>
            <w:shd w:val="clear" w:color="auto" w:fill="auto"/>
            <w:noWrap/>
            <w:vAlign w:val="bottom"/>
            <w:hideMark/>
          </w:tcPr>
          <w:p w14:paraId="061CCF5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2,7</w:t>
            </w:r>
          </w:p>
        </w:tc>
        <w:tc>
          <w:tcPr>
            <w:tcW w:w="1332" w:type="dxa"/>
            <w:shd w:val="clear" w:color="auto" w:fill="FFFFFF"/>
            <w:noWrap/>
            <w:vAlign w:val="bottom"/>
          </w:tcPr>
          <w:p w14:paraId="1A4AA11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0,2</w:t>
            </w:r>
          </w:p>
        </w:tc>
        <w:tc>
          <w:tcPr>
            <w:tcW w:w="1333" w:type="dxa"/>
            <w:shd w:val="clear" w:color="auto" w:fill="FFFFFF"/>
            <w:vAlign w:val="bottom"/>
          </w:tcPr>
          <w:p w14:paraId="3C136F9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0,2</w:t>
            </w:r>
          </w:p>
        </w:tc>
      </w:tr>
      <w:tr w:rsidR="00C74C27" w:rsidRPr="00C74C27" w14:paraId="6DF529EB" w14:textId="77777777" w:rsidTr="005B2BAF">
        <w:trPr>
          <w:trHeight w:val="283"/>
          <w:jc w:val="center"/>
        </w:trPr>
        <w:tc>
          <w:tcPr>
            <w:tcW w:w="1984" w:type="dxa"/>
            <w:shd w:val="clear" w:color="auto" w:fill="auto"/>
            <w:vAlign w:val="center"/>
            <w:hideMark/>
          </w:tcPr>
          <w:p w14:paraId="2E511E4C"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Igaunija</w:t>
            </w:r>
          </w:p>
        </w:tc>
        <w:tc>
          <w:tcPr>
            <w:tcW w:w="1559" w:type="dxa"/>
            <w:shd w:val="clear" w:color="auto" w:fill="auto"/>
            <w:vAlign w:val="bottom"/>
            <w:hideMark/>
          </w:tcPr>
          <w:p w14:paraId="79040BE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11,8%</w:t>
            </w:r>
          </w:p>
        </w:tc>
        <w:tc>
          <w:tcPr>
            <w:tcW w:w="1332" w:type="dxa"/>
            <w:shd w:val="clear" w:color="auto" w:fill="auto"/>
            <w:noWrap/>
            <w:vAlign w:val="bottom"/>
            <w:hideMark/>
          </w:tcPr>
          <w:p w14:paraId="2B4A2D0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-0,4</w:t>
            </w:r>
          </w:p>
        </w:tc>
        <w:tc>
          <w:tcPr>
            <w:tcW w:w="1333" w:type="dxa"/>
            <w:shd w:val="clear" w:color="auto" w:fill="auto"/>
            <w:noWrap/>
            <w:vAlign w:val="bottom"/>
            <w:hideMark/>
          </w:tcPr>
          <w:p w14:paraId="57AF677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3,1</w:t>
            </w:r>
          </w:p>
        </w:tc>
        <w:tc>
          <w:tcPr>
            <w:tcW w:w="1332" w:type="dxa"/>
            <w:shd w:val="clear" w:color="auto" w:fill="FFFFFF"/>
            <w:noWrap/>
            <w:vAlign w:val="bottom"/>
          </w:tcPr>
          <w:p w14:paraId="7F22652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-0,5</w:t>
            </w:r>
          </w:p>
        </w:tc>
        <w:tc>
          <w:tcPr>
            <w:tcW w:w="1333" w:type="dxa"/>
            <w:shd w:val="clear" w:color="auto" w:fill="FFFFFF"/>
            <w:vAlign w:val="bottom"/>
          </w:tcPr>
          <w:p w14:paraId="65905AB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0,3</w:t>
            </w:r>
          </w:p>
        </w:tc>
      </w:tr>
      <w:tr w:rsidR="00C74C27" w:rsidRPr="00C74C27" w14:paraId="63D6BC77" w14:textId="77777777" w:rsidTr="005B2BAF">
        <w:trPr>
          <w:trHeight w:val="283"/>
          <w:jc w:val="center"/>
        </w:trPr>
        <w:tc>
          <w:tcPr>
            <w:tcW w:w="1984" w:type="dxa"/>
            <w:shd w:val="clear" w:color="auto" w:fill="auto"/>
            <w:vAlign w:val="center"/>
            <w:hideMark/>
          </w:tcPr>
          <w:p w14:paraId="71561DD8"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Vācija*</w:t>
            </w:r>
          </w:p>
        </w:tc>
        <w:tc>
          <w:tcPr>
            <w:tcW w:w="1559" w:type="dxa"/>
            <w:shd w:val="clear" w:color="auto" w:fill="auto"/>
            <w:vAlign w:val="bottom"/>
            <w:hideMark/>
          </w:tcPr>
          <w:p w14:paraId="0FC3E2E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6,7%</w:t>
            </w:r>
          </w:p>
        </w:tc>
        <w:tc>
          <w:tcPr>
            <w:tcW w:w="1332" w:type="dxa"/>
            <w:shd w:val="clear" w:color="auto" w:fill="auto"/>
            <w:noWrap/>
            <w:vAlign w:val="bottom"/>
            <w:hideMark/>
          </w:tcPr>
          <w:p w14:paraId="68E38B8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-0,4</w:t>
            </w:r>
          </w:p>
        </w:tc>
        <w:tc>
          <w:tcPr>
            <w:tcW w:w="1333" w:type="dxa"/>
            <w:shd w:val="clear" w:color="auto" w:fill="auto"/>
            <w:noWrap/>
            <w:vAlign w:val="bottom"/>
            <w:hideMark/>
          </w:tcPr>
          <w:p w14:paraId="7C6BD5C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1,1</w:t>
            </w:r>
          </w:p>
        </w:tc>
        <w:tc>
          <w:tcPr>
            <w:tcW w:w="1332" w:type="dxa"/>
            <w:shd w:val="clear" w:color="auto" w:fill="FFFFFF"/>
            <w:noWrap/>
            <w:vAlign w:val="bottom"/>
          </w:tcPr>
          <w:p w14:paraId="4FF57ED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-0,6</w:t>
            </w:r>
          </w:p>
        </w:tc>
        <w:tc>
          <w:tcPr>
            <w:tcW w:w="1333" w:type="dxa"/>
            <w:shd w:val="clear" w:color="auto" w:fill="FFFFFF"/>
            <w:vAlign w:val="bottom"/>
          </w:tcPr>
          <w:p w14:paraId="18111EC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-0,2</w:t>
            </w:r>
          </w:p>
        </w:tc>
      </w:tr>
      <w:tr w:rsidR="00C74C27" w:rsidRPr="00C74C27" w14:paraId="6E3B4DBF" w14:textId="77777777" w:rsidTr="005B2BAF">
        <w:trPr>
          <w:trHeight w:val="283"/>
          <w:jc w:val="center"/>
        </w:trPr>
        <w:tc>
          <w:tcPr>
            <w:tcW w:w="1984" w:type="dxa"/>
            <w:shd w:val="clear" w:color="auto" w:fill="auto"/>
            <w:vAlign w:val="center"/>
            <w:hideMark/>
          </w:tcPr>
          <w:p w14:paraId="40090AF4"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Zviedrija</w:t>
            </w:r>
          </w:p>
        </w:tc>
        <w:tc>
          <w:tcPr>
            <w:tcW w:w="1559" w:type="dxa"/>
            <w:shd w:val="clear" w:color="auto" w:fill="auto"/>
            <w:vAlign w:val="bottom"/>
            <w:hideMark/>
          </w:tcPr>
          <w:p w14:paraId="35F617C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5,6%</w:t>
            </w:r>
          </w:p>
        </w:tc>
        <w:tc>
          <w:tcPr>
            <w:tcW w:w="1332" w:type="dxa"/>
            <w:shd w:val="clear" w:color="auto" w:fill="auto"/>
            <w:noWrap/>
            <w:vAlign w:val="bottom"/>
            <w:hideMark/>
          </w:tcPr>
          <w:p w14:paraId="3CFBA8D4"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-0,5</w:t>
            </w:r>
          </w:p>
        </w:tc>
        <w:tc>
          <w:tcPr>
            <w:tcW w:w="1333" w:type="dxa"/>
            <w:shd w:val="clear" w:color="auto" w:fill="auto"/>
            <w:noWrap/>
            <w:vAlign w:val="bottom"/>
            <w:hideMark/>
          </w:tcPr>
          <w:p w14:paraId="1D889DF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1,1</w:t>
            </w:r>
          </w:p>
        </w:tc>
        <w:tc>
          <w:tcPr>
            <w:tcW w:w="1332" w:type="dxa"/>
            <w:shd w:val="clear" w:color="auto" w:fill="FFFFFF"/>
            <w:noWrap/>
            <w:vAlign w:val="bottom"/>
          </w:tcPr>
          <w:p w14:paraId="1D1FE09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0,3</w:t>
            </w:r>
          </w:p>
        </w:tc>
        <w:tc>
          <w:tcPr>
            <w:tcW w:w="1333" w:type="dxa"/>
            <w:shd w:val="clear" w:color="auto" w:fill="FFFFFF"/>
            <w:vAlign w:val="bottom"/>
          </w:tcPr>
          <w:p w14:paraId="6AF904D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-0,1</w:t>
            </w:r>
          </w:p>
        </w:tc>
      </w:tr>
      <w:tr w:rsidR="00C74C27" w:rsidRPr="00C74C27" w14:paraId="655E12B8" w14:textId="77777777" w:rsidTr="005B2BAF">
        <w:trPr>
          <w:trHeight w:val="283"/>
          <w:jc w:val="center"/>
        </w:trPr>
        <w:tc>
          <w:tcPr>
            <w:tcW w:w="1984" w:type="dxa"/>
            <w:shd w:val="clear" w:color="auto" w:fill="auto"/>
            <w:vAlign w:val="center"/>
            <w:hideMark/>
          </w:tcPr>
          <w:p w14:paraId="742287A7"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lastRenderedPageBreak/>
              <w:t>Krievija**</w:t>
            </w:r>
          </w:p>
        </w:tc>
        <w:tc>
          <w:tcPr>
            <w:tcW w:w="1559" w:type="dxa"/>
            <w:shd w:val="clear" w:color="auto" w:fill="auto"/>
            <w:vAlign w:val="bottom"/>
            <w:hideMark/>
          </w:tcPr>
          <w:p w14:paraId="6BBB07D4"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5,6%</w:t>
            </w:r>
          </w:p>
        </w:tc>
        <w:tc>
          <w:tcPr>
            <w:tcW w:w="1332" w:type="dxa"/>
            <w:shd w:val="clear" w:color="auto" w:fill="auto"/>
            <w:noWrap/>
            <w:vAlign w:val="bottom"/>
            <w:hideMark/>
          </w:tcPr>
          <w:p w14:paraId="01283B1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1,5</w:t>
            </w:r>
          </w:p>
        </w:tc>
        <w:tc>
          <w:tcPr>
            <w:tcW w:w="1333" w:type="dxa"/>
            <w:shd w:val="clear" w:color="auto" w:fill="auto"/>
            <w:noWrap/>
            <w:vAlign w:val="bottom"/>
            <w:hideMark/>
          </w:tcPr>
          <w:p w14:paraId="7F6FAA8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1,3</w:t>
            </w:r>
          </w:p>
        </w:tc>
        <w:tc>
          <w:tcPr>
            <w:tcW w:w="1332" w:type="dxa"/>
            <w:shd w:val="clear" w:color="auto" w:fill="FFFFFF"/>
            <w:noWrap/>
            <w:vAlign w:val="bottom"/>
          </w:tcPr>
          <w:p w14:paraId="79EF1B8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1,2</w:t>
            </w:r>
          </w:p>
        </w:tc>
        <w:tc>
          <w:tcPr>
            <w:tcW w:w="1333" w:type="dxa"/>
            <w:shd w:val="clear" w:color="auto" w:fill="FFFFFF"/>
            <w:vAlign w:val="bottom"/>
          </w:tcPr>
          <w:p w14:paraId="6500A8F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-0,8</w:t>
            </w:r>
          </w:p>
        </w:tc>
      </w:tr>
      <w:tr w:rsidR="00C74C27" w:rsidRPr="00C74C27" w14:paraId="0EDAE32E" w14:textId="77777777" w:rsidTr="005B2BAF">
        <w:trPr>
          <w:trHeight w:val="283"/>
          <w:jc w:val="center"/>
        </w:trPr>
        <w:tc>
          <w:tcPr>
            <w:tcW w:w="1984" w:type="dxa"/>
            <w:shd w:val="clear" w:color="auto" w:fill="auto"/>
            <w:vAlign w:val="center"/>
            <w:hideMark/>
          </w:tcPr>
          <w:p w14:paraId="65010FA2"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Apvienotā Karaliste**</w:t>
            </w:r>
          </w:p>
        </w:tc>
        <w:tc>
          <w:tcPr>
            <w:tcW w:w="1559" w:type="dxa"/>
            <w:shd w:val="clear" w:color="auto" w:fill="auto"/>
            <w:vAlign w:val="bottom"/>
            <w:hideMark/>
          </w:tcPr>
          <w:p w14:paraId="74C19E2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5,3%</w:t>
            </w:r>
          </w:p>
        </w:tc>
        <w:tc>
          <w:tcPr>
            <w:tcW w:w="1332" w:type="dxa"/>
            <w:shd w:val="clear" w:color="auto" w:fill="auto"/>
            <w:noWrap/>
            <w:vAlign w:val="bottom"/>
            <w:hideMark/>
          </w:tcPr>
          <w:p w14:paraId="42DE2CD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0,4</w:t>
            </w:r>
          </w:p>
        </w:tc>
        <w:tc>
          <w:tcPr>
            <w:tcW w:w="1333" w:type="dxa"/>
            <w:shd w:val="clear" w:color="auto" w:fill="auto"/>
            <w:noWrap/>
            <w:vAlign w:val="bottom"/>
            <w:hideMark/>
          </w:tcPr>
          <w:p w14:paraId="606C18B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1,0</w:t>
            </w:r>
          </w:p>
        </w:tc>
        <w:tc>
          <w:tcPr>
            <w:tcW w:w="1332" w:type="dxa"/>
            <w:shd w:val="clear" w:color="auto" w:fill="FFFFFF"/>
            <w:noWrap/>
            <w:vAlign w:val="bottom"/>
          </w:tcPr>
          <w:p w14:paraId="2DFC023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1,0</w:t>
            </w:r>
          </w:p>
        </w:tc>
        <w:tc>
          <w:tcPr>
            <w:tcW w:w="1333" w:type="dxa"/>
            <w:shd w:val="clear" w:color="auto" w:fill="FFFFFF"/>
            <w:vAlign w:val="bottom"/>
          </w:tcPr>
          <w:p w14:paraId="37ECB4A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0,1</w:t>
            </w:r>
          </w:p>
        </w:tc>
      </w:tr>
      <w:tr w:rsidR="00C74C27" w:rsidRPr="00C74C27" w14:paraId="7F1475E5" w14:textId="77777777" w:rsidTr="005B2BAF">
        <w:trPr>
          <w:trHeight w:val="283"/>
          <w:jc w:val="center"/>
        </w:trPr>
        <w:tc>
          <w:tcPr>
            <w:tcW w:w="1984" w:type="dxa"/>
            <w:shd w:val="clear" w:color="auto" w:fill="auto"/>
            <w:vAlign w:val="center"/>
            <w:hideMark/>
          </w:tcPr>
          <w:p w14:paraId="7E4A08E4"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Somija</w:t>
            </w:r>
          </w:p>
        </w:tc>
        <w:tc>
          <w:tcPr>
            <w:tcW w:w="1559" w:type="dxa"/>
            <w:shd w:val="clear" w:color="auto" w:fill="auto"/>
            <w:vAlign w:val="bottom"/>
            <w:hideMark/>
          </w:tcPr>
          <w:p w14:paraId="794400F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4,7%</w:t>
            </w:r>
          </w:p>
        </w:tc>
        <w:tc>
          <w:tcPr>
            <w:tcW w:w="1332" w:type="dxa"/>
            <w:shd w:val="clear" w:color="auto" w:fill="auto"/>
            <w:noWrap/>
            <w:vAlign w:val="bottom"/>
            <w:hideMark/>
          </w:tcPr>
          <w:p w14:paraId="40E62AE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0,2</w:t>
            </w:r>
          </w:p>
        </w:tc>
        <w:tc>
          <w:tcPr>
            <w:tcW w:w="1333" w:type="dxa"/>
            <w:shd w:val="clear" w:color="auto" w:fill="auto"/>
            <w:noWrap/>
            <w:vAlign w:val="bottom"/>
            <w:hideMark/>
          </w:tcPr>
          <w:p w14:paraId="5908765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1,4</w:t>
            </w:r>
          </w:p>
        </w:tc>
        <w:tc>
          <w:tcPr>
            <w:tcW w:w="1332" w:type="dxa"/>
            <w:shd w:val="clear" w:color="auto" w:fill="FFFFFF"/>
            <w:noWrap/>
            <w:vAlign w:val="bottom"/>
          </w:tcPr>
          <w:p w14:paraId="34B00D8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0,0</w:t>
            </w:r>
          </w:p>
        </w:tc>
        <w:tc>
          <w:tcPr>
            <w:tcW w:w="1333" w:type="dxa"/>
            <w:shd w:val="clear" w:color="auto" w:fill="FFFFFF"/>
            <w:vAlign w:val="bottom"/>
          </w:tcPr>
          <w:p w14:paraId="61045A9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0,0</w:t>
            </w:r>
          </w:p>
        </w:tc>
      </w:tr>
      <w:tr w:rsidR="00C74C27" w:rsidRPr="00C74C27" w14:paraId="1A9BFACA" w14:textId="77777777" w:rsidTr="005B2BAF">
        <w:trPr>
          <w:trHeight w:val="283"/>
          <w:jc w:val="center"/>
        </w:trPr>
        <w:tc>
          <w:tcPr>
            <w:tcW w:w="1984" w:type="dxa"/>
            <w:shd w:val="clear" w:color="auto" w:fill="auto"/>
            <w:vAlign w:val="center"/>
            <w:hideMark/>
          </w:tcPr>
          <w:p w14:paraId="4EFBDBFC"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Dānija</w:t>
            </w:r>
          </w:p>
        </w:tc>
        <w:tc>
          <w:tcPr>
            <w:tcW w:w="1559" w:type="dxa"/>
            <w:shd w:val="clear" w:color="auto" w:fill="auto"/>
            <w:vAlign w:val="bottom"/>
            <w:hideMark/>
          </w:tcPr>
          <w:p w14:paraId="2F332DE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4,0%</w:t>
            </w:r>
          </w:p>
        </w:tc>
        <w:tc>
          <w:tcPr>
            <w:tcW w:w="1332" w:type="dxa"/>
            <w:shd w:val="clear" w:color="auto" w:fill="auto"/>
            <w:noWrap/>
            <w:vAlign w:val="bottom"/>
            <w:hideMark/>
          </w:tcPr>
          <w:p w14:paraId="5974210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0,3</w:t>
            </w:r>
          </w:p>
        </w:tc>
        <w:tc>
          <w:tcPr>
            <w:tcW w:w="1333" w:type="dxa"/>
            <w:shd w:val="clear" w:color="auto" w:fill="auto"/>
            <w:noWrap/>
            <w:vAlign w:val="bottom"/>
            <w:hideMark/>
          </w:tcPr>
          <w:p w14:paraId="5724C36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1,5</w:t>
            </w:r>
          </w:p>
        </w:tc>
        <w:tc>
          <w:tcPr>
            <w:tcW w:w="1332" w:type="dxa"/>
            <w:shd w:val="clear" w:color="auto" w:fill="FFFFFF"/>
            <w:noWrap/>
            <w:vAlign w:val="bottom"/>
          </w:tcPr>
          <w:p w14:paraId="3869B597"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0,2</w:t>
            </w:r>
          </w:p>
        </w:tc>
        <w:tc>
          <w:tcPr>
            <w:tcW w:w="1333" w:type="dxa"/>
            <w:shd w:val="clear" w:color="auto" w:fill="FFFFFF"/>
            <w:vAlign w:val="bottom"/>
          </w:tcPr>
          <w:p w14:paraId="4A6833E7"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-0,1</w:t>
            </w:r>
          </w:p>
        </w:tc>
      </w:tr>
      <w:tr w:rsidR="00C74C27" w:rsidRPr="00C74C27" w14:paraId="186774AD" w14:textId="77777777" w:rsidTr="005B2BAF">
        <w:trPr>
          <w:trHeight w:val="283"/>
          <w:jc w:val="center"/>
        </w:trPr>
        <w:tc>
          <w:tcPr>
            <w:tcW w:w="1984" w:type="dxa"/>
            <w:shd w:val="clear" w:color="auto" w:fill="auto"/>
            <w:vAlign w:val="center"/>
            <w:hideMark/>
          </w:tcPr>
          <w:p w14:paraId="6CF0D100"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Nīderlande*</w:t>
            </w:r>
          </w:p>
        </w:tc>
        <w:tc>
          <w:tcPr>
            <w:tcW w:w="1559" w:type="dxa"/>
            <w:shd w:val="clear" w:color="auto" w:fill="auto"/>
            <w:vAlign w:val="bottom"/>
            <w:hideMark/>
          </w:tcPr>
          <w:p w14:paraId="6D8EE0F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3,8%</w:t>
            </w:r>
          </w:p>
        </w:tc>
        <w:tc>
          <w:tcPr>
            <w:tcW w:w="1332" w:type="dxa"/>
            <w:shd w:val="clear" w:color="auto" w:fill="auto"/>
            <w:noWrap/>
            <w:vAlign w:val="bottom"/>
            <w:hideMark/>
          </w:tcPr>
          <w:p w14:paraId="1D5A2AA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0,5</w:t>
            </w:r>
          </w:p>
        </w:tc>
        <w:tc>
          <w:tcPr>
            <w:tcW w:w="1333" w:type="dxa"/>
            <w:shd w:val="clear" w:color="auto" w:fill="auto"/>
            <w:noWrap/>
            <w:vAlign w:val="bottom"/>
            <w:hideMark/>
          </w:tcPr>
          <w:p w14:paraId="2722C29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1,0</w:t>
            </w:r>
          </w:p>
        </w:tc>
        <w:tc>
          <w:tcPr>
            <w:tcW w:w="1332" w:type="dxa"/>
            <w:shd w:val="clear" w:color="auto" w:fill="FFFFFF"/>
            <w:noWrap/>
            <w:vAlign w:val="bottom"/>
          </w:tcPr>
          <w:p w14:paraId="7B904C6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-0,4</w:t>
            </w:r>
          </w:p>
        </w:tc>
        <w:tc>
          <w:tcPr>
            <w:tcW w:w="1333" w:type="dxa"/>
            <w:shd w:val="clear" w:color="auto" w:fill="FFFFFF"/>
            <w:vAlign w:val="bottom"/>
          </w:tcPr>
          <w:p w14:paraId="69D12AE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-0,3</w:t>
            </w:r>
          </w:p>
        </w:tc>
      </w:tr>
      <w:tr w:rsidR="00C74C27" w:rsidRPr="00C74C27" w14:paraId="79507D37" w14:textId="77777777" w:rsidTr="005B2BAF">
        <w:trPr>
          <w:trHeight w:val="283"/>
          <w:jc w:val="center"/>
        </w:trPr>
        <w:tc>
          <w:tcPr>
            <w:tcW w:w="1984" w:type="dxa"/>
            <w:shd w:val="clear" w:color="auto" w:fill="auto"/>
            <w:vAlign w:val="center"/>
            <w:hideMark/>
          </w:tcPr>
          <w:p w14:paraId="53F3D063"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Polija*</w:t>
            </w:r>
          </w:p>
        </w:tc>
        <w:tc>
          <w:tcPr>
            <w:tcW w:w="1559" w:type="dxa"/>
            <w:shd w:val="clear" w:color="auto" w:fill="auto"/>
            <w:vAlign w:val="bottom"/>
            <w:hideMark/>
          </w:tcPr>
          <w:p w14:paraId="4B8E410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3,6%</w:t>
            </w:r>
          </w:p>
        </w:tc>
        <w:tc>
          <w:tcPr>
            <w:tcW w:w="1332" w:type="dxa"/>
            <w:shd w:val="clear" w:color="auto" w:fill="auto"/>
            <w:noWrap/>
            <w:vAlign w:val="bottom"/>
            <w:hideMark/>
          </w:tcPr>
          <w:p w14:paraId="2B60917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0,5</w:t>
            </w:r>
          </w:p>
        </w:tc>
        <w:tc>
          <w:tcPr>
            <w:tcW w:w="1333" w:type="dxa"/>
            <w:shd w:val="clear" w:color="auto" w:fill="auto"/>
            <w:noWrap/>
            <w:vAlign w:val="bottom"/>
            <w:hideMark/>
          </w:tcPr>
          <w:p w14:paraId="32B859D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2,7</w:t>
            </w:r>
          </w:p>
        </w:tc>
        <w:tc>
          <w:tcPr>
            <w:tcW w:w="1332" w:type="dxa"/>
            <w:shd w:val="clear" w:color="auto" w:fill="auto"/>
            <w:noWrap/>
            <w:vAlign w:val="bottom"/>
          </w:tcPr>
          <w:p w14:paraId="655C6DD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0,1</w:t>
            </w:r>
          </w:p>
        </w:tc>
        <w:tc>
          <w:tcPr>
            <w:tcW w:w="1333" w:type="dxa"/>
            <w:vAlign w:val="bottom"/>
          </w:tcPr>
          <w:p w14:paraId="25EFBDC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0,2</w:t>
            </w:r>
          </w:p>
        </w:tc>
      </w:tr>
      <w:tr w:rsidR="00C74C27" w:rsidRPr="00C74C27" w14:paraId="40F54C09" w14:textId="77777777" w:rsidTr="005B2BAF">
        <w:trPr>
          <w:jc w:val="center"/>
        </w:trPr>
        <w:tc>
          <w:tcPr>
            <w:tcW w:w="1984" w:type="dxa"/>
            <w:shd w:val="clear" w:color="auto" w:fill="auto"/>
            <w:vAlign w:val="center"/>
            <w:hideMark/>
          </w:tcPr>
          <w:p w14:paraId="1FE0A5D6" w14:textId="77777777" w:rsidR="00C74C27" w:rsidRPr="00C74C27" w:rsidRDefault="00C74C27" w:rsidP="00C74C27">
            <w:pPr>
              <w:spacing w:after="0"/>
              <w:ind w:firstLine="0"/>
              <w:jc w:val="left"/>
              <w:rPr>
                <w:rFonts w:eastAsia="Calibri" w:cs="Times New Roman"/>
                <w:b/>
                <w:bCs/>
                <w:sz w:val="20"/>
                <w:szCs w:val="20"/>
              </w:rPr>
            </w:pPr>
            <w:r w:rsidRPr="00C74C27">
              <w:rPr>
                <w:rFonts w:eastAsia="Calibri" w:cs="Times New Roman"/>
                <w:b/>
                <w:bCs/>
                <w:sz w:val="20"/>
                <w:szCs w:val="20"/>
              </w:rPr>
              <w:t>Kopā vidēji svērtais 10 valstīm</w:t>
            </w:r>
          </w:p>
        </w:tc>
        <w:tc>
          <w:tcPr>
            <w:tcW w:w="1559" w:type="dxa"/>
            <w:shd w:val="clear" w:color="auto" w:fill="auto"/>
            <w:vAlign w:val="center"/>
            <w:hideMark/>
          </w:tcPr>
          <w:p w14:paraId="0846CA27"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rPr>
              <w:t>69,3%</w:t>
            </w:r>
          </w:p>
        </w:tc>
        <w:tc>
          <w:tcPr>
            <w:tcW w:w="1332" w:type="dxa"/>
            <w:shd w:val="clear" w:color="auto" w:fill="auto"/>
            <w:noWrap/>
            <w:vAlign w:val="center"/>
            <w:hideMark/>
          </w:tcPr>
          <w:p w14:paraId="1EC5F19E"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rPr>
              <w:t>0,2</w:t>
            </w:r>
          </w:p>
        </w:tc>
        <w:tc>
          <w:tcPr>
            <w:tcW w:w="1333" w:type="dxa"/>
            <w:shd w:val="clear" w:color="auto" w:fill="auto"/>
            <w:noWrap/>
            <w:vAlign w:val="center"/>
            <w:hideMark/>
          </w:tcPr>
          <w:p w14:paraId="2AD2FDC3"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rPr>
              <w:t>2,0</w:t>
            </w:r>
          </w:p>
        </w:tc>
        <w:tc>
          <w:tcPr>
            <w:tcW w:w="1332" w:type="dxa"/>
            <w:shd w:val="clear" w:color="auto" w:fill="auto"/>
            <w:noWrap/>
            <w:vAlign w:val="center"/>
          </w:tcPr>
          <w:p w14:paraId="7B5DE0A0"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rPr>
              <w:t>0,1</w:t>
            </w:r>
          </w:p>
        </w:tc>
        <w:tc>
          <w:tcPr>
            <w:tcW w:w="1333" w:type="dxa"/>
            <w:vAlign w:val="center"/>
          </w:tcPr>
          <w:p w14:paraId="5B7F6291"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rPr>
              <w:t>0,0</w:t>
            </w:r>
          </w:p>
        </w:tc>
      </w:tr>
      <w:tr w:rsidR="00C74C27" w:rsidRPr="00C74C27" w14:paraId="4387DDF0" w14:textId="77777777" w:rsidTr="005B2BAF">
        <w:trPr>
          <w:trHeight w:val="283"/>
          <w:jc w:val="center"/>
        </w:trPr>
        <w:tc>
          <w:tcPr>
            <w:tcW w:w="1984" w:type="dxa"/>
            <w:shd w:val="clear" w:color="auto" w:fill="auto"/>
            <w:vAlign w:val="center"/>
            <w:hideMark/>
          </w:tcPr>
          <w:p w14:paraId="1D72DCAC"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ES27*</w:t>
            </w:r>
          </w:p>
        </w:tc>
        <w:tc>
          <w:tcPr>
            <w:tcW w:w="1559" w:type="dxa"/>
            <w:shd w:val="clear" w:color="auto" w:fill="auto"/>
            <w:vAlign w:val="center"/>
            <w:hideMark/>
          </w:tcPr>
          <w:p w14:paraId="5A887F6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71,4%</w:t>
            </w:r>
          </w:p>
        </w:tc>
        <w:tc>
          <w:tcPr>
            <w:tcW w:w="1332" w:type="dxa"/>
            <w:shd w:val="clear" w:color="auto" w:fill="auto"/>
            <w:noWrap/>
            <w:vAlign w:val="center"/>
            <w:hideMark/>
          </w:tcPr>
          <w:p w14:paraId="418DB41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0,8</w:t>
            </w:r>
          </w:p>
        </w:tc>
        <w:tc>
          <w:tcPr>
            <w:tcW w:w="1333" w:type="dxa"/>
            <w:shd w:val="clear" w:color="auto" w:fill="auto"/>
            <w:noWrap/>
            <w:vAlign w:val="center"/>
            <w:hideMark/>
          </w:tcPr>
          <w:p w14:paraId="7441DBD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1,4</w:t>
            </w:r>
          </w:p>
        </w:tc>
        <w:tc>
          <w:tcPr>
            <w:tcW w:w="1332" w:type="dxa"/>
            <w:shd w:val="clear" w:color="auto" w:fill="auto"/>
            <w:noWrap/>
            <w:vAlign w:val="center"/>
          </w:tcPr>
          <w:p w14:paraId="1D9BEE5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0,0</w:t>
            </w:r>
          </w:p>
        </w:tc>
        <w:tc>
          <w:tcPr>
            <w:tcW w:w="1333" w:type="dxa"/>
            <w:vAlign w:val="center"/>
          </w:tcPr>
          <w:p w14:paraId="02138FF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-0,1</w:t>
            </w:r>
          </w:p>
        </w:tc>
      </w:tr>
    </w:tbl>
    <w:p w14:paraId="4E5A11C9" w14:textId="77777777" w:rsidR="00C74C27" w:rsidRPr="00C74C27" w:rsidRDefault="00C74C27" w:rsidP="00C74C27">
      <w:pPr>
        <w:widowControl w:val="0"/>
        <w:spacing w:before="120"/>
        <w:rPr>
          <w:rFonts w:eastAsia="Times New Roman" w:cs="Times New Roman"/>
        </w:rPr>
      </w:pPr>
      <w:r w:rsidRPr="00C74C27">
        <w:rPr>
          <w:rFonts w:eastAsia="Times New Roman" w:cs="Times New Roman"/>
        </w:rPr>
        <w:t>Dati par šā gada pirmo pusi rāda, ka</w:t>
      </w:r>
      <w:r w:rsidRPr="00C74C27">
        <w:rPr>
          <w:rFonts w:eastAsia="Times New Roman" w:cs="Times New Roman"/>
          <w14:ligatures w14:val="standardContextual"/>
        </w:rPr>
        <w:t xml:space="preserve"> ES </w:t>
      </w:r>
      <w:r w:rsidRPr="00C74C27">
        <w:rPr>
          <w:rFonts w:eastAsia="Times New Roman" w:cs="Times New Roman"/>
        </w:rPr>
        <w:t xml:space="preserve"> ekonomika, salīdzinot ar pagājušā gada pirmo pusi, ir palielinājusies par 0,6%. </w:t>
      </w:r>
      <w:r w:rsidRPr="00C74C27">
        <w:rPr>
          <w:rFonts w:eastAsia="Times New Roman" w:cs="Times New Roman"/>
          <w14:ligatures w14:val="standardContextual"/>
        </w:rPr>
        <w:t xml:space="preserve">Uzņēmēju un patērētāju konfidences rādītāji, kas pēc krasā krituma pērnajā gadā, 2023. gada sākumā bija sākuši stabilizēties un pakāpeniski uzlaboties, pēdējos </w:t>
      </w:r>
      <w:r w:rsidRPr="00C74C27">
        <w:rPr>
          <w:rFonts w:eastAsia="Times New Roman" w:cs="Times New Roman"/>
        </w:rPr>
        <w:t>piecos</w:t>
      </w:r>
      <w:r w:rsidRPr="00C74C27">
        <w:rPr>
          <w:rFonts w:eastAsia="Times New Roman" w:cs="Times New Roman"/>
          <w14:ligatures w14:val="standardContextual"/>
        </w:rPr>
        <w:t xml:space="preserve"> mēnešos atkal piedzīvojuši lejupslīdi</w:t>
      </w:r>
      <w:r w:rsidRPr="00C74C27">
        <w:rPr>
          <w:rFonts w:eastAsia="Times New Roman" w:cs="Times New Roman"/>
        </w:rPr>
        <w:t xml:space="preserve"> un septembrī ES kopumā bija zemākajā līmenī kopš 2020. gada novembra.</w:t>
      </w:r>
      <w:r w:rsidRPr="00C74C27">
        <w:rPr>
          <w:rFonts w:eastAsia="Times New Roman" w:cs="Times New Roman"/>
          <w14:ligatures w14:val="standardContextual"/>
        </w:rPr>
        <w:t xml:space="preserve"> Līdzīga lejupejoša dinamika pēdējos mēnešos bijusi arī citam apsteidzošajam rādītājam – </w:t>
      </w:r>
      <w:proofErr w:type="spellStart"/>
      <w:r w:rsidRPr="00C74C27">
        <w:rPr>
          <w:rFonts w:eastAsia="Times New Roman" w:cs="Times New Roman"/>
          <w:i/>
          <w:iCs/>
          <w14:ligatures w14:val="standardContextual"/>
        </w:rPr>
        <w:t>euro</w:t>
      </w:r>
      <w:proofErr w:type="spellEnd"/>
      <w:r w:rsidRPr="00C74C27">
        <w:rPr>
          <w:rFonts w:eastAsia="Times New Roman" w:cs="Times New Roman"/>
          <w14:ligatures w14:val="standardContextual"/>
        </w:rPr>
        <w:t xml:space="preserve"> zonas iepirkumu menedžeru indeksam (</w:t>
      </w:r>
      <w:proofErr w:type="spellStart"/>
      <w:r w:rsidRPr="00C74C27">
        <w:rPr>
          <w:rFonts w:eastAsia="Times New Roman" w:cs="Times New Roman"/>
          <w:i/>
          <w:iCs/>
          <w14:ligatures w14:val="standardContextual"/>
        </w:rPr>
        <w:t>Purchasing</w:t>
      </w:r>
      <w:proofErr w:type="spellEnd"/>
      <w:r w:rsidRPr="00C74C27">
        <w:rPr>
          <w:rFonts w:eastAsia="Times New Roman" w:cs="Times New Roman"/>
          <w:i/>
          <w:iCs/>
          <w14:ligatures w14:val="standardContextual"/>
        </w:rPr>
        <w:t xml:space="preserve"> </w:t>
      </w:r>
      <w:proofErr w:type="spellStart"/>
      <w:r w:rsidRPr="00C74C27">
        <w:rPr>
          <w:rFonts w:eastAsia="Times New Roman" w:cs="Times New Roman"/>
          <w:i/>
          <w:iCs/>
          <w14:ligatures w14:val="standardContextual"/>
        </w:rPr>
        <w:t>Managers</w:t>
      </w:r>
      <w:proofErr w:type="spellEnd"/>
      <w:r w:rsidRPr="00C74C27">
        <w:rPr>
          <w:rFonts w:eastAsia="Times New Roman" w:cs="Times New Roman"/>
          <w:i/>
          <w:iCs/>
          <w14:ligatures w14:val="standardContextual"/>
        </w:rPr>
        <w:t xml:space="preserve">' </w:t>
      </w:r>
      <w:proofErr w:type="spellStart"/>
      <w:r w:rsidRPr="00C74C27">
        <w:rPr>
          <w:rFonts w:eastAsia="Times New Roman" w:cs="Times New Roman"/>
          <w:i/>
          <w:iCs/>
          <w14:ligatures w14:val="standardContextual"/>
        </w:rPr>
        <w:t>Index</w:t>
      </w:r>
      <w:proofErr w:type="spellEnd"/>
      <w:r w:rsidRPr="00C74C27">
        <w:rPr>
          <w:rFonts w:eastAsia="Times New Roman" w:cs="Times New Roman"/>
          <w14:ligatures w14:val="standardContextual"/>
        </w:rPr>
        <w:t xml:space="preserve">), kas </w:t>
      </w:r>
      <w:r w:rsidRPr="00C74C27">
        <w:rPr>
          <w:rFonts w:eastAsia="Times New Roman" w:cs="Times New Roman"/>
        </w:rPr>
        <w:t>augustā</w:t>
      </w:r>
      <w:r w:rsidRPr="00C74C27">
        <w:rPr>
          <w:rFonts w:eastAsia="Times New Roman" w:cs="Times New Roman"/>
          <w14:ligatures w14:val="standardContextual"/>
        </w:rPr>
        <w:t xml:space="preserve"> </w:t>
      </w:r>
      <w:r w:rsidRPr="00C74C27">
        <w:rPr>
          <w:rFonts w:eastAsia="Times New Roman" w:cs="Times New Roman"/>
        </w:rPr>
        <w:t xml:space="preserve">bija </w:t>
      </w:r>
      <w:r w:rsidRPr="00C74C27">
        <w:rPr>
          <w:rFonts w:eastAsia="Times New Roman" w:cs="Times New Roman"/>
          <w14:ligatures w14:val="standardContextual"/>
        </w:rPr>
        <w:t xml:space="preserve">nokrities līdz </w:t>
      </w:r>
      <w:r w:rsidRPr="00C74C27">
        <w:rPr>
          <w:rFonts w:eastAsia="Times New Roman" w:cs="Times New Roman"/>
        </w:rPr>
        <w:t>46,7</w:t>
      </w:r>
      <w:r w:rsidRPr="00C74C27">
        <w:rPr>
          <w:rFonts w:eastAsia="Times New Roman" w:cs="Times New Roman"/>
          <w14:ligatures w14:val="standardContextual"/>
        </w:rPr>
        <w:t xml:space="preserve"> – zemākajam līmenim </w:t>
      </w:r>
      <w:r w:rsidRPr="00C74C27">
        <w:rPr>
          <w:rFonts w:eastAsia="Times New Roman" w:cs="Times New Roman"/>
        </w:rPr>
        <w:t>kopš 2020. gada rudens, septembrī tikai nedaudz paaugstinoties līdz 47,1, kas joprojām norāda uz ekonomiskās aktivitātes kritumu. Indeksa vērtība zem 50 punktu atzīmes, kas nozīmē ekonomiskās aktivitātes samazināšanos, ir atradusies jau četrus pēdējo mēnešus.</w:t>
      </w:r>
    </w:p>
    <w:p w14:paraId="70693571" w14:textId="77777777" w:rsidR="00C74C27" w:rsidRPr="00C74C27" w:rsidRDefault="00C74C27" w:rsidP="00C74C27">
      <w:pPr>
        <w:widowControl w:val="0"/>
        <w:rPr>
          <w:rFonts w:eastAsia="Times New Roman" w:cs="Times New Roman"/>
        </w:rPr>
      </w:pPr>
      <w:r w:rsidRPr="00C74C27">
        <w:rPr>
          <w:rFonts w:eastAsia="Times New Roman" w:cs="Times New Roman"/>
        </w:rPr>
        <w:t xml:space="preserve">Pēc straujā cenu kāpuma kopš 2021. gada otrās puses, ko izraisīja ekonomikas atgūšanās no Covid-19 pandēmijas un energoresursu cenu pieaugums, Krievijai uzsākot karu Ukrainā, ekonomikas izaugsmi pasaulē un īpaši </w:t>
      </w:r>
      <w:proofErr w:type="spellStart"/>
      <w:r w:rsidRPr="00C74C27">
        <w:rPr>
          <w:rFonts w:eastAsia="Times New Roman" w:cs="Times New Roman"/>
          <w:i/>
          <w:iCs/>
        </w:rPr>
        <w:t>euro</w:t>
      </w:r>
      <w:proofErr w:type="spellEnd"/>
      <w:r w:rsidRPr="00C74C27">
        <w:rPr>
          <w:rFonts w:eastAsia="Times New Roman" w:cs="Times New Roman"/>
        </w:rPr>
        <w:t xml:space="preserve"> zonā sākusi bremzēt arī centrālo banku veiktā procentu likmju paaugstināšana, lai ierobežotu inflācijas kāpumu. 2022. gadā</w:t>
      </w:r>
      <w:r w:rsidRPr="00C74C27">
        <w:rPr>
          <w:rFonts w:eastAsia="Times New Roman" w:cs="Times New Roman"/>
          <w14:ligatures w14:val="standardContextual"/>
        </w:rPr>
        <w:t xml:space="preserve"> pasaules vadošās centrālās bankas sāka procentu likmju paaugstināšanas ciklu. ASV Federālā rezervju sistēma 2022. gada 16. martā pirmo reizi kopš 2018. gada decembra paaugstināja bāzes procentu likmi par 0,25 procentpunktiem līdz 0,25% – 0,5%. Pēc vairākiem sekojošiem procentu likmju paaugstinājumiem 2023. gada augustā likme sasniedza 5,25% – 5,5%, kas ir augstākais līmenis kopš 2001. gada. Eiropas Centrālā banka</w:t>
      </w:r>
      <w:r w:rsidRPr="00C74C27">
        <w:rPr>
          <w:rFonts w:eastAsia="Times New Roman" w:cs="Times New Roman"/>
        </w:rPr>
        <w:t xml:space="preserve"> (ECB)</w:t>
      </w:r>
      <w:r w:rsidRPr="00C74C27">
        <w:rPr>
          <w:rFonts w:eastAsia="Times New Roman" w:cs="Times New Roman"/>
          <w14:ligatures w14:val="standardContextual"/>
        </w:rPr>
        <w:t xml:space="preserve"> 2022. gada 21. jūlijā pirmo reizi pēdējos 11 gados veica procentu likmju paaugstinājumu, </w:t>
      </w:r>
      <w:r w:rsidRPr="00C74C27">
        <w:rPr>
          <w:rFonts w:eastAsia="Times New Roman" w:cs="Times New Roman"/>
        </w:rPr>
        <w:t xml:space="preserve">galveno refinansēšanas operāciju likmi palielinot </w:t>
      </w:r>
      <w:r w:rsidRPr="00C74C27">
        <w:rPr>
          <w:rFonts w:eastAsia="Times New Roman" w:cs="Times New Roman"/>
          <w14:ligatures w14:val="standardContextual"/>
        </w:rPr>
        <w:t>par 0,5 procentpunktiem līdz 0,5%</w:t>
      </w:r>
      <w:r w:rsidRPr="00C74C27">
        <w:rPr>
          <w:rFonts w:eastAsia="Times New Roman" w:cs="Times New Roman"/>
        </w:rPr>
        <w:t>. V</w:t>
      </w:r>
      <w:r w:rsidRPr="00C74C27">
        <w:rPr>
          <w:rFonts w:eastAsia="Times New Roman" w:cs="Times New Roman"/>
          <w14:ligatures w14:val="standardContextual"/>
        </w:rPr>
        <w:t xml:space="preserve">eicot </w:t>
      </w:r>
      <w:r w:rsidRPr="00C74C27">
        <w:rPr>
          <w:rFonts w:eastAsia="Times New Roman" w:cs="Times New Roman"/>
        </w:rPr>
        <w:t>pavisam</w:t>
      </w:r>
      <w:r w:rsidRPr="00C74C27">
        <w:rPr>
          <w:rFonts w:eastAsia="Times New Roman" w:cs="Times New Roman"/>
          <w14:ligatures w14:val="standardContextual"/>
        </w:rPr>
        <w:t xml:space="preserve"> </w:t>
      </w:r>
      <w:r w:rsidRPr="00C74C27">
        <w:rPr>
          <w:rFonts w:eastAsia="Times New Roman" w:cs="Times New Roman"/>
        </w:rPr>
        <w:t>desmit</w:t>
      </w:r>
      <w:r w:rsidRPr="00C74C27">
        <w:rPr>
          <w:rFonts w:eastAsia="Times New Roman" w:cs="Times New Roman"/>
          <w14:ligatures w14:val="standardContextual"/>
        </w:rPr>
        <w:t xml:space="preserve"> likmju paaugstinājumus, šā gada </w:t>
      </w:r>
      <w:r w:rsidRPr="00C74C27">
        <w:rPr>
          <w:rFonts w:eastAsia="Times New Roman" w:cs="Times New Roman"/>
        </w:rPr>
        <w:t>septembrī</w:t>
      </w:r>
      <w:r w:rsidRPr="00C74C27">
        <w:rPr>
          <w:rFonts w:eastAsia="Times New Roman" w:cs="Times New Roman"/>
          <w14:ligatures w14:val="standardContextual"/>
        </w:rPr>
        <w:t xml:space="preserve"> </w:t>
      </w:r>
      <w:r w:rsidRPr="00C74C27">
        <w:rPr>
          <w:rFonts w:eastAsia="Times New Roman" w:cs="Times New Roman"/>
        </w:rPr>
        <w:t xml:space="preserve">galveno refinansēšanas operāciju </w:t>
      </w:r>
      <w:proofErr w:type="spellStart"/>
      <w:r w:rsidRPr="00C74C27">
        <w:rPr>
          <w:rFonts w:eastAsia="Times New Roman" w:cs="Times New Roman"/>
        </w:rPr>
        <w:t>procentlikme</w:t>
      </w:r>
      <w:proofErr w:type="spellEnd"/>
      <w:r w:rsidRPr="00C74C27">
        <w:rPr>
          <w:rFonts w:eastAsia="Times New Roman" w:cs="Times New Roman"/>
          <w14:ligatures w14:val="standardContextual"/>
        </w:rPr>
        <w:t xml:space="preserve"> sasniedza 4,</w:t>
      </w:r>
      <w:r w:rsidRPr="00C74C27">
        <w:rPr>
          <w:rFonts w:eastAsia="Times New Roman" w:cs="Times New Roman"/>
        </w:rPr>
        <w:t>5</w:t>
      </w:r>
      <w:r w:rsidRPr="00C74C27">
        <w:rPr>
          <w:rFonts w:eastAsia="Times New Roman" w:cs="Times New Roman"/>
          <w14:ligatures w14:val="standardContextual"/>
        </w:rPr>
        <w:t>%.</w:t>
      </w:r>
    </w:p>
    <w:p w14:paraId="0F341FB2" w14:textId="77777777" w:rsidR="00C74C27" w:rsidRPr="00C74C27" w:rsidRDefault="00C74C27" w:rsidP="00C74C27">
      <w:pPr>
        <w:widowControl w:val="0"/>
        <w:rPr>
          <w:rFonts w:eastAsia="Times New Roman" w:cs="Times New Roman"/>
        </w:rPr>
      </w:pPr>
      <w:r w:rsidRPr="00C74C27">
        <w:rPr>
          <w:rFonts w:eastAsia="Times New Roman" w:cs="Times New Roman"/>
        </w:rPr>
        <w:t xml:space="preserve">Līdz ar likmju paaugstināšanu bremzējoties ekonomikas izaugsmei, kā arī krasi krītoties energoresursu cenām pasaules tirgos, inflācija </w:t>
      </w:r>
      <w:proofErr w:type="spellStart"/>
      <w:r w:rsidRPr="00C74C27">
        <w:rPr>
          <w:rFonts w:eastAsia="Times New Roman" w:cs="Times New Roman"/>
          <w:i/>
          <w:iCs/>
        </w:rPr>
        <w:t>euro</w:t>
      </w:r>
      <w:proofErr w:type="spellEnd"/>
      <w:r w:rsidRPr="00C74C27">
        <w:rPr>
          <w:rFonts w:eastAsia="Times New Roman" w:cs="Times New Roman"/>
        </w:rPr>
        <w:t xml:space="preserve"> zonā pēc 10,6% maksimuma sasniegšanas 2022. gada oktobrī, šā gada septembrī, pēc provizoriskiem datiem, ir samazinājusies līdz 4,3%. Tas ir zemākais inflācijas līmenis kopš 2021. gada oktobra. Tomēr šis inflācijas līmenis vēl joprojām pārsniedz ECB noteikto vēlamo inflācijas līmeni, kas ir tuvu, bet nedaudz zem 2%. Vienlaikus ar šo pēdējo inflācijas kritumu pastāv iespēja, ka tālāka procentu likmju celšana vairs nesekos, tomēr šajā sasniegtajā augstajā līmenī procentu likmes varētu saglabāties vēl ilgāku laiku, lai novērstu pamatinflācijas palielināšanos.</w:t>
      </w:r>
    </w:p>
    <w:p w14:paraId="5DB0BC04" w14:textId="79C79CE5" w:rsidR="00C74C27" w:rsidRPr="00C74C27" w:rsidRDefault="00C74C27" w:rsidP="00C74C27">
      <w:pPr>
        <w:widowControl w:val="0"/>
        <w:rPr>
          <w:rFonts w:eastAsia="Times New Roman" w:cs="Times New Roman"/>
        </w:rPr>
      </w:pPr>
      <w:r w:rsidRPr="00C74C27">
        <w:rPr>
          <w:rFonts w:eastAsia="Times New Roman" w:cs="Times New Roman"/>
        </w:rPr>
        <w:t>Pēc EK jaunākajām, šā gada septembra</w:t>
      </w:r>
      <w:r w:rsidR="00957DAA">
        <w:rPr>
          <w:rFonts w:eastAsia="Times New Roman" w:cs="Times New Roman"/>
        </w:rPr>
        <w:t>,</w:t>
      </w:r>
      <w:r w:rsidRPr="00C74C27">
        <w:rPr>
          <w:rFonts w:eastAsia="Times New Roman" w:cs="Times New Roman"/>
        </w:rPr>
        <w:t xml:space="preserve"> prognozēm inflācija </w:t>
      </w:r>
      <w:proofErr w:type="spellStart"/>
      <w:r w:rsidRPr="00C74C27">
        <w:rPr>
          <w:rFonts w:eastAsia="Times New Roman" w:cs="Times New Roman"/>
          <w:i/>
          <w:iCs/>
        </w:rPr>
        <w:t>euro</w:t>
      </w:r>
      <w:proofErr w:type="spellEnd"/>
      <w:r w:rsidRPr="00C74C27">
        <w:rPr>
          <w:rFonts w:eastAsia="Times New Roman" w:cs="Times New Roman"/>
        </w:rPr>
        <w:t xml:space="preserve"> zonā šogad kopumā varētu veidot 5,6%, bet 2024. gadā pazemināties līdz 2,9%. 2022. gadā inflācija </w:t>
      </w:r>
      <w:proofErr w:type="spellStart"/>
      <w:r w:rsidRPr="00C74C27">
        <w:rPr>
          <w:rFonts w:eastAsia="Times New Roman" w:cs="Times New Roman"/>
          <w:i/>
          <w:iCs/>
        </w:rPr>
        <w:t>euro</w:t>
      </w:r>
      <w:proofErr w:type="spellEnd"/>
      <w:r w:rsidRPr="00C74C27">
        <w:rPr>
          <w:rFonts w:eastAsia="Times New Roman" w:cs="Times New Roman"/>
        </w:rPr>
        <w:t xml:space="preserve"> zonā bija sasniegusi 8,4%. Salīdzinot ar iepriekšējām, šā gada maija prognozēm, inflācija</w:t>
      </w:r>
      <w:r w:rsidR="00957DAA">
        <w:rPr>
          <w:rFonts w:eastAsia="Times New Roman" w:cs="Times New Roman"/>
        </w:rPr>
        <w:t xml:space="preserve"> </w:t>
      </w:r>
      <w:r w:rsidRPr="00C74C27">
        <w:rPr>
          <w:rFonts w:eastAsia="Times New Roman" w:cs="Times New Roman"/>
        </w:rPr>
        <w:t>2024. gadam ir nedaudz paaugstināta, galvenokārt ņemot vērā augstākas naftas cenas prognozes.</w:t>
      </w:r>
    </w:p>
    <w:p w14:paraId="6029C2D0" w14:textId="77777777" w:rsidR="00C74C27" w:rsidRPr="00C74C27" w:rsidRDefault="00C74C27" w:rsidP="00C74C27">
      <w:pPr>
        <w:keepNext/>
        <w:keepLines/>
        <w:spacing w:before="240" w:after="240"/>
        <w:ind w:firstLine="0"/>
        <w:jc w:val="center"/>
        <w:outlineLvl w:val="1"/>
        <w:rPr>
          <w:rFonts w:eastAsia="Times New Roman" w:cs="Times New Roman"/>
          <w:b/>
          <w:bCs/>
          <w:color w:val="000000"/>
          <w:sz w:val="36"/>
          <w:szCs w:val="28"/>
        </w:rPr>
      </w:pPr>
      <w:bookmarkStart w:id="3" w:name="_Toc126044008"/>
      <w:r w:rsidRPr="00C74C27">
        <w:rPr>
          <w:rFonts w:eastAsia="Times New Roman" w:cs="Times New Roman"/>
          <w:b/>
          <w:bCs/>
          <w:color w:val="000000"/>
          <w:sz w:val="36"/>
          <w:szCs w:val="28"/>
        </w:rPr>
        <w:lastRenderedPageBreak/>
        <w:t>1.2. Latvijas tautsaimniecības attīstība</w:t>
      </w:r>
      <w:bookmarkEnd w:id="3"/>
    </w:p>
    <w:p w14:paraId="3D238BD7" w14:textId="77777777" w:rsidR="00C74C27" w:rsidRPr="00C74C27" w:rsidRDefault="00C74C27" w:rsidP="00C74C27">
      <w:pPr>
        <w:rPr>
          <w:rFonts w:eastAsia="Calibri" w:cs="Times New Roman"/>
          <w:szCs w:val="20"/>
          <w:lang w:eastAsia="en-US"/>
        </w:rPr>
      </w:pPr>
      <w:bookmarkStart w:id="4" w:name="_Toc126044009"/>
      <w:r w:rsidRPr="00C74C27">
        <w:rPr>
          <w:rFonts w:eastAsia="Calibri" w:cs="Times New Roman"/>
          <w:szCs w:val="20"/>
          <w:lang w:eastAsia="en-US"/>
        </w:rPr>
        <w:t>Latvijas ekonomika Covid-19 krīzi bija pārvarējusi būtiski labāk nekā sākotnēji prognozēts, pēc 3,5% krituma 2020. gadā ekonomikas izaugsmei 2021. gadā sasniedzot 6,7%, un arī Krievijas sāktā kara un energoresursu cenu kāpuma negatīvā ietekme 2022. gadā ir izrādījusies mazāka, nekā tika pieļauts uzreiz pēc kara sākuma. Iekšzemes kopprodukts (IKP) pērn palielinājies par 3,4% un izaugsme fiksēta gandrīz visās pakalpojumu nozarēs, kuras iepriekš negatīvi skāra vīrusa izplatības samazināšanai noteiktie ierobežojumi.</w:t>
      </w:r>
    </w:p>
    <w:p w14:paraId="17B88EA0"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Lielāko devumu IKP pieaugumā pērn nodrošinājis 17,4% kāpums komercpakalpojumu nozarēs. Būtiska loma bijusi arī 57,3% pieaugumam izmitināšanas un ēdināšanas nozarē un 29,4% pieaugumam mākslas, izklaides un atpūtas nozarē.  Ļoti veiksmīgi attīstījusies informācijas un komunikācijas pakalpojumu nozare, uzrādot 12,6% pieaugumu un sekmīgi 2022. gadā strādājusi arī apstrādes rūpniecība, kas, neskatoties uz apjomu samazinājumu divās lielākajās </w:t>
      </w:r>
      <w:r w:rsidRPr="00C74C27">
        <w:rPr>
          <w:rFonts w:eastAsia="Calibri" w:cs="Times New Roman"/>
          <w:noProof/>
          <w:szCs w:val="20"/>
          <w:lang w:eastAsia="en-US"/>
        </w:rPr>
        <w:t>apakšnozarēs – kokapstrādē</w:t>
      </w:r>
      <w:r w:rsidRPr="00C74C27">
        <w:rPr>
          <w:rFonts w:eastAsia="Calibri" w:cs="Times New Roman"/>
          <w:szCs w:val="20"/>
          <w:lang w:eastAsia="en-US"/>
        </w:rPr>
        <w:t xml:space="preserve"> un pārtikas ražošanā – spējusi sasniegt 2,7% pieaugumu. </w:t>
      </w:r>
    </w:p>
    <w:p w14:paraId="1E444999"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Kopumā pagājušā gada dati rāda, ka Krievijas uzsāktā kara negatīvā ietekme atspoguļojusies galvenokārt vairumtirdzniecības nozares apjomu kritumā par 8,7% salīdzinājumā ar 2021. gadu. Tajā pašā laikā negatīva dinamika saglabājusies arī būvniecības nozarē, kas pēc 13,6% krituma 2021. gadā pērn samazinājusies vēl par 8,8%, strauji pieaugot būvniecības izmaksām un kavējoties līgumu pārslēgšanai.</w:t>
      </w:r>
    </w:p>
    <w:p w14:paraId="3CC83246"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No izlietojuma puses ekonomikas izaugsmi pērn visvairāk veicināja privātā patēriņa </w:t>
      </w:r>
      <w:r w:rsidRPr="00C74C27">
        <w:rPr>
          <w:rFonts w:eastAsia="Calibri" w:cs="Times New Roman"/>
          <w:noProof/>
          <w:szCs w:val="20"/>
          <w:lang w:eastAsia="en-US"/>
        </w:rPr>
        <w:t>pieaugums par 6,0%, ko nodrošināja Covid-19 ierobežojumu atcelšana, kā arī valsts energoatbalsta pasākumi, mīkstinot energoresursu cenu kāpuma negatīvo ietekmi. Patēriņu palīdzēja nodrošināt arī pandēmijas laikā būtiski pieaugušie mājsaimniecību uzkrājumi komercbankās. Sabiedriskā</w:t>
      </w:r>
      <w:r w:rsidRPr="00C74C27">
        <w:rPr>
          <w:rFonts w:eastAsia="Calibri" w:cs="Times New Roman"/>
          <w:szCs w:val="20"/>
          <w:lang w:eastAsia="en-US"/>
        </w:rPr>
        <w:t xml:space="preserve"> patēriņa pieaugums pērn bija mērenāks, tam palielinoties par 2,8%, kamēr investīciju pieaugumu (+0,6%) kavēja gan straujais būvniecības izmaksu pieaugums, gan riska pieaugums karadarbībai tuvā reģionā. Strauji pieaugumi pērn bija gan eksportam (+10,3%), gan importam (+11,1%), bet, eksportam palielinoties nedaudz lēnāk nekā importam, neto eksporta devums ekonomikas izaugsmē bija negatīvs.</w:t>
      </w:r>
    </w:p>
    <w:p w14:paraId="673D6A0A" w14:textId="77777777" w:rsidR="00C74C27" w:rsidRPr="00C74C27" w:rsidRDefault="00C74C27" w:rsidP="00C74C27">
      <w:pPr>
        <w:rPr>
          <w:rFonts w:eastAsia="Times New Roman" w:cs="Times New Roman"/>
          <w:szCs w:val="24"/>
          <w:lang w:eastAsia="en-US"/>
        </w:rPr>
      </w:pPr>
      <w:r w:rsidRPr="00C74C27">
        <w:rPr>
          <w:rFonts w:eastAsia="Calibri" w:cs="Times New Roman"/>
          <w:szCs w:val="20"/>
          <w:lang w:eastAsia="en-US"/>
        </w:rPr>
        <w:t xml:space="preserve">Šā gada pirmajā pusē ekonomikas izaugsme ir apstājusies, un IKP, salīdzinot ar pagājušā gada attiecīgo periodu, ir samazinājies par 0,6%. Pirmajā ceturksnī IKP saglabājās stabils, bet otrajā ceturksnī bija fiksēts kritums par 1,1%. Lielākais pozitīvais devums kopējās IKP izmaiņās šā gada pirmajā pusē bija pakalpojumu nozarēm, īpaši informācijas un komunikācijas pakalpojumiem, kas sasniedza ļoti spēcīgu 7,0% pieaugumu, un turpināja palielināties arī profesionālo, administratīvo un citu pakalpojumu nozarēs, kā arī mākslā, izklaidē un atpūtā, kas turpināja atjaunot darbību pēc pandēmijas laika ierobežojumiem. Būtiska loma bijusi arī investīciju un būvniecības nozares kāpumam, kas pēc pēdējo gadu pastāvīgā krituma šogad gada pirmajā pusē beidzot atguvusies, salīdzinājumā ar 2022. gada pirmo pusi uzrādot ļoti spēcīgu 15,4% pieaugumu. Vienlaikus apstrādes rūpniecības rezultātos sākusi izpausties ārējā pieprasījuma samazināšanās, ekonomikas izaugsmei galvenajos Latvijas eksporta tirgos bremzējoties, un nozare gada pirmajā pusē piedzīvojusi 6,3% kritumu. Samazinājums gada pirmajā pusē bijis arī enerģētikas un lauksaimniecības nozarēs (skat. </w:t>
      </w:r>
      <w:r w:rsidRPr="00C74C27">
        <w:rPr>
          <w:rFonts w:eastAsia="Times New Roman" w:cs="Times New Roman"/>
          <w:szCs w:val="24"/>
          <w:lang w:eastAsia="en-US"/>
        </w:rPr>
        <w:t>1.1. attēlu).</w:t>
      </w:r>
    </w:p>
    <w:tbl>
      <w:tblPr>
        <w:tblStyle w:val="TableGrid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Look w:val="04A0" w:firstRow="1" w:lastRow="0" w:firstColumn="1" w:lastColumn="0" w:noHBand="0" w:noVBand="1"/>
      </w:tblPr>
      <w:tblGrid>
        <w:gridCol w:w="4656"/>
        <w:gridCol w:w="4415"/>
      </w:tblGrid>
      <w:tr w:rsidR="00C74C27" w:rsidRPr="00C74C27" w14:paraId="30D48B17" w14:textId="77777777" w:rsidTr="00C74C27">
        <w:tc>
          <w:tcPr>
            <w:tcW w:w="4263" w:type="dxa"/>
          </w:tcPr>
          <w:p w14:paraId="3A19EDD4" w14:textId="77777777" w:rsidR="00C74C27" w:rsidRPr="00C74C27" w:rsidRDefault="00C74C27" w:rsidP="00C74C27">
            <w:pPr>
              <w:spacing w:before="120" w:after="0"/>
              <w:ind w:firstLine="0"/>
              <w:rPr>
                <w:rFonts w:ascii="Calibri" w:hAnsi="Calibri"/>
                <w:noProof/>
                <w:sz w:val="22"/>
              </w:rPr>
            </w:pPr>
            <w:r w:rsidRPr="00C74C27">
              <w:rPr>
                <w:rFonts w:ascii="Calibri" w:hAnsi="Calibri"/>
                <w:noProof/>
                <w:sz w:val="22"/>
              </w:rPr>
              <w:lastRenderedPageBreak/>
              <w:drawing>
                <wp:inline distT="0" distB="0" distL="0" distR="0" wp14:anchorId="5EF1EA32" wp14:editId="01B26ACB">
                  <wp:extent cx="3041650" cy="4565650"/>
                  <wp:effectExtent l="0" t="0" r="6350" b="6350"/>
                  <wp:docPr id="1589155287" name="Chart 1">
                    <a:extLst xmlns:a="http://schemas.openxmlformats.org/drawingml/2006/main">
                      <a:ext uri="{FF2B5EF4-FFF2-40B4-BE49-F238E27FC236}">
                        <a16:creationId xmlns:a16="http://schemas.microsoft.com/office/drawing/2014/main" id="{95718DDC-74B7-4D4E-AA70-1028CC0DDE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c>
          <w:tcPr>
            <w:tcW w:w="4043" w:type="dxa"/>
          </w:tcPr>
          <w:p w14:paraId="0FC5C2F3" w14:textId="77777777" w:rsidR="00C74C27" w:rsidRPr="00C74C27" w:rsidRDefault="00C74C27" w:rsidP="00C74C27">
            <w:pPr>
              <w:spacing w:before="120" w:after="0"/>
              <w:ind w:firstLine="0"/>
              <w:rPr>
                <w:rFonts w:ascii="Calibri" w:hAnsi="Calibri"/>
                <w:noProof/>
                <w:sz w:val="22"/>
              </w:rPr>
            </w:pPr>
            <w:r w:rsidRPr="00C74C27">
              <w:rPr>
                <w:rFonts w:ascii="Calibri" w:hAnsi="Calibri"/>
                <w:noProof/>
                <w:sz w:val="22"/>
              </w:rPr>
              <w:drawing>
                <wp:inline distT="0" distB="0" distL="0" distR="0" wp14:anchorId="34B78D11" wp14:editId="00AB9C2D">
                  <wp:extent cx="2882265" cy="4572000"/>
                  <wp:effectExtent l="0" t="0" r="0" b="0"/>
                  <wp:docPr id="177014949" name="Chart 1">
                    <a:extLst xmlns:a="http://schemas.openxmlformats.org/drawingml/2006/main">
                      <a:ext uri="{FF2B5EF4-FFF2-40B4-BE49-F238E27FC236}">
                        <a16:creationId xmlns:a16="http://schemas.microsoft.com/office/drawing/2014/main" id="{BE87C5C9-ED45-43F3-B953-B4DA89754C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C74C27" w:rsidRPr="00C74C27" w14:paraId="524C48E3" w14:textId="77777777" w:rsidTr="00C74C27">
        <w:tc>
          <w:tcPr>
            <w:tcW w:w="8306" w:type="dxa"/>
            <w:gridSpan w:val="2"/>
          </w:tcPr>
          <w:p w14:paraId="64E8CEA4" w14:textId="77777777" w:rsidR="00C74C27" w:rsidRPr="00C74C27" w:rsidRDefault="00C74C27" w:rsidP="00C74C27">
            <w:pPr>
              <w:spacing w:before="120" w:after="0"/>
              <w:ind w:firstLine="0"/>
              <w:jc w:val="center"/>
              <w:rPr>
                <w:szCs w:val="24"/>
              </w:rPr>
            </w:pPr>
            <w:r w:rsidRPr="00C74C27">
              <w:rPr>
                <w:b/>
                <w:i/>
                <w:szCs w:val="24"/>
              </w:rPr>
              <w:t>1.1. att. IKP izmaiņas no izlietojuma puses un IKP pievienotās vērtības izmaiņas tautsaimniecības nozarēs, salīdzinot ar iepriekšējā gada attiecīgo laika periodu, %</w:t>
            </w:r>
          </w:p>
        </w:tc>
      </w:tr>
    </w:tbl>
    <w:p w14:paraId="5395081A" w14:textId="77777777" w:rsidR="00C74C27" w:rsidRPr="00C74C27" w:rsidRDefault="00C74C27" w:rsidP="00C74C27">
      <w:pPr>
        <w:spacing w:before="120"/>
        <w:rPr>
          <w:rFonts w:eastAsia="Calibri" w:cs="Times New Roman"/>
          <w:szCs w:val="20"/>
          <w:lang w:eastAsia="en-US"/>
        </w:rPr>
      </w:pPr>
      <w:r w:rsidRPr="00C74C27">
        <w:rPr>
          <w:rFonts w:eastAsia="Calibri" w:cs="Times New Roman"/>
          <w:szCs w:val="20"/>
          <w:lang w:eastAsia="en-US"/>
        </w:rPr>
        <w:t>Kopumā gada sākuma rādītāji jau diezgan skaidri ir iezīmējuši kopējo ekonomikas situāciju 2023. gadā, kad ārējais pieprasījums saglabāsies zems, bet galvenais izaugsmes nodrošinātājs būs iekšzemes pieprasījums, pirmām kārtām investīcijas, tajā skaitā būtiski straujāka ES fondu finansējuma izmantošana, kā arī valdības patēriņš un privātā patēriņa stabilizēšanās gada otrajā pusē.</w:t>
      </w:r>
    </w:p>
    <w:p w14:paraId="1764ACE8" w14:textId="77777777" w:rsidR="00C74C27" w:rsidRPr="00C74C27" w:rsidRDefault="00C74C27" w:rsidP="00C74C27">
      <w:pPr>
        <w:spacing w:before="120"/>
        <w:rPr>
          <w:rFonts w:eastAsia="Calibri" w:cs="Times New Roman"/>
          <w:szCs w:val="20"/>
          <w:lang w:eastAsia="en-US"/>
        </w:rPr>
      </w:pPr>
      <w:r w:rsidRPr="00C74C27">
        <w:rPr>
          <w:rFonts w:eastAsia="Calibri" w:cs="Times New Roman"/>
          <w:szCs w:val="20"/>
          <w:lang w:eastAsia="en-US"/>
        </w:rPr>
        <w:t xml:space="preserve">Balstoties uz 2023. gada pirmā ceturkšņa datiem un </w:t>
      </w:r>
      <w:r w:rsidRPr="00C74C27">
        <w:rPr>
          <w:rFonts w:eastAsia="Calibri" w:cs="Times New Roman"/>
          <w:lang w:eastAsia="en-US"/>
        </w:rPr>
        <w:t>līdz šā gada jūnijam pieejamo īstermiņa makroekonomisko informāciju</w:t>
      </w:r>
      <w:r w:rsidRPr="00C74C27">
        <w:rPr>
          <w:rFonts w:eastAsia="Calibri" w:cs="Times New Roman"/>
          <w:szCs w:val="20"/>
          <w:lang w:eastAsia="en-US"/>
        </w:rPr>
        <w:t xml:space="preserve">, </w:t>
      </w:r>
      <w:r w:rsidRPr="00C74C27">
        <w:rPr>
          <w:rFonts w:eastAsia="Calibri" w:cs="Times New Roman"/>
          <w:lang w:eastAsia="en-US"/>
        </w:rPr>
        <w:t>FM 2023. gada jūnijā izstrādāja makroekonomisko rādītāju prognozes nākamā gada valsts budžeta sagatavošanai. Latvijas IKP pieauguma prognoze šim gadam tika paaugstināta līdz 1,0%, pateicoties straujākai nekā prognozēts ekonomikas attīstībai pagājušā gada beigās un šā gada pirmajā ceturksnī. Prognoze ir par vienu procentpunktu augstāka nekā iepriekšējā makroekonomiskās attīstības scenārijā, kas tika izstrādāts šā gada februārī.  2024. gadam tiek prognozēta ekonomikas izaugsmes paātrināšanās līdz 2,5%, kas ir par 0,5 procentpunktiem vairāk nekā iepriekšējā scenārijā.</w:t>
      </w:r>
    </w:p>
    <w:p w14:paraId="0C4A037F" w14:textId="77777777" w:rsidR="00C74C27" w:rsidRPr="00C74C27" w:rsidRDefault="00C74C27" w:rsidP="00C74C27">
      <w:pPr>
        <w:spacing w:before="240" w:after="240"/>
        <w:ind w:firstLine="0"/>
        <w:jc w:val="center"/>
        <w:outlineLvl w:val="2"/>
        <w:rPr>
          <w:rFonts w:eastAsia="Times New Roman" w:cs="Times New Roman"/>
          <w:b/>
          <w:sz w:val="32"/>
          <w:szCs w:val="20"/>
          <w:lang w:eastAsia="en-US"/>
        </w:rPr>
      </w:pPr>
      <w:r w:rsidRPr="00C74C27">
        <w:rPr>
          <w:rFonts w:eastAsia="Times New Roman" w:cs="Times New Roman"/>
          <w:b/>
          <w:sz w:val="32"/>
          <w:szCs w:val="20"/>
          <w:lang w:eastAsia="en-US"/>
        </w:rPr>
        <w:t>1.2.1. Tautsaimniecības nozaru attīstība</w:t>
      </w:r>
      <w:bookmarkEnd w:id="4"/>
    </w:p>
    <w:p w14:paraId="0E74CFFE" w14:textId="77777777" w:rsidR="00C74C27" w:rsidRPr="004A74DD" w:rsidRDefault="00C74C27" w:rsidP="006F1373">
      <w:pPr>
        <w:pStyle w:val="H5"/>
      </w:pPr>
      <w:r w:rsidRPr="004A74DD">
        <w:t>Rūpniecība</w:t>
      </w:r>
    </w:p>
    <w:p w14:paraId="325C073C" w14:textId="6E2D75FF"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Rūpniecības nozares pievienotās vērtības īpatsvars Latvijas tautsaimniecībā pieaug kopš 2018. gada, un 2022. gadā veidoja 19,5%, bet 2023. gada otrajā ceturksnī īpatsvars jau bijis ievērojami zemāks kā 2022. gada otrajā ceturksnī. Nozare 2022. gadā nodarbinājusi 137,7 </w:t>
      </w:r>
      <w:r w:rsidR="008703A6" w:rsidRPr="008703A6">
        <w:rPr>
          <w:rFonts w:eastAsia="Calibri" w:cs="Times New Roman"/>
          <w:szCs w:val="20"/>
          <w:lang w:eastAsia="en-US"/>
        </w:rPr>
        <w:lastRenderedPageBreak/>
        <w:t>tūkst.</w:t>
      </w:r>
      <w:r w:rsidRPr="00C74C27">
        <w:rPr>
          <w:rFonts w:eastAsia="Calibri" w:cs="Times New Roman"/>
          <w:szCs w:val="20"/>
          <w:lang w:eastAsia="en-US"/>
        </w:rPr>
        <w:t xml:space="preserve"> iedzīvotāju, kas ir par 6,4 tūkst. vairāk nekā 2021. gadā un veido 15,5% no visiem tautsaimniecībā nodarbinātajiem. Pārliecinoši lielākā rūpniecības </w:t>
      </w:r>
      <w:proofErr w:type="spellStart"/>
      <w:r w:rsidRPr="00C74C27">
        <w:rPr>
          <w:rFonts w:eastAsia="Calibri" w:cs="Times New Roman"/>
          <w:szCs w:val="20"/>
          <w:lang w:eastAsia="en-US"/>
        </w:rPr>
        <w:t>apakšnozare</w:t>
      </w:r>
      <w:proofErr w:type="spellEnd"/>
      <w:r w:rsidRPr="00C74C27">
        <w:rPr>
          <w:rFonts w:eastAsia="Calibri" w:cs="Times New Roman"/>
          <w:szCs w:val="20"/>
          <w:lang w:eastAsia="en-US"/>
        </w:rPr>
        <w:t xml:space="preserve"> ir apstrādes rūpniecība, kas veido 81,5% no visas rūpniecības, kam seko elektroenerģijas un gāzes apgāde ar 15,7% īpatsvaru un nelielā ieguves rūpniecība un karjeru izstrāde, kura aizņem 2,8%. </w:t>
      </w:r>
    </w:p>
    <w:p w14:paraId="0F8E58F9"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Latvijas rūpniecības nozare 2022. gada pirmo pusi aizvadīja ar augstiem ražošanas apjomiem, taču no gada otrās puses līdz pat 2023. gada jūlijam apjomi kļūst arvien mazāki. Ražošanas apjomi 2022. gadā kopā pieauguši vien par 0,8% pēc 6,5% izaugsmes 2021. gadā. 2022. gada pirmais pusgads nesa labus nozares rezultātus, saglabājoties augstam ārējam pieprasījumam ES. 2022. gada otrajā ceturksnī noliktavas vēl bija pilnas ar izejvielām, taču pēc Krievijas iebrukuma Ukrainā un sankciju noteikšana </w:t>
      </w:r>
      <w:proofErr w:type="spellStart"/>
      <w:r w:rsidRPr="00C74C27">
        <w:rPr>
          <w:rFonts w:eastAsia="Calibri" w:cs="Times New Roman"/>
          <w:szCs w:val="20"/>
          <w:lang w:eastAsia="en-US"/>
        </w:rPr>
        <w:t>agresorvalstīm</w:t>
      </w:r>
      <w:proofErr w:type="spellEnd"/>
      <w:r w:rsidRPr="00C74C27">
        <w:rPr>
          <w:rFonts w:eastAsia="Calibri" w:cs="Times New Roman"/>
          <w:szCs w:val="20"/>
          <w:lang w:eastAsia="en-US"/>
        </w:rPr>
        <w:t xml:space="preserve"> ražošanas turpmākai nodrošināšanai bija jāpārorientē izejvielu iegādes tirgi, atsakoties no Krievijas un Baltkrievijas precēm, kurām tika noteikts importa aizliegums. </w:t>
      </w:r>
      <w:r w:rsidRPr="00C74C27">
        <w:rPr>
          <w:rFonts w:eastAsia="Calibri" w:cs="Times New Roman"/>
          <w:color w:val="000000"/>
          <w:szCs w:val="20"/>
          <w:lang w:eastAsia="en-US"/>
        </w:rPr>
        <w:t>Vairums</w:t>
      </w:r>
      <w:r w:rsidRPr="00C74C27">
        <w:rPr>
          <w:rFonts w:eastAsia="Calibri" w:cs="Times New Roman"/>
          <w:color w:val="FF0000"/>
          <w:szCs w:val="20"/>
          <w:lang w:eastAsia="en-US"/>
        </w:rPr>
        <w:t xml:space="preserve"> </w:t>
      </w:r>
      <w:r w:rsidRPr="00C74C27">
        <w:rPr>
          <w:rFonts w:eastAsia="Calibri" w:cs="Times New Roman"/>
          <w:szCs w:val="20"/>
          <w:lang w:eastAsia="en-US"/>
        </w:rPr>
        <w:t xml:space="preserve">ražotāju pārtrauca sadarbību ar Krieviju, lai arī nepieciešamās izejvielas nebija sankciju sarakstā. Kopumā nozare samērā veiksmīgi atrada jaunus izejvielu importa tirgus, trūkstošās izejvielas ievedot no Skandināvijas, citām ES valstīm u.c. pasaules valstīm. Tomēr tajā pašā laikā ražotājus negatīvi ietekmēja strauji augošās izmaksas par energoresursiem, kas lika ieviest īpašus taupības pasākumus un celt savas produkcijas cenas. Lai arī 2022. gada otrais pusgads ražotājiem bija pārbaudījumu pilns, ražošanas apjomos nebija vērojams dramatisks kritums (1.2. attēls). Gadā kopā sasniegtais 0,8% pieaugums pret 2021. gadu norāda uz nozares spēju absorbēt ekonomiskos šokus un pielāgoties izaicinošiem apstākļiem. </w:t>
      </w:r>
    </w:p>
    <w:p w14:paraId="62F80991"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Apstrādes rūpniecība 2022. gadā pieauga par 2,6%, bet kopējo rūpniecības izaugsmi negatīvi ietekmēja elektroenerģijas un gāzes apgādes samazinājums par 11,5%, ko noteica dabasgāzes patēriņa sarukums par 30,1% un koģenerācijas staciju izlaides samazinājums par 32,3% pret 2021. gadu. Savukārt ieguves rūpniecība 2022. gadā saruka par 0,7%.</w:t>
      </w:r>
    </w:p>
    <w:p w14:paraId="6093F9F5" w14:textId="77777777" w:rsidR="00C74C27" w:rsidRPr="00C74C27" w:rsidRDefault="00C74C27" w:rsidP="00C74C27">
      <w:pPr>
        <w:spacing w:after="0" w:line="259" w:lineRule="auto"/>
        <w:ind w:firstLine="0"/>
        <w:jc w:val="center"/>
        <w:rPr>
          <w:rFonts w:eastAsia="Calibri" w:cs="Times New Roman"/>
          <w:sz w:val="18"/>
          <w:szCs w:val="18"/>
          <w:lang w:eastAsia="en-US"/>
        </w:rPr>
      </w:pPr>
      <w:r w:rsidRPr="00C74C27">
        <w:rPr>
          <w:rFonts w:ascii="Calibri" w:eastAsia="Calibri" w:hAnsi="Calibri" w:cs="Times New Roman"/>
          <w:noProof/>
          <w:sz w:val="22"/>
          <w:lang w:eastAsia="en-US"/>
        </w:rPr>
        <w:drawing>
          <wp:inline distT="0" distB="0" distL="0" distR="0" wp14:anchorId="52930A0B" wp14:editId="6DF51B77">
            <wp:extent cx="5274310" cy="2178050"/>
            <wp:effectExtent l="0" t="0" r="2540" b="0"/>
            <wp:docPr id="1850232323" name="Chart 1">
              <a:extLst xmlns:a="http://schemas.openxmlformats.org/drawingml/2006/main">
                <a:ext uri="{FF2B5EF4-FFF2-40B4-BE49-F238E27FC236}">
                  <a16:creationId xmlns:a16="http://schemas.microsoft.com/office/drawing/2014/main" id="{00000000-0008-0000-13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7E916A1" w14:textId="77777777" w:rsidR="00C74C27" w:rsidRPr="00C74C27" w:rsidRDefault="00C74C27" w:rsidP="00C74C27">
      <w:pPr>
        <w:spacing w:after="0"/>
        <w:ind w:firstLine="0"/>
        <w:jc w:val="center"/>
        <w:rPr>
          <w:rFonts w:eastAsia="Calibri" w:cs="Times New Roman"/>
          <w:b/>
          <w:i/>
          <w:szCs w:val="24"/>
          <w:lang w:eastAsia="en-US"/>
        </w:rPr>
      </w:pPr>
      <w:r w:rsidRPr="00C74C27">
        <w:rPr>
          <w:rFonts w:eastAsia="Calibri" w:cs="Times New Roman"/>
          <w:b/>
          <w:i/>
          <w:szCs w:val="24"/>
          <w:lang w:eastAsia="en-US"/>
        </w:rPr>
        <w:t>1.2. att. Rūpniecības</w:t>
      </w:r>
      <w:r w:rsidRPr="00C74C27">
        <w:rPr>
          <w:rFonts w:eastAsia="Times New Roman" w:cs="Times New Roman"/>
          <w:b/>
          <w:i/>
          <w:szCs w:val="24"/>
          <w:lang w:eastAsia="en-US"/>
        </w:rPr>
        <w:t xml:space="preserve"> </w:t>
      </w:r>
      <w:r w:rsidRPr="00C74C27">
        <w:rPr>
          <w:rFonts w:eastAsia="Calibri" w:cs="Times New Roman"/>
          <w:b/>
          <w:i/>
          <w:szCs w:val="24"/>
          <w:lang w:eastAsia="en-US"/>
        </w:rPr>
        <w:t xml:space="preserve">produkcijas apjoma indekss </w:t>
      </w:r>
      <w:r w:rsidRPr="00C74C27">
        <w:rPr>
          <w:rFonts w:eastAsia="Calibri" w:cs="Times New Roman"/>
          <w:b/>
          <w:i/>
          <w:szCs w:val="24"/>
          <w:lang w:eastAsia="en-US"/>
        </w:rPr>
        <w:br/>
        <w:t>(sezonāli izlīdzināti dati, 2015 = 100)</w:t>
      </w:r>
    </w:p>
    <w:p w14:paraId="3415E42C" w14:textId="77777777" w:rsidR="00C74C27" w:rsidRPr="00C74C27" w:rsidRDefault="00C74C27" w:rsidP="00C74C27">
      <w:pPr>
        <w:spacing w:before="120"/>
        <w:rPr>
          <w:rFonts w:eastAsia="Calibri" w:cs="Times New Roman"/>
          <w:szCs w:val="20"/>
          <w:lang w:eastAsia="en-US"/>
        </w:rPr>
      </w:pPr>
      <w:r w:rsidRPr="00C74C27">
        <w:rPr>
          <w:rFonts w:eastAsia="Calibri" w:cs="Times New Roman"/>
          <w:szCs w:val="20"/>
          <w:lang w:eastAsia="en-US"/>
        </w:rPr>
        <w:t xml:space="preserve">Samazinoties ražotāju cenu pieaugumam, 2023. gada sākumā rūpnieki EK konfidenču indeksu aptaujās norādīja uz sagaidāmu ražošanas apjomu palielinājumu, taču šāds scenārijs nepiepildījās. 2022. gadā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zonas ekonomikas izaugsme sasniedza 3,5%, bet šā gada jūlijā SVF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zonas izaugsmi 2023. gadā prognozēja vien 0,9% apmērā. Šāda paredzamā izaugsmes tempu samazināšanās saistīta ar situācijas pasliktināšanos lielākajā daļā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zonas tautsaimniecības nozaru. Lielākie Latvijas eksporta partneri atrodas ES, tādējādi ekonomiskās izaugsmes pasliktināšanās Eiropā tieši ietekmē pieprasījumu pēc Latvijas ražotāju precēm, uz ko arī rūpnieki norāda aptaujās, atzīmējot pieprasījuma trūkumu kā galveno faktoru, kas negatīvi ietekmē nozares darbību, liekot samazināt arī ražošanas jaudas un apjomus. Negatīvu ietekmi šā gada septiņos mēnešos atstāja arī augstās ražošanas cenas. Lai gan gada griezumā </w:t>
      </w:r>
      <w:r w:rsidRPr="00C74C27">
        <w:rPr>
          <w:rFonts w:eastAsia="Calibri" w:cs="Times New Roman"/>
          <w:szCs w:val="20"/>
          <w:lang w:eastAsia="en-US"/>
        </w:rPr>
        <w:lastRenderedPageBreak/>
        <w:t>cenas sāk samazināties, Latvijā tās iepriekš ir augušas straujāk nekā ES vidēji, pasliktinot Latvijas rūpnieku konkurētspēju Eiropas tirgū.</w:t>
      </w:r>
    </w:p>
    <w:p w14:paraId="46DF42FA"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Rūpniecības nozare Latvijā 2023. gada janvārī – jūlijā samazinājusies par 6,7%, tajā skaitā apstrādes rūpniecība par 6,2%, elektroenerģijas un gāzes apgāde par 5,8%, bet nelielajā ieguves rūpniecībā kritums par 19,2% (1.3. attēls).</w:t>
      </w:r>
    </w:p>
    <w:p w14:paraId="7E19463C"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Apstrādes rūpniecības apjomi šogad kļūst arvien zemāki, kopā septiņos mēnešos tiem sarūkot par 6,2%. Tik zemi apjomi kā </w:t>
      </w:r>
      <w:r w:rsidRPr="00C74C27">
        <w:rPr>
          <w:rFonts w:eastAsia="Calibri" w:cs="Times New Roman"/>
          <w:color w:val="000000"/>
          <w:szCs w:val="20"/>
          <w:lang w:eastAsia="en-US"/>
        </w:rPr>
        <w:t xml:space="preserve">šā gada jūlijā, kad kritums gada izteiksmē sasniedza 6,2%, </w:t>
      </w:r>
      <w:r w:rsidRPr="00C74C27">
        <w:rPr>
          <w:rFonts w:eastAsia="Calibri" w:cs="Times New Roman"/>
          <w:szCs w:val="20"/>
          <w:lang w:eastAsia="en-US"/>
        </w:rPr>
        <w:t xml:space="preserve">pēdējo reizi bijuši 2020. gada septembrī. Septiņu mēnešu griezumā pozitīvu devumu veido vien divas nozares – pārtikas/dzērienu ražošana un datoru/elektronikas ražošana. Pārtikas ražošanas apjoms šā gada septiņos mēnešos audzis par 3,4%, bet dzērienu ražošana palielinājusies par 0,8%. Kopš 2018. gada pārtikas ražošanas nozarē ik gadu bijuši apjomu samazinājumi, līdz ar to nozarē ir potenciāls izaugsmei. Pašu spēcīgāko izaugsmi, novēršot vēl dziļāku apstrādes rūpniecības kritumu, sasniedza datoru, elektronisko un optisko iekārtu ražošana, palielinoties par 34,4%. Šī </w:t>
      </w:r>
      <w:proofErr w:type="spellStart"/>
      <w:r w:rsidRPr="00C74C27">
        <w:rPr>
          <w:rFonts w:eastAsia="Calibri" w:cs="Times New Roman"/>
          <w:szCs w:val="20"/>
          <w:lang w:eastAsia="en-US"/>
        </w:rPr>
        <w:t>apakšnozare</w:t>
      </w:r>
      <w:proofErr w:type="spellEnd"/>
      <w:r w:rsidRPr="00C74C27">
        <w:rPr>
          <w:rFonts w:eastAsia="Calibri" w:cs="Times New Roman"/>
          <w:szCs w:val="20"/>
          <w:lang w:eastAsia="en-US"/>
        </w:rPr>
        <w:t xml:space="preserve"> saražo 4,6% no visas </w:t>
      </w:r>
      <w:r w:rsidRPr="00C74C27">
        <w:rPr>
          <w:rFonts w:eastAsia="Calibri" w:cs="Times New Roman"/>
          <w:color w:val="000000"/>
          <w:szCs w:val="20"/>
          <w:lang w:eastAsia="en-US"/>
        </w:rPr>
        <w:t>rūpniecības</w:t>
      </w:r>
      <w:r w:rsidRPr="00C74C27">
        <w:rPr>
          <w:rFonts w:eastAsia="Calibri" w:cs="Times New Roman"/>
          <w:szCs w:val="20"/>
          <w:lang w:eastAsia="en-US"/>
        </w:rPr>
        <w:t xml:space="preserve"> nozares produkcijas, un ir piektā nozīmīgākā Latvijas apstrādes rūpniecībā. Savukārt lielākā apstrādes rūpniecības </w:t>
      </w:r>
      <w:proofErr w:type="spellStart"/>
      <w:r w:rsidRPr="00C74C27">
        <w:rPr>
          <w:rFonts w:eastAsia="Calibri" w:cs="Times New Roman"/>
          <w:szCs w:val="20"/>
          <w:lang w:eastAsia="en-US"/>
        </w:rPr>
        <w:t>apakšnozare</w:t>
      </w:r>
      <w:proofErr w:type="spellEnd"/>
      <w:r w:rsidRPr="00C74C27">
        <w:rPr>
          <w:rFonts w:eastAsia="Calibri" w:cs="Times New Roman"/>
          <w:szCs w:val="20"/>
          <w:lang w:eastAsia="en-US"/>
        </w:rPr>
        <w:t xml:space="preserve"> kokrūpniecība, kas sastāda teju trešdaļu no visas apstrādes rūpniecības, septiņos mēnešos samazinājusies par 10,7%, ko ietekmē gan koka izstrādājumu cenu samazinājums pasaules tirgos, gan zemais pieprasījums. Arī pārējās lielās apstrādes rūpniecības </w:t>
      </w:r>
      <w:proofErr w:type="spellStart"/>
      <w:r w:rsidRPr="00C74C27">
        <w:rPr>
          <w:rFonts w:eastAsia="Calibri" w:cs="Times New Roman"/>
          <w:szCs w:val="20"/>
          <w:lang w:eastAsia="en-US"/>
        </w:rPr>
        <w:t>apakšnozares</w:t>
      </w:r>
      <w:proofErr w:type="spellEnd"/>
      <w:r w:rsidRPr="00C74C27">
        <w:rPr>
          <w:rFonts w:eastAsia="Calibri" w:cs="Times New Roman"/>
          <w:szCs w:val="20"/>
          <w:lang w:eastAsia="en-US"/>
        </w:rPr>
        <w:t xml:space="preserve">, tajā skaitā būvmateriālu un metālizstrādājumu ražošana samazinājušās attiecīgi par 18,8% un 8,4%. </w:t>
      </w:r>
    </w:p>
    <w:p w14:paraId="2AA86EB3" w14:textId="77777777" w:rsidR="00C74C27" w:rsidRPr="00C74C27" w:rsidRDefault="00C74C27" w:rsidP="00C74C27">
      <w:pPr>
        <w:spacing w:after="0" w:line="259" w:lineRule="auto"/>
        <w:ind w:firstLine="0"/>
        <w:jc w:val="center"/>
        <w:rPr>
          <w:rFonts w:eastAsia="Calibri" w:cs="Times New Roman"/>
          <w:sz w:val="18"/>
          <w:szCs w:val="18"/>
          <w:lang w:eastAsia="en-US"/>
        </w:rPr>
      </w:pPr>
      <w:r w:rsidRPr="00C74C27">
        <w:rPr>
          <w:rFonts w:ascii="Calibri" w:eastAsia="Calibri" w:hAnsi="Calibri" w:cs="Times New Roman"/>
          <w:noProof/>
          <w:sz w:val="22"/>
          <w:lang w:eastAsia="en-US"/>
        </w:rPr>
        <w:drawing>
          <wp:inline distT="0" distB="0" distL="0" distR="0" wp14:anchorId="6F2B96DE" wp14:editId="7647BF8D">
            <wp:extent cx="5274310" cy="3224530"/>
            <wp:effectExtent l="0" t="0" r="2540" b="0"/>
            <wp:docPr id="369877629" name="Chart 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AAB8918" w14:textId="77777777" w:rsidR="00C74C27" w:rsidRPr="00C74C27" w:rsidRDefault="00C74C27" w:rsidP="00C74C27">
      <w:pPr>
        <w:spacing w:after="0"/>
        <w:ind w:firstLine="0"/>
        <w:jc w:val="center"/>
        <w:rPr>
          <w:rFonts w:eastAsia="Times New Roman" w:cs="Times New Roman"/>
          <w:b/>
          <w:i/>
          <w:szCs w:val="24"/>
          <w:lang w:eastAsia="en-US"/>
        </w:rPr>
      </w:pPr>
      <w:r w:rsidRPr="00C74C27">
        <w:rPr>
          <w:rFonts w:eastAsia="Times New Roman" w:cs="Times New Roman"/>
          <w:b/>
          <w:i/>
          <w:szCs w:val="24"/>
          <w:lang w:eastAsia="en-US"/>
        </w:rPr>
        <w:t xml:space="preserve">1.3. att. Rūpniecības nozaru izlaides apjoma izmaiņas 2022. gadā un </w:t>
      </w:r>
      <w:r w:rsidRPr="00C74C27">
        <w:rPr>
          <w:rFonts w:eastAsia="Times New Roman" w:cs="Times New Roman"/>
          <w:b/>
          <w:i/>
          <w:szCs w:val="24"/>
          <w:lang w:eastAsia="en-US"/>
        </w:rPr>
        <w:br/>
        <w:t xml:space="preserve">2023. gada </w:t>
      </w:r>
      <w:r w:rsidRPr="00C74C27">
        <w:rPr>
          <w:rFonts w:eastAsia="Times New Roman" w:cs="Times New Roman"/>
          <w:b/>
          <w:i/>
          <w:color w:val="000000"/>
          <w:szCs w:val="24"/>
          <w:lang w:eastAsia="en-US"/>
        </w:rPr>
        <w:t xml:space="preserve">septiņos mēnešos, </w:t>
      </w:r>
      <w:r w:rsidRPr="00C74C27">
        <w:rPr>
          <w:rFonts w:eastAsia="Times New Roman" w:cs="Times New Roman"/>
          <w:b/>
          <w:i/>
          <w:szCs w:val="24"/>
          <w:lang w:eastAsia="en-US"/>
        </w:rPr>
        <w:t>salīdzinot ar iepriekšējā gada attiecīgo laika periodu (kalendāri izlīdzināti dati,%)</w:t>
      </w:r>
    </w:p>
    <w:p w14:paraId="41B71CCF" w14:textId="77777777" w:rsidR="00C74C27" w:rsidRPr="00C74C27" w:rsidRDefault="00C74C27" w:rsidP="00C74C27">
      <w:pPr>
        <w:spacing w:before="120"/>
        <w:rPr>
          <w:rFonts w:eastAsia="Calibri" w:cs="Times New Roman"/>
          <w:szCs w:val="20"/>
          <w:lang w:eastAsia="en-US"/>
        </w:rPr>
      </w:pPr>
      <w:r w:rsidRPr="00C74C27">
        <w:rPr>
          <w:rFonts w:eastAsia="Calibri" w:cs="Times New Roman"/>
          <w:szCs w:val="20"/>
          <w:lang w:eastAsia="en-US"/>
        </w:rPr>
        <w:t>Elektroenerģijas un gāzes apgāde 2023. gada septiņos mēnešos sarukusi par 5,8%, ko ietekmēja gāzes patēriņa sarukums par 10,2% pret pērnā gada janvāri – jūliju, tikmēr elektroenerģija ražota par 37,3% vairāk, ko noteica augstā nokrišņu summa šā gada pirmajos četros mēnešos, hidroelektrostacijām septiņos mēnešos kopā saražojot par 35,4% vairāk kā gadu iepriekš attiecīgajā periodā. Arī koģenerācijas stacijas septiņos mēnešos ražojušas par 36,4% vairāk elektroenerģijas, ko veicināja dabasgāzes un citu kurināmo energoresursu cenu samazinājumi.</w:t>
      </w:r>
    </w:p>
    <w:p w14:paraId="28D908CB" w14:textId="77777777" w:rsidR="00C74C27" w:rsidRPr="00C74C27" w:rsidRDefault="00C74C27" w:rsidP="00C74C27">
      <w:pPr>
        <w:spacing w:before="120"/>
        <w:rPr>
          <w:rFonts w:eastAsia="Calibri" w:cs="Times New Roman"/>
          <w:sz w:val="18"/>
          <w:szCs w:val="18"/>
          <w:lang w:eastAsia="en-US"/>
        </w:rPr>
      </w:pPr>
      <w:r w:rsidRPr="00C74C27">
        <w:rPr>
          <w:rFonts w:eastAsia="Calibri" w:cs="Times New Roman"/>
          <w:szCs w:val="20"/>
          <w:lang w:eastAsia="en-US"/>
        </w:rPr>
        <w:lastRenderedPageBreak/>
        <w:t>Šā gada septiņos mēnešos apgrozījums apstrādes rūpniecībā pret pērnā gada septiņiem mēnešiem nav būtiski mainījies (+0,4%). Taču vērojamas atšķirības starp apgrozījuma izmaiņām vietējā (+4,6%) un eksporta (-1,6%) tirgū, kas arī atspoguļo zemo eksporta pieprasījumu. Kaut arī septiņu mēnešu griezumā kopējā apgrozījumā nozīmīgu izmaiņu nav, apgrozījums kopš gada sākuma ik mēnesi kļūst arvien mazāks salīdzinot ar pērno gadu (1.4. attēls) un jau šā gada otrajā ceturksnī tas bijis ievērojami zemāks nekā pērnā gada otrajā ceturksnī.</w:t>
      </w:r>
    </w:p>
    <w:p w14:paraId="29331430" w14:textId="77777777" w:rsidR="00C74C27" w:rsidRPr="00C74C27" w:rsidRDefault="00C74C27" w:rsidP="00C74C27">
      <w:pPr>
        <w:spacing w:after="0" w:line="259" w:lineRule="auto"/>
        <w:ind w:firstLine="0"/>
        <w:jc w:val="center"/>
        <w:rPr>
          <w:rFonts w:eastAsia="Calibri" w:cs="Times New Roman"/>
          <w:sz w:val="18"/>
          <w:szCs w:val="18"/>
          <w:lang w:eastAsia="en-US"/>
        </w:rPr>
      </w:pPr>
      <w:r w:rsidRPr="00C74C27">
        <w:rPr>
          <w:rFonts w:ascii="Calibri" w:eastAsia="Calibri" w:hAnsi="Calibri" w:cs="Times New Roman"/>
          <w:noProof/>
          <w:sz w:val="22"/>
          <w:lang w:eastAsia="en-US"/>
        </w:rPr>
        <w:drawing>
          <wp:inline distT="0" distB="0" distL="0" distR="0" wp14:anchorId="398C7CA2" wp14:editId="5D9628CB">
            <wp:extent cx="5274310" cy="2063750"/>
            <wp:effectExtent l="0" t="0" r="2540" b="0"/>
            <wp:docPr id="1152257972" name="Chart 1">
              <a:extLst xmlns:a="http://schemas.openxmlformats.org/drawingml/2006/main">
                <a:ext uri="{FF2B5EF4-FFF2-40B4-BE49-F238E27FC236}">
                  <a16:creationId xmlns:a16="http://schemas.microsoft.com/office/drawing/2014/main" id="{00000000-0008-0000-06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79A3102" w14:textId="77777777" w:rsidR="00C74C27" w:rsidRPr="00C74C27" w:rsidRDefault="00C74C27" w:rsidP="00C74C27">
      <w:pPr>
        <w:spacing w:after="0"/>
        <w:ind w:firstLine="0"/>
        <w:jc w:val="center"/>
        <w:rPr>
          <w:rFonts w:eastAsia="Calibri" w:cs="Times New Roman"/>
          <w:b/>
          <w:i/>
          <w:szCs w:val="24"/>
          <w:lang w:eastAsia="en-US"/>
        </w:rPr>
      </w:pPr>
      <w:r w:rsidRPr="00C74C27">
        <w:rPr>
          <w:rFonts w:eastAsia="Calibri" w:cs="Times New Roman"/>
          <w:b/>
          <w:i/>
          <w:szCs w:val="24"/>
          <w:lang w:eastAsia="en-US"/>
        </w:rPr>
        <w:t>1.4. att. Apstrādes rūpniecības apgrozījuma pārmaiņas</w:t>
      </w:r>
      <w:r w:rsidRPr="00C74C27">
        <w:rPr>
          <w:rFonts w:eastAsia="Calibri" w:cs="Times New Roman"/>
          <w:b/>
          <w:i/>
          <w:szCs w:val="24"/>
          <w:lang w:eastAsia="en-US"/>
        </w:rPr>
        <w:br/>
        <w:t>pret iepriekšējā gada attiecīgo mēnesi (kalendāri izlīdzināti dati, %)</w:t>
      </w:r>
    </w:p>
    <w:p w14:paraId="6156DCB6" w14:textId="77777777" w:rsidR="00C74C27" w:rsidRPr="00C74C27" w:rsidRDefault="00C74C27" w:rsidP="00C74C27">
      <w:pPr>
        <w:spacing w:before="120"/>
        <w:rPr>
          <w:rFonts w:eastAsia="Calibri" w:cs="Times New Roman"/>
          <w:szCs w:val="20"/>
          <w:lang w:eastAsia="en-US"/>
        </w:rPr>
      </w:pPr>
      <w:r w:rsidRPr="00C74C27">
        <w:rPr>
          <w:rFonts w:eastAsia="Calibri" w:cs="Times New Roman"/>
          <w:szCs w:val="20"/>
          <w:lang w:eastAsia="en-US"/>
        </w:rPr>
        <w:t xml:space="preserve">Uz problēmām apstrādes rūpniecībā norāda arī EK apkopotie konfidenču indeksi. Zemākais konfidences līmenis Latvijā tika sasniegts līdz ar Covid-19 pandēmijas sākumu 2020. gada maijā (-23 punkti). 2021. gada jūnijā konfidences līmenis bija atguvies līdz </w:t>
      </w:r>
      <w:proofErr w:type="spellStart"/>
      <w:r w:rsidRPr="00C74C27">
        <w:rPr>
          <w:rFonts w:eastAsia="Calibri" w:cs="Times New Roman"/>
          <w:szCs w:val="20"/>
          <w:lang w:eastAsia="en-US"/>
        </w:rPr>
        <w:t>pirmspandēmijas</w:t>
      </w:r>
      <w:proofErr w:type="spellEnd"/>
      <w:r w:rsidRPr="00C74C27">
        <w:rPr>
          <w:rFonts w:eastAsia="Calibri" w:cs="Times New Roman"/>
          <w:szCs w:val="20"/>
          <w:lang w:eastAsia="en-US"/>
        </w:rPr>
        <w:t xml:space="preserve"> perioda augstākajām atzīmēm (+3 punkti), taču kopš tā laika tas nevienmērīgi samazinājies līdz -9 punktiem 2023. gada augustā. Kā iemesls zemajai konfidencei EK aptaujās tiek atzīmēts jau iepriekš minētais mazais pasūtījumu skaits.</w:t>
      </w:r>
    </w:p>
    <w:p w14:paraId="5C5E1ACA"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ES apstrādes rūpniecības konfidences indekss pēdējos mēnešos ir zemāks par nekā Latvijas, un neliecina par pozitīvām tendencēm ES ekonomikā šā gada atlikušajos mēnešos, tādējādi pieprasījuma līmenis no Latvijas galvenajām eksporta partnervalstīm var saglabāties zems un 2023. gada laikā nozīmīgus ražošanas apjomu palielinājumus Latvijā nav pamata gaidīt.</w:t>
      </w:r>
    </w:p>
    <w:p w14:paraId="2136AE12" w14:textId="77777777" w:rsidR="00C74C27" w:rsidRPr="000D1EEF" w:rsidRDefault="00C74C27" w:rsidP="006F1373">
      <w:pPr>
        <w:pStyle w:val="H5"/>
      </w:pPr>
      <w:r w:rsidRPr="000D1EEF">
        <w:t>Tirdzniecība</w:t>
      </w:r>
    </w:p>
    <w:p w14:paraId="49C0B797"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Latvijas tirdzniecības nozares pievienotā vērtība 2022. gadā veidoja 13,6% no visas tautsaimniecības pievienotās vērtības, kas ir par 0,5 procentpunktiem mazāk nekā 2021. gadā. Nozari veido mazumtirdzniecība un vairumtirdzniecība, kā arī automobiļu, motociklu tirdzniecība un remonts, 2022. gadā veidojot attiecīgi 43%, 45% un 12% no kopējās tirdzniecības nozares. </w:t>
      </w:r>
    </w:p>
    <w:p w14:paraId="014FE78A"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Pandēmijas ierobežojumi mazumtirdzniecības nozari pēdējo reizi skāra 2022. gada sākumā, taču jau martā vairums ierobežojumu tika atcelti un nozare piedzīvoja īslaicīgu mazumtirdzniecības apjomu pieaugumu. Līdz 2022. gada nogalei apjomi saglabājās stabili augstā līmenī, taču sākot ar decembri, tie sāka samazināties, ko noteica strauji augošās cenas un apkures sezonas iestāšanās, kas palielināja iedzīvotāju izdevumus par mājokli, atstājot mazāk līdzekļu tēriņiem mazumtirdzniecībā. Arī 2023. gada vasarā mazumtirdzniecības apjomi pret iepriekšējo gadu turpina samazināties (1.5. attēls), ko nosaka joprojām augstās preču cenas. Papildus negatīvu iespaidu atstāj arī maksājumu sadārdzināšanās kredītņēmējiem, palielinoties </w:t>
      </w:r>
      <w:proofErr w:type="spellStart"/>
      <w:r w:rsidRPr="00C74C27">
        <w:rPr>
          <w:rFonts w:eastAsia="Calibri" w:cs="Times New Roman"/>
          <w:i/>
          <w:iCs/>
          <w:szCs w:val="20"/>
          <w:lang w:eastAsia="en-US"/>
        </w:rPr>
        <w:t>Euribor</w:t>
      </w:r>
      <w:proofErr w:type="spellEnd"/>
      <w:r w:rsidRPr="00C74C27">
        <w:rPr>
          <w:rFonts w:eastAsia="Calibri" w:cs="Times New Roman"/>
          <w:szCs w:val="20"/>
          <w:lang w:eastAsia="en-US"/>
        </w:rPr>
        <w:t xml:space="preserve"> likmei. Par iedzīvotāju brīvo finanšu līdzekļu samazināšanos liecina arī Latvijas Bankas dati par sarūkošiem mājsaimniecību noguldījumu apjomiem.</w:t>
      </w:r>
    </w:p>
    <w:p w14:paraId="717237C7"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lastRenderedPageBreak/>
        <w:t>2022. gadā mazumtirdzniecības apjomi palielinājās par 4,3% pret 2021. gadu, kas bija lielākais pieaugums kopš 2017. gada. Apjomu pieaugumu veicināja galvenokārt nepārtikas preču mazumtirdzniecības pieaugums par 8,7%, kamēr degvielas tirdzniecība auga par 1,2%, bet pārtika tirgota par 0,5% vairāk kā 2021. gadā. Šā gada pirmajos septiņos mēnešos, salīdzinot ar attiecīgo laika periodu pirms gada, mazumtirdzniecības apjomi samazinājušies par 2,1%, ko noteica pārtikas tirdzniecības sarukums par 5,6% un nepārtikas (bez degvielas) samazinājums par 2%. Tikmēr degviela tirgota par 4,9% vairāk kā pērnā gada attiecīgajā periodā, ko noteica cenu samazinājumi, degvielai kopš marta maksājot mazāk nekā 2022. gada attiecīgajos mēnešos.</w:t>
      </w:r>
    </w:p>
    <w:p w14:paraId="45D2B24C" w14:textId="77777777" w:rsidR="00C74C27" w:rsidRPr="00C74C27" w:rsidRDefault="00C74C27" w:rsidP="00C74C27">
      <w:pPr>
        <w:spacing w:after="0" w:line="259" w:lineRule="auto"/>
        <w:ind w:firstLine="0"/>
        <w:jc w:val="center"/>
        <w:rPr>
          <w:rFonts w:ascii="Calibri" w:eastAsia="Calibri" w:hAnsi="Calibri" w:cs="Times New Roman"/>
          <w:sz w:val="22"/>
          <w:lang w:eastAsia="en-US"/>
        </w:rPr>
      </w:pPr>
      <w:r w:rsidRPr="00C74C27">
        <w:rPr>
          <w:rFonts w:ascii="Calibri" w:eastAsia="Calibri" w:hAnsi="Calibri" w:cs="Times New Roman"/>
          <w:noProof/>
          <w:sz w:val="22"/>
          <w:lang w:eastAsia="en-US"/>
        </w:rPr>
        <w:drawing>
          <wp:inline distT="0" distB="0" distL="0" distR="0" wp14:anchorId="64A7DAB2" wp14:editId="167DCE89">
            <wp:extent cx="5274310" cy="2559050"/>
            <wp:effectExtent l="0" t="0" r="2540" b="0"/>
            <wp:docPr id="2089321095" name="Chart 1">
              <a:extLst xmlns:a="http://schemas.openxmlformats.org/drawingml/2006/main">
                <a:ext uri="{FF2B5EF4-FFF2-40B4-BE49-F238E27FC236}">
                  <a16:creationId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F0EED4B" w14:textId="77777777" w:rsidR="00C74C27" w:rsidRPr="00C74C27" w:rsidRDefault="00C74C27" w:rsidP="00C74C27">
      <w:pPr>
        <w:spacing w:after="160"/>
        <w:ind w:firstLine="0"/>
        <w:jc w:val="center"/>
        <w:rPr>
          <w:rFonts w:eastAsia="Calibri" w:cs="Arial"/>
          <w:szCs w:val="24"/>
          <w:lang w:eastAsia="en-US"/>
        </w:rPr>
      </w:pPr>
      <w:r w:rsidRPr="00C74C27">
        <w:rPr>
          <w:rFonts w:eastAsia="Calibri" w:cs="Times New Roman"/>
          <w:b/>
          <w:i/>
          <w:szCs w:val="24"/>
          <w:lang w:eastAsia="en-US"/>
        </w:rPr>
        <w:t xml:space="preserve">1.5. att. Mazumtirdzniecības apgrozījuma pārmaiņas </w:t>
      </w:r>
      <w:r w:rsidRPr="00C74C27">
        <w:rPr>
          <w:rFonts w:eastAsia="Calibri" w:cs="Times New Roman"/>
          <w:b/>
          <w:i/>
          <w:szCs w:val="24"/>
          <w:lang w:eastAsia="en-US"/>
        </w:rPr>
        <w:br/>
        <w:t>pret iepriekšējā gada attiecīgo mēnesi (%); salīdzināmās cenas</w:t>
      </w:r>
    </w:p>
    <w:p w14:paraId="3AB22E5D"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Vairumtirdzniecības uzņēmumu apgrozījums 2022. gadā samazinājās par 9,6% pret 2021. gadu, bet šā gada pirmajā pusgadā kritums pret pagājušā gada attiecīgo periodu sasniedz 14,9%. Kopš 2022. gada otrā ceturkšņa vairumtirdzniecības apjomi krasi samazinājušies Krievijas uzsāktā kara un tam sekojošo sankciju dēļ, kā rezultātā apturēta tirdzniecība ar Krievijas un Baltkrievijas lielajiem kokmateriālu, metālu un citu būvmateriālu ražotājiem, kas nozarē aizņēma ievērojamu tirgus daļu, kura līdz šim nav kompensēta tirdzniecībā ar citām valstīm. </w:t>
      </w:r>
      <w:bookmarkStart w:id="5" w:name="_Hlk146543476"/>
      <w:r w:rsidRPr="00C74C27">
        <w:rPr>
          <w:rFonts w:eastAsia="Calibri" w:cs="Times New Roman"/>
          <w:szCs w:val="20"/>
          <w:lang w:eastAsia="en-US"/>
        </w:rPr>
        <w:t xml:space="preserve">Taču vairumtirdzniecības apjomu samazināšanās būtisku negatīvu iespaidu uz Latvijas tautsaimniecību neatstāj, jo lielākā daļa no šiem </w:t>
      </w:r>
      <w:proofErr w:type="spellStart"/>
      <w:r w:rsidRPr="00C74C27">
        <w:rPr>
          <w:rFonts w:eastAsia="Calibri" w:cs="Times New Roman"/>
          <w:szCs w:val="20"/>
          <w:lang w:eastAsia="en-US"/>
        </w:rPr>
        <w:t>agresorvalstu</w:t>
      </w:r>
      <w:proofErr w:type="spellEnd"/>
      <w:r w:rsidRPr="00C74C27">
        <w:rPr>
          <w:rFonts w:eastAsia="Calibri" w:cs="Times New Roman"/>
          <w:szCs w:val="20"/>
          <w:lang w:eastAsia="en-US"/>
        </w:rPr>
        <w:t xml:space="preserve"> ražojumiem nenonāca vietējā tirgū, bet tika piegādāti citām ES valstīm.</w:t>
      </w:r>
      <w:bookmarkEnd w:id="5"/>
    </w:p>
    <w:p w14:paraId="60A970A3"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Tikmēr labus rezultātus uzrāda mazākā no tirdzniecības </w:t>
      </w:r>
      <w:proofErr w:type="spellStart"/>
      <w:r w:rsidRPr="00C74C27">
        <w:rPr>
          <w:rFonts w:eastAsia="Calibri" w:cs="Times New Roman"/>
          <w:szCs w:val="20"/>
          <w:lang w:eastAsia="en-US"/>
        </w:rPr>
        <w:t>apakšnozarēm</w:t>
      </w:r>
      <w:proofErr w:type="spellEnd"/>
      <w:r w:rsidRPr="00C74C27">
        <w:rPr>
          <w:rFonts w:eastAsia="Calibri" w:cs="Times New Roman"/>
          <w:szCs w:val="20"/>
          <w:lang w:eastAsia="en-US"/>
        </w:rPr>
        <w:t xml:space="preserve"> – automobiļu un motociklu tirdzniecība un remonts, kas 2022. gadā pieauga par 9,8% pret 2021. gadu, bet 2023. gada pirmajā pusgadā pieaugums sasniedza 21,1%. Sākoties Covid-19 pandēmijai, 2020. gadā auto un </w:t>
      </w:r>
      <w:proofErr w:type="spellStart"/>
      <w:r w:rsidRPr="00C74C27">
        <w:rPr>
          <w:rFonts w:eastAsia="Calibri" w:cs="Times New Roman"/>
          <w:szCs w:val="20"/>
          <w:lang w:eastAsia="en-US"/>
        </w:rPr>
        <w:t>mototehnikas</w:t>
      </w:r>
      <w:proofErr w:type="spellEnd"/>
      <w:r w:rsidRPr="00C74C27">
        <w:rPr>
          <w:rFonts w:eastAsia="Calibri" w:cs="Times New Roman"/>
          <w:szCs w:val="20"/>
          <w:lang w:eastAsia="en-US"/>
        </w:rPr>
        <w:t xml:space="preserve"> tirdzniecībā tika fiksēts kritums, taču kopš 2021. gada situācija nozarē bijusi stabila un ar augstiem izaugsmes tempiem.</w:t>
      </w:r>
    </w:p>
    <w:p w14:paraId="5F5308A9"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EK apkopotie sentimenta indeksi norāda uz mazumtirgotāju noskaņojuma pasliktināšanos kopš šā gada jūnija, kad konfidences indekss bija atguvies līdz </w:t>
      </w:r>
      <w:proofErr w:type="spellStart"/>
      <w:r w:rsidRPr="00C74C27">
        <w:rPr>
          <w:rFonts w:eastAsia="Calibri" w:cs="Times New Roman"/>
          <w:szCs w:val="20"/>
          <w:lang w:eastAsia="en-US"/>
        </w:rPr>
        <w:t>pirmspandēmijas</w:t>
      </w:r>
      <w:proofErr w:type="spellEnd"/>
      <w:r w:rsidRPr="00C74C27">
        <w:rPr>
          <w:rFonts w:eastAsia="Calibri" w:cs="Times New Roman"/>
          <w:szCs w:val="20"/>
          <w:lang w:eastAsia="en-US"/>
        </w:rPr>
        <w:t xml:space="preserve"> līmenim. Tirgotāju noskaņojumu pasliktina zemāks noiets pēdējo trīs mēnešu laikā, un netiek prognozēti arī būtiski palielinājumi turpmākajos trīs mēnešos, kamēr noliktavās esošie preču apjomi ir augstā līmenī.  Savukārt patērētāju konfidence turpina nevienmērīgi paaugstināties kopš šā gada janvāra, kad tā bija vienā no zemākajiem punktiem pēdējo gadu laikā.</w:t>
      </w:r>
    </w:p>
    <w:p w14:paraId="0F80275F" w14:textId="77777777" w:rsidR="00C74C27" w:rsidRPr="000D1EEF" w:rsidRDefault="00C74C27" w:rsidP="006F1373">
      <w:pPr>
        <w:pStyle w:val="H5"/>
      </w:pPr>
      <w:r w:rsidRPr="000D1EEF">
        <w:lastRenderedPageBreak/>
        <w:t>Transporta un uzglabāšanas nozare</w:t>
      </w:r>
    </w:p>
    <w:p w14:paraId="4273112C"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Transporta un uzglabāšanas nozare, kas bija viena no pandēmijas smagāk skartajām nozarēm, pēc 2021. gadā sasniegtā 6,6% kāpuma pērn palielinājās vēl par 3,0%, turpinot atjaunoties aviopārvadājumu un sauszemes pasažieru pārvadājumu apjomiem, tomēr nozares darbību negatīvi ietekmēja Krievijas sāktais karš Ukrainā, vēl tālāk samazinot Krievijas </w:t>
      </w:r>
      <w:proofErr w:type="spellStart"/>
      <w:r w:rsidRPr="00C74C27">
        <w:rPr>
          <w:rFonts w:eastAsia="Calibri" w:cs="Times New Roman"/>
          <w:szCs w:val="20"/>
          <w:lang w:eastAsia="en-US"/>
        </w:rPr>
        <w:t>energoproduktu</w:t>
      </w:r>
      <w:proofErr w:type="spellEnd"/>
      <w:r w:rsidRPr="00C74C27">
        <w:rPr>
          <w:rFonts w:eastAsia="Calibri" w:cs="Times New Roman"/>
          <w:szCs w:val="20"/>
          <w:lang w:eastAsia="en-US"/>
        </w:rPr>
        <w:t xml:space="preserve"> tranzītu caur Latvijas ostām. Līdz ar to nozares loma tautsaimniecībā, kas vēsturiski ir bijusi starp augstākajām, salīdzinot ar pārējām ES valstīm, ir jūtami mazinājusies, sarūkot līdz 6,8% no kopējās pievienotās vērtības 2022. gadā, kamēr laikā līdz 2019. gadam tā deva tuvu pie 10%.</w:t>
      </w:r>
    </w:p>
    <w:p w14:paraId="53669E86" w14:textId="33A58C29"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Pasažieru skaits lidostā “Rīga” 2022. gadā, salīdzinot ar iepriekšējo gadu, palielinājās 2,3 reizes un sasniedza 5,4 </w:t>
      </w:r>
      <w:r w:rsidR="00605007">
        <w:rPr>
          <w:rFonts w:eastAsia="Calibri" w:cs="Times New Roman"/>
          <w:szCs w:val="20"/>
          <w:lang w:eastAsia="en-US"/>
        </w:rPr>
        <w:t>milj.</w:t>
      </w:r>
      <w:r w:rsidRPr="00C74C27">
        <w:rPr>
          <w:rFonts w:eastAsia="Calibri" w:cs="Times New Roman"/>
          <w:szCs w:val="20"/>
          <w:lang w:eastAsia="en-US"/>
        </w:rPr>
        <w:t xml:space="preserve">, tomēr vēl joprojām būtiski atpalika no 2018.-2019. gada līmeņa, kad pasažieru skaits lidostā bija pārsniedzis septiņus </w:t>
      </w:r>
      <w:r w:rsidR="00605007">
        <w:rPr>
          <w:rFonts w:eastAsia="Calibri" w:cs="Times New Roman"/>
          <w:szCs w:val="20"/>
          <w:lang w:eastAsia="en-US"/>
        </w:rPr>
        <w:t>milj.</w:t>
      </w:r>
      <w:r w:rsidRPr="00C74C27">
        <w:rPr>
          <w:rFonts w:eastAsia="Calibri" w:cs="Times New Roman"/>
          <w:szCs w:val="20"/>
          <w:lang w:eastAsia="en-US"/>
        </w:rPr>
        <w:t xml:space="preserve">. Pasažieru skaits sauszemes transportā pieauga par 28,0% un jūras ostās tika apkalpots par 80,2% vairāk pasažieru nekā 2021. gadā. Kravu apgrozījums ostās pērn vēl palielinājās par 15,2%, taču dzelzceļš jau sāka izjust Krievijas </w:t>
      </w:r>
      <w:proofErr w:type="spellStart"/>
      <w:r w:rsidRPr="00C74C27">
        <w:rPr>
          <w:rFonts w:eastAsia="Calibri" w:cs="Times New Roman"/>
          <w:szCs w:val="20"/>
          <w:lang w:eastAsia="en-US"/>
        </w:rPr>
        <w:t>energoproduktu</w:t>
      </w:r>
      <w:proofErr w:type="spellEnd"/>
      <w:r w:rsidRPr="00C74C27">
        <w:rPr>
          <w:rFonts w:eastAsia="Calibri" w:cs="Times New Roman"/>
          <w:szCs w:val="20"/>
          <w:lang w:eastAsia="en-US"/>
        </w:rPr>
        <w:t xml:space="preserve"> eksporta kritumu un pārvadājumu apjomi dzelzceļā samazinājās par 2,1%. Kravu apgrozība autopārvadājumos 2022. gadā samazinājās par 3,5%, samazinoties starptautisko pārvadājumu apjomiem, kamēr iekšzemē kravu pārvadājumi turpināja pieaugt.</w:t>
      </w:r>
    </w:p>
    <w:p w14:paraId="22DC56D8"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Līdzīga situācija saglabājas arī 2023. gadā, kad pasažieru pārvadājumi turpina atjaunoties, bet kravu tranzīta apjomi dzelzceļā krītas, un kravu samazinājums sācis skart arī ostu darbu, nozarei kopumā sākot uzrādīt kritumu. Gada pirmajā pusē, salīdzinot ar attiecīgo periodu pirms gada, transporta nozare kopā samazinājās par 5,2% un arī visā 2023. gadā kopā prognozējams samazinājums, pasažieru satiksmes pieaugumam vairs nespējot kompensēt kritumu kravu pārvadājumos.</w:t>
      </w:r>
    </w:p>
    <w:p w14:paraId="79FC5FFA"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2023. gada pirmajā pusē, salīdzinot ar pagājušā gada attiecīgo periodu, kravu apgrozījums ostās samazinājās par 14,2%, būtiskāko kritumu piedzīvojot naftas produktu un ogļu kravām, kamēr pārējo kravu apjomi saglabājās salīdzinoši stabili. Dzelzceļā pārvadāto kravu apjoms pirmajā pusgadā kritās par 36,0%. Kravu apgrozība autotransportā gada pirmajā pusē, salīdzinot ar attiecīgo periodu pirms gada, samazinājās par 6,5%, galvenokārt samazinoties pārvadājumiem ārvalstīs, kamēr iekšzemes satiksmē apjomi turpināja pieaugt.</w:t>
      </w:r>
    </w:p>
    <w:p w14:paraId="61FAECE9" w14:textId="4C3561E6"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Vienlaikus pasažieru skaits lidostā Rīgā joprojām būtiski pārsniedz pērnā gada līmeni – gada pirmajā pusē apkalpoti 3,0 </w:t>
      </w:r>
      <w:r w:rsidR="00605007">
        <w:rPr>
          <w:rFonts w:eastAsia="Calibri" w:cs="Times New Roman"/>
          <w:szCs w:val="20"/>
          <w:lang w:eastAsia="en-US"/>
        </w:rPr>
        <w:t>milj.</w:t>
      </w:r>
      <w:r w:rsidRPr="00C74C27">
        <w:rPr>
          <w:rFonts w:eastAsia="Calibri" w:cs="Times New Roman"/>
          <w:szCs w:val="20"/>
          <w:lang w:eastAsia="en-US"/>
        </w:rPr>
        <w:t xml:space="preserve"> pasažieru, kas bija par 37,1% vairāk nekā pirms gada, taču pieauguma tempi mēnesi pēc mēneša mazinās. Pasažieru skaits sauszemes transportā salīdzinājumā ar pagājušā gada pirmo pusi palielinājies par 22,9%, bet pasažieru skaits jūras ostās audzis par 4,2%. Arī šeit pieauguma tempi ceturksni no ceturkšņa mazinās.</w:t>
      </w:r>
    </w:p>
    <w:p w14:paraId="725F807B" w14:textId="77777777" w:rsidR="00C74C27" w:rsidRPr="00C74C27" w:rsidRDefault="00C74C27" w:rsidP="006F1373">
      <w:pPr>
        <w:pStyle w:val="H5"/>
      </w:pPr>
      <w:r w:rsidRPr="000D1EEF">
        <w:t>Būvniecība</w:t>
      </w:r>
    </w:p>
    <w:p w14:paraId="54D0E6B8"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Būvniecības apjomi Latvijā salīdzināmās cenās 2021. gadā samazinājās par 6,2%, bet 2022. gadā par 11,3%, ko noteica straujais būvniecības izmaksu kāpums, būvmateriālu deficīts un ES fondu ciklu pāreja no 2014. – 2020. gada cikla uz 2021. – 2027. gada ciklu, kas ietekmēja ES finanšu līdzekļu investīciju apjomus. Taču šā gada pirmie divi ceturkšņi uzrāda straujus būvniecības apjomu palielinājumus gada griezumā (1.6. attēls), tādējādi apjomi ir sasnieguši aptuveni 2018. – 2020. gada līmeni. Būvniecības izmaksas joprojām ir augstas, taču tās vairs nepieaug tik strauji kā 2022. gadā. Arī būvmateriālu trūkums vairs nav izteikta problēma un plānotā ES fondu līdzekļu apguve sasniedz nepieredzēti augstus apjomus. </w:t>
      </w:r>
    </w:p>
    <w:p w14:paraId="6D2FFA61" w14:textId="77777777" w:rsidR="00C74C27" w:rsidRPr="00C74C27" w:rsidRDefault="00C74C27" w:rsidP="00C74C27">
      <w:pPr>
        <w:spacing w:after="0" w:line="259" w:lineRule="auto"/>
        <w:ind w:firstLine="0"/>
        <w:jc w:val="center"/>
        <w:rPr>
          <w:rFonts w:ascii="Calibri" w:eastAsia="Calibri" w:hAnsi="Calibri" w:cs="Times New Roman"/>
          <w:sz w:val="22"/>
          <w:lang w:eastAsia="en-US"/>
        </w:rPr>
      </w:pPr>
      <w:r w:rsidRPr="00C74C27">
        <w:rPr>
          <w:rFonts w:ascii="Calibri" w:eastAsia="Calibri" w:hAnsi="Calibri" w:cs="Times New Roman"/>
          <w:noProof/>
          <w:sz w:val="22"/>
          <w:lang w:eastAsia="en-US"/>
        </w:rPr>
        <w:lastRenderedPageBreak/>
        <w:drawing>
          <wp:inline distT="0" distB="0" distL="0" distR="0" wp14:anchorId="73691883" wp14:editId="21DE4304">
            <wp:extent cx="5274310" cy="1949450"/>
            <wp:effectExtent l="0" t="0" r="2540" b="0"/>
            <wp:docPr id="1044161642" name="Chart 1">
              <a:extLst xmlns:a="http://schemas.openxmlformats.org/drawingml/2006/main">
                <a:ext uri="{FF2B5EF4-FFF2-40B4-BE49-F238E27FC236}">
                  <a16:creationId xmlns:a16="http://schemas.microsoft.com/office/drawing/2014/main" id="{A32BEF18-A8B4-BF6C-BEB8-D1401FF66C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4A55DC3" w14:textId="77777777" w:rsidR="00C74C27" w:rsidRPr="00C74C27" w:rsidRDefault="00C74C27" w:rsidP="00C74C27">
      <w:pPr>
        <w:spacing w:after="0"/>
        <w:ind w:firstLine="0"/>
        <w:jc w:val="center"/>
        <w:rPr>
          <w:rFonts w:eastAsia="Times New Roman" w:cs="Times New Roman"/>
          <w:b/>
          <w:i/>
          <w:szCs w:val="24"/>
          <w:lang w:eastAsia="en-US"/>
        </w:rPr>
      </w:pPr>
      <w:r w:rsidRPr="00C74C27">
        <w:rPr>
          <w:rFonts w:eastAsia="Times New Roman" w:cs="Times New Roman"/>
          <w:b/>
          <w:i/>
          <w:szCs w:val="24"/>
          <w:lang w:eastAsia="en-US"/>
        </w:rPr>
        <w:t>1.6. att. Būvniecības nozares izlaides apjomu izmaiņas g/g; salīdzināmās cenās</w:t>
      </w:r>
    </w:p>
    <w:p w14:paraId="370AEBDD" w14:textId="77777777" w:rsidR="00C74C27" w:rsidRPr="00C74C27" w:rsidRDefault="00C74C27" w:rsidP="00C74C27">
      <w:pPr>
        <w:spacing w:before="120"/>
        <w:rPr>
          <w:rFonts w:eastAsia="Calibri" w:cs="Times New Roman"/>
          <w:szCs w:val="20"/>
          <w:lang w:eastAsia="en-US"/>
        </w:rPr>
      </w:pPr>
      <w:r w:rsidRPr="00C74C27">
        <w:rPr>
          <w:rFonts w:eastAsia="Calibri" w:cs="Times New Roman"/>
          <w:szCs w:val="20"/>
          <w:lang w:eastAsia="en-US"/>
        </w:rPr>
        <w:t xml:space="preserve">2022. gadā samazinājumi bija visos būvniecības nozares </w:t>
      </w:r>
      <w:proofErr w:type="spellStart"/>
      <w:r w:rsidRPr="00C74C27">
        <w:rPr>
          <w:rFonts w:eastAsia="Calibri" w:cs="Times New Roman"/>
          <w:szCs w:val="20"/>
          <w:lang w:eastAsia="en-US"/>
        </w:rPr>
        <w:t>apakšsektoros</w:t>
      </w:r>
      <w:proofErr w:type="spellEnd"/>
      <w:r w:rsidRPr="00C74C27">
        <w:rPr>
          <w:rFonts w:eastAsia="Calibri" w:cs="Times New Roman"/>
          <w:szCs w:val="20"/>
          <w:lang w:eastAsia="en-US"/>
        </w:rPr>
        <w:t xml:space="preserve">, ēku būvniecībai salīdzinājumā ar 2021. gadu samazinoties par 9,8%, </w:t>
      </w:r>
      <w:proofErr w:type="spellStart"/>
      <w:r w:rsidRPr="00C74C27">
        <w:rPr>
          <w:rFonts w:eastAsia="Calibri" w:cs="Times New Roman"/>
          <w:szCs w:val="20"/>
          <w:lang w:eastAsia="en-US"/>
        </w:rPr>
        <w:t>inženierbūvniecībai</w:t>
      </w:r>
      <w:proofErr w:type="spellEnd"/>
      <w:r w:rsidRPr="00C74C27">
        <w:rPr>
          <w:rFonts w:eastAsia="Calibri" w:cs="Times New Roman"/>
          <w:szCs w:val="20"/>
          <w:lang w:eastAsia="en-US"/>
        </w:rPr>
        <w:t xml:space="preserve"> krītoties par 13,1%, bet specializētajiem būvdarbiem sarūkot par 11,3%. Savukārt šā gada pirmajā pusgadā visvairāk pieaugusi ēku būvniecība (+23,2%) un specializētie būvdarbi (+17,5%), bet </w:t>
      </w:r>
      <w:proofErr w:type="spellStart"/>
      <w:r w:rsidRPr="00C74C27">
        <w:rPr>
          <w:rFonts w:eastAsia="Calibri" w:cs="Times New Roman"/>
          <w:szCs w:val="20"/>
          <w:lang w:eastAsia="en-US"/>
        </w:rPr>
        <w:t>inženierbūvniecības</w:t>
      </w:r>
      <w:proofErr w:type="spellEnd"/>
      <w:r w:rsidRPr="00C74C27">
        <w:rPr>
          <w:rFonts w:eastAsia="Calibri" w:cs="Times New Roman"/>
          <w:szCs w:val="20"/>
          <w:lang w:eastAsia="en-US"/>
        </w:rPr>
        <w:t xml:space="preserve"> apjomi palielinājušies vien par 2,6%. Ēku būvniecībā ievērojami pieaugumi bijuši tieši daudzdzīvokļu ēku būvniecībā, kā arī tādās ēku grupās kā tirdzniecības, biroju, rūpniecības un publiskās ēkas. 2022. gada pirmajā pusē, kad strauji pieauga būvniecības izmaksas, daudzi projekti tika apturēti, pusēm nespējot vienoties par nepieciešamajām izmaiņām līgumu nosacījumos straujo cenu izmaiņu dēļ. Šā gada pirmajā pusē par 15,4% pieaugusi pozīcija “būvdarbu pabeigšana”, kas liecina par iesaldēto projektu pabeigšanu un nodošanu ekspluatācijā.</w:t>
      </w:r>
    </w:p>
    <w:p w14:paraId="390757F3"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Būvniecības izmaksu pieaugums savu augstāko punktu sasniedza 2022. gada maijā (1.7. attēls), kopš tā laika izmaksu pieauguma tempam ik mēnesi samazinoties, līdz 2023. gada jūlijā izmaksu pieaugums gada griezumā veidoja vairs tikai 3,2%. Lielākās svārstības piedzīvoja tieši būvmateriālu cenas, kuru pieaugums skaidrojams ar Krievijas iebrukumu Ukrainā un tā sekām. Būvmateriālu un mašīnu uzturēšanas izmaksas šā gada pirmajos septiņos mēnešos pieaugušas vidēji par 9,2%, bet izmaksas strādnieku darba samaksai palielinājušās par 8,5%. Turpmākajos mēnešus paredzams būvmateriālu cenu samazinājums pret pērnā gada attiecīgajiem mēnešiem, samazinot arī gada kopējo būvniecības izmaksu pieaugumu. </w:t>
      </w:r>
    </w:p>
    <w:p w14:paraId="69C5D6DF" w14:textId="77777777" w:rsidR="00C74C27" w:rsidRPr="00C74C27" w:rsidRDefault="00C74C27" w:rsidP="00C74C27">
      <w:pPr>
        <w:spacing w:after="0" w:line="259" w:lineRule="auto"/>
        <w:ind w:firstLine="0"/>
        <w:jc w:val="center"/>
        <w:rPr>
          <w:rFonts w:ascii="Calibri" w:eastAsia="Calibri" w:hAnsi="Calibri" w:cs="Times New Roman"/>
          <w:sz w:val="22"/>
          <w:lang w:eastAsia="en-US"/>
        </w:rPr>
      </w:pPr>
      <w:r w:rsidRPr="00C74C27">
        <w:rPr>
          <w:rFonts w:ascii="Calibri" w:eastAsia="Calibri" w:hAnsi="Calibri" w:cs="Times New Roman"/>
          <w:noProof/>
          <w:sz w:val="22"/>
          <w:lang w:eastAsia="en-US"/>
        </w:rPr>
        <w:drawing>
          <wp:inline distT="0" distB="0" distL="0" distR="0" wp14:anchorId="66BDB9CE" wp14:editId="178E0D5F">
            <wp:extent cx="5321300" cy="2247900"/>
            <wp:effectExtent l="0" t="0" r="0" b="0"/>
            <wp:docPr id="586137297" name="Chart 1">
              <a:extLst xmlns:a="http://schemas.openxmlformats.org/drawingml/2006/main">
                <a:ext uri="{FF2B5EF4-FFF2-40B4-BE49-F238E27FC236}">
                  <a16:creationId xmlns:a16="http://schemas.microsoft.com/office/drawing/2014/main" id="{54D6DA49-86FA-32BB-1753-44CFB72E42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5D121CB" w14:textId="77777777" w:rsidR="00C74C27" w:rsidRPr="00C74C27" w:rsidRDefault="00C74C27" w:rsidP="00C74C27">
      <w:pPr>
        <w:spacing w:after="160" w:line="259" w:lineRule="auto"/>
        <w:ind w:firstLine="0"/>
        <w:jc w:val="center"/>
        <w:rPr>
          <w:rFonts w:eastAsia="Calibri" w:cs="Times New Roman"/>
          <w:b/>
          <w:i/>
          <w:szCs w:val="24"/>
          <w:lang w:eastAsia="en-US"/>
        </w:rPr>
      </w:pPr>
      <w:r w:rsidRPr="00C74C27">
        <w:rPr>
          <w:rFonts w:eastAsia="Calibri" w:cs="Times New Roman"/>
          <w:b/>
          <w:i/>
          <w:szCs w:val="24"/>
          <w:lang w:eastAsia="en-US"/>
        </w:rPr>
        <w:t>1.7. att. Būvniecības izmaksu pārmaiņas pret iepriekšējā gada attiecīgo mēnesi (%)</w:t>
      </w:r>
    </w:p>
    <w:p w14:paraId="230A6175"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Būvniecības atļaujās paredzamā platība 2022. gadā samazinājās par 19,8%, ko noteica augstā bāze 2021. gada otrajā un trešajā ceturksnī (1.8. attēls). Savukārt šā gada pirmajā pusgadā būvniecības atļaujās plānotās platības augušas par 8,1%. Lielākie pieaugumi platības </w:t>
      </w:r>
      <w:r w:rsidRPr="00C74C27">
        <w:rPr>
          <w:rFonts w:eastAsia="Calibri" w:cs="Times New Roman"/>
          <w:szCs w:val="20"/>
          <w:lang w:eastAsia="en-US"/>
        </w:rPr>
        <w:lastRenderedPageBreak/>
        <w:t>ziņā ir būvatļaujās pieteiktajām biroju ēkām, ražošanas ēkām un dažādām publiskajām ēkām. Tikmēr samazinājumi ir daudzdzīvokļu ēku un tirdzniecības ēku pieteikto projektu platībās.</w:t>
      </w:r>
    </w:p>
    <w:p w14:paraId="604990E1" w14:textId="77777777" w:rsidR="00C74C27" w:rsidRPr="00C74C27" w:rsidRDefault="00C74C27" w:rsidP="00C74C27">
      <w:pPr>
        <w:spacing w:after="160" w:line="259" w:lineRule="auto"/>
        <w:ind w:firstLine="0"/>
        <w:jc w:val="center"/>
        <w:rPr>
          <w:rFonts w:ascii="Calibri" w:eastAsia="Calibri" w:hAnsi="Calibri" w:cs="Times New Roman"/>
          <w:sz w:val="22"/>
          <w:lang w:eastAsia="en-US"/>
        </w:rPr>
      </w:pPr>
      <w:r w:rsidRPr="00C74C27">
        <w:rPr>
          <w:rFonts w:ascii="Calibri" w:eastAsia="Calibri" w:hAnsi="Calibri" w:cs="Times New Roman"/>
          <w:noProof/>
          <w:sz w:val="22"/>
          <w:lang w:eastAsia="en-US"/>
        </w:rPr>
        <w:drawing>
          <wp:inline distT="0" distB="0" distL="0" distR="0" wp14:anchorId="3FA3C0D1" wp14:editId="0828DA76">
            <wp:extent cx="5274310" cy="2188210"/>
            <wp:effectExtent l="0" t="0" r="2540" b="2540"/>
            <wp:docPr id="103098582" name="Chart 1">
              <a:extLst xmlns:a="http://schemas.openxmlformats.org/drawingml/2006/main">
                <a:ext uri="{FF2B5EF4-FFF2-40B4-BE49-F238E27FC236}">
                  <a16:creationId xmlns:a16="http://schemas.microsoft.com/office/drawing/2014/main" id="{0B36C82B-775B-4051-E31D-57FEF2DE60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147FD9B" w14:textId="77777777" w:rsidR="00C74C27" w:rsidRPr="00C74C27" w:rsidRDefault="00C74C27" w:rsidP="00C74C27">
      <w:pPr>
        <w:spacing w:after="160" w:line="259" w:lineRule="auto"/>
        <w:ind w:firstLine="0"/>
        <w:jc w:val="center"/>
        <w:rPr>
          <w:rFonts w:eastAsia="Calibri" w:cs="Times New Roman"/>
          <w:b/>
          <w:i/>
          <w:szCs w:val="24"/>
          <w:lang w:eastAsia="en-US"/>
        </w:rPr>
      </w:pPr>
      <w:r w:rsidRPr="00C74C27">
        <w:rPr>
          <w:rFonts w:eastAsia="Calibri" w:cs="Times New Roman"/>
          <w:b/>
          <w:i/>
          <w:szCs w:val="24"/>
          <w:lang w:eastAsia="en-US"/>
        </w:rPr>
        <w:t>1.8. att. Izdotajās būvatļaujās paredzamā platība pa ēku veidiem (tūkst. km</w:t>
      </w:r>
      <w:r w:rsidRPr="00C74C27">
        <w:rPr>
          <w:rFonts w:eastAsia="Calibri" w:cs="Times New Roman"/>
          <w:b/>
          <w:i/>
          <w:szCs w:val="24"/>
          <w:vertAlign w:val="superscript"/>
          <w:lang w:eastAsia="en-US"/>
        </w:rPr>
        <w:t>2</w:t>
      </w:r>
      <w:r w:rsidRPr="00C74C27">
        <w:rPr>
          <w:rFonts w:eastAsia="Calibri" w:cs="Times New Roman"/>
          <w:b/>
          <w:i/>
          <w:szCs w:val="24"/>
          <w:lang w:eastAsia="en-US"/>
        </w:rPr>
        <w:t>)</w:t>
      </w:r>
    </w:p>
    <w:p w14:paraId="41D8CC12" w14:textId="39DCE16B"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Būvniecības nozari joprojām ietekmē augstās izmaksas, kas no būvdarbu uzsākšanas vairāk attur privāto sektoru, kamēr būvdarbus publiskajā sektorā veicina </w:t>
      </w:r>
      <w:r w:rsidR="000333FD">
        <w:rPr>
          <w:rFonts w:eastAsia="Calibri" w:cs="Times New Roman"/>
          <w:szCs w:val="20"/>
          <w:lang w:eastAsia="en-US"/>
        </w:rPr>
        <w:t>ES</w:t>
      </w:r>
      <w:r w:rsidRPr="00C74C27">
        <w:rPr>
          <w:rFonts w:eastAsia="Calibri" w:cs="Times New Roman"/>
          <w:szCs w:val="20"/>
          <w:lang w:eastAsia="en-US"/>
        </w:rPr>
        <w:t xml:space="preserve"> finansēto projektu realizācija. Joprojām turpinās </w:t>
      </w:r>
      <w:r w:rsidRPr="00C74C27">
        <w:rPr>
          <w:rFonts w:eastAsia="Calibri" w:cs="Times New Roman"/>
          <w:i/>
          <w:iCs/>
          <w:szCs w:val="20"/>
          <w:lang w:eastAsia="en-US"/>
        </w:rPr>
        <w:t xml:space="preserve">Rail </w:t>
      </w:r>
      <w:proofErr w:type="spellStart"/>
      <w:r w:rsidRPr="00C74C27">
        <w:rPr>
          <w:rFonts w:eastAsia="Calibri" w:cs="Times New Roman"/>
          <w:i/>
          <w:iCs/>
          <w:szCs w:val="20"/>
          <w:lang w:eastAsia="en-US"/>
        </w:rPr>
        <w:t>Baltica</w:t>
      </w:r>
      <w:proofErr w:type="spellEnd"/>
      <w:r w:rsidRPr="00C74C27">
        <w:rPr>
          <w:rFonts w:eastAsia="Calibri" w:cs="Times New Roman"/>
          <w:szCs w:val="20"/>
          <w:lang w:eastAsia="en-US"/>
        </w:rPr>
        <w:t xml:space="preserve"> būvniecība, kā arī vairāku daudzdzīvokļu namu kompleksu būvniecība un citi apjomīgi projekti. Būvniecības sektors turpina pielāgoties jaunajiem apstākļiem, jaunās biroju ēkas pielāgojot pašreizējam pieprasījumam. Liela daļa uzņēmumu pēc pandēmijas piedāvā darbu attālināti, tādējādi pieprasījums pēc biroju platībām ir mazinājies, kā rezultātā tiek mainīts ēku ekspluatācijas mērķis, piemēram, paredzētajā biroju ēkā izbūvējot dzīvokļus. Taču arī pieprasījums pēc dzīvokļiem jaunajos projektos ir mazinājies, krasi pieaugot </w:t>
      </w:r>
      <w:proofErr w:type="spellStart"/>
      <w:r w:rsidRPr="00C74C27">
        <w:rPr>
          <w:rFonts w:eastAsia="Calibri" w:cs="Times New Roman"/>
          <w:i/>
          <w:iCs/>
          <w:szCs w:val="20"/>
          <w:lang w:eastAsia="en-US"/>
        </w:rPr>
        <w:t>Euribor</w:t>
      </w:r>
      <w:proofErr w:type="spellEnd"/>
      <w:r w:rsidRPr="00C74C27">
        <w:rPr>
          <w:rFonts w:eastAsia="Calibri" w:cs="Times New Roman"/>
          <w:szCs w:val="20"/>
          <w:lang w:eastAsia="en-US"/>
        </w:rPr>
        <w:t xml:space="preserve"> likmēm, kas attur potenciālos klientus no kredītsaistību uzņemšanās.</w:t>
      </w:r>
    </w:p>
    <w:p w14:paraId="3519A130" w14:textId="77777777" w:rsidR="00C74C27" w:rsidRPr="000D1EEF" w:rsidRDefault="00C74C27" w:rsidP="006F1373">
      <w:pPr>
        <w:pStyle w:val="H5"/>
      </w:pPr>
      <w:r w:rsidRPr="000D1EEF">
        <w:t>Finanšu un apdrošināšanas nozare</w:t>
      </w:r>
    </w:p>
    <w:p w14:paraId="33497ACA"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Pēc samērā veiksmīgā 2021. gada, kad pēc iepriekšējos gados finanšu un apdrošināšanas nozarē vērotā pievienotās vērtības krituma nozares pievienotā vērtība salīdzināmās cenās palielinājās par 16,0%, 2022. gads nebija tik veiksmīgs, nozares pievienotajai vērtībai 2022. gadā samazinoties par 6,0%. 2023. gads ir sācies bez turpmāka nozares darbības rādītāju pasliktinājuma. </w:t>
      </w:r>
      <w:bookmarkStart w:id="6" w:name="_Hlk147133093"/>
      <w:r w:rsidRPr="00C74C27">
        <w:rPr>
          <w:rFonts w:eastAsia="Calibri" w:cs="Times New Roman"/>
          <w:szCs w:val="20"/>
          <w:lang w:eastAsia="en-US"/>
        </w:rPr>
        <w:t>2023. gada 1. un 2. ceturksnī nozares bruto pievienotā vērtība procentos no kopapjoma (nekoriģēti dati, faktiskajās cenās) bija attiecīgi 3,8% un 4,0%, kas ir vairāk kā attiecīgajos 2022. gada pirmajos divos ceturkšņos - 3,2% un 2,8</w:t>
      </w:r>
      <w:bookmarkStart w:id="7" w:name="_Hlk146812118"/>
      <w:r w:rsidRPr="00C74C27">
        <w:rPr>
          <w:rFonts w:eastAsia="Calibri" w:cs="Times New Roman"/>
          <w:szCs w:val="20"/>
          <w:lang w:eastAsia="en-US"/>
        </w:rPr>
        <w:t xml:space="preserve">%, un salīdzināmās cenās pret pagājušā gada pirmo pusi nozares pievienotā vērtība palielinājās par 0,5%. </w:t>
      </w:r>
      <w:bookmarkEnd w:id="6"/>
      <w:r w:rsidRPr="00C74C27">
        <w:rPr>
          <w:rFonts w:eastAsia="Calibri" w:cs="Times New Roman"/>
          <w:szCs w:val="20"/>
          <w:lang w:eastAsia="en-US"/>
        </w:rPr>
        <w:t xml:space="preserve">Līdz ar to var secināt, ka </w:t>
      </w:r>
      <w:bookmarkEnd w:id="7"/>
      <w:r w:rsidRPr="00C74C27">
        <w:rPr>
          <w:rFonts w:eastAsia="Calibri" w:cs="Times New Roman"/>
          <w:szCs w:val="20"/>
          <w:lang w:eastAsia="en-US"/>
        </w:rPr>
        <w:t>Krievijas sāktais karš Ukrainā nav būtiski ietekmējis nozares darbību, tomēr tas ir radījis negatīvu fonu kopējai nozares attīstībai.</w:t>
      </w:r>
    </w:p>
    <w:p w14:paraId="24F874BF"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To apliecina arī banku bilanču dati, jo kreditēšana turpināja būt vāja, tajā skaitā uz kopējā Baltijas valstu fona stabili ieņemot pēdējo vietu jau kopš 2014. gada. Ja 2022. gads </w:t>
      </w:r>
      <w:proofErr w:type="spellStart"/>
      <w:r w:rsidRPr="00C74C27">
        <w:rPr>
          <w:rFonts w:eastAsia="Calibri" w:cs="Times New Roman"/>
          <w:szCs w:val="20"/>
          <w:lang w:eastAsia="en-US"/>
        </w:rPr>
        <w:t>jaunizsniegto</w:t>
      </w:r>
      <w:proofErr w:type="spellEnd"/>
      <w:r w:rsidRPr="00C74C27">
        <w:rPr>
          <w:rFonts w:eastAsia="Calibri" w:cs="Times New Roman"/>
          <w:szCs w:val="20"/>
          <w:lang w:eastAsia="en-US"/>
        </w:rPr>
        <w:t xml:space="preserve"> kredītu segmentā uzrādīja nelielus pieaugumus visās kategorijās, izņemot kredītus mājsaimniecībām mājokļa iegādei, tad 2023. gads ir sācies ar stabilu kritumu un 2023. gada pirmajos septiņos mēnešos, salīdzinot ar attiecīgo  periodu pērn, kritums ir gan kredītiem mājsaimniecībām mājokļa iegādei (-16,0%), gan kredītiem </w:t>
      </w:r>
      <w:proofErr w:type="spellStart"/>
      <w:r w:rsidRPr="00C74C27">
        <w:rPr>
          <w:rFonts w:eastAsia="Calibri" w:cs="Times New Roman"/>
          <w:szCs w:val="20"/>
          <w:lang w:eastAsia="en-US"/>
        </w:rPr>
        <w:t>nefinanšu</w:t>
      </w:r>
      <w:proofErr w:type="spellEnd"/>
      <w:r w:rsidRPr="00C74C27">
        <w:rPr>
          <w:rFonts w:eastAsia="Calibri" w:cs="Times New Roman"/>
          <w:szCs w:val="20"/>
          <w:lang w:eastAsia="en-US"/>
        </w:rPr>
        <w:t xml:space="preserve"> sabiedrībām (-11,2%), gan pārējiem kredītiem mājsaimniecībām (-27,8%). Vienīgā </w:t>
      </w:r>
      <w:proofErr w:type="spellStart"/>
      <w:r w:rsidRPr="00C74C27">
        <w:rPr>
          <w:rFonts w:eastAsia="Calibri" w:cs="Times New Roman"/>
          <w:szCs w:val="20"/>
          <w:lang w:eastAsia="en-US"/>
        </w:rPr>
        <w:t>jaunizsniegto</w:t>
      </w:r>
      <w:proofErr w:type="spellEnd"/>
      <w:r w:rsidRPr="00C74C27">
        <w:rPr>
          <w:rFonts w:eastAsia="Calibri" w:cs="Times New Roman"/>
          <w:szCs w:val="20"/>
          <w:lang w:eastAsia="en-US"/>
        </w:rPr>
        <w:t xml:space="preserve"> kredītu kategorija, kas uzrāda pieaugumu, ir patēriņa kredīti mājsaimniecībām un šā gada pirmajos septiņos mēnešos ir izsniegti par 28,8% vairāk kredīti nekā pagājušā gada attiecīgajā periodā. Pie tam, sarūkot kopējam </w:t>
      </w:r>
      <w:proofErr w:type="spellStart"/>
      <w:r w:rsidRPr="00C74C27">
        <w:rPr>
          <w:rFonts w:eastAsia="Calibri" w:cs="Times New Roman"/>
          <w:szCs w:val="20"/>
          <w:lang w:eastAsia="en-US"/>
        </w:rPr>
        <w:t>jaunizsniegto</w:t>
      </w:r>
      <w:proofErr w:type="spellEnd"/>
      <w:r w:rsidRPr="00C74C27">
        <w:rPr>
          <w:rFonts w:eastAsia="Calibri" w:cs="Times New Roman"/>
          <w:szCs w:val="20"/>
          <w:lang w:eastAsia="en-US"/>
        </w:rPr>
        <w:t xml:space="preserve"> mājokļu kredītu apjomam, samazinās arī ar valsts attīstības finanšu institūcijas ALTUM garantijām izsniegto mājokļu kredītu daļa jaunajām ģimenēm, jaunajiem speciālistiem un Nacionālo bruņoto spēku karavīriem. Ja 2020. un 2021. </w:t>
      </w:r>
      <w:r w:rsidRPr="00C74C27">
        <w:rPr>
          <w:rFonts w:eastAsia="Calibri" w:cs="Times New Roman"/>
          <w:szCs w:val="20"/>
          <w:lang w:eastAsia="en-US"/>
        </w:rPr>
        <w:lastRenderedPageBreak/>
        <w:t xml:space="preserve">gadā ar ALTUM atbalstu tika izsniegti 49,5 % no kopējiem </w:t>
      </w:r>
      <w:proofErr w:type="spellStart"/>
      <w:r w:rsidRPr="00C74C27">
        <w:rPr>
          <w:rFonts w:eastAsia="Calibri" w:cs="Times New Roman"/>
          <w:szCs w:val="20"/>
          <w:lang w:eastAsia="en-US"/>
        </w:rPr>
        <w:t>jaunizsniegtajiem</w:t>
      </w:r>
      <w:proofErr w:type="spellEnd"/>
      <w:r w:rsidRPr="00C74C27">
        <w:rPr>
          <w:rFonts w:eastAsia="Calibri" w:cs="Times New Roman"/>
          <w:szCs w:val="20"/>
          <w:lang w:eastAsia="en-US"/>
        </w:rPr>
        <w:t xml:space="preserve"> kredītiem, tad 2022. gadā ALTUM daļa jau bija samazinājusies līdz 43%, savukārt 2023. gada septiņos mēnešos tā saruka līdz 39,1% no kopējiem </w:t>
      </w:r>
      <w:proofErr w:type="spellStart"/>
      <w:r w:rsidRPr="00C74C27">
        <w:rPr>
          <w:rFonts w:eastAsia="Calibri" w:cs="Times New Roman"/>
          <w:szCs w:val="20"/>
          <w:lang w:eastAsia="en-US"/>
        </w:rPr>
        <w:t>jaunizsniegtajiem</w:t>
      </w:r>
      <w:proofErr w:type="spellEnd"/>
      <w:r w:rsidRPr="00C74C27">
        <w:rPr>
          <w:rFonts w:eastAsia="Calibri" w:cs="Times New Roman"/>
          <w:szCs w:val="20"/>
          <w:lang w:eastAsia="en-US"/>
        </w:rPr>
        <w:t xml:space="preserve"> mājokļa kredītiem. </w:t>
      </w:r>
    </w:p>
    <w:p w14:paraId="6AA3834C" w14:textId="77777777" w:rsidR="00C74C27" w:rsidRPr="00C74C27" w:rsidRDefault="00C74C27" w:rsidP="00C74C27">
      <w:pPr>
        <w:spacing w:after="160" w:line="259" w:lineRule="auto"/>
        <w:ind w:firstLine="0"/>
        <w:jc w:val="center"/>
        <w:rPr>
          <w:rFonts w:eastAsia="Calibri" w:cs="Times New Roman"/>
          <w:szCs w:val="24"/>
          <w:highlight w:val="yellow"/>
          <w:lang w:eastAsia="en-US"/>
        </w:rPr>
      </w:pPr>
      <w:r w:rsidRPr="00C74C27">
        <w:rPr>
          <w:rFonts w:eastAsia="Times New Roman" w:cs="Times New Roman"/>
          <w:b/>
          <w:iCs/>
          <w:noProof/>
          <w:szCs w:val="24"/>
        </w:rPr>
        <w:drawing>
          <wp:inline distT="0" distB="0" distL="0" distR="0" wp14:anchorId="22518DC0" wp14:editId="2DB7D106">
            <wp:extent cx="5278120" cy="2104075"/>
            <wp:effectExtent l="0" t="0" r="0" b="0"/>
            <wp:docPr id="12" name="Chart 1">
              <a:extLst xmlns:a="http://schemas.openxmlformats.org/drawingml/2006/main">
                <a:ext uri="{FF2B5EF4-FFF2-40B4-BE49-F238E27FC236}">
                  <a16:creationId xmlns:a16="http://schemas.microsoft.com/office/drawing/2014/main" id="{7A180801-A3B9-4FB1-B4B4-A786BFE4FA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DF0F87E" w14:textId="77777777" w:rsidR="00C74C27" w:rsidRPr="00C74C27" w:rsidRDefault="00C74C27" w:rsidP="00C74C27">
      <w:pPr>
        <w:spacing w:before="120"/>
        <w:ind w:firstLine="0"/>
        <w:jc w:val="center"/>
        <w:rPr>
          <w:rFonts w:eastAsia="Calibri" w:cs="Times New Roman"/>
          <w:b/>
          <w:szCs w:val="24"/>
          <w:lang w:eastAsia="en-US"/>
        </w:rPr>
      </w:pPr>
      <w:r w:rsidRPr="00C74C27">
        <w:rPr>
          <w:rFonts w:eastAsia="Calibri" w:cs="Times New Roman"/>
          <w:b/>
          <w:i/>
          <w:szCs w:val="24"/>
          <w:lang w:eastAsia="en-US"/>
        </w:rPr>
        <w:t xml:space="preserve">1.9. att. Rezidentiem izsniegtie jaunie kredīti (bez refinansētiem kredītiem, milj. </w:t>
      </w:r>
      <w:proofErr w:type="spellStart"/>
      <w:r w:rsidRPr="00C74C27">
        <w:rPr>
          <w:rFonts w:eastAsia="Calibri" w:cs="Times New Roman"/>
          <w:b/>
          <w:i/>
          <w:iCs/>
          <w:szCs w:val="24"/>
          <w:lang w:eastAsia="en-US"/>
        </w:rPr>
        <w:t>euro</w:t>
      </w:r>
      <w:proofErr w:type="spellEnd"/>
      <w:r w:rsidRPr="00C74C27">
        <w:rPr>
          <w:rFonts w:eastAsia="Calibri" w:cs="Times New Roman"/>
          <w:b/>
          <w:i/>
          <w:szCs w:val="24"/>
          <w:lang w:eastAsia="en-US"/>
        </w:rPr>
        <w:t>)</w:t>
      </w:r>
    </w:p>
    <w:p w14:paraId="4079B33E" w14:textId="495778AB" w:rsidR="00C74C27" w:rsidRPr="00C74C27" w:rsidRDefault="00C74C27" w:rsidP="00C74C27">
      <w:pPr>
        <w:rPr>
          <w:rFonts w:eastAsia="Calibri" w:cs="Times New Roman"/>
          <w:szCs w:val="20"/>
          <w:lang w:eastAsia="en-US"/>
        </w:rPr>
      </w:pPr>
      <w:r w:rsidRPr="00C74C27">
        <w:rPr>
          <w:rFonts w:eastAsia="Calibri" w:cs="Times New Roman"/>
          <w:szCs w:val="20"/>
          <w:lang w:eastAsia="en-US"/>
        </w:rPr>
        <w:t>Tajā pašā laikā augošās procentu likmes ir ļāvušas bankām kāpināt peļņas apjomus un 2023. gada pirmajos septiņos mēnešos</w:t>
      </w:r>
      <w:r w:rsidR="00B22457">
        <w:rPr>
          <w:rFonts w:eastAsia="Calibri" w:cs="Times New Roman"/>
          <w:szCs w:val="20"/>
          <w:lang w:eastAsia="en-US"/>
        </w:rPr>
        <w:t>,</w:t>
      </w:r>
      <w:r w:rsidRPr="00C74C27">
        <w:rPr>
          <w:rFonts w:eastAsia="Calibri" w:cs="Times New Roman"/>
          <w:szCs w:val="20"/>
          <w:lang w:eastAsia="en-US"/>
        </w:rPr>
        <w:t xml:space="preserve"> saskaņā ar Latvijas Bankas datiem</w:t>
      </w:r>
      <w:r w:rsidR="00B22457">
        <w:rPr>
          <w:rFonts w:eastAsia="Calibri" w:cs="Times New Roman"/>
          <w:szCs w:val="20"/>
          <w:lang w:eastAsia="en-US"/>
        </w:rPr>
        <w:t>,</w:t>
      </w:r>
      <w:r w:rsidRPr="00C74C27">
        <w:rPr>
          <w:rFonts w:eastAsia="Calibri" w:cs="Times New Roman"/>
          <w:szCs w:val="20"/>
          <w:lang w:eastAsia="en-US"/>
        </w:rPr>
        <w:t xml:space="preserve"> banku neauditēt</w:t>
      </w:r>
      <w:r w:rsidR="005C18B4">
        <w:rPr>
          <w:rFonts w:eastAsia="Calibri" w:cs="Times New Roman"/>
          <w:szCs w:val="20"/>
          <w:lang w:eastAsia="en-US"/>
        </w:rPr>
        <w:t>ā</w:t>
      </w:r>
      <w:r w:rsidRPr="00C74C27">
        <w:rPr>
          <w:rFonts w:eastAsia="Calibri" w:cs="Times New Roman"/>
          <w:szCs w:val="20"/>
          <w:lang w:eastAsia="en-US"/>
        </w:rPr>
        <w:t xml:space="preserve"> peļņa ir vairāk nekā 2,5 reizes lielāka (+157%) kā pērn šajā laika periodā, sasniedzot 400,4 </w:t>
      </w:r>
      <w:r w:rsidR="00605007">
        <w:rPr>
          <w:rFonts w:eastAsia="Calibri" w:cs="Times New Roman"/>
          <w:szCs w:val="20"/>
          <w:lang w:eastAsia="en-US"/>
        </w:rPr>
        <w:t>milj.</w:t>
      </w:r>
      <w:r w:rsidRPr="00C74C27">
        <w:rPr>
          <w:rFonts w:eastAsia="Calibri" w:cs="Times New Roman"/>
          <w:szCs w:val="20"/>
          <w:lang w:eastAsia="en-US"/>
        </w:rPr>
        <w:t xml:space="preserve">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Pozitīvi ir tas, ka </w:t>
      </w:r>
      <w:r w:rsidR="000333FD">
        <w:rPr>
          <w:rFonts w:eastAsia="Calibri" w:cs="Times New Roman"/>
          <w:szCs w:val="20"/>
          <w:lang w:eastAsia="en-US"/>
        </w:rPr>
        <w:t xml:space="preserve">šā gada </w:t>
      </w:r>
      <w:r w:rsidRPr="00C74C27">
        <w:rPr>
          <w:rFonts w:eastAsia="Calibri" w:cs="Times New Roman"/>
          <w:szCs w:val="20"/>
          <w:lang w:eastAsia="en-US"/>
        </w:rPr>
        <w:t>pirmā un otrā ceturkšņa kredītu kvalitātes rādītāji neuzrāda pasliktinājumu, par ko bija bažas 2022. gada nogalē.</w:t>
      </w:r>
    </w:p>
    <w:p w14:paraId="17DE3794" w14:textId="62CF244B"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Iepriekšējos gados veiktās reformas attiecībā uz biznesa modeļu maiņu un atteikšanos no riskantiem nerezidentu noguldījumiem ir turpinājušās un rezidentu, tajā skaitā mājsaimniecību un uzņēmumu noguldījumu apjoms ir turpinājis kāpt visu 2022. gadu. Taču kopš 2023. gada sākuma noguldījumu apjoms ir gandrīz nemainīgs un pat nedaudz lejupvērsts, lai arī jūlijā depozītu apjoms bija par 5,3% lielāks nekā gadu iepriekš. Tajā skaitā mājsaimniecību noguldījumi veidoja 9,9 </w:t>
      </w:r>
      <w:r w:rsidR="008F3BBC" w:rsidRPr="008F3BBC">
        <w:rPr>
          <w:rFonts w:eastAsia="Calibri" w:cs="Times New Roman"/>
          <w:szCs w:val="20"/>
          <w:lang w:eastAsia="en-US"/>
        </w:rPr>
        <w:t>mljrd.</w:t>
      </w:r>
      <w:r w:rsidRPr="00C74C27">
        <w:rPr>
          <w:rFonts w:eastAsia="Calibri" w:cs="Times New Roman"/>
          <w:szCs w:val="20"/>
          <w:lang w:eastAsia="en-US"/>
        </w:rPr>
        <w:t xml:space="preserve">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kas bija par 0,8% vairāk nekā pirms gada, bet uzņēmumu noguldījumi sasniedza 6,9 </w:t>
      </w:r>
      <w:r w:rsidR="008F3BBC" w:rsidRPr="008F3BBC">
        <w:rPr>
          <w:rFonts w:eastAsia="Calibri" w:cs="Times New Roman"/>
          <w:szCs w:val="20"/>
          <w:lang w:eastAsia="en-US"/>
        </w:rPr>
        <w:t>mljrd.</w:t>
      </w:r>
      <w:r w:rsidRPr="00C74C27">
        <w:rPr>
          <w:rFonts w:eastAsia="Calibri" w:cs="Times New Roman"/>
          <w:szCs w:val="20"/>
          <w:lang w:eastAsia="en-US"/>
        </w:rPr>
        <w:t xml:space="preserve">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gada laikā palielinoties par 13,3%.</w:t>
      </w:r>
    </w:p>
    <w:p w14:paraId="4306EB61"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 Noguldījumu stabilizēšanās tendence visticamāk ir saistīta ar pieaugušo inflāciju, tajā skaitā energoresursu un komunālo maksājumu cenu kāpumu, kas nav ļāvis iedzīvotājiem turpināt palielināt uzkrājumus tādā pašā apmērā kā iepriekšējos periodos.</w:t>
      </w:r>
    </w:p>
    <w:p w14:paraId="7B80AE11" w14:textId="77777777" w:rsidR="00C74C27" w:rsidRPr="00C74C27" w:rsidRDefault="00C74C27" w:rsidP="00C74C27">
      <w:pPr>
        <w:ind w:firstLine="0"/>
        <w:jc w:val="center"/>
        <w:rPr>
          <w:rFonts w:eastAsia="Calibri" w:cs="Times New Roman"/>
          <w:szCs w:val="20"/>
          <w:lang w:eastAsia="en-US"/>
        </w:rPr>
      </w:pPr>
      <w:r w:rsidRPr="00C74C27">
        <w:rPr>
          <w:rFonts w:eastAsia="Times New Roman" w:cs="Times New Roman"/>
          <w:b/>
          <w:iCs/>
          <w:noProof/>
          <w:szCs w:val="24"/>
        </w:rPr>
        <w:drawing>
          <wp:inline distT="0" distB="0" distL="0" distR="0" wp14:anchorId="7FDA9796" wp14:editId="7FF64F79">
            <wp:extent cx="5226050" cy="2133600"/>
            <wp:effectExtent l="0" t="0" r="0" b="0"/>
            <wp:docPr id="1385383731" name="Chart 1385383731">
              <a:extLst xmlns:a="http://schemas.openxmlformats.org/drawingml/2006/main">
                <a:ext uri="{FF2B5EF4-FFF2-40B4-BE49-F238E27FC236}">
                  <a16:creationId xmlns:a16="http://schemas.microsoft.com/office/drawing/2014/main" id="{6D3B48E5-0C3F-42D3-9206-447C371084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2A2CD78" w14:textId="77777777" w:rsidR="00C74C27" w:rsidRPr="00C74C27" w:rsidRDefault="00C74C27" w:rsidP="00C74C27">
      <w:pPr>
        <w:ind w:firstLine="0"/>
        <w:jc w:val="center"/>
        <w:rPr>
          <w:rFonts w:eastAsia="Calibri" w:cs="Times New Roman"/>
          <w:b/>
          <w:i/>
          <w:szCs w:val="24"/>
          <w:lang w:eastAsia="en-US"/>
        </w:rPr>
      </w:pPr>
      <w:r w:rsidRPr="00C74C27">
        <w:rPr>
          <w:rFonts w:eastAsia="Calibri" w:cs="Times New Roman"/>
          <w:b/>
          <w:i/>
          <w:szCs w:val="24"/>
          <w:lang w:eastAsia="en-US"/>
        </w:rPr>
        <w:t xml:space="preserve">1.10. att. Nerezidentu un rezidentu noguldījumi Latvijas bankās (milj. </w:t>
      </w:r>
      <w:proofErr w:type="spellStart"/>
      <w:r w:rsidRPr="00C74C27">
        <w:rPr>
          <w:rFonts w:eastAsia="Calibri" w:cs="Times New Roman"/>
          <w:b/>
          <w:i/>
          <w:iCs/>
          <w:szCs w:val="24"/>
          <w:lang w:eastAsia="en-US"/>
        </w:rPr>
        <w:t>euro</w:t>
      </w:r>
      <w:proofErr w:type="spellEnd"/>
      <w:r w:rsidRPr="00C74C27">
        <w:rPr>
          <w:rFonts w:eastAsia="Calibri" w:cs="Times New Roman"/>
          <w:b/>
          <w:i/>
          <w:szCs w:val="24"/>
          <w:lang w:eastAsia="en-US"/>
        </w:rPr>
        <w:t>)</w:t>
      </w:r>
    </w:p>
    <w:p w14:paraId="0AB141D9" w14:textId="77777777" w:rsidR="00C74C27" w:rsidRPr="00C74C27" w:rsidRDefault="00C74C27" w:rsidP="00C74C27">
      <w:pPr>
        <w:rPr>
          <w:rFonts w:eastAsia="Calibri" w:cs="Times New Roman"/>
          <w:b/>
          <w:i/>
          <w:szCs w:val="24"/>
          <w:lang w:eastAsia="en-US"/>
        </w:rPr>
      </w:pPr>
    </w:p>
    <w:p w14:paraId="230F669A" w14:textId="77777777" w:rsidR="00782B6B" w:rsidRDefault="00782B6B" w:rsidP="00C74C27">
      <w:pPr>
        <w:rPr>
          <w:rFonts w:eastAsia="Calibri" w:cs="Arial"/>
          <w:b/>
          <w:bCs/>
          <w:noProof/>
          <w:szCs w:val="24"/>
        </w:rPr>
      </w:pPr>
    </w:p>
    <w:p w14:paraId="4D37DFB9" w14:textId="75C1B37B" w:rsidR="00C74C27" w:rsidRPr="000D1EEF" w:rsidRDefault="00C74C27" w:rsidP="006F1373">
      <w:pPr>
        <w:pStyle w:val="H5"/>
      </w:pPr>
      <w:r w:rsidRPr="000D1EEF">
        <w:lastRenderedPageBreak/>
        <w:t>Lauksaimniecība</w:t>
      </w:r>
    </w:p>
    <w:p w14:paraId="738E9764" w14:textId="77777777" w:rsidR="00C74C27" w:rsidRPr="00C74C27" w:rsidRDefault="00C74C27" w:rsidP="00C74C27">
      <w:pPr>
        <w:rPr>
          <w:rFonts w:eastAsia="Calibri" w:cs="Times New Roman"/>
          <w:szCs w:val="20"/>
          <w:lang w:eastAsia="en-US"/>
        </w:rPr>
      </w:pPr>
      <w:bookmarkStart w:id="8" w:name="_Toc126044010"/>
      <w:r w:rsidRPr="00C74C27">
        <w:rPr>
          <w:rFonts w:eastAsia="Calibri" w:cs="Times New Roman"/>
          <w:szCs w:val="20"/>
          <w:lang w:eastAsia="en-US"/>
        </w:rPr>
        <w:t>Lauksaimniecības nozarē ietilpst mežsaimniecība, lopkopība un augkopība, kā arī zivsaimniecība. Ja zivsaimniecības īpatsvars ir neliels, 2022. gadā aizņemot 3% no kopējās nozares, atlikušos 97% sadala lopkopība un augkopība - 52% un mežsaimniecība - 45% no nozares.</w:t>
      </w:r>
    </w:p>
    <w:p w14:paraId="4052D9B4"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Augkopības produkcija 2022. gadā bijusi par 3,7% lielāka kā 2021. gadā, taču vislabākās ražas gadi bijuši 2019. un 2020. gads (1.11. attēls). Arī šogad augkopības, galvenokārt graudu raža, gaidāma zem pēdējo gadu vidējiem apjomiem, ko ietekmēja gan sausā vasara, gan vētras atsevišķos Latvijas reģionos, turklāt laikapstākļi daudzviet pasliktinājās tieši labības novākšanas laikā. Savukārt lopkopības produkcija ik gadu pieaug kopš 2018. gada, un arī 2022. gadā tā palielinājusies par 0,2%.</w:t>
      </w:r>
    </w:p>
    <w:p w14:paraId="4576AA54" w14:textId="77777777" w:rsidR="00C74C27" w:rsidRPr="00C74C27" w:rsidRDefault="00C74C27" w:rsidP="00C74C27">
      <w:pPr>
        <w:spacing w:after="0" w:line="259" w:lineRule="auto"/>
        <w:ind w:firstLine="0"/>
        <w:jc w:val="center"/>
        <w:rPr>
          <w:rFonts w:eastAsia="Calibri" w:cs="Times New Roman"/>
          <w:kern w:val="2"/>
          <w:szCs w:val="24"/>
          <w:lang w:eastAsia="en-US"/>
          <w14:ligatures w14:val="standardContextual"/>
        </w:rPr>
      </w:pPr>
      <w:r w:rsidRPr="00C74C27">
        <w:rPr>
          <w:rFonts w:eastAsia="Calibri" w:cs="Times New Roman"/>
          <w:noProof/>
          <w:kern w:val="2"/>
          <w:szCs w:val="24"/>
          <w:lang w:eastAsia="en-US"/>
          <w14:ligatures w14:val="standardContextual"/>
        </w:rPr>
        <w:drawing>
          <wp:inline distT="0" distB="0" distL="0" distR="0" wp14:anchorId="2753CA12" wp14:editId="547BEAC8">
            <wp:extent cx="5276850" cy="2543175"/>
            <wp:effectExtent l="0" t="0" r="0" b="0"/>
            <wp:docPr id="1"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4712D7B" w14:textId="77777777" w:rsidR="00C74C27" w:rsidRPr="00C74C27" w:rsidRDefault="00C74C27" w:rsidP="00C74C27">
      <w:pPr>
        <w:spacing w:before="120" w:after="0"/>
        <w:ind w:firstLine="0"/>
        <w:jc w:val="center"/>
        <w:rPr>
          <w:rFonts w:eastAsia="Calibri" w:cs="Times New Roman"/>
          <w:b/>
          <w:i/>
          <w:szCs w:val="24"/>
          <w:lang w:eastAsia="en-US"/>
        </w:rPr>
      </w:pPr>
      <w:r w:rsidRPr="00C74C27">
        <w:rPr>
          <w:rFonts w:eastAsia="Calibri" w:cs="Times New Roman"/>
          <w:b/>
          <w:i/>
          <w:szCs w:val="24"/>
          <w:lang w:eastAsia="en-US"/>
        </w:rPr>
        <w:t>1.11. att. Lauksaimniecības produkcijas indeksi (salīdzināmajās cenās, 2015=100)</w:t>
      </w:r>
    </w:p>
    <w:p w14:paraId="34EAC723" w14:textId="77777777" w:rsidR="00C74C27" w:rsidRPr="00C74C27" w:rsidRDefault="00C74C27" w:rsidP="00C74C27">
      <w:pPr>
        <w:spacing w:before="120"/>
        <w:rPr>
          <w:rFonts w:eastAsia="Calibri" w:cs="Times New Roman"/>
          <w:szCs w:val="20"/>
          <w:lang w:eastAsia="en-US"/>
        </w:rPr>
      </w:pPr>
      <w:r w:rsidRPr="00C74C27">
        <w:rPr>
          <w:rFonts w:eastAsia="Calibri" w:cs="Times New Roman"/>
          <w:szCs w:val="20"/>
          <w:lang w:eastAsia="en-US"/>
        </w:rPr>
        <w:t>Līdzīgi kā visās tautsaimniecības nozarēs, arī lauksaimniecības produkcija 2022. gadā kļuva dārgāka, salīdzinot ar 2021. gadu (1.12. attēls). Kopējo pieaugumu par 33,9% noteica gan minerālmēslu, gan degvielas, gan energoresursu sadārdzinājumi. Piena produkcijas cenas 2022. gadā auga par 47,8%, lopkopības produkcijas cenas pieauga par 41,3%, bet augkopības – par 30,9%. Arī šā gada pirmajā ceturksnī cenas vēl auga, taču otrajā ceturksnī jau bijusi ievērojama produkcijas cenu samazināšanās pret pērnā gada attiecīgo periodu, kas samazināja cenas arī pirmajā pusgadā kopā. Šā gada pirmajā pusē pret pērnā gada pirmo pusi lauksaimniecības produkcijas cenas samazinājās par 2,2%, tostarp pienam par 20,3%, lopkopības produkcijai par 0,9%, bet augkopības produkcijai par 4,5%. Tomēr ne visām produkcijas grupām cenas ir samazinājušās. Cenas šā gada pirmajā pusgadā turpina augt tādiem produktiem kā cūkgaļa, mājputnu gaļa un dārzeņi.</w:t>
      </w:r>
    </w:p>
    <w:p w14:paraId="2DE66282" w14:textId="77777777" w:rsidR="00C74C27" w:rsidRPr="00C74C27" w:rsidRDefault="00C74C27" w:rsidP="00C74C27">
      <w:pPr>
        <w:spacing w:after="0" w:line="259" w:lineRule="auto"/>
        <w:ind w:firstLine="0"/>
        <w:jc w:val="center"/>
        <w:rPr>
          <w:rFonts w:eastAsia="Calibri" w:cs="Times New Roman"/>
          <w:kern w:val="2"/>
          <w:szCs w:val="24"/>
          <w:lang w:eastAsia="en-US"/>
          <w14:ligatures w14:val="standardContextual"/>
        </w:rPr>
      </w:pPr>
      <w:r w:rsidRPr="00C74C27">
        <w:rPr>
          <w:rFonts w:eastAsia="Calibri" w:cs="Times New Roman"/>
          <w:noProof/>
          <w:kern w:val="2"/>
          <w:szCs w:val="24"/>
          <w:lang w:eastAsia="en-US"/>
          <w14:ligatures w14:val="standardContextual"/>
        </w:rPr>
        <w:lastRenderedPageBreak/>
        <w:drawing>
          <wp:inline distT="0" distB="0" distL="0" distR="0" wp14:anchorId="30EAD71E" wp14:editId="3C4B7948">
            <wp:extent cx="5274310" cy="2286000"/>
            <wp:effectExtent l="0" t="0" r="2540" b="0"/>
            <wp:docPr id="226317682" name="Chart 226317682">
              <a:extLst xmlns:a="http://schemas.openxmlformats.org/drawingml/2006/main">
                <a:ext uri="{FF2B5EF4-FFF2-40B4-BE49-F238E27FC236}">
                  <a16:creationId xmlns:a16="http://schemas.microsoft.com/office/drawing/2014/main" id="{E8D40D69-9568-4B8C-B0E5-F1B2167496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A5DD211" w14:textId="77777777" w:rsidR="00C74C27" w:rsidRPr="00C74C27" w:rsidRDefault="00C74C27" w:rsidP="00C74C27">
      <w:pPr>
        <w:spacing w:before="120" w:after="0"/>
        <w:ind w:firstLine="0"/>
        <w:jc w:val="center"/>
        <w:rPr>
          <w:rFonts w:eastAsia="Times New Roman" w:cs="Times New Roman"/>
          <w:b/>
          <w:i/>
          <w:szCs w:val="24"/>
        </w:rPr>
      </w:pPr>
      <w:r w:rsidRPr="00C74C27">
        <w:rPr>
          <w:rFonts w:eastAsia="Times New Roman" w:cs="Times New Roman"/>
          <w:b/>
          <w:i/>
          <w:szCs w:val="24"/>
        </w:rPr>
        <w:t>1.12. att. Lauksaimniecības produkcijas cenu indeksi 2015=100</w:t>
      </w:r>
    </w:p>
    <w:p w14:paraId="7C50C2E5" w14:textId="77777777" w:rsidR="00C74C27" w:rsidRPr="00C74C27" w:rsidRDefault="00C74C27" w:rsidP="00C74C27">
      <w:pPr>
        <w:spacing w:before="120"/>
        <w:rPr>
          <w:rFonts w:eastAsia="Calibri" w:cs="Times New Roman"/>
          <w:szCs w:val="20"/>
          <w:lang w:eastAsia="en-US"/>
        </w:rPr>
      </w:pPr>
      <w:r w:rsidRPr="00C74C27">
        <w:rPr>
          <w:rFonts w:eastAsia="Calibri" w:cs="Times New Roman"/>
          <w:szCs w:val="20"/>
          <w:lang w:eastAsia="en-US"/>
        </w:rPr>
        <w:t xml:space="preserve">Latvijas mežsaimniecības nozarē apaļkoki 2022. gadā ražoti par 3,9% mazāk kā 2021. gadā, kurināmā koksne ražota 2021. gada līmenī (-0,1%), tikmēr šķelda un </w:t>
      </w:r>
      <w:proofErr w:type="spellStart"/>
      <w:r w:rsidRPr="00C74C27">
        <w:rPr>
          <w:rFonts w:eastAsia="Calibri" w:cs="Times New Roman"/>
          <w:szCs w:val="20"/>
          <w:lang w:eastAsia="en-US"/>
        </w:rPr>
        <w:t>kokskaidas</w:t>
      </w:r>
      <w:proofErr w:type="spellEnd"/>
      <w:r w:rsidRPr="00C74C27">
        <w:rPr>
          <w:rFonts w:eastAsia="Calibri" w:cs="Times New Roman"/>
          <w:szCs w:val="20"/>
          <w:lang w:eastAsia="en-US"/>
        </w:rPr>
        <w:t xml:space="preserve"> ražotas par 30,3% vairāk nekā 2021. gadā, pieaugot pieprasījumam pēc šī kurināmā laikā, kad daudzi iedzīvotāji savu mājokļu apkurē pārgāja no gāzes katliem uz alternatīviem kurināmā veidiem. Šogad meža nozarē kaitējumu egļu mežiem nodara mizgrauži, kas ietekmē egļu mežu platības, tomēr citviet Eiropā šis kaitēklis nodarījis krietni apjomīgākus bojājumus. Latvijā eksperti šo kā kritisku problēmu vēl neuzskata.</w:t>
      </w:r>
    </w:p>
    <w:p w14:paraId="4151BA9C" w14:textId="77777777" w:rsidR="00C74C27" w:rsidRPr="00C74C27" w:rsidRDefault="00C74C27" w:rsidP="00C74C27">
      <w:pPr>
        <w:spacing w:before="240" w:after="240"/>
        <w:ind w:firstLine="0"/>
        <w:jc w:val="center"/>
        <w:outlineLvl w:val="2"/>
        <w:rPr>
          <w:rFonts w:eastAsia="Times New Roman" w:cs="Times New Roman"/>
          <w:b/>
          <w:sz w:val="32"/>
          <w:szCs w:val="20"/>
          <w:lang w:eastAsia="en-US"/>
        </w:rPr>
      </w:pPr>
      <w:r w:rsidRPr="00C74C27">
        <w:rPr>
          <w:rFonts w:eastAsia="Times New Roman" w:cs="Times New Roman"/>
          <w:b/>
          <w:sz w:val="32"/>
          <w:szCs w:val="20"/>
          <w:lang w:eastAsia="en-US"/>
        </w:rPr>
        <w:t>1.2.2. Inflācija</w:t>
      </w:r>
      <w:bookmarkEnd w:id="8"/>
    </w:p>
    <w:p w14:paraId="7770D067" w14:textId="77777777" w:rsidR="00C74C27" w:rsidRPr="00C74C27" w:rsidRDefault="00C74C27" w:rsidP="00C74C27">
      <w:pPr>
        <w:rPr>
          <w:rFonts w:eastAsia="Calibri" w:cs="Times New Roman"/>
          <w:szCs w:val="20"/>
          <w:lang w:eastAsia="en-US"/>
        </w:rPr>
      </w:pPr>
      <w:bookmarkStart w:id="9" w:name="_Toc126044011"/>
      <w:r w:rsidRPr="00C74C27">
        <w:rPr>
          <w:rFonts w:eastAsia="Calibri" w:cs="Times New Roman"/>
          <w:szCs w:val="20"/>
          <w:lang w:eastAsia="en-US"/>
        </w:rPr>
        <w:t>2022. gadā patēriņa cenu līmenis Latvijā vidēji bija par 17,3% augstāks nekā iepriekšējā gadā. Patēriņa cenu kāpums bija visaptverošs, jo cenas auga visām precēm un pakalpojumiem. Inflācija 2022. gadā vērtējama kā ļoti augsta, jo cenas palielinājās praktiski tikpat daudz kā iepriekšējos 12 gados kopā. Tāpat kā 2021. gadā, arī 2022. gadā patēriņa cenu kāpumu noteica galvenokārt energoresursu un pārtikas cenu pieaugums. Tas nozīmē, ka precēm cenas pieauga straujāk un to devums vidējā inflācijā bija būtiski lielāks nekā pakalpojumiem. 2022. gadā preču cenas vidēji pieauga par 20,6%, kamēr pakalpojumi sadārdzinājās par 8,1%.</w:t>
      </w:r>
    </w:p>
    <w:p w14:paraId="3DF8088A"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Straujajam patēriņa cenu kāpumam 2022. gadā Latvijā ir vairāki iemesli, bet galvenokārt tie ir saistīti ar ārējiem faktoriem. Pirmkārt, straujo cenu kāpumu noteica enerģētiskā krīze Eiropā, kas aizsākās vēl 2021. gada rudenī, kā arī pieaugušās energoresursu cenas pārējos pasaules reģionos. </w:t>
      </w:r>
      <w:proofErr w:type="spellStart"/>
      <w:r w:rsidRPr="00C74C27">
        <w:rPr>
          <w:rFonts w:eastAsia="Calibri" w:cs="Times New Roman"/>
          <w:szCs w:val="20"/>
          <w:lang w:eastAsia="en-US"/>
        </w:rPr>
        <w:t>Energocenu</w:t>
      </w:r>
      <w:proofErr w:type="spellEnd"/>
      <w:r w:rsidRPr="00C74C27">
        <w:rPr>
          <w:rFonts w:eastAsia="Calibri" w:cs="Times New Roman"/>
          <w:szCs w:val="20"/>
          <w:lang w:eastAsia="en-US"/>
        </w:rPr>
        <w:t xml:space="preserve"> pieaugumu noteica gan piedāvājuma (zems ūdenslīmenis hidroelektrostacijās, vāja elektroenerģijas ražošana no alternatīvajiem avotiem), gan pieprasījuma faktori (nelabvēlīgie laika apstākļi, kā arī augošais energoresursu patēriņš, it īpaši Āzijas reģionā, kur gāzes cenas ir augstākas nekā Eiropā). Otrkārt, straujo inflāciju ietekmēja pārtikas cenu kāpums visā pasaulē, it īpaši 2022. gada pirmajā pusē. Cenu kāpumu veicināja </w:t>
      </w:r>
      <w:proofErr w:type="spellStart"/>
      <w:r w:rsidRPr="00C74C27">
        <w:rPr>
          <w:rFonts w:eastAsia="Calibri" w:cs="Times New Roman"/>
          <w:szCs w:val="20"/>
          <w:lang w:eastAsia="en-US"/>
        </w:rPr>
        <w:t>pēcpandēmijas</w:t>
      </w:r>
      <w:proofErr w:type="spellEnd"/>
      <w:r w:rsidRPr="00C74C27">
        <w:rPr>
          <w:rFonts w:eastAsia="Calibri" w:cs="Times New Roman"/>
          <w:szCs w:val="20"/>
          <w:lang w:eastAsia="en-US"/>
        </w:rPr>
        <w:t xml:space="preserve"> laikā augošais pieprasījums, atsevišķu lauksaimniecības kultūru sliktā raža, mēslojuma sadārdzinājums augsto energoresursu cenu dēļ, kā arī loģistikas traucējumi. Treškārt, Krievijas agresija Ukrainā 2022. gada februāra beigās pastiprināja iepriekš minēto divu faktoru negatīvo ietekmi un palielināja spriedzi gan energoresursu, gan pārtikas tirgū. Kara uzsākšanas brīdī Krievija bija lielākais gāzes piegādātājs ES valstīm, līdz ar to karš satricināja Eiropas gāzes tirgu. Papildus tam, Krievija un Ukraina bija vadošie graudaugu, saulespuķu, kukurūzas un rapša piegādātāji visā pasaulē, līdz ar to karš negatīvi ietekmēja arī šo izejvielu cenu globālajos tirgos. Vienlaicīgi jāatzīmē, ka kara ietekme uz pasaules pārtikas cenām bija īslaicīga, jo no 2022. gada vidus neapstrādātās pārtikas cenu pieaugums ir apstājies, bet kopš pērnā gada novembra ir fiksēts cenu samazinājums.</w:t>
      </w:r>
    </w:p>
    <w:p w14:paraId="6F6C5931"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lastRenderedPageBreak/>
        <w:t xml:space="preserve">2022. gadā patēriņa cenu pieaugums Latvijā bijis trešais augstākais starp ES dalībvalstīm un būtiski augstāks, salīdzinot ar vidējo cenu pieaugumu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zonā 8,4% apmērā. Atšķirības no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zonas vidējās inflācijas rādītājiem skaidrojamas ar vairākiem faktoriem. Pirmkārt, to nosaka atšķirīga patēriņa groza struktūra. 2022. gadā Latvijā izdevumi pārtikai un </w:t>
      </w:r>
      <w:proofErr w:type="spellStart"/>
      <w:r w:rsidRPr="00C74C27">
        <w:rPr>
          <w:rFonts w:eastAsia="Calibri" w:cs="Times New Roman"/>
          <w:szCs w:val="20"/>
          <w:lang w:eastAsia="en-US"/>
        </w:rPr>
        <w:t>energoproduktiem</w:t>
      </w:r>
      <w:proofErr w:type="spellEnd"/>
      <w:r w:rsidRPr="00C74C27">
        <w:rPr>
          <w:rFonts w:eastAsia="Calibri" w:cs="Times New Roman"/>
          <w:szCs w:val="20"/>
          <w:lang w:eastAsia="en-US"/>
        </w:rPr>
        <w:t xml:space="preserve"> kopumā sasniedza 42% no kopējiem patēriņa izdevumiem, kamēr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zonā vidēji tie veidoja tikai 27%. Ja Latvijas patēriņa struktūra būtu tāda pati kā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zonā, inflācija 2022. gadā būtu bijusi 12,9% – par 4,3 procentpunktiem mazāka nekā faktiskā inflācija. Līdzīgi kā trūcīgāki cilvēki lielāku daļu no saviem ienākumiem tērē pamatvajadzībām, piemēram, pārtikai, elektrībai, apkurei, tā arī valstīs ar salīdzinoši zemāku ienākumu līmeni, pārtikas un energoresursi veido lielāku daļu no viņu patēriņa. Tieši pārtikai un energoresursiem 2022. gadā bija fiksēti straujākie cenu pieaugumi.</w:t>
      </w:r>
    </w:p>
    <w:p w14:paraId="2AA69C72"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Otrkārt, valstis izmantoja dažādas stratēģijas cīņā pret augsto inflāciju. Atsevišķās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zonas valstīs nodokļi tika tieši izmantoti pārtikas un energoresursu cenu pazemināšanai, uz noteiktu laiku piemērojot samazināto pievienotās vērtības nodokļa vai akcīzes nodokļa likmi. Savukārt Latvijā patēriņa nodokļi pēdējos gados ir nedaudz pieauguši. Piemēram, jau vairākus gadus pēc kārtas ir paaugstināta akcīzes nodokļa likme tabakas izstrādājumiem. 2022. gadā akcīzes nodoklis ir palielināts arī atsevišķiem alkohola produktiem un bezalkoholiskajiem dzērieniem. Pēdējos gados ik gadu tiek paaugstināta dabas resursu nodokļa likme par atkritumu izvešanu. Vienlaikus Latvijā, lai samazinātu straujo komunālo pakalpojumu tarifu pieaugumu, tika izstrādāti atbalsta pasākumi energoresursu cenu samazināšanai. Šo pasākumu rezultātā vidējā inflācija 2022. gadā bija par 1,2 procentpunktiem mazāka un bez valsts atbalsta pasākumiem vidējā inflācija Latvijā pērn būtu sasniegusi 18,5%.</w:t>
      </w:r>
    </w:p>
    <w:p w14:paraId="54CC8DC4"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Treškārt, algas Latvijā augušas straujāk nekā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zonā. Tas gan stiprina pieprasījumu, gan rada papildu izmaksas ražotājiem, kuri var tās tālāk iekļaut produktu cenās. Tādējādi tam ir ietekme uz pamatinflāciju. 2021. gadā algas Latvijā pieauga vidēji par 11,8%, savukārt 2022. gadā vidējā alga palielinājās par 7,5%. Pastāv arī citi faktori, kuri nosaka inflācijas atšķirību starp valstīm, piemēram, uzņēmumu spēja absorbēt importētās inflācijas spiedienu savas peļņas rēķinā, kā arī regulējošo iestāžu darbība attiecībā uz komunālo pakalpojumu tarifu izskatīšanu un apstiprināšanu.</w:t>
      </w:r>
    </w:p>
    <w:p w14:paraId="46677590" w14:textId="77777777" w:rsidR="00C74C27" w:rsidRPr="00C74C27" w:rsidRDefault="00C74C27" w:rsidP="00C74C27">
      <w:pPr>
        <w:spacing w:after="160" w:line="259" w:lineRule="auto"/>
        <w:ind w:firstLine="0"/>
        <w:jc w:val="center"/>
        <w:rPr>
          <w:rFonts w:eastAsia="Calibri" w:cs="Times New Roman"/>
          <w:color w:val="000000"/>
          <w:szCs w:val="24"/>
          <w:lang w:eastAsia="en-US"/>
        </w:rPr>
      </w:pPr>
      <w:r w:rsidRPr="00C74C27">
        <w:rPr>
          <w:rFonts w:eastAsia="Calibri" w:cs="Times New Roman"/>
          <w:noProof/>
          <w:szCs w:val="24"/>
          <w:lang w:eastAsia="en-US"/>
        </w:rPr>
        <w:drawing>
          <wp:inline distT="0" distB="0" distL="0" distR="0" wp14:anchorId="3678A1C3" wp14:editId="7AD6EF8D">
            <wp:extent cx="5403459" cy="2735580"/>
            <wp:effectExtent l="0" t="0" r="6985" b="7620"/>
            <wp:docPr id="908442297" name="Chart 908442297">
              <a:extLst xmlns:a="http://schemas.openxmlformats.org/drawingml/2006/main">
                <a:ext uri="{FF2B5EF4-FFF2-40B4-BE49-F238E27FC236}">
                  <a16:creationId xmlns:a16="http://schemas.microsoft.com/office/drawing/2014/main" id="{9E5838CA-B946-D24B-E2E0-7258AE36DF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A15FB98" w14:textId="77777777" w:rsidR="00C74C27" w:rsidRPr="00C74C27" w:rsidRDefault="00C74C27" w:rsidP="00C74C27">
      <w:pPr>
        <w:spacing w:after="160" w:line="259" w:lineRule="auto"/>
        <w:ind w:firstLine="0"/>
        <w:jc w:val="center"/>
        <w:rPr>
          <w:rFonts w:eastAsia="Calibri" w:cs="Times New Roman"/>
          <w:b/>
          <w:i/>
          <w:iCs/>
          <w:noProof/>
          <w:color w:val="000000"/>
          <w:szCs w:val="24"/>
          <w:lang w:eastAsia="en-US"/>
        </w:rPr>
      </w:pPr>
      <w:r w:rsidRPr="00C74C27">
        <w:rPr>
          <w:rFonts w:eastAsia="Calibri" w:cs="Times New Roman"/>
          <w:b/>
          <w:i/>
          <w:iCs/>
          <w:noProof/>
          <w:szCs w:val="24"/>
          <w:lang w:eastAsia="en-US"/>
        </w:rPr>
        <w:t>1.13. att. H</w:t>
      </w:r>
      <w:r w:rsidRPr="00C74C27">
        <w:rPr>
          <w:rFonts w:eastAsia="Calibri" w:cs="Times New Roman"/>
          <w:b/>
          <w:i/>
          <w:iCs/>
          <w:noProof/>
          <w:color w:val="000000"/>
          <w:szCs w:val="24"/>
          <w:lang w:eastAsia="en-US"/>
        </w:rPr>
        <w:t>armonizētā patēriņa cenu indeksa pārmaiņas 2022. gadā, 2023. gada pirmajos astoņos mēnešos un 2023. gada augustā ES dalībvalstīs vidēji, salīdzinot ar iepriekšējā gada attiecīgo periodu, %</w:t>
      </w:r>
    </w:p>
    <w:p w14:paraId="0861A760"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lastRenderedPageBreak/>
        <w:t xml:space="preserve">2023. gadā Latvija joprojām ir līderos starp ES dalībvalstīm ar augstu inflāciju. 2023. gada pirmajos astoņos mēnešos vidējā inflācija Latvijā veidoja 13,0%, tādējādi ierindoties ceturtajā vietā uzreiz pēc Ungārijas, Čehijas un Polijas. Vidējā inflācija ES un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zonā attiecīgajā laikā periodā bija 7,7% un 6,6%. Jāatzīmē, ka vidējā inflācija ES un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zonā nesamazinās tik strauji kā Latvijā. Ja vēl šī gada janvārī harmonizētā patēriņa cenu indeksa kāpums gada izteiksmē Latvijā veidoja 21,4%, tad aktuālākie dati par augustu norāda, ka gada inflācija samazinājās līdz 5,6%. Savukārt vidējā inflācija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zonā 2023. gadā janvārī veidoja 8,6%, bet augustā 5,2%. Sagaidāms, ka šī gada septembrī vai oktobrī inflācija Latvijā sasniegs zemāku līmeni nekā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zonā vidēji. </w:t>
      </w:r>
    </w:p>
    <w:p w14:paraId="255EC759"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2023. gadā inflāciju ietekmējošie faktori Latvijā saglabājas nemainīgi un tās ir augstākas cenas par komunālajiem pakalpojumiem un pārtiku. Lielāko devumu kopējā patēriņa cenu kāpumā 2023. gada astoņos mēnešos noteica pārtikas un bezalkoholisko dzērienu cenu pieaugums par 18,3%, tādējādi izskaidrojot 4,7 procentpunktus jeb vairāk nekā trešdaļu no vidējās inflācijas. Pārtikas cenām ir būtiska ietekme uz vidējo inflāciju, jo tā veido ceturto daļu no mājsaimniecību patēriņa groza. Pārtikas cenu pieaugums gada griezumā, tāpat kā vidējā inflācija, bremzējas. Aktuālākie dati par šā gada augustu rāda, ka pārtikas un bezalkoholisko dzērienu gada inflācija veidoja 8,2%, kamēr 2023. gada janvārī pārtikas inflācija pārsniedza 28%. Tomēr pārtikas inflācija ir būtiski augstāka par vidējo inflāciju, radot nozīmīgu spiedienu uz mājsaimniecību izdevumiem, it īpaši ar zemiem ienākumiem.</w:t>
      </w:r>
    </w:p>
    <w:p w14:paraId="40126105"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Atbilstoši ANO Pārtikas un lauksaimniecības organizācijas datiem, neapstrādātās pārtikas cenām pasaulē kopš pērnā gada novembra vērojama deflācija. Šā gada augustā neapstrādātās pārtikas cenas bija par 11,8% zemākas nekā pirms gada. Cenu kritums, izņemot cukuru, vērojams visās nozīmīgākajās pārtikas grupās - gaļai, piena produktiem, graudiem un eļļām. Līdz ar to pastāv priekšnosacījumi pārtikas cenu samazinājumam arī Latvijā. Vēl viens faktors, kam vajadzētu atstāt pozitīvu ietekmi uz pārtikas cenām, ir energoresursu cenu kritums. Energoresursu cenas bija galvenais faktors ļoti straujajai inflācijai Eiropā pēdējā pusotra gada laikā. Tomēr gāzes un elektroenerģijas tirgus stabilizējas, cenām atgriežoties 2021. gada vidējā līmenī.</w:t>
      </w:r>
    </w:p>
    <w:p w14:paraId="1C20E5CB" w14:textId="77777777" w:rsidR="00C74C27" w:rsidRPr="00C74C27" w:rsidRDefault="00C74C27" w:rsidP="00C74C27">
      <w:pPr>
        <w:spacing w:after="160" w:line="259" w:lineRule="auto"/>
        <w:ind w:firstLine="0"/>
        <w:jc w:val="center"/>
        <w:rPr>
          <w:rFonts w:eastAsia="Calibri" w:cs="Times New Roman"/>
          <w:szCs w:val="24"/>
          <w:lang w:eastAsia="en-US"/>
        </w:rPr>
      </w:pPr>
      <w:r w:rsidRPr="00C74C27">
        <w:rPr>
          <w:rFonts w:ascii="Calibri" w:eastAsia="Calibri" w:hAnsi="Calibri" w:cs="Times New Roman"/>
          <w:noProof/>
          <w:sz w:val="22"/>
          <w:lang w:eastAsia="en-US"/>
        </w:rPr>
        <w:drawing>
          <wp:inline distT="0" distB="0" distL="0" distR="0" wp14:anchorId="2AE8554C" wp14:editId="6788E0E5">
            <wp:extent cx="5086350" cy="2724150"/>
            <wp:effectExtent l="0" t="0" r="0" b="0"/>
            <wp:docPr id="924404349" name="Chart 924404349">
              <a:extLst xmlns:a="http://schemas.openxmlformats.org/drawingml/2006/main">
                <a:ext uri="{FF2B5EF4-FFF2-40B4-BE49-F238E27FC236}">
                  <a16:creationId xmlns:a16="http://schemas.microsoft.com/office/drawing/2014/main" id="{3B825A7A-E123-2AA0-3DB5-39E9A8A4C9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51C6295" w14:textId="77777777" w:rsidR="00C74C27" w:rsidRPr="00C74C27" w:rsidRDefault="00C74C27" w:rsidP="00C74C27">
      <w:pPr>
        <w:spacing w:after="160" w:line="259" w:lineRule="auto"/>
        <w:ind w:firstLine="0"/>
        <w:jc w:val="center"/>
        <w:rPr>
          <w:rFonts w:eastAsia="Calibri" w:cs="Times New Roman"/>
          <w:b/>
          <w:i/>
          <w:iCs/>
          <w:color w:val="000000"/>
          <w:szCs w:val="24"/>
          <w:lang w:eastAsia="en-US"/>
        </w:rPr>
      </w:pPr>
      <w:r w:rsidRPr="00C74C27">
        <w:rPr>
          <w:rFonts w:eastAsia="Calibri" w:cs="Times New Roman"/>
          <w:b/>
          <w:i/>
          <w:iCs/>
          <w:noProof/>
          <w:szCs w:val="24"/>
          <w:lang w:eastAsia="en-US"/>
        </w:rPr>
        <w:t>1.14</w:t>
      </w:r>
      <w:r w:rsidRPr="00C74C27">
        <w:rPr>
          <w:rFonts w:eastAsia="Times New Roman" w:cs="Times New Roman"/>
          <w:b/>
          <w:i/>
          <w:iCs/>
          <w:noProof/>
          <w:szCs w:val="24"/>
          <w:lang w:eastAsia="en-US"/>
        </w:rPr>
        <w:t>. att. Devum</w:t>
      </w:r>
      <w:r w:rsidRPr="00C74C27">
        <w:rPr>
          <w:rFonts w:eastAsia="Times New Roman" w:cs="Times New Roman"/>
          <w:b/>
          <w:i/>
          <w:iCs/>
          <w:noProof/>
          <w:color w:val="000000"/>
          <w:szCs w:val="24"/>
          <w:lang w:eastAsia="en-US"/>
        </w:rPr>
        <w:t>s gada inflācijā pēc izcelsmes avota (procentpunkti) un vidējās patēriņa cenu pārmaiņas (PCI, %)</w:t>
      </w:r>
    </w:p>
    <w:p w14:paraId="1CFEACB2"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Vidējo inflāciju valstī būtiski ietekmē arī komunālo pakalpojumu cenas. Tā, 2023. gada astoņos mēnešos siltumenerģijas, elektroenerģijas, cietā kurināmā un gāzes cenas bija attiecīgi par 43,5%, 29,4%, 18,1% un 17,3% augstākas nekā pērnā gada attiecīgajā periodā. Savukārt </w:t>
      </w:r>
      <w:r w:rsidRPr="00C74C27">
        <w:rPr>
          <w:rFonts w:eastAsia="Calibri" w:cs="Times New Roman"/>
          <w:szCs w:val="20"/>
          <w:lang w:eastAsia="en-US"/>
        </w:rPr>
        <w:lastRenderedPageBreak/>
        <w:t>ūdensapgādes un atkritumu savākšanas pakalpojumi sadārdzinājās attiecīgi par 23,1% un 13,5%. Tomēr, analizējot aktuālākos datus par šā gada augustu, īpaši attiecībā uz energoresursu cenām, vērojama patīkamāka situācija. 2023. gada augustā elektroenerģijas cena bija zemāka par 6,7%, gāzes cena par 19,3%, bet cietā kurināmā cena par 19,6% nekā pirms gada. Citiem komunālajiem pakalpojumiem, kā siltumenerģijai, ūdensapgādei, atkritumu savākšanai cenas turpina palielināties, lai arī mazākā apmērā nekā šā gada sākumā. Informācija par apstiprinātajiem un Sabiedrisko pakalpojumu regulēšanas komisijai iesniegtajiem siltumenerģijas tarifu projektiem liecina, ka kopumā, ar izņēmumiem dažās pašvaldības, siltumenerģijas tarifs šajā apkures sezonā būs zemāks nekā iepriekšējā, pat ņemot vērā pērnajā gadā sniegto valsts atbalstu. Vienlaicīgi jānorāda, ka pat pie zemāka tarifa situācijā, ja ziema ir auksta un ilgstoša, rēķini par siltumenerģiju varētu saglabāties augsti.</w:t>
      </w:r>
    </w:p>
    <w:p w14:paraId="7133F5D6"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Straujš cenu kāpums tika fiksēts arī tādiem pakalpojumiem kā veselības aprūpe, atpūtas un kultūras pakalpojumi, ēdnīcas un izmitināšanas pakalpojumi. Šo pakalpojumu cenas 2023. gada astoņos mēnešos pieauga vairāk nekā par 10%, salīdzinot ar pērnā gada attiecīgo periodu. </w:t>
      </w:r>
    </w:p>
    <w:p w14:paraId="716B1663"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Kopumā jāsecina, ka, lai arī gada inflācija Latvijā kopš šā gada sākumā ir būtiski samazinājusies, tomēr pašreizējais cenu pieaugums joprojām uzskatāms par augstu, kas bremzē privāto patēriņu un jaunu investīciju projektu realizēšanu. Līdzīga situācija vērojama arī pārējās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zonas valstīs, kur inflācija gan tiešā, gan netiešā veidā atstāj negatīvu ietekmi uz ekonomisko attīstību. Cīņā ar augsto inflāciju ECB īsteno stingru monetāru politiku, šā gada septembrī desmito reizi kopš pērnā gada jūlija palielinot procentu likmes.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zonas valstīs izsniegto kredītu apjoms attiecībā pret ekonomikas lielumu ir būtiski augstāks nekā Latvijā, līdz ar to citās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zonas valstīs negatīvā ietekme uz ekonomiku ir lielāka. Tomēr zemāka ekonomiskā aktivitāte </w:t>
      </w:r>
      <w:proofErr w:type="spellStart"/>
      <w:r w:rsidRPr="00C74C27">
        <w:rPr>
          <w:rFonts w:eastAsia="Calibri" w:cs="Times New Roman"/>
          <w:i/>
          <w:iCs/>
          <w:szCs w:val="20"/>
          <w:lang w:eastAsia="en-US"/>
        </w:rPr>
        <w:t>euro</w:t>
      </w:r>
      <w:proofErr w:type="spellEnd"/>
      <w:r w:rsidRPr="00C74C27">
        <w:rPr>
          <w:rFonts w:eastAsia="Calibri" w:cs="Times New Roman"/>
          <w:szCs w:val="20"/>
          <w:lang w:eastAsia="en-US"/>
        </w:rPr>
        <w:t xml:space="preserve"> zonā, kas ir galvenais eksporta tirgus Latvijas precēm un pakalpojumiem, netiešā veidā atstāj negatīvu ietekmi arī uz Latvijas tautsaimniecību.</w:t>
      </w:r>
    </w:p>
    <w:p w14:paraId="3446D9B6" w14:textId="77777777" w:rsidR="00C74C27" w:rsidRPr="00C74C27" w:rsidRDefault="00C74C27" w:rsidP="00C74C27">
      <w:pPr>
        <w:rPr>
          <w:rFonts w:eastAsia="Calibri" w:cs="Times New Roman"/>
          <w:szCs w:val="20"/>
          <w:lang w:eastAsia="en-US"/>
        </w:rPr>
      </w:pPr>
      <w:r w:rsidRPr="00C74C27">
        <w:rPr>
          <w:rFonts w:eastAsia="Calibri" w:cs="Times New Roman"/>
          <w:szCs w:val="20"/>
          <w:lang w:eastAsia="en-US"/>
        </w:rPr>
        <w:t xml:space="preserve">Patēriņa cenu kontekstā svarīgi atzīmēt pamatinflācijas dinamiku. Pamatinflācija raksturo valsts iekšējo faktoru ietekmi uz cenu pārmaiņām, neņemot vērā energoresursu un neapstrādātās pārtikas cenu ietekmi. Atbilstoši FM novērtējumam, pamatinflācijas kāpums šā gada astoņos mēnešos bija 11,6%, salīdzinot ar pērnā gada attiecīgo periodu. Savukārt šā gada augustā pamatinflācija veidoja 7,4%, kas ir augstāk par vidējo inflāciju. Situācijā, kad iekšējiem faktoriem patēriņa cenu dinamikā ir lielāka nozīme nekā ārējiem faktoriem, saglabāsies gan šī gada atlikušajos mēnešos, gan arī 2024. gadā. Atbilstoši FM prognozēm, vidējā inflācija 2023. gadā sastādīs 10,0%, bet 2024. gadā - 2,2%. Savukārt pamatinflācija šogad veidos 7,8%, bet 2024. gadā - 5,1%. </w:t>
      </w:r>
    </w:p>
    <w:p w14:paraId="1D1AFDCD" w14:textId="77777777" w:rsidR="00C74C27" w:rsidRPr="00C74C27" w:rsidRDefault="00C74C27" w:rsidP="00C74C27">
      <w:pPr>
        <w:spacing w:before="240" w:after="240"/>
        <w:ind w:firstLine="0"/>
        <w:jc w:val="center"/>
        <w:outlineLvl w:val="2"/>
        <w:rPr>
          <w:rFonts w:eastAsia="Times New Roman" w:cs="Times New Roman"/>
          <w:b/>
          <w:sz w:val="32"/>
          <w:szCs w:val="20"/>
          <w:lang w:eastAsia="en-US"/>
        </w:rPr>
      </w:pPr>
      <w:r w:rsidRPr="00C74C27">
        <w:rPr>
          <w:rFonts w:eastAsia="Times New Roman" w:cs="Times New Roman"/>
          <w:b/>
          <w:sz w:val="32"/>
          <w:szCs w:val="20"/>
          <w:lang w:eastAsia="en-US"/>
        </w:rPr>
        <w:t xml:space="preserve">1.2.3. </w:t>
      </w:r>
      <w:bookmarkEnd w:id="9"/>
      <w:r w:rsidRPr="00C74C27">
        <w:rPr>
          <w:rFonts w:eastAsia="Times New Roman" w:cs="Times New Roman"/>
          <w:b/>
          <w:sz w:val="32"/>
          <w:szCs w:val="20"/>
          <w:lang w:eastAsia="en-US"/>
        </w:rPr>
        <w:t>Nodarbinātība un bezdarbs</w:t>
      </w:r>
    </w:p>
    <w:p w14:paraId="2F875D6B" w14:textId="77777777" w:rsidR="00C74C27" w:rsidRPr="00C74C27" w:rsidRDefault="00C74C27" w:rsidP="00C74C27">
      <w:pPr>
        <w:rPr>
          <w:rFonts w:eastAsia="Calibri" w:cs="Arial"/>
          <w:noProof/>
          <w:szCs w:val="24"/>
          <w:lang w:eastAsia="en-US"/>
        </w:rPr>
      </w:pPr>
      <w:bookmarkStart w:id="10" w:name="_Toc126044012"/>
      <w:r w:rsidRPr="00C74C27">
        <w:rPr>
          <w:rFonts w:eastAsia="Calibri" w:cs="Arial"/>
          <w:noProof/>
          <w:szCs w:val="24"/>
          <w:lang w:eastAsia="en-US"/>
        </w:rPr>
        <w:t>Līdz ar stabilo ekonomikas izaugsmi laikā līdz 2019. gadam bezdarba līmenis Latvijā strauji samazinājās, atsevišķās nozarēs un profesijās jau robežojoties ar darbaspēka trūkumu. 2020. gadā šo dinamiku pārtrauca koronavīrusa izraisītā krīze, tomēr tās ietekme darba tirgū izrādījās ļoti ierobežota, tajā skaitā pateicoties valsts atbalsta pasākumiem. Nodarbinātības situāciju jūtami nepasliktināja arī Krievijas sāktais karš Ukrainā 2022. gada februārī, un bezdarba līmenis pastāvīgi un visai strauji turpināja samazināties.</w:t>
      </w:r>
    </w:p>
    <w:p w14:paraId="77179155" w14:textId="3ADE8B5E"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Pēc īslaicīgā pieauguma līdz 8,1% 2020. gadā, bezdarba līmenis pēc darbaspēka apsekojuma jau 2021. gadā samazinājās līdz 7,6%, bet 2022. gadā noslīdēja līdz 6,9% no ekonomiski aktīvajiem iedzīvotājiem. Bezdarba kritums turpinās arī 2023. gadā un, neskatoties uz nelielo ekonomiskās izaugsmes sabremzēšanos, gada pirmajā pusē bezdarbs ir noslīdējis līdz 6,4% no ekonomiski aktīvajiem iedzīvotājiem. Tas ir par 0,5 procentpunktiem mazāk nekā attiecīgajā laika periodā pirms gada un ir jau ļoti tuvu pirmspandēmijas laika zemajam līmenim, </w:t>
      </w:r>
      <w:r w:rsidRPr="00C74C27">
        <w:rPr>
          <w:rFonts w:eastAsia="Calibri" w:cs="Arial"/>
          <w:noProof/>
          <w:szCs w:val="24"/>
          <w:lang w:eastAsia="en-US"/>
        </w:rPr>
        <w:lastRenderedPageBreak/>
        <w:t xml:space="preserve">kad 2019. gada beigās bezdarbs bija nokrities līdz 6,0%. Kā liecina Nodarbinātības valsts aģentūras (NVA) dati, reģistrēto bezdarbnieku skaits, kas ziemas mēnešos bija nedaudz sezonāli pieaudzis, kopš šā gada marta sākuma stabili pazeminās, maija vidū pirmoreiz noslīdot zem 50 </w:t>
      </w:r>
      <w:r w:rsidR="008703A6" w:rsidRPr="008703A6">
        <w:rPr>
          <w:rFonts w:eastAsia="Calibri" w:cs="Arial"/>
          <w:noProof/>
          <w:szCs w:val="24"/>
          <w:lang w:eastAsia="en-US"/>
        </w:rPr>
        <w:t>tūkst.</w:t>
      </w:r>
      <w:r w:rsidRPr="00C74C27">
        <w:rPr>
          <w:rFonts w:eastAsia="Calibri" w:cs="Arial"/>
          <w:noProof/>
          <w:szCs w:val="24"/>
          <w:lang w:eastAsia="en-US"/>
        </w:rPr>
        <w:t xml:space="preserve"> līmeņa, kamēr reģistrētā bezdarba līmenis samazinājās līdz 5,5%. Šādā zemā līmenī reģistrētais bezdarbs saglabājās arī vasaras mēnešos un augusta beigās bezdarbnieku skaits bija vēl nedaudz samazinājies, veidojot 49,1 </w:t>
      </w:r>
      <w:r w:rsidR="008703A6" w:rsidRPr="008703A6">
        <w:rPr>
          <w:rFonts w:eastAsia="Calibri" w:cs="Arial"/>
          <w:noProof/>
          <w:szCs w:val="24"/>
          <w:lang w:eastAsia="en-US"/>
        </w:rPr>
        <w:t>tūkst</w:t>
      </w:r>
      <w:r w:rsidRPr="00C74C27">
        <w:rPr>
          <w:rFonts w:eastAsia="Calibri" w:cs="Arial"/>
          <w:noProof/>
          <w:szCs w:val="24"/>
          <w:lang w:eastAsia="en-US"/>
        </w:rPr>
        <w:t>.</w:t>
      </w:r>
    </w:p>
    <w:p w14:paraId="5E2F644F"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Lai gan kopējais bezdarba līmenis ir ļoti zemā līmenī, saglabājas būtiskas bezdarba līmeņa atšķirības pa reģioniem – Rīgas reģionā reģistrētais bezdarbs augusta beigās bija 4,4%, kamēr Latgalē tas sasniedza 10,9%, bet Kurzemē, Vidzemē un Zemgalē bija 5-5,5% līmenī. </w:t>
      </w:r>
    </w:p>
    <w:p w14:paraId="5B282368" w14:textId="6E299358"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Neskatoties uz joprojām lielajām reģionālajām atšķirībām, kopējais reģistrētā bezdarba līmenis pašlaik jau ir zemāks nekā 2019. gadā, pirms pandēmijas, un tikai nedaudz pārsniedz </w:t>
      </w:r>
      <w:r w:rsidRPr="008703A6">
        <w:rPr>
          <w:rFonts w:eastAsia="Calibri" w:cs="Arial"/>
          <w:noProof/>
          <w:szCs w:val="24"/>
          <w:lang w:eastAsia="en-US"/>
        </w:rPr>
        <w:t>2007.</w:t>
      </w:r>
      <w:r w:rsidR="00E03B57" w:rsidRPr="008703A6">
        <w:rPr>
          <w:rFonts w:eastAsia="Calibri" w:cs="Arial"/>
          <w:noProof/>
          <w:szCs w:val="24"/>
          <w:lang w:eastAsia="en-US"/>
        </w:rPr>
        <w:t xml:space="preserve"> – </w:t>
      </w:r>
      <w:r w:rsidRPr="008703A6">
        <w:rPr>
          <w:rFonts w:eastAsia="Calibri" w:cs="Arial"/>
          <w:noProof/>
          <w:szCs w:val="24"/>
          <w:lang w:eastAsia="en-US"/>
        </w:rPr>
        <w:t>2008. gadā ekonomikas pārkaršanas laikā fiksētos rekordzemos rādītājus, radot zināmu spiedienu darba</w:t>
      </w:r>
      <w:r w:rsidRPr="00C74C27">
        <w:rPr>
          <w:rFonts w:eastAsia="Calibri" w:cs="Arial"/>
          <w:noProof/>
          <w:szCs w:val="24"/>
          <w:lang w:eastAsia="en-US"/>
        </w:rPr>
        <w:t xml:space="preserve"> tirgū un diskusijas par nepieciešamību piesaistīt darbaspēku no trešajām valstīm. Bezdarba līmeņa mazināšanos līdzās ekonomikas attīstībai pašlaik ietekmē arī demogrāfiskā situācija, kad jau kopš 2015. gada darba tirgū ienākošo jauniešu skaits ir mazāks nekā darba tirgu atstājošo sešdesmitgadnieku skaits un kopējais darbaspējas vecuma iedzīvotāju skaits ir pastāvīgi samazinājies. 2022. gadā minēto kritumu palīdzēja mīkstināt Ukrainas iedzīvotāju uzņemšana, un arī 2023. gada pirmajā pusē darbaspējas vecuma iedzīvotāju skaits bija par 1,1 </w:t>
      </w:r>
      <w:r w:rsidR="008703A6" w:rsidRPr="008703A6">
        <w:rPr>
          <w:rFonts w:eastAsia="Calibri" w:cs="Arial"/>
          <w:noProof/>
          <w:szCs w:val="24"/>
          <w:lang w:eastAsia="en-US"/>
        </w:rPr>
        <w:t>tūkst.</w:t>
      </w:r>
      <w:r w:rsidRPr="00C74C27">
        <w:rPr>
          <w:rFonts w:eastAsia="Calibri" w:cs="Arial"/>
          <w:noProof/>
          <w:szCs w:val="24"/>
          <w:lang w:eastAsia="en-US"/>
        </w:rPr>
        <w:t xml:space="preserve"> jeb 0,1% lielāks nekā pirms gada. Vienlaikus audzis arī iedzīvotāju līdzdalības līmenis darba tirgū un ekonomiski aktīvo iedzīvotāju skaits šā gada pirmajā pusē, salīdzinot ar 2022. gada pirmo pusi, palielinājies par 1,6 </w:t>
      </w:r>
      <w:r w:rsidR="008703A6" w:rsidRPr="008703A6">
        <w:rPr>
          <w:rFonts w:eastAsia="Calibri" w:cs="Arial"/>
          <w:noProof/>
          <w:szCs w:val="24"/>
          <w:lang w:eastAsia="en-US"/>
        </w:rPr>
        <w:t>tūkst.</w:t>
      </w:r>
      <w:r w:rsidRPr="00C74C27">
        <w:rPr>
          <w:rFonts w:eastAsia="Calibri" w:cs="Arial"/>
          <w:noProof/>
          <w:szCs w:val="24"/>
          <w:lang w:eastAsia="en-US"/>
        </w:rPr>
        <w:t xml:space="preserve"> jeb 0,2%. </w:t>
      </w:r>
    </w:p>
    <w:p w14:paraId="2DE33E86" w14:textId="428ED94C" w:rsidR="00C74C27" w:rsidRPr="00C74C27" w:rsidRDefault="00C74C27" w:rsidP="00C74C27">
      <w:pPr>
        <w:rPr>
          <w:rFonts w:eastAsia="Calibri" w:cs="Arial"/>
          <w:noProof/>
          <w:szCs w:val="24"/>
          <w:lang w:eastAsia="en-US"/>
        </w:rPr>
      </w:pPr>
      <w:r w:rsidRPr="00C74C27">
        <w:rPr>
          <w:rFonts w:eastAsia="Calibri" w:cs="Arial"/>
          <w:noProof/>
          <w:szCs w:val="24"/>
          <w:lang w:eastAsia="en-US"/>
        </w:rPr>
        <w:t>Kopējais tautsaimniecībā nodarbināto iedzīvotāju skaits 2022. gada laikā, ekonomikai atgūstoties no pandēmijas laika ierobežojumiem, ir palielinājies par 22 tūkst</w:t>
      </w:r>
      <w:r w:rsidR="008703A6">
        <w:rPr>
          <w:rFonts w:eastAsia="Calibri" w:cs="Arial"/>
          <w:noProof/>
          <w:szCs w:val="24"/>
          <w:lang w:eastAsia="en-US"/>
        </w:rPr>
        <w:t>.</w:t>
      </w:r>
      <w:r w:rsidRPr="00C74C27">
        <w:rPr>
          <w:rFonts w:eastAsia="Calibri" w:cs="Arial"/>
          <w:noProof/>
          <w:szCs w:val="24"/>
          <w:lang w:eastAsia="en-US"/>
        </w:rPr>
        <w:t xml:space="preserve"> jeb 2,6% un sasniedzis 886 tūkst. Šis rādītājs tomēr vēl atpaliek no pirmspandēmijas, 2019. gada datiem, kad nodarbināti bija 910 tūkst</w:t>
      </w:r>
      <w:r w:rsidR="008703A6">
        <w:rPr>
          <w:rFonts w:eastAsia="Calibri" w:cs="Arial"/>
          <w:noProof/>
          <w:szCs w:val="24"/>
          <w:lang w:eastAsia="en-US"/>
        </w:rPr>
        <w:t>.</w:t>
      </w:r>
      <w:r w:rsidRPr="00C74C27">
        <w:rPr>
          <w:rFonts w:eastAsia="Calibri" w:cs="Arial"/>
          <w:noProof/>
          <w:szCs w:val="24"/>
          <w:lang w:eastAsia="en-US"/>
        </w:rPr>
        <w:t xml:space="preserve"> iedzīvotāju. Arī 2023. gadā nodarbināto skaits turpina palielināties, un gada pirmajā pusē nodarbināti bija 884,0 tūkst</w:t>
      </w:r>
      <w:r w:rsidR="008703A6">
        <w:rPr>
          <w:rFonts w:eastAsia="Calibri" w:cs="Arial"/>
          <w:noProof/>
          <w:szCs w:val="24"/>
          <w:lang w:eastAsia="en-US"/>
        </w:rPr>
        <w:t>.</w:t>
      </w:r>
      <w:r w:rsidRPr="00C74C27">
        <w:rPr>
          <w:rFonts w:eastAsia="Calibri" w:cs="Arial"/>
          <w:noProof/>
          <w:szCs w:val="24"/>
          <w:lang w:eastAsia="en-US"/>
        </w:rPr>
        <w:t xml:space="preserve"> cilvēku, kas bija par 6,8 tūkst</w:t>
      </w:r>
      <w:r w:rsidR="00861D53">
        <w:rPr>
          <w:rFonts w:eastAsia="Calibri" w:cs="Arial"/>
          <w:noProof/>
          <w:szCs w:val="24"/>
          <w:lang w:eastAsia="en-US"/>
        </w:rPr>
        <w:t>.</w:t>
      </w:r>
      <w:r w:rsidRPr="00C74C27">
        <w:rPr>
          <w:rFonts w:eastAsia="Calibri" w:cs="Arial"/>
          <w:noProof/>
          <w:szCs w:val="24"/>
          <w:lang w:eastAsia="en-US"/>
        </w:rPr>
        <w:t xml:space="preserve"> jeb 0,8% vairāk nekā pirms gada. Tomēr arī šogad nodarbināto skaits nav atgriezies līmenī, kādā tas bija pirms pandēmijas, kad atsevišķos ceturkšņos strādājošo skaits bija pietuvojies 920 tūkst</w:t>
      </w:r>
      <w:r w:rsidR="00861D53">
        <w:rPr>
          <w:rFonts w:eastAsia="Calibri" w:cs="Arial"/>
          <w:noProof/>
          <w:szCs w:val="24"/>
          <w:lang w:eastAsia="en-US"/>
        </w:rPr>
        <w:t>.</w:t>
      </w:r>
      <w:r w:rsidRPr="00C74C27">
        <w:rPr>
          <w:rFonts w:eastAsia="Calibri" w:cs="Arial"/>
          <w:noProof/>
          <w:szCs w:val="24"/>
          <w:lang w:eastAsia="en-US"/>
        </w:rPr>
        <w:t xml:space="preserve"> (skat. 1.15. attēlu).</w:t>
      </w:r>
    </w:p>
    <w:p w14:paraId="01E26A2F" w14:textId="6CBD25E4" w:rsidR="00C74C27" w:rsidRPr="00C74C27" w:rsidRDefault="00C74C27" w:rsidP="00C74C27">
      <w:pPr>
        <w:ind w:firstLine="0"/>
        <w:jc w:val="center"/>
        <w:rPr>
          <w:rFonts w:eastAsia="Calibri" w:cs="Arial"/>
          <w:b/>
          <w:i/>
          <w:noProof/>
          <w:szCs w:val="24"/>
          <w:lang w:eastAsia="en-US"/>
        </w:rPr>
      </w:pPr>
      <w:r w:rsidRPr="00C74C27">
        <w:rPr>
          <w:rFonts w:eastAsia="Calibri" w:cs="Arial"/>
          <w:noProof/>
          <w:szCs w:val="24"/>
          <w:lang w:eastAsia="en-US"/>
        </w:rPr>
        <w:drawing>
          <wp:inline distT="0" distB="0" distL="0" distR="0" wp14:anchorId="2D3A3E0E" wp14:editId="2E6B7122">
            <wp:extent cx="5274310" cy="2933700"/>
            <wp:effectExtent l="0" t="0" r="0" b="0"/>
            <wp:docPr id="776629946" name="Chart 7766299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C74C27">
        <w:rPr>
          <w:rFonts w:eastAsia="Calibri" w:cs="Arial"/>
          <w:noProof/>
          <w:szCs w:val="24"/>
          <w:lang w:eastAsia="en-US"/>
        </w:rPr>
        <w:br/>
      </w:r>
      <w:r w:rsidRPr="00C74C27">
        <w:rPr>
          <w:rFonts w:eastAsia="Calibri" w:cs="Arial"/>
          <w:b/>
          <w:i/>
          <w:noProof/>
          <w:szCs w:val="24"/>
          <w:lang w:eastAsia="en-US"/>
        </w:rPr>
        <w:t>1.15. att. Tautsaimniecībā nodarbināto skaits un bezdarba līmenis 2008.</w:t>
      </w:r>
      <w:r w:rsidR="003A0247">
        <w:rPr>
          <w:rFonts w:eastAsia="Calibri" w:cs="Arial"/>
          <w:b/>
          <w:i/>
          <w:noProof/>
          <w:szCs w:val="24"/>
          <w:lang w:eastAsia="en-US"/>
        </w:rPr>
        <w:t xml:space="preserve"> – </w:t>
      </w:r>
      <w:r w:rsidRPr="00C74C27">
        <w:rPr>
          <w:rFonts w:eastAsia="Calibri" w:cs="Arial"/>
          <w:b/>
          <w:i/>
          <w:noProof/>
          <w:szCs w:val="24"/>
          <w:lang w:eastAsia="en-US"/>
        </w:rPr>
        <w:t>2023. gadā</w:t>
      </w:r>
    </w:p>
    <w:p w14:paraId="661035D5" w14:textId="3DE0E01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Pieprasījums pēc darbiniekiem joprojām ir augsts, NVA reģistrēto brīvo darba vietu skaits jau kopš 2021. gada vidus ir stabili audzis, pagājušā gada vidū pārsniedzot 30 tūkst. </w:t>
      </w:r>
      <w:r w:rsidRPr="00C74C27">
        <w:rPr>
          <w:rFonts w:eastAsia="Calibri" w:cs="Arial"/>
          <w:noProof/>
          <w:szCs w:val="24"/>
          <w:lang w:eastAsia="en-US"/>
        </w:rPr>
        <w:lastRenderedPageBreak/>
        <w:t>Šogad, ekonomikas izaugsmei un ārējam pieprasījumam mazinoties, darba vietu skaits gan ir nedaudz zemāks, augusta beigās veidojot 22,1 tūkst</w:t>
      </w:r>
      <w:r w:rsidR="00861D53">
        <w:rPr>
          <w:rFonts w:eastAsia="Calibri" w:cs="Arial"/>
          <w:noProof/>
          <w:szCs w:val="24"/>
          <w:lang w:eastAsia="en-US"/>
        </w:rPr>
        <w:t>.</w:t>
      </w:r>
      <w:r w:rsidRPr="00C74C27">
        <w:rPr>
          <w:rFonts w:eastAsia="Calibri" w:cs="Arial"/>
          <w:noProof/>
          <w:szCs w:val="24"/>
          <w:lang w:eastAsia="en-US"/>
        </w:rPr>
        <w:t xml:space="preserve"> </w:t>
      </w:r>
      <w:r w:rsidR="00861D53">
        <w:rPr>
          <w:rFonts w:eastAsia="Calibri" w:cs="Arial"/>
          <w:noProof/>
          <w:szCs w:val="24"/>
          <w:lang w:eastAsia="en-US"/>
        </w:rPr>
        <w:t>–</w:t>
      </w:r>
      <w:r w:rsidRPr="00C74C27">
        <w:rPr>
          <w:rFonts w:eastAsia="Calibri" w:cs="Arial"/>
          <w:noProof/>
          <w:szCs w:val="24"/>
          <w:lang w:eastAsia="en-US"/>
        </w:rPr>
        <w:t xml:space="preserve"> par 28,2% mazāk nekā pirms gada, tomēr atsevišķas nozares un profesijas aizvien saskaras ar grūtībām piesaistīt darbiniekus.</w:t>
      </w:r>
    </w:p>
    <w:p w14:paraId="16EE2565"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Pēc FM prognozēm, visā 2023. gadā kopā bezdarba līmenis salīdzinājumā ar 2022. gadu būs pazeminājies par 0,4 procentpunktiem līdz 6,5%, tomēr gada otrajā pusē sagaidāma neliela bezdarba paaugstināšanās sezonālu faktoru ietekmē un mazinoties ārējam pieprasījumam. Līdz ar to arī 2024. gadā kopējais bezdarba līmenis varētu būt nedaudz augstāks, 6,6% līmenī, nākamajos divos gados līdz ar straujāku ekonomikas izaugsmi atkal pazeminoties līdz 6,4%. Tautsaimniecībā nodarbināto iedzīvotāju skaits šogad un nākamgad saglabāsies stabils, bet no 2025. gada gaidāma neliela nodarbinātības samazināšanās, ko pamatā noteiks darbspējas vecuma iedzīvotāju skaita kritums.</w:t>
      </w:r>
    </w:p>
    <w:p w14:paraId="491D4538" w14:textId="77777777" w:rsidR="00C74C27" w:rsidRPr="00C74C27" w:rsidRDefault="00C74C27" w:rsidP="00C74C27">
      <w:pPr>
        <w:keepNext/>
        <w:keepLines/>
        <w:spacing w:before="200" w:after="0" w:line="259" w:lineRule="auto"/>
        <w:ind w:firstLine="0"/>
        <w:jc w:val="center"/>
        <w:outlineLvl w:val="2"/>
        <w:rPr>
          <w:rFonts w:eastAsia="Times New Roman" w:cs="Times New Roman"/>
          <w:b/>
          <w:bCs/>
          <w:sz w:val="32"/>
          <w:szCs w:val="32"/>
          <w:lang w:eastAsia="en-US"/>
        </w:rPr>
      </w:pPr>
      <w:r w:rsidRPr="00C74C27">
        <w:rPr>
          <w:rFonts w:eastAsia="Times New Roman" w:cs="Times New Roman"/>
          <w:b/>
          <w:bCs/>
          <w:sz w:val="32"/>
          <w:szCs w:val="32"/>
          <w:lang w:eastAsia="en-US"/>
        </w:rPr>
        <w:t>1.2.4. Iedzīvotāju ienākumi</w:t>
      </w:r>
    </w:p>
    <w:p w14:paraId="02F551A9" w14:textId="77777777" w:rsidR="00C74C27" w:rsidRPr="00C74C27" w:rsidRDefault="00C74C27" w:rsidP="00C74C27">
      <w:pPr>
        <w:spacing w:after="0"/>
        <w:ind w:firstLine="709"/>
        <w:rPr>
          <w:rFonts w:eastAsia="Times New Roman" w:cs="Times New Roman"/>
          <w:szCs w:val="24"/>
          <w:lang w:eastAsia="en-US"/>
        </w:rPr>
      </w:pPr>
    </w:p>
    <w:p w14:paraId="184A6B7B"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Neskatoties uz ekonomiskās situācijas pasliktināšanos gan Covid-19 pandēmijas, gan Krievijas uzsāktā kara ietekmē, iedzīvotāju ienākumi, tajā skaitā darba samaksa un valsts sociālās apdrošināšanas maksājumi visus pēdējos gadus turpināja spēcīgi palielināties.</w:t>
      </w:r>
    </w:p>
    <w:p w14:paraId="7A0A122B"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Mēneša vidējā bruto darba samaksa 2022. gadā pieauga par 7,5%, sasniedzot 1373 </w:t>
      </w:r>
      <w:r w:rsidRPr="00C74C27">
        <w:rPr>
          <w:rFonts w:eastAsia="Calibri" w:cs="Arial"/>
          <w:i/>
          <w:iCs/>
          <w:noProof/>
          <w:szCs w:val="24"/>
          <w:lang w:eastAsia="en-US"/>
        </w:rPr>
        <w:t>euro</w:t>
      </w:r>
      <w:r w:rsidRPr="00C74C27">
        <w:rPr>
          <w:rFonts w:eastAsia="Calibri" w:cs="Arial"/>
          <w:noProof/>
          <w:szCs w:val="24"/>
          <w:lang w:eastAsia="en-US"/>
        </w:rPr>
        <w:t xml:space="preserve">. Šogad darba samaksa turpina strauji palielināties, ko nosaka gan būtiskais minimālās darba samaksas paaugstinājums no 500 līdz 620 </w:t>
      </w:r>
      <w:r w:rsidRPr="00C74C27">
        <w:rPr>
          <w:rFonts w:eastAsia="Calibri" w:cs="Arial"/>
          <w:i/>
          <w:iCs/>
          <w:noProof/>
          <w:szCs w:val="24"/>
          <w:lang w:eastAsia="en-US"/>
        </w:rPr>
        <w:t>euro</w:t>
      </w:r>
      <w:r w:rsidRPr="00C74C27">
        <w:rPr>
          <w:rFonts w:eastAsia="Calibri" w:cs="Arial"/>
          <w:noProof/>
          <w:szCs w:val="24"/>
          <w:lang w:eastAsia="en-US"/>
        </w:rPr>
        <w:t>, gan valsts budžeta izdevumu pieaugums sabiedriskā sektora darbinieku algām, gan privāto uzņēmumu sniegtais energoatbalsts saviem darbiniekiem un augstais inflācijas līmenis. Šā gada pirmajā ceturksnī mēneša vidējā darba samaksa par pilnas slodzes darbu, salīdzinot ar pagājušā gada attiecīgo ceturksni, palielinājās par 12,3% un otrajā ceturksnī pieaugums bija tikai nedaudz mazāks – 12,0%.</w:t>
      </w:r>
    </w:p>
    <w:p w14:paraId="6F67ED36"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Kopumā 2023. gada pirmajā pusē, salīdzinot ar 2022. gada pirmo pusi, mēneša vidējā bruto darba samaksa palielinājās par 12,2%, sasniedzot 1494 </w:t>
      </w:r>
      <w:r w:rsidRPr="00C74C27">
        <w:rPr>
          <w:rFonts w:eastAsia="Calibri" w:cs="Arial"/>
          <w:i/>
          <w:iCs/>
          <w:noProof/>
          <w:szCs w:val="24"/>
          <w:lang w:eastAsia="en-US"/>
        </w:rPr>
        <w:t>euro</w:t>
      </w:r>
      <w:r w:rsidRPr="00C74C27">
        <w:rPr>
          <w:rFonts w:eastAsia="Calibri" w:cs="Arial"/>
          <w:noProof/>
          <w:szCs w:val="24"/>
          <w:lang w:eastAsia="en-US"/>
        </w:rPr>
        <w:t xml:space="preserve">. Nedaudz straujāks algas pieaugums bija privātajā sektorā, kur mēneša vidējā bruto darba samaksa palielinājās par 12,5% līdz 1501 </w:t>
      </w:r>
      <w:r w:rsidRPr="00C74C27">
        <w:rPr>
          <w:rFonts w:eastAsia="Calibri" w:cs="Arial"/>
          <w:i/>
          <w:iCs/>
          <w:noProof/>
          <w:szCs w:val="24"/>
          <w:lang w:eastAsia="en-US"/>
        </w:rPr>
        <w:t>euro</w:t>
      </w:r>
      <w:r w:rsidRPr="00C74C27">
        <w:rPr>
          <w:rFonts w:eastAsia="Calibri" w:cs="Arial"/>
          <w:noProof/>
          <w:szCs w:val="24"/>
          <w:lang w:eastAsia="en-US"/>
        </w:rPr>
        <w:t xml:space="preserve">, bet sabiedriskajā sektorā vidējā alga pieauga par 11,4% līdz 1486 </w:t>
      </w:r>
      <w:r w:rsidRPr="00C74C27">
        <w:rPr>
          <w:rFonts w:eastAsia="Calibri" w:cs="Arial"/>
          <w:i/>
          <w:iCs/>
          <w:noProof/>
          <w:szCs w:val="24"/>
          <w:lang w:eastAsia="en-US"/>
        </w:rPr>
        <w:t>euro</w:t>
      </w:r>
      <w:r w:rsidRPr="00C74C27">
        <w:rPr>
          <w:rFonts w:eastAsia="Calibri" w:cs="Arial"/>
          <w:noProof/>
          <w:szCs w:val="24"/>
          <w:lang w:eastAsia="en-US"/>
        </w:rPr>
        <w:t>.</w:t>
      </w:r>
    </w:p>
    <w:p w14:paraId="0104188C" w14:textId="5BA6D720"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Nozaru griezumā gada laikā vidējā alga visstraujāk augusi lauksaimniecības un mežsaimniecības nozarē, kur tā 2023. gada pirmajā pusē palielinājās par 21,4%, ieguves rūpniecībā - par 19,6% un enerģētikā </w:t>
      </w:r>
      <w:r w:rsidR="003A0247">
        <w:rPr>
          <w:rFonts w:eastAsia="Calibri" w:cs="Arial"/>
          <w:noProof/>
          <w:szCs w:val="24"/>
          <w:lang w:eastAsia="en-US"/>
        </w:rPr>
        <w:t>–</w:t>
      </w:r>
      <w:r w:rsidRPr="00C74C27">
        <w:rPr>
          <w:rFonts w:eastAsia="Calibri" w:cs="Arial"/>
          <w:noProof/>
          <w:szCs w:val="24"/>
          <w:lang w:eastAsia="en-US"/>
        </w:rPr>
        <w:t xml:space="preserve"> par 17,9%. Savukārt zemākais pieaugums bijis veselības un sociālās aprūpes nozarē, kur mēneša vidējā darba samaksa saglabājusies pagājušā gada līmenī, ko noteikusi Covid-19 piemaksu atcelšana veselības aprūpē. Augstākais darba samaksas līmenis joprojām saglabājies finanšu pakalpojumu nozarē – 2730 </w:t>
      </w:r>
      <w:r w:rsidRPr="00C74C27">
        <w:rPr>
          <w:rFonts w:eastAsia="Calibri" w:cs="Arial"/>
          <w:i/>
          <w:iCs/>
          <w:noProof/>
          <w:szCs w:val="24"/>
          <w:lang w:eastAsia="en-US"/>
        </w:rPr>
        <w:t>euro</w:t>
      </w:r>
      <w:r w:rsidRPr="00C74C27">
        <w:rPr>
          <w:rFonts w:eastAsia="Calibri" w:cs="Arial"/>
          <w:noProof/>
          <w:szCs w:val="24"/>
          <w:lang w:eastAsia="en-US"/>
        </w:rPr>
        <w:t xml:space="preserve"> un informācijas un komunikācijas pakalpojumu nozarē – 2492 </w:t>
      </w:r>
      <w:r w:rsidRPr="00C74C27">
        <w:rPr>
          <w:rFonts w:eastAsia="Calibri" w:cs="Arial"/>
          <w:i/>
          <w:iCs/>
          <w:noProof/>
          <w:szCs w:val="24"/>
          <w:lang w:eastAsia="en-US"/>
        </w:rPr>
        <w:t>euro</w:t>
      </w:r>
      <w:r w:rsidRPr="00C74C27">
        <w:rPr>
          <w:rFonts w:eastAsia="Calibri" w:cs="Arial"/>
          <w:noProof/>
          <w:szCs w:val="24"/>
          <w:lang w:eastAsia="en-US"/>
        </w:rPr>
        <w:t xml:space="preserve">, kamēr zemākās algas ir izmitināšanā un ēdināšanā – 965 </w:t>
      </w:r>
      <w:r w:rsidRPr="00C74C27">
        <w:rPr>
          <w:rFonts w:eastAsia="Calibri" w:cs="Arial"/>
          <w:i/>
          <w:iCs/>
          <w:noProof/>
          <w:szCs w:val="24"/>
          <w:lang w:eastAsia="en-US"/>
        </w:rPr>
        <w:t>euro</w:t>
      </w:r>
      <w:r w:rsidRPr="00C74C27">
        <w:rPr>
          <w:rFonts w:eastAsia="Calibri" w:cs="Arial"/>
          <w:noProof/>
          <w:szCs w:val="24"/>
          <w:lang w:eastAsia="en-US"/>
        </w:rPr>
        <w:t xml:space="preserve"> un izglītībā – 1193 </w:t>
      </w:r>
      <w:r w:rsidRPr="00C74C27">
        <w:rPr>
          <w:rFonts w:eastAsia="Calibri" w:cs="Arial"/>
          <w:i/>
          <w:iCs/>
          <w:noProof/>
          <w:szCs w:val="24"/>
          <w:lang w:eastAsia="en-US"/>
        </w:rPr>
        <w:t>euro</w:t>
      </w:r>
      <w:r w:rsidRPr="00C74C27">
        <w:rPr>
          <w:rFonts w:eastAsia="Calibri" w:cs="Arial"/>
          <w:noProof/>
          <w:szCs w:val="24"/>
          <w:lang w:eastAsia="en-US"/>
        </w:rPr>
        <w:t xml:space="preserve"> mēnesī (skat. 1.16.attēlu).</w:t>
      </w:r>
    </w:p>
    <w:p w14:paraId="152E63F1" w14:textId="77777777" w:rsidR="00C74C27" w:rsidRPr="00C74C27" w:rsidRDefault="00C74C27" w:rsidP="00C74C27">
      <w:pPr>
        <w:spacing w:after="0"/>
        <w:ind w:firstLine="0"/>
        <w:jc w:val="center"/>
        <w:rPr>
          <w:rFonts w:eastAsia="Times New Roman" w:cs="Times New Roman"/>
          <w:szCs w:val="24"/>
          <w:lang w:eastAsia="en-US"/>
        </w:rPr>
      </w:pPr>
      <w:r w:rsidRPr="00C74C27">
        <w:rPr>
          <w:rFonts w:eastAsia="Times New Roman" w:cs="Times New Roman"/>
          <w:noProof/>
          <w:szCs w:val="24"/>
          <w:lang w:eastAsia="en-US"/>
        </w:rPr>
        <w:lastRenderedPageBreak/>
        <w:drawing>
          <wp:inline distT="0" distB="0" distL="0" distR="0" wp14:anchorId="6ADFFB38" wp14:editId="2DB57354">
            <wp:extent cx="4958080" cy="3975100"/>
            <wp:effectExtent l="0" t="0" r="0" b="6350"/>
            <wp:docPr id="264175877" name="Chart 264175877">
              <a:extLst xmlns:a="http://schemas.openxmlformats.org/drawingml/2006/main">
                <a:ext uri="{FF2B5EF4-FFF2-40B4-BE49-F238E27FC236}">
                  <a16:creationId xmlns:a16="http://schemas.microsoft.com/office/drawing/2014/main" id="{65681D3B-2340-9FD7-4E92-2312837834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FBCC70E" w14:textId="77777777" w:rsidR="00C74C27" w:rsidRPr="00C74C27" w:rsidRDefault="00C74C27" w:rsidP="00C74C27">
      <w:pPr>
        <w:spacing w:after="0"/>
        <w:ind w:firstLine="0"/>
        <w:jc w:val="center"/>
        <w:rPr>
          <w:rFonts w:eastAsia="Times New Roman" w:cs="Times New Roman"/>
          <w:b/>
          <w:i/>
          <w:szCs w:val="24"/>
          <w:lang w:eastAsia="en-US"/>
        </w:rPr>
      </w:pPr>
      <w:r w:rsidRPr="00C74C27">
        <w:rPr>
          <w:rFonts w:eastAsia="Times New Roman" w:cs="Times New Roman"/>
          <w:b/>
          <w:i/>
          <w:szCs w:val="24"/>
          <w:lang w:eastAsia="en-US"/>
        </w:rPr>
        <w:t xml:space="preserve">1.16. att. Strādājošo mēneša vidējā bruto darba samaksa valstī, pa nozarēm, </w:t>
      </w:r>
      <w:proofErr w:type="spellStart"/>
      <w:r w:rsidRPr="00C74C27">
        <w:rPr>
          <w:rFonts w:eastAsia="Times New Roman" w:cs="Times New Roman"/>
          <w:b/>
          <w:i/>
          <w:szCs w:val="24"/>
          <w:lang w:eastAsia="en-US"/>
        </w:rPr>
        <w:t>euro</w:t>
      </w:r>
      <w:proofErr w:type="spellEnd"/>
    </w:p>
    <w:p w14:paraId="782D3365" w14:textId="77777777" w:rsidR="00C74C27" w:rsidRPr="00C74C27" w:rsidRDefault="00C74C27" w:rsidP="00C74C27">
      <w:pPr>
        <w:spacing w:after="0"/>
        <w:ind w:firstLine="709"/>
        <w:rPr>
          <w:rFonts w:eastAsia="Times New Roman" w:cs="Times New Roman"/>
          <w:szCs w:val="24"/>
          <w:lang w:eastAsia="en-US"/>
        </w:rPr>
      </w:pPr>
    </w:p>
    <w:p w14:paraId="7919A0F0"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Lai gan algu pieaugums šogad ir nedaudz straujāks reģionos ārpus Rīgas, joprojām saglabājas ievērojamas darba samaksas atšķirības starp Rīgas reģionu un pārējo Latviju. Rīgas reģionā mēneša vidējā darba samaksa 2023. gada pirmajā pusē bija 1644 e</w:t>
      </w:r>
      <w:r w:rsidRPr="00C74C27">
        <w:rPr>
          <w:rFonts w:eastAsia="Calibri" w:cs="Arial"/>
          <w:i/>
          <w:iCs/>
          <w:noProof/>
          <w:szCs w:val="24"/>
          <w:lang w:eastAsia="en-US"/>
        </w:rPr>
        <w:t>uro</w:t>
      </w:r>
      <w:r w:rsidRPr="00C74C27">
        <w:rPr>
          <w:rFonts w:eastAsia="Calibri" w:cs="Arial"/>
          <w:noProof/>
          <w:szCs w:val="24"/>
          <w:lang w:eastAsia="en-US"/>
        </w:rPr>
        <w:t xml:space="preserve"> – par 11,5% augstāka nekā pirms gada, kamēr Latgales reģionā tā bija tikai 1058 </w:t>
      </w:r>
      <w:r w:rsidRPr="00C74C27">
        <w:rPr>
          <w:rFonts w:eastAsia="Calibri" w:cs="Arial"/>
          <w:i/>
          <w:iCs/>
          <w:noProof/>
          <w:szCs w:val="24"/>
          <w:lang w:eastAsia="en-US"/>
        </w:rPr>
        <w:t>euro</w:t>
      </w:r>
      <w:r w:rsidRPr="00C74C27">
        <w:rPr>
          <w:rFonts w:eastAsia="Calibri" w:cs="Arial"/>
          <w:noProof/>
          <w:szCs w:val="24"/>
          <w:lang w:eastAsia="en-US"/>
        </w:rPr>
        <w:t xml:space="preserve"> (+14,5%), Vidzemes reģionā 1198 </w:t>
      </w:r>
      <w:r w:rsidRPr="00C74C27">
        <w:rPr>
          <w:rFonts w:eastAsia="Calibri" w:cs="Arial"/>
          <w:i/>
          <w:iCs/>
          <w:noProof/>
          <w:szCs w:val="24"/>
          <w:lang w:eastAsia="en-US"/>
        </w:rPr>
        <w:t>euro</w:t>
      </w:r>
      <w:r w:rsidRPr="00C74C27">
        <w:rPr>
          <w:rFonts w:eastAsia="Calibri" w:cs="Arial"/>
          <w:noProof/>
          <w:szCs w:val="24"/>
          <w:lang w:eastAsia="en-US"/>
        </w:rPr>
        <w:t xml:space="preserve"> (+14,6%), Zemgales reģionā 1240 </w:t>
      </w:r>
      <w:r w:rsidRPr="00C74C27">
        <w:rPr>
          <w:rFonts w:eastAsia="Calibri" w:cs="Arial"/>
          <w:i/>
          <w:iCs/>
          <w:noProof/>
          <w:szCs w:val="24"/>
          <w:lang w:eastAsia="en-US"/>
        </w:rPr>
        <w:t>euro</w:t>
      </w:r>
      <w:r w:rsidRPr="00C74C27">
        <w:rPr>
          <w:rFonts w:eastAsia="Calibri" w:cs="Arial"/>
          <w:noProof/>
          <w:szCs w:val="24"/>
          <w:lang w:eastAsia="en-US"/>
        </w:rPr>
        <w:t xml:space="preserve"> (+11,6%) un Kurzemes reģionā 1260 </w:t>
      </w:r>
      <w:r w:rsidRPr="00C74C27">
        <w:rPr>
          <w:rFonts w:eastAsia="Calibri" w:cs="Arial"/>
          <w:i/>
          <w:iCs/>
          <w:noProof/>
          <w:szCs w:val="24"/>
          <w:lang w:eastAsia="en-US"/>
        </w:rPr>
        <w:t>euro</w:t>
      </w:r>
      <w:r w:rsidRPr="00C74C27">
        <w:rPr>
          <w:rFonts w:eastAsia="Calibri" w:cs="Arial"/>
          <w:noProof/>
          <w:szCs w:val="24"/>
          <w:lang w:eastAsia="en-US"/>
        </w:rPr>
        <w:t xml:space="preserve"> (+12,7%).</w:t>
      </w:r>
    </w:p>
    <w:p w14:paraId="6740075A"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Strādājošo reālā neto darba samaksa, kas parāda ienākumus, atskaitot inflācijas ietekmi un precīzāk raksturo strādājošo pirktspējas izmaiņas, augstās inflācijas dēļ pagājušajā gadā samazinājusies par 8,7%, piedzīvojot pirmo kritumu kopš pagājušās finanšu krīzes 2009.-2010. gadā. Šā gada pirmajā pusē, patēriņa cenu pieaugumam mazinoties un darba samaksai palielinoties straujāk, vidējās algas pirktspēja pakāpeniski sāk atjaunoties. Lai gan gada pirmajā pusē kopā reālā alga vēl ir samazinājusies par 3,0%, samazinājuma temps ir mainījies no 7,7% krituma janvārī līdz 3,3% pieaugumam jūnijā, un nākamajos mēnešos reālās algas pieaugums kļūs vēl tikai straujāks, nodrošinot pieaugumu arī visā gadā kopumā. Tomēr, lai arī strādājošo pirktspēja pret iepriekšējo gadu sākusi atjaunoties, šogad tā vēl nebūs atgriezusies līmenī, kādā tā bija pirms straujā cenu kāpuma, un pilnībā to varētu sasniegt tikai 2025. gadā.</w:t>
      </w:r>
    </w:p>
    <w:p w14:paraId="1E6704C1" w14:textId="09917BC7" w:rsidR="00C74C27" w:rsidRPr="00C74C27" w:rsidRDefault="00C74C27" w:rsidP="00C74C27">
      <w:pPr>
        <w:rPr>
          <w:rFonts w:eastAsia="Calibri" w:cs="Arial"/>
          <w:noProof/>
          <w:szCs w:val="24"/>
          <w:lang w:eastAsia="en-US"/>
        </w:rPr>
      </w:pPr>
      <w:r w:rsidRPr="00C74C27">
        <w:rPr>
          <w:rFonts w:eastAsia="Calibri" w:cs="Arial"/>
          <w:noProof/>
          <w:szCs w:val="24"/>
          <w:lang w:eastAsia="en-US"/>
        </w:rPr>
        <w:t>Augstās inflācijas dēļ 2022. gada otrajā pusē tika veikta straujāka pensiju indeksācija, un vecuma pensiju saņēmēju vidējie ienākumi pagājušajā gadā ir auguši straujāk nekā strādājošo iedzīvotāju ienākumi. Vecuma pensijas 2022. gadā saņēma pavisam 437,6 tūkst</w:t>
      </w:r>
      <w:r w:rsidR="00861D53">
        <w:rPr>
          <w:rFonts w:eastAsia="Calibri" w:cs="Arial"/>
          <w:noProof/>
          <w:szCs w:val="24"/>
          <w:lang w:eastAsia="en-US"/>
        </w:rPr>
        <w:t xml:space="preserve">. </w:t>
      </w:r>
      <w:r w:rsidRPr="00C74C27">
        <w:rPr>
          <w:rFonts w:eastAsia="Calibri" w:cs="Arial"/>
          <w:noProof/>
          <w:szCs w:val="24"/>
          <w:lang w:eastAsia="en-US"/>
        </w:rPr>
        <w:t xml:space="preserve">cilvēku un vidējais vecuma pensijas apmērs, salīdzinot ar 2021. gadu, palielinājās par 14,6%, sasniedzot 450 </w:t>
      </w:r>
      <w:r w:rsidRPr="00C74C27">
        <w:rPr>
          <w:rFonts w:eastAsia="Calibri" w:cs="Arial"/>
          <w:i/>
          <w:iCs/>
          <w:noProof/>
          <w:szCs w:val="24"/>
          <w:lang w:eastAsia="en-US"/>
        </w:rPr>
        <w:t>euro</w:t>
      </w:r>
      <w:r w:rsidRPr="00C74C27">
        <w:rPr>
          <w:rFonts w:eastAsia="Calibri" w:cs="Arial"/>
          <w:noProof/>
          <w:szCs w:val="24"/>
          <w:lang w:eastAsia="en-US"/>
        </w:rPr>
        <w:t xml:space="preserve">. Arī šā gada pirmajā pusē vidējās vecuma pensijas pieaugums ir apsteidzis algu kāpumu, salīdzinājumā ar pagājušā gada pirmo pusi palielinoties par 21,9% un sasniedzot 529 </w:t>
      </w:r>
      <w:r w:rsidRPr="00C74C27">
        <w:rPr>
          <w:rFonts w:eastAsia="Calibri" w:cs="Arial"/>
          <w:i/>
          <w:iCs/>
          <w:noProof/>
          <w:szCs w:val="24"/>
          <w:lang w:eastAsia="en-US"/>
        </w:rPr>
        <w:t>euro</w:t>
      </w:r>
      <w:r w:rsidRPr="00C74C27">
        <w:rPr>
          <w:rFonts w:eastAsia="Calibri" w:cs="Arial"/>
          <w:noProof/>
          <w:szCs w:val="24"/>
          <w:lang w:eastAsia="en-US"/>
        </w:rPr>
        <w:t>. Gada otrajā pusē pensiju pieaugums kļūs lēnāks, ko noteiks zemāks indeksācijas koeficients šā gada rudenī, inflācijai mazinoties.</w:t>
      </w:r>
    </w:p>
    <w:p w14:paraId="712E19A8" w14:textId="73CA7894" w:rsidR="00C74C27" w:rsidRPr="00C74C27" w:rsidRDefault="00C74C27" w:rsidP="00C74C27">
      <w:pPr>
        <w:rPr>
          <w:rFonts w:eastAsia="Calibri" w:cs="Arial"/>
          <w:noProof/>
          <w:szCs w:val="24"/>
          <w:lang w:eastAsia="en-US"/>
        </w:rPr>
      </w:pPr>
      <w:r w:rsidRPr="00C74C27">
        <w:rPr>
          <w:rFonts w:eastAsia="Calibri" w:cs="Arial"/>
          <w:noProof/>
          <w:szCs w:val="24"/>
          <w:lang w:eastAsia="en-US"/>
        </w:rPr>
        <w:lastRenderedPageBreak/>
        <w:t>Strādājošo reālajai algai 2022. gadā sākot samazināties, pēdējā gada laikā būtiski mazinājies mājsaimniecību noguldījumu pieauguma temps komercbankās. Covid-19 pandēmijas laikā, pastāvot ierobežojumiem dažādu preču iegādei un pakalpojumu saņemšanai un valstij sniedzot atbalstu iedzīvotājiem, mājsaimniecību uzkrājumu pieaugums 2021. gada vidū pārsniedza 17% pret iepriekšējā gada attiecīgajiem mēnešiem. Kopš 2022.</w:t>
      </w:r>
      <w:r w:rsidRPr="00C74C27">
        <w:rPr>
          <w:rFonts w:ascii="Calibri" w:eastAsia="Calibri" w:hAnsi="Calibri" w:cs="Times New Roman"/>
          <w:sz w:val="22"/>
          <w:lang w:eastAsia="en-US"/>
        </w:rPr>
        <w:t> </w:t>
      </w:r>
      <w:r w:rsidRPr="00C74C27">
        <w:rPr>
          <w:rFonts w:eastAsia="Calibri" w:cs="Arial"/>
          <w:noProof/>
          <w:szCs w:val="24"/>
          <w:lang w:eastAsia="en-US"/>
        </w:rPr>
        <w:t xml:space="preserve">gada sākuma pieauguma temps arvien mazinājies un 2023. gada augusta beigās gada pieaugums bija vairs tikai 0,5%, kopējai uzkrājumu summai stabilizējoties 9,8 </w:t>
      </w:r>
      <w:r w:rsidR="008F3BBC" w:rsidRPr="008F3BBC">
        <w:rPr>
          <w:rFonts w:eastAsia="Calibri" w:cs="Arial"/>
          <w:noProof/>
          <w:szCs w:val="24"/>
          <w:lang w:eastAsia="en-US"/>
        </w:rPr>
        <w:t>mljrd.</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apmērā (skat. 1.17. attēlu).</w:t>
      </w:r>
    </w:p>
    <w:p w14:paraId="109B2F0E" w14:textId="77777777" w:rsidR="00C74C27" w:rsidRPr="00C74C27" w:rsidRDefault="00C74C27" w:rsidP="00C74C27">
      <w:pPr>
        <w:spacing w:after="0"/>
        <w:ind w:firstLine="0"/>
        <w:jc w:val="center"/>
        <w:rPr>
          <w:rFonts w:eastAsia="Times New Roman" w:cs="Times New Roman"/>
          <w:szCs w:val="24"/>
          <w:lang w:eastAsia="en-US"/>
        </w:rPr>
      </w:pPr>
      <w:r w:rsidRPr="00C74C27">
        <w:rPr>
          <w:rFonts w:eastAsia="Times New Roman" w:cs="Times New Roman"/>
          <w:noProof/>
          <w:szCs w:val="24"/>
          <w:lang w:eastAsia="en-US"/>
        </w:rPr>
        <w:drawing>
          <wp:inline distT="0" distB="0" distL="0" distR="0" wp14:anchorId="25162B38" wp14:editId="6C8415B0">
            <wp:extent cx="4810125" cy="2562225"/>
            <wp:effectExtent l="0" t="0" r="0" b="0"/>
            <wp:docPr id="1770275306" name="Chart 1770275306">
              <a:extLst xmlns:a="http://schemas.openxmlformats.org/drawingml/2006/main">
                <a:ext uri="{FF2B5EF4-FFF2-40B4-BE49-F238E27FC236}">
                  <a16:creationId xmlns:a16="http://schemas.microsoft.com/office/drawing/2014/main" id="{B61692AD-39DB-40EF-8931-E9B7238339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C68EAA7" w14:textId="77777777" w:rsidR="00C74C27" w:rsidRPr="00C74C27" w:rsidRDefault="00C74C27" w:rsidP="00C74C27">
      <w:pPr>
        <w:spacing w:after="0"/>
        <w:ind w:firstLine="0"/>
        <w:jc w:val="center"/>
        <w:rPr>
          <w:rFonts w:eastAsia="Times New Roman" w:cs="Times New Roman"/>
          <w:b/>
          <w:i/>
          <w:szCs w:val="24"/>
          <w:lang w:eastAsia="en-US"/>
        </w:rPr>
      </w:pPr>
      <w:r w:rsidRPr="00C74C27">
        <w:rPr>
          <w:rFonts w:eastAsia="Times New Roman" w:cs="Times New Roman"/>
          <w:b/>
          <w:i/>
          <w:szCs w:val="24"/>
          <w:lang w:eastAsia="en-US"/>
        </w:rPr>
        <w:t xml:space="preserve">1.17. att. Rezidentu mājsaimniecību kopējie noguldījumi Latvijas komercbankās, milj. </w:t>
      </w:r>
      <w:proofErr w:type="spellStart"/>
      <w:r w:rsidRPr="00C74C27">
        <w:rPr>
          <w:rFonts w:eastAsia="Times New Roman" w:cs="Times New Roman"/>
          <w:b/>
          <w:i/>
          <w:szCs w:val="24"/>
          <w:lang w:eastAsia="en-US"/>
        </w:rPr>
        <w:t>euro</w:t>
      </w:r>
      <w:proofErr w:type="spellEnd"/>
      <w:r w:rsidRPr="00C74C27">
        <w:rPr>
          <w:rFonts w:eastAsia="Times New Roman" w:cs="Times New Roman"/>
          <w:b/>
          <w:i/>
          <w:szCs w:val="24"/>
          <w:lang w:eastAsia="en-US"/>
        </w:rPr>
        <w:t xml:space="preserve"> un izmaiņas %</w:t>
      </w:r>
    </w:p>
    <w:p w14:paraId="4FFED5D8" w14:textId="77777777" w:rsidR="00C74C27" w:rsidRPr="00C74C27" w:rsidRDefault="00C74C27" w:rsidP="00C74C27">
      <w:pPr>
        <w:spacing w:after="0"/>
        <w:ind w:firstLine="0"/>
        <w:jc w:val="left"/>
        <w:rPr>
          <w:rFonts w:eastAsia="Times New Roman" w:cs="Times New Roman"/>
          <w:bCs/>
          <w:iCs/>
          <w:sz w:val="18"/>
          <w:szCs w:val="18"/>
          <w:lang w:eastAsia="en-US"/>
        </w:rPr>
      </w:pPr>
      <w:r w:rsidRPr="00C74C27">
        <w:rPr>
          <w:rFonts w:eastAsia="Times New Roman" w:cs="Times New Roman"/>
          <w:bCs/>
          <w:iCs/>
          <w:sz w:val="18"/>
          <w:szCs w:val="18"/>
          <w:lang w:eastAsia="en-US"/>
        </w:rPr>
        <w:t>Datu avots: Latvijas Banka</w:t>
      </w:r>
    </w:p>
    <w:p w14:paraId="7E5E9CC0" w14:textId="77777777" w:rsidR="00C74C27" w:rsidRPr="00C74C27" w:rsidRDefault="00C74C27" w:rsidP="00C74C27">
      <w:pPr>
        <w:spacing w:after="0"/>
        <w:ind w:firstLine="0"/>
        <w:jc w:val="left"/>
        <w:rPr>
          <w:rFonts w:eastAsia="Times New Roman" w:cs="Times New Roman"/>
          <w:bCs/>
          <w:iCs/>
          <w:sz w:val="18"/>
          <w:szCs w:val="18"/>
          <w:lang w:eastAsia="en-US"/>
        </w:rPr>
      </w:pPr>
    </w:p>
    <w:p w14:paraId="0EB0776D"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Kamēr kopējie iedzīvotāju ienākumi turpināja palielināties, to sadalījums joprojām ir visai nevienmērīgs un nevienlīdzības līmenis pēdējā desmitgadē kopš pagājušās 2008.-2009. gada finanšu krīzes nav būtiski mainījies, saglabājoties vienā no augstākajiem līmeņiem starp ES valstīm. Nevienlīdzības līmeni raksturojošais Džini koeficients laikā kopš 2010. gada ir svārstījies 34-35% līmenī, 2021. gadā, pēc provizoriskiem datiem, samazinoties līdz 34,3%, salīdzinot ar 35,7% 2020. gadā. Augstāks nevienlīdzības līmenis ir vēl tikai Bulgārijā un Lietuvā.</w:t>
      </w:r>
    </w:p>
    <w:p w14:paraId="22E245E0"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Salīdzinoši augsto nevienlīdzības līmeni Latvijā galvenokārt nosaka augstais nabadzības riskam pakļauto iedzīvotāju īpatsvars pensionāru grupā, kur tas ir būtiski augstāks nekā ES vidēji. Skatoties pēc nodarbošanās statusa, Latvijā nabadzības riskam 2021. gadā bija pakļauti 47,3% pensionāru, kamēr ES vidēji – tikai 16,2%. Arī bezdarbniekiem nabadzības risks Latvijā (56,6%) ir par desmit procentpunktiem augstāks nekā vidēji ES, kamēr strādājošajiem iedzīvotājiem (9,2%) tas ir visai tuvs ES vidējiem rādītājiem.</w:t>
      </w:r>
    </w:p>
    <w:p w14:paraId="5D9F5B78"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Līdz ar ekonomikas izaugsmi laikā kopš 2010. gada Latvijas iedzīvotāju ienākumi kopumā arvien pieaug, bet joprojām būtiski atpaliek no ES vidējā līmeņa, liecina </w:t>
      </w:r>
      <w:r w:rsidRPr="00C74C27">
        <w:rPr>
          <w:rFonts w:eastAsia="Calibri" w:cs="Arial"/>
          <w:i/>
          <w:iCs/>
          <w:noProof/>
          <w:szCs w:val="24"/>
          <w:lang w:eastAsia="en-US"/>
        </w:rPr>
        <w:t>Eurostat</w:t>
      </w:r>
      <w:r w:rsidRPr="00C74C27">
        <w:rPr>
          <w:rFonts w:eastAsia="Calibri" w:cs="Arial"/>
          <w:noProof/>
          <w:szCs w:val="24"/>
          <w:lang w:eastAsia="en-US"/>
        </w:rPr>
        <w:t xml:space="preserve"> dati. Laikā no 2011. līdz 2021. gadam mājsaimniecību vidējie rīcībā esošie ienākumi uz vienu iedzīvotāju pēc pirktspējas paritātes standarta ir palielinājušies no 52% no ES vidējā līdz 74% no ES vidējā, būtisku kāpumu uzrādot tieši 2021. gadā, lielā mērā pateicoties valsts īstenotajiem Covid-19 atbalsta pasākumiem. Neskatoties uz to, Latvijas mājsaimniecību ienākumi joprojām ir starp zemākajiem ES, apsteidzot tikai Slovākiju, Grieķiju, Horvātiju, Ungāriju un Igauniju, kamēr par Bulgāriju, Rumāniju un Maltu nav pieejami dati (1.18.attēlu).</w:t>
      </w:r>
    </w:p>
    <w:p w14:paraId="4584F42B" w14:textId="77777777" w:rsidR="00C74C27" w:rsidRPr="00C74C27" w:rsidRDefault="00C74C27" w:rsidP="00C74C27">
      <w:pPr>
        <w:spacing w:after="0"/>
        <w:ind w:firstLine="0"/>
        <w:jc w:val="center"/>
        <w:rPr>
          <w:rFonts w:eastAsia="Times New Roman" w:cs="Times New Roman"/>
          <w:szCs w:val="24"/>
          <w:lang w:eastAsia="en-US"/>
        </w:rPr>
      </w:pPr>
      <w:r w:rsidRPr="00C74C27">
        <w:rPr>
          <w:rFonts w:ascii="Calibri" w:eastAsia="Times New Roman" w:hAnsi="Calibri" w:cs="Times New Roman"/>
          <w:noProof/>
          <w:szCs w:val="24"/>
        </w:rPr>
        <w:lastRenderedPageBreak/>
        <w:drawing>
          <wp:inline distT="0" distB="0" distL="0" distR="0" wp14:anchorId="267A300A" wp14:editId="3891A788">
            <wp:extent cx="5274310" cy="2978785"/>
            <wp:effectExtent l="0" t="0" r="2540" b="0"/>
            <wp:docPr id="57573769" name="Chart 575737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897ECD7" w14:textId="77777777" w:rsidR="00C74C27" w:rsidRPr="00C74C27" w:rsidRDefault="00C74C27" w:rsidP="00C74C27">
      <w:pPr>
        <w:spacing w:after="0"/>
        <w:ind w:firstLine="0"/>
        <w:jc w:val="center"/>
        <w:rPr>
          <w:rFonts w:eastAsia="Times New Roman" w:cs="Times New Roman"/>
          <w:b/>
          <w:i/>
          <w:szCs w:val="24"/>
          <w:lang w:eastAsia="en-US"/>
        </w:rPr>
      </w:pPr>
      <w:r w:rsidRPr="00C74C27">
        <w:rPr>
          <w:rFonts w:eastAsia="Times New Roman" w:cs="Times New Roman"/>
          <w:b/>
          <w:i/>
          <w:szCs w:val="24"/>
          <w:lang w:eastAsia="en-US"/>
        </w:rPr>
        <w:t>1.18. att. Mājsaimniecību rīcībā esošie ienākumi uz vienu iedzīvotāju pēc pirktspējas paritātes standarta ES valstīs, 2021. gadā, % no ES vidējā</w:t>
      </w:r>
    </w:p>
    <w:p w14:paraId="1765B811" w14:textId="77777777" w:rsidR="00C74C27" w:rsidRPr="00C74C27" w:rsidRDefault="00C74C27" w:rsidP="00C74C27">
      <w:pPr>
        <w:spacing w:after="160" w:line="259" w:lineRule="auto"/>
        <w:ind w:firstLine="0"/>
        <w:jc w:val="left"/>
        <w:rPr>
          <w:rFonts w:eastAsia="Calibri" w:cs="Times New Roman"/>
          <w:szCs w:val="24"/>
          <w:lang w:eastAsia="en-US"/>
        </w:rPr>
      </w:pPr>
    </w:p>
    <w:p w14:paraId="3453345A" w14:textId="77777777" w:rsidR="00C74C27" w:rsidRPr="00C74C27" w:rsidRDefault="00C74C27" w:rsidP="00C74C27">
      <w:pPr>
        <w:spacing w:before="240" w:after="240"/>
        <w:ind w:firstLine="0"/>
        <w:jc w:val="center"/>
        <w:outlineLvl w:val="2"/>
        <w:rPr>
          <w:rFonts w:eastAsia="Times New Roman" w:cs="Times New Roman"/>
          <w:b/>
          <w:sz w:val="32"/>
          <w:szCs w:val="20"/>
          <w:lang w:eastAsia="en-US"/>
        </w:rPr>
      </w:pPr>
      <w:r w:rsidRPr="00C74C27">
        <w:rPr>
          <w:rFonts w:eastAsia="Times New Roman" w:cs="Times New Roman"/>
          <w:b/>
          <w:sz w:val="32"/>
          <w:szCs w:val="20"/>
          <w:lang w:eastAsia="en-US"/>
        </w:rPr>
        <w:t>1.2.5. Ārējā tirdzniecība un maksājumu bilance</w:t>
      </w:r>
      <w:bookmarkEnd w:id="10"/>
    </w:p>
    <w:p w14:paraId="770C21CE" w14:textId="77777777" w:rsidR="00C74C27" w:rsidRPr="00C74C27" w:rsidRDefault="00C74C27" w:rsidP="00C74C27">
      <w:pPr>
        <w:rPr>
          <w:rFonts w:eastAsia="Calibri" w:cs="Arial"/>
          <w:noProof/>
          <w:szCs w:val="24"/>
          <w:lang w:eastAsia="en-US"/>
        </w:rPr>
      </w:pPr>
      <w:bookmarkStart w:id="11" w:name="_Toc126044013"/>
      <w:r w:rsidRPr="00C74C27">
        <w:rPr>
          <w:rFonts w:eastAsia="Calibri" w:cs="Arial"/>
          <w:noProof/>
          <w:szCs w:val="24"/>
          <w:lang w:eastAsia="en-US"/>
        </w:rPr>
        <w:t xml:space="preserve">Latvijas </w:t>
      </w:r>
      <w:r w:rsidRPr="00C74C27">
        <w:rPr>
          <w:rFonts w:eastAsia="Calibri" w:cs="Arial"/>
          <w:b/>
          <w:bCs/>
          <w:noProof/>
          <w:szCs w:val="24"/>
          <w:lang w:eastAsia="en-US"/>
        </w:rPr>
        <w:t>preču un pakalpojumu ārējās tirdzniecības</w:t>
      </w:r>
      <w:r w:rsidRPr="00C74C27">
        <w:rPr>
          <w:rFonts w:eastAsia="Calibri" w:cs="Arial"/>
          <w:noProof/>
          <w:szCs w:val="24"/>
          <w:lang w:eastAsia="en-US"/>
        </w:rPr>
        <w:t xml:space="preserve"> apgrozījums 2022. gadā salīdzināmajās cenās palielinājās par 10,7%, kas bija nedaudz mazāks pieaugums nekā 2021. gadā. Pasaules ekonomikas attīstība un ārējā pieprasījuma pieaugums galvenajos eksporta noieta tirgos kā ES, kā arī būtisks eksporta kāpums uz tādām valstīm kā ASV, Ukraina, Saūda Arābija, Norvēģija, Kazahstāna un Ķīna 2022. gadā nodrošināja Latvijas preču un pakalpojumu eksporta pieaugumu par 10,3%. Tajā pašā laikā Latvijas iekšējā patēriņa pieaugums un investīcijas iekārtās un tehnoloģiskajās mašīnās veicināja kopējā preču un pakalpojumu importa kāpumu par 11,1%.</w:t>
      </w:r>
    </w:p>
    <w:p w14:paraId="2779D61F"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Ņemot vērā, ka preču un pakalpojumu imports ir palielinājies straujāk par eksportu, ārējās tirdzniecības bilance 2022. gadā ir pasliktinājusies. Tādējādi ārējās tirdzniecības devums IKP pieaugumā bija negatīvs jeb -1,4 procentpunktu apmērā, kas ir būtiski mazāk nekā 2021. gadā, kad neto eksporta devums bija -4,6 procentpunkti. Eksporta un importa kāpums 2022. gadā bijis straujāks nekā IKP pieaugums, līdz ar to ārējās tirdzniecības nozīme tautsaimniecībā palielinājusies. Eksporta īpatsvars IKP 2022. gadā pieauga par 4,6 procentpunktiem un sasniedza 72,3%. Savukārt importa īpatsvars valsts ekonomikā pērnajā gadā veidoja 81,3%, palielinoties par 5,7 procentpunktiem salīdzinājumā ar 2021. gadu.</w:t>
      </w:r>
    </w:p>
    <w:p w14:paraId="08182786" w14:textId="5E43297C"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2022. gadā Latvijas preču eksporta un importa pieaugums faktiskajās cenās bija straujākais desmitgadē par spīti enerģētikas krīzei Eiropā un ģeopolitiskajai krīzei, ko izraisījis Krievijas militārais iebrukums Ukrainā. Pērn preču eksporta vērtība palielinājās par 27,9%, sasniedzot 20,7 </w:t>
      </w:r>
      <w:r w:rsidR="008F3BBC" w:rsidRPr="008F3BBC">
        <w:rPr>
          <w:rFonts w:eastAsia="Calibri" w:cs="Arial"/>
          <w:noProof/>
          <w:szCs w:val="24"/>
          <w:lang w:eastAsia="en-US"/>
        </w:rPr>
        <w:t>mljrd.</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bet importa vērtība pieauga par 30,9%, sasniedzot 24,8 </w:t>
      </w:r>
      <w:r w:rsidR="008F3BBC" w:rsidRPr="008F3BBC">
        <w:rPr>
          <w:rFonts w:eastAsia="Calibri" w:cs="Arial"/>
          <w:noProof/>
          <w:szCs w:val="24"/>
          <w:lang w:eastAsia="en-US"/>
        </w:rPr>
        <w:t>mljrd.</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Zīmīgi, ka straujš eksporta kāpums bija vērojams visa gada garumā. Izņemot metālus un to izstrādājumus, eksporta pieaugums bija fiksēts visās preču grupās, kas nozīmē, ka ārējā pieprasījuma uzlabojumu izjuta praktiski visas apstrādes rūpniecības apakšnozares. Kopējo preču eksportu veicināja arī reeksporta pieaugums, strauji pieaugot minerālproduktu, kā arī atsevišķu mehānisko un elektroierīču preču eksportam. Līdzīga situācija bija vērojama arī preču importā. Izņemot metālu un to izstrādājumu, kā arī koksnes un koka izstrādājumu preču grupas, noturīgi augsts importa kāpums bija vērojams visām preču grupām visa gada garumā. </w:t>
      </w:r>
    </w:p>
    <w:p w14:paraId="21B1055D"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lastRenderedPageBreak/>
        <w:t>Viens no galvenajiem iemesliem tik straujai un noturīgai preču eksporta un importa izaugsmei bija cenu kāpums. Eksporta vienības vērtības indekss 2022. gadā ir palielinājies par 19,7%, salīdzinot ar iepriekšējo gadu. Savukārt importa cenu indekss pērnajā gadā pieauga par 19,6%. Tas nozīmē, ka preču eksporta gadījumā vairāk nekā divas trešdaļas no kāpuma nodrošināja preču cenu pieaugums, bet ārējais pieprasījums deva trešdaļu no kopējās preču eksporta izaugsmes. Importa gadījumā cenu pieaugums arī izskaidro aptuveni divas trešdaļas no preču importa pieauguma. Savukārt pārējo daļu izskaidro ar Latvijas ekonomikas attīstību saistītie faktori. Cenu kāpums bija vērojams praktiski visām izejvielām, proti, energoresursiem, pārtikai, metāliem, kā arī koksnei. Izejvielu cenu kāpums kopā ar loģistikas traucējumiem, ko ietekmēja augošais globālais pieprasījums un augstās degvielas cenas, sadārdzināja gala preču cenu. Tomēr arī pie šāda cenu kāpuma pašreizējā ģeopolitiskajā situācijā preču ārējās tirdzniecības pieaugums pagājušajā gadā vērtējams kā ļoti labs.</w:t>
      </w:r>
    </w:p>
    <w:p w14:paraId="1F2797C7"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2023. gada pirmajā pusgadā Latvijas </w:t>
      </w:r>
      <w:r w:rsidRPr="00C74C27">
        <w:rPr>
          <w:rFonts w:eastAsia="Calibri" w:cs="Arial"/>
          <w:b/>
          <w:bCs/>
          <w:noProof/>
          <w:szCs w:val="24"/>
          <w:lang w:eastAsia="en-US"/>
        </w:rPr>
        <w:t>preču un pakalpojumu</w:t>
      </w:r>
      <w:r w:rsidRPr="00C74C27">
        <w:rPr>
          <w:rFonts w:eastAsia="Calibri" w:cs="Arial"/>
          <w:noProof/>
          <w:szCs w:val="24"/>
          <w:lang w:eastAsia="en-US"/>
        </w:rPr>
        <w:t xml:space="preserve"> </w:t>
      </w:r>
      <w:r w:rsidRPr="00C74C27">
        <w:rPr>
          <w:rFonts w:eastAsia="Calibri" w:cs="Arial"/>
          <w:b/>
          <w:bCs/>
          <w:noProof/>
          <w:szCs w:val="24"/>
          <w:lang w:eastAsia="en-US"/>
        </w:rPr>
        <w:t>eksporta</w:t>
      </w:r>
      <w:r w:rsidRPr="00C74C27">
        <w:rPr>
          <w:rFonts w:eastAsia="Calibri" w:cs="Arial"/>
          <w:noProof/>
          <w:szCs w:val="24"/>
          <w:lang w:eastAsia="en-US"/>
        </w:rPr>
        <w:t xml:space="preserve"> vērtība salīdzināmajās cenās samazinājās par 2,5%, ko lielā mērā noteica vārgā ekonomikas izaugsme ES. Turpretim imports attiecīgajā periodā palielinājās par 1%, ko noteica straujš pakalpojumu importa pieaugums par 11,9%, kamēr preču imports samazinājies par 1,0%. </w:t>
      </w:r>
    </w:p>
    <w:p w14:paraId="4CF682B6"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Detalizētāki statistikas dati, kas ir pieejami faktiskajās cenās, liecina, ka preču eksporta vērtība 2023. gada pirmajos septiņos mēnešos samazinājusies par 5,8%, salīdzinot ar attiecīgo periodu pērn. Šā gada aprīlī preču eksportam gada izteiksmē pirmo reizi kopš 2021. gada sākuma bija kritums, 10,5% apmērā. Turpmākajos mēnešos kritums pastiprinājies, sasniedzot 15%.</w:t>
      </w:r>
    </w:p>
    <w:p w14:paraId="28015CA8" w14:textId="77777777" w:rsidR="00C74C27" w:rsidRPr="00C74C27" w:rsidRDefault="00C74C27" w:rsidP="00C74C27">
      <w:pPr>
        <w:spacing w:after="160" w:line="259" w:lineRule="auto"/>
        <w:ind w:firstLine="0"/>
        <w:jc w:val="center"/>
        <w:rPr>
          <w:rFonts w:ascii="Calibri" w:eastAsia="Calibri" w:hAnsi="Calibri" w:cs="Arial"/>
          <w:sz w:val="22"/>
          <w:lang w:eastAsia="en-US"/>
        </w:rPr>
      </w:pPr>
      <w:r w:rsidRPr="00C74C27">
        <w:rPr>
          <w:rFonts w:ascii="Calibri" w:eastAsia="Calibri" w:hAnsi="Calibri" w:cs="Times New Roman"/>
          <w:noProof/>
          <w:sz w:val="22"/>
          <w:lang w:eastAsia="en-US"/>
        </w:rPr>
        <w:drawing>
          <wp:inline distT="0" distB="0" distL="0" distR="0" wp14:anchorId="46D4D337" wp14:editId="6DB7B168">
            <wp:extent cx="5295900" cy="3403600"/>
            <wp:effectExtent l="0" t="0" r="0" b="6350"/>
            <wp:docPr id="4" name="Chart 4">
              <a:extLst xmlns:a="http://schemas.openxmlformats.org/drawingml/2006/main">
                <a:ext uri="{FF2B5EF4-FFF2-40B4-BE49-F238E27FC236}">
                  <a16:creationId xmlns:a16="http://schemas.microsoft.com/office/drawing/2014/main" id="{2E70CB67-36D8-3D0A-9D64-B3FC3B4C2B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74C5905" w14:textId="77777777" w:rsidR="00C74C27" w:rsidRPr="00C74C27" w:rsidRDefault="00C74C27" w:rsidP="00C74C27">
      <w:pPr>
        <w:ind w:firstLine="0"/>
        <w:jc w:val="center"/>
        <w:rPr>
          <w:rFonts w:eastAsia="Calibri" w:cs="Arial"/>
          <w:b/>
          <w:bCs/>
          <w:i/>
          <w:iCs/>
          <w:noProof/>
          <w:szCs w:val="24"/>
          <w:lang w:eastAsia="en-US"/>
        </w:rPr>
      </w:pPr>
      <w:r w:rsidRPr="00C74C27">
        <w:rPr>
          <w:rFonts w:eastAsia="Calibri" w:cs="Arial"/>
          <w:b/>
          <w:bCs/>
          <w:i/>
          <w:iCs/>
          <w:noProof/>
          <w:szCs w:val="24"/>
          <w:lang w:eastAsia="en-US"/>
        </w:rPr>
        <w:t>1.19. att. Preču eksporta un preču importa vērtības pārmaiņas salīdzinājumā ar iepriekšējā gada attiecīgo mēnesi (%) un preču ārējā tirdzniecības bilance (milj. euro)</w:t>
      </w:r>
    </w:p>
    <w:p w14:paraId="26FFF34E"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Preču eksporta samazinājums šā gada septiņos mēnešos ir fiksēts lielākajai daļai eksporta grupu, tomēr noteicošā loma eksporta kritumā bija minerālproduktu, koka un koksnes izstrādājumu, kā arī metālu un metālu izstrādājumu grupām. Tieši šīs preču grupas bija vienas no galvenajiem eksporta dzinējspēkiem pērnā gada pirmajā pusē, kad preču eksporta pieaugums katru mēnesi bija tuvu 40%. Tik strauju izaugsmi lielā mērā noteica izejvielu, it īpaši gāzes, naftas produktu un koksnes cenu pieaugums. Līdz ar to šogad šim faktoram būs preču eksportu </w:t>
      </w:r>
      <w:r w:rsidRPr="00C74C27">
        <w:rPr>
          <w:rFonts w:eastAsia="Calibri" w:cs="Arial"/>
          <w:noProof/>
          <w:szCs w:val="24"/>
          <w:lang w:eastAsia="en-US"/>
        </w:rPr>
        <w:lastRenderedPageBreak/>
        <w:t>pazeminoša ietekme, jo izejvielu cenas ir būtiski samazinājušās. Latvijas preču eksporta struktūrā dominējošā loma ir precēm ar zemu pievienoto vērtību, piemēram, neapstrādātai pārtikai, minerālproduktiem, dzelzs atkritumiem un lūžņiem, koksnei un koka izstrādājumiem, kuru cenas pasaules tirgos jau vairākus mēnešus samazinās, kas, no vienas puses, samazina patēriņa cenas gan Eiropā kopumā, gan Latvijā, bet, no otras puses, atstāj pazeminošu ietekmi arī uz eksporta vērtību.</w:t>
      </w:r>
    </w:p>
    <w:p w14:paraId="4425ACAF"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2023. gada septiņos mēnešos koka un tā izstrādājumu eksports samazinājies par 21,3% salīdzinājumā ar pērnā gada attiecīgo periodu. Zīmīgi, ka eksporta kritums šajā preču grupā bija fiksēts gan koksnes precēm ar zemāku pievienoto vērtību (sazāģētiem, šķeldotiem kokmateriāliem, koka lādēm un kastēm), gan precēm ar relatīvi augstu pievienoto vērtību (kokskaidu plātnēm, namdaru darinājumiem). Negatīvi vērtējams arī tas, ka būtiskākais koka un koksnes materiālu eksporta samazinājums bija fiksēts uz lielāko šīs preču grupas eksporta tirgu Apvienoto Karalisti, - par 36,5%, salīdzinot ar 2022. gada septiņiem mēnešiem. Neskatoties uz būtisko samazinājumu, Apvienotā Karaliste ar 19,3% īpatsvaru saglabājas kā lielākais koka un tā izstrādājumu eksporta tirgus. Papildus tam, koksnes eksports samazinājās arī uz Vāciju, Igauniju, Lietuvu, Nīderlandi, Norvēģiju, Poliju un ASV, kas tāpat ir nozīmīgi noieta tirgi Latvijas koksnei un koka izstrādājumiem. Jāsecina, ka pie pašreizējām koksnes cenām un vājās ES ekonomikas attīstības šīs preču grupas eksports turpinās mazināties arī turpmākajos mēnešos.</w:t>
      </w:r>
    </w:p>
    <w:p w14:paraId="745E9C00"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Minerālproduktu eksporta vērtība šā gada septiņos mēnešos bija par 30,9% mazāka nekā pērnā gada attiecīgajā periodā. Eksporta samazinājumu arī šajā grupā, no vienas puses, noteica pērnā gada augstā bāze un būtiski zemāka energoresursu cena šogad, un, no otras puses, to ietekmēja arī vājā ES izaugsme. Minerālproduktu eksportu visvairāk ietekmēja elektroenerģijas eksporta samazinājums uz Lietuvu, kā arī naftas gāzes reeksporta samazinājums uz Baltijas valstīm un Somiju. Šā gada jūlijā minerālproduktu eksporta vērtība gada izteiksmē samazinājās par 59,4%. Sagaidāms, ka arī turpmākajos mēnešos minerālproduktu eksporta kritums gada izteiksmē būs 40%-50% robežās.</w:t>
      </w:r>
    </w:p>
    <w:p w14:paraId="6C939173"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Arī metālu un metālu izstrādājumu eksporta vērtība šā gada septiņos mēnešos samazinājās par 21,6%, ko noteica dzelzs atkritumu un lūžņu eksporta samazinājums uz Igauniju, kā arī dzelzs un neleģētā tērauda eksporta kritums uz dažādām ES dalībvalstīm.</w:t>
      </w:r>
    </w:p>
    <w:p w14:paraId="743FE6E1" w14:textId="3DD1661C"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Vienlaicīgi 2023. gada septiņos mēnešos bija fiksēts būtisks lauksaimniecības un pārtikas preču eksporta pieaugums, kopumā par 19,1%, tādējādi preču tirdzniecības bilancē nedaudz mazinot negatīvo efektu no citu preču grupu eksporta krituma. Lauksaimniecības un pārtikas preču eksportu galvenokārt veicināja straujš alkoholisko dzērienu reeksporta pieaugums, kā arī pieaugums tādu preču eksportā kā dārzeņi, labības un miltu izstrādājumi un graudaugi. Svarīgi norādīt </w:t>
      </w:r>
      <w:r w:rsidRPr="00C74C27">
        <w:rPr>
          <w:rFonts w:eastAsia="Calibri" w:cs="Arial"/>
          <w:noProof/>
          <w:color w:val="000000"/>
          <w:szCs w:val="24"/>
          <w:lang w:eastAsia="en-US"/>
        </w:rPr>
        <w:t xml:space="preserve">uz faktoriem, kas </w:t>
      </w:r>
      <w:r w:rsidRPr="00C74C27">
        <w:rPr>
          <w:rFonts w:eastAsia="Calibri" w:cs="Arial"/>
          <w:noProof/>
          <w:szCs w:val="24"/>
          <w:lang w:eastAsia="en-US"/>
        </w:rPr>
        <w:t xml:space="preserve">varētu mazināt šis grupas eksportu </w:t>
      </w:r>
      <w:r w:rsidRPr="00C74C27">
        <w:rPr>
          <w:rFonts w:eastAsia="Calibri" w:cs="Arial"/>
          <w:noProof/>
          <w:color w:val="000000"/>
          <w:szCs w:val="24"/>
          <w:lang w:eastAsia="en-US"/>
        </w:rPr>
        <w:t xml:space="preserve">turpmāk. Tātad, alkoholisko </w:t>
      </w:r>
      <w:r w:rsidRPr="00C74C27">
        <w:rPr>
          <w:rFonts w:eastAsia="Calibri" w:cs="Arial"/>
          <w:noProof/>
          <w:szCs w:val="24"/>
          <w:lang w:eastAsia="en-US"/>
        </w:rPr>
        <w:t>dzērienu eksporta pieaugumu lielā mērā nodrošina tikai viena valsts jeb Krievija. Šā gada septiņos mēnešos kopējā alkoholisko dzērienu eksporta vērtība pieauga par 173 milj</w:t>
      </w:r>
      <w:r w:rsidR="00605007">
        <w:rPr>
          <w:rFonts w:eastAsia="Calibri" w:cs="Arial"/>
          <w:noProof/>
          <w:szCs w:val="24"/>
          <w:lang w:eastAsia="en-US"/>
        </w:rPr>
        <w:t>.</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no tiem 143 milj</w:t>
      </w:r>
      <w:r w:rsidR="00605007">
        <w:rPr>
          <w:rFonts w:eastAsia="Calibri" w:cs="Arial"/>
          <w:noProof/>
          <w:szCs w:val="24"/>
          <w:lang w:eastAsia="en-US"/>
        </w:rPr>
        <w:t>.</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jeb 83% nodrošināja eksporta pieaugums uz Krieviju. 2023. gada septiņos mēnešos Krievijas tirgus veidoja gandrīz 60% no alkoholisko dzērienu kopējā eksporta. Aktuālākie dati par šā gada jūliju uzrāda, ka alkoholisko dzērienu eksporta pieaugums uz Krieviju piebremzējies līdz 9,8% gada izteiksmē, kamēr vidēji pirmajā pusgadā pieaugums bija 153% apmērā. Mazinoties eksporta pieaugumam uz Krieviju, kopējais alkoholisko dzērienu eksporta kāpums šā gada jūlijā sarucis līdz 4,1%. </w:t>
      </w:r>
    </w:p>
    <w:p w14:paraId="52893A8D"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Svarīga loma lauksaimniecības un pārtikas preču eksportā ir graudaugiem, kas šajā grupā ir otrā lielākā eksporta prece, atpaliekot tikai no alkoholiskajiem dzērieniem. Ņemot vērā sausumu šā gada sākumā, kā arī stipro vētru vasaras beigās, graudaugu raža šogad varētu būt vāja, līdz ar to graudaugu eksports 2023. gadā visticamāk būs zems. Visu preču grupu eksporta vērtība, kā arī tās pārmaiņas ir atspoguļotas 1.2. tabulā.</w:t>
      </w:r>
    </w:p>
    <w:p w14:paraId="759813F4" w14:textId="77777777" w:rsidR="00C74C27" w:rsidRPr="00C74C27" w:rsidRDefault="00C74C27" w:rsidP="00C74C27">
      <w:pPr>
        <w:jc w:val="right"/>
        <w:rPr>
          <w:rFonts w:eastAsia="Calibri" w:cs="Arial"/>
          <w:b/>
          <w:bCs/>
          <w:i/>
          <w:iCs/>
          <w:noProof/>
          <w:szCs w:val="24"/>
          <w:lang w:eastAsia="en-US"/>
        </w:rPr>
      </w:pPr>
      <w:r w:rsidRPr="00C74C27">
        <w:rPr>
          <w:rFonts w:eastAsia="Calibri" w:cs="Arial"/>
          <w:b/>
          <w:bCs/>
          <w:i/>
          <w:iCs/>
          <w:noProof/>
          <w:szCs w:val="24"/>
          <w:lang w:eastAsia="en-US"/>
        </w:rPr>
        <w:lastRenderedPageBreak/>
        <w:t>1.2. tabula. Preču eksporta vērtība 2022. gada un 2023. gada pirmajos septiņos mēnešos (izmaiņas, devums izaugsmē un preču grupu īpatsvars 2023. gada septiņos mēnešos)</w:t>
      </w:r>
    </w:p>
    <w:tbl>
      <w:tblPr>
        <w:tblW w:w="8784" w:type="dxa"/>
        <w:jc w:val="center"/>
        <w:tblLayout w:type="fixed"/>
        <w:tblLook w:val="04A0" w:firstRow="1" w:lastRow="0" w:firstColumn="1" w:lastColumn="0" w:noHBand="0" w:noVBand="1"/>
      </w:tblPr>
      <w:tblGrid>
        <w:gridCol w:w="2073"/>
        <w:gridCol w:w="1183"/>
        <w:gridCol w:w="1134"/>
        <w:gridCol w:w="992"/>
        <w:gridCol w:w="1134"/>
        <w:gridCol w:w="1134"/>
        <w:gridCol w:w="1134"/>
      </w:tblGrid>
      <w:tr w:rsidR="00C74C27" w:rsidRPr="00C74C27" w14:paraId="5FCC9132" w14:textId="77777777" w:rsidTr="005B2BAF">
        <w:trPr>
          <w:trHeight w:val="747"/>
          <w:jc w:val="center"/>
        </w:trPr>
        <w:tc>
          <w:tcPr>
            <w:tcW w:w="2073" w:type="dxa"/>
            <w:tcBorders>
              <w:top w:val="single" w:sz="4" w:space="0" w:color="auto"/>
              <w:left w:val="single" w:sz="4" w:space="0" w:color="auto"/>
              <w:bottom w:val="single" w:sz="4" w:space="0" w:color="auto"/>
              <w:right w:val="single" w:sz="4" w:space="0" w:color="auto"/>
            </w:tcBorders>
            <w:shd w:val="clear" w:color="auto" w:fill="9CC2E5"/>
            <w:noWrap/>
            <w:vAlign w:val="center"/>
            <w:hideMark/>
          </w:tcPr>
          <w:p w14:paraId="66426496"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Preču grupa</w:t>
            </w:r>
          </w:p>
        </w:tc>
        <w:tc>
          <w:tcPr>
            <w:tcW w:w="1183" w:type="dxa"/>
            <w:tcBorders>
              <w:top w:val="single" w:sz="4" w:space="0" w:color="auto"/>
              <w:left w:val="nil"/>
              <w:bottom w:val="single" w:sz="4" w:space="0" w:color="auto"/>
              <w:right w:val="single" w:sz="4" w:space="0" w:color="auto"/>
            </w:tcBorders>
            <w:shd w:val="clear" w:color="auto" w:fill="9CC2E5"/>
            <w:noWrap/>
            <w:vAlign w:val="center"/>
            <w:hideMark/>
          </w:tcPr>
          <w:p w14:paraId="1C19AC88"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 xml:space="preserve">I-VII 2022 milj. </w:t>
            </w:r>
            <w:proofErr w:type="spellStart"/>
            <w:r w:rsidRPr="00C74C27">
              <w:rPr>
                <w:rFonts w:eastAsia="Times New Roman" w:cs="Times New Roman"/>
                <w:b/>
                <w:bCs/>
                <w:i/>
                <w:iCs/>
                <w:color w:val="000000"/>
                <w:sz w:val="20"/>
                <w:szCs w:val="20"/>
              </w:rPr>
              <w:t>euro</w:t>
            </w:r>
            <w:proofErr w:type="spellEnd"/>
          </w:p>
        </w:tc>
        <w:tc>
          <w:tcPr>
            <w:tcW w:w="1134" w:type="dxa"/>
            <w:tcBorders>
              <w:top w:val="single" w:sz="4" w:space="0" w:color="auto"/>
              <w:left w:val="nil"/>
              <w:bottom w:val="single" w:sz="4" w:space="0" w:color="auto"/>
              <w:right w:val="single" w:sz="4" w:space="0" w:color="auto"/>
            </w:tcBorders>
            <w:shd w:val="clear" w:color="auto" w:fill="9CC2E5"/>
            <w:noWrap/>
            <w:vAlign w:val="center"/>
            <w:hideMark/>
          </w:tcPr>
          <w:p w14:paraId="1FFC8F50"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 xml:space="preserve">I-VII 2023 milj. </w:t>
            </w:r>
            <w:proofErr w:type="spellStart"/>
            <w:r w:rsidRPr="00C74C27">
              <w:rPr>
                <w:rFonts w:eastAsia="Times New Roman" w:cs="Times New Roman"/>
                <w:b/>
                <w:bCs/>
                <w:i/>
                <w:iCs/>
                <w:color w:val="000000"/>
                <w:sz w:val="20"/>
                <w:szCs w:val="20"/>
              </w:rPr>
              <w:t>euro</w:t>
            </w:r>
            <w:proofErr w:type="spellEnd"/>
          </w:p>
        </w:tc>
        <w:tc>
          <w:tcPr>
            <w:tcW w:w="992" w:type="dxa"/>
            <w:tcBorders>
              <w:top w:val="single" w:sz="4" w:space="0" w:color="auto"/>
              <w:left w:val="nil"/>
              <w:bottom w:val="single" w:sz="4" w:space="0" w:color="auto"/>
              <w:right w:val="single" w:sz="4" w:space="0" w:color="auto"/>
            </w:tcBorders>
            <w:shd w:val="clear" w:color="auto" w:fill="9CC2E5"/>
            <w:noWrap/>
            <w:vAlign w:val="center"/>
            <w:hideMark/>
          </w:tcPr>
          <w:p w14:paraId="3712A27D"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Izmaiņas, %</w:t>
            </w:r>
          </w:p>
        </w:tc>
        <w:tc>
          <w:tcPr>
            <w:tcW w:w="1134" w:type="dxa"/>
            <w:tcBorders>
              <w:top w:val="single" w:sz="4" w:space="0" w:color="auto"/>
              <w:left w:val="nil"/>
              <w:bottom w:val="single" w:sz="4" w:space="0" w:color="auto"/>
              <w:right w:val="single" w:sz="4" w:space="0" w:color="auto"/>
            </w:tcBorders>
            <w:shd w:val="clear" w:color="auto" w:fill="9CC2E5"/>
            <w:noWrap/>
            <w:vAlign w:val="center"/>
            <w:hideMark/>
          </w:tcPr>
          <w:p w14:paraId="60F0789D"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 xml:space="preserve">Izmaiņas, milj. </w:t>
            </w:r>
            <w:proofErr w:type="spellStart"/>
            <w:r w:rsidRPr="00C74C27">
              <w:rPr>
                <w:rFonts w:eastAsia="Times New Roman" w:cs="Times New Roman"/>
                <w:b/>
                <w:bCs/>
                <w:i/>
                <w:iCs/>
                <w:color w:val="000000"/>
                <w:sz w:val="20"/>
                <w:szCs w:val="20"/>
              </w:rPr>
              <w:t>euro</w:t>
            </w:r>
            <w:proofErr w:type="spellEnd"/>
          </w:p>
        </w:tc>
        <w:tc>
          <w:tcPr>
            <w:tcW w:w="1134" w:type="dxa"/>
            <w:tcBorders>
              <w:top w:val="single" w:sz="4" w:space="0" w:color="auto"/>
              <w:left w:val="nil"/>
              <w:bottom w:val="single" w:sz="4" w:space="0" w:color="auto"/>
              <w:right w:val="single" w:sz="4" w:space="0" w:color="auto"/>
            </w:tcBorders>
            <w:shd w:val="clear" w:color="auto" w:fill="9CC2E5"/>
            <w:noWrap/>
            <w:vAlign w:val="center"/>
            <w:hideMark/>
          </w:tcPr>
          <w:p w14:paraId="04500BC3"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 xml:space="preserve">Devums izaugsmē, </w:t>
            </w:r>
            <w:proofErr w:type="spellStart"/>
            <w:r w:rsidRPr="00C74C27">
              <w:rPr>
                <w:rFonts w:eastAsia="Times New Roman" w:cs="Times New Roman"/>
                <w:b/>
                <w:bCs/>
                <w:color w:val="000000"/>
                <w:sz w:val="20"/>
                <w:szCs w:val="20"/>
              </w:rPr>
              <w:t>pp</w:t>
            </w:r>
            <w:proofErr w:type="spellEnd"/>
          </w:p>
        </w:tc>
        <w:tc>
          <w:tcPr>
            <w:tcW w:w="1134" w:type="dxa"/>
            <w:tcBorders>
              <w:top w:val="single" w:sz="4" w:space="0" w:color="auto"/>
              <w:left w:val="nil"/>
              <w:bottom w:val="single" w:sz="4" w:space="0" w:color="auto"/>
              <w:right w:val="single" w:sz="4" w:space="0" w:color="auto"/>
            </w:tcBorders>
            <w:shd w:val="clear" w:color="auto" w:fill="9CC2E5"/>
            <w:noWrap/>
            <w:vAlign w:val="center"/>
            <w:hideMark/>
          </w:tcPr>
          <w:p w14:paraId="0DDFDA76" w14:textId="77777777" w:rsidR="00C74C27" w:rsidRPr="00C74C27" w:rsidRDefault="00C74C27" w:rsidP="00C74C27">
            <w:pPr>
              <w:spacing w:after="0"/>
              <w:ind w:firstLine="0"/>
              <w:jc w:val="center"/>
              <w:rPr>
                <w:rFonts w:eastAsia="Times New Roman" w:cs="Times New Roman"/>
                <w:b/>
                <w:bCs/>
                <w:color w:val="000000"/>
                <w:sz w:val="20"/>
                <w:szCs w:val="20"/>
              </w:rPr>
            </w:pPr>
            <w:proofErr w:type="spellStart"/>
            <w:r w:rsidRPr="00C74C27">
              <w:rPr>
                <w:rFonts w:eastAsia="Times New Roman" w:cs="Times New Roman"/>
                <w:b/>
                <w:bCs/>
                <w:color w:val="000000"/>
                <w:sz w:val="20"/>
                <w:szCs w:val="20"/>
              </w:rPr>
              <w:t>Īpat</w:t>
            </w:r>
            <w:proofErr w:type="spellEnd"/>
            <w:r w:rsidRPr="00C74C27">
              <w:rPr>
                <w:rFonts w:eastAsia="Times New Roman" w:cs="Times New Roman"/>
                <w:b/>
                <w:bCs/>
                <w:color w:val="000000"/>
                <w:sz w:val="20"/>
                <w:szCs w:val="20"/>
              </w:rPr>
              <w:t>-svars, %</w:t>
            </w:r>
          </w:p>
        </w:tc>
      </w:tr>
      <w:tr w:rsidR="00C74C27" w:rsidRPr="00C74C27" w14:paraId="06389C43"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45EB0B12"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Lauksaimniecības preces un pārtika</w:t>
            </w:r>
          </w:p>
        </w:tc>
        <w:tc>
          <w:tcPr>
            <w:tcW w:w="1183" w:type="dxa"/>
            <w:tcBorders>
              <w:top w:val="nil"/>
              <w:left w:val="nil"/>
              <w:bottom w:val="single" w:sz="4" w:space="0" w:color="auto"/>
              <w:right w:val="single" w:sz="4" w:space="0" w:color="auto"/>
            </w:tcBorders>
            <w:shd w:val="clear" w:color="auto" w:fill="auto"/>
            <w:noWrap/>
            <w:vAlign w:val="center"/>
            <w:hideMark/>
          </w:tcPr>
          <w:p w14:paraId="65149E8F"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1983</w:t>
            </w:r>
          </w:p>
        </w:tc>
        <w:tc>
          <w:tcPr>
            <w:tcW w:w="1134" w:type="dxa"/>
            <w:tcBorders>
              <w:top w:val="nil"/>
              <w:left w:val="nil"/>
              <w:bottom w:val="single" w:sz="4" w:space="0" w:color="auto"/>
              <w:right w:val="single" w:sz="4" w:space="0" w:color="auto"/>
            </w:tcBorders>
            <w:shd w:val="clear" w:color="auto" w:fill="auto"/>
            <w:noWrap/>
            <w:vAlign w:val="center"/>
            <w:hideMark/>
          </w:tcPr>
          <w:p w14:paraId="6313B8C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2362</w:t>
            </w:r>
          </w:p>
        </w:tc>
        <w:tc>
          <w:tcPr>
            <w:tcW w:w="992" w:type="dxa"/>
            <w:tcBorders>
              <w:top w:val="nil"/>
              <w:left w:val="nil"/>
              <w:bottom w:val="single" w:sz="4" w:space="0" w:color="auto"/>
              <w:right w:val="single" w:sz="4" w:space="0" w:color="auto"/>
            </w:tcBorders>
            <w:shd w:val="clear" w:color="auto" w:fill="auto"/>
            <w:noWrap/>
            <w:vAlign w:val="center"/>
            <w:hideMark/>
          </w:tcPr>
          <w:p w14:paraId="06A57D0C"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19,1%</w:t>
            </w:r>
          </w:p>
        </w:tc>
        <w:tc>
          <w:tcPr>
            <w:tcW w:w="1134" w:type="dxa"/>
            <w:tcBorders>
              <w:top w:val="nil"/>
              <w:left w:val="nil"/>
              <w:bottom w:val="single" w:sz="4" w:space="0" w:color="auto"/>
              <w:right w:val="single" w:sz="4" w:space="0" w:color="auto"/>
            </w:tcBorders>
            <w:shd w:val="clear" w:color="auto" w:fill="auto"/>
            <w:noWrap/>
            <w:vAlign w:val="center"/>
            <w:hideMark/>
          </w:tcPr>
          <w:p w14:paraId="15BAF06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378</w:t>
            </w:r>
          </w:p>
        </w:tc>
        <w:tc>
          <w:tcPr>
            <w:tcW w:w="1134" w:type="dxa"/>
            <w:tcBorders>
              <w:top w:val="nil"/>
              <w:left w:val="nil"/>
              <w:bottom w:val="single" w:sz="4" w:space="0" w:color="auto"/>
              <w:right w:val="single" w:sz="4" w:space="0" w:color="auto"/>
            </w:tcBorders>
            <w:shd w:val="clear" w:color="auto" w:fill="auto"/>
            <w:noWrap/>
            <w:vAlign w:val="center"/>
            <w:hideMark/>
          </w:tcPr>
          <w:p w14:paraId="3FA57E5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3,2</w:t>
            </w:r>
          </w:p>
        </w:tc>
        <w:tc>
          <w:tcPr>
            <w:tcW w:w="1134" w:type="dxa"/>
            <w:tcBorders>
              <w:top w:val="nil"/>
              <w:left w:val="nil"/>
              <w:bottom w:val="single" w:sz="4" w:space="0" w:color="auto"/>
              <w:right w:val="single" w:sz="4" w:space="0" w:color="auto"/>
            </w:tcBorders>
            <w:shd w:val="clear" w:color="auto" w:fill="auto"/>
            <w:noWrap/>
            <w:vAlign w:val="center"/>
            <w:hideMark/>
          </w:tcPr>
          <w:p w14:paraId="4AED21D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21,4</w:t>
            </w:r>
          </w:p>
        </w:tc>
      </w:tr>
      <w:tr w:rsidR="00C74C27" w:rsidRPr="00C74C27" w14:paraId="206F5154"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44CF77AD"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Mehānismi un ierīces, t.sk. elektroierīces</w:t>
            </w:r>
          </w:p>
        </w:tc>
        <w:tc>
          <w:tcPr>
            <w:tcW w:w="1183" w:type="dxa"/>
            <w:tcBorders>
              <w:top w:val="nil"/>
              <w:left w:val="nil"/>
              <w:bottom w:val="single" w:sz="4" w:space="0" w:color="auto"/>
              <w:right w:val="single" w:sz="4" w:space="0" w:color="auto"/>
            </w:tcBorders>
            <w:shd w:val="clear" w:color="auto" w:fill="auto"/>
            <w:noWrap/>
            <w:vAlign w:val="center"/>
            <w:hideMark/>
          </w:tcPr>
          <w:p w14:paraId="662F10AC"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1622</w:t>
            </w:r>
          </w:p>
        </w:tc>
        <w:tc>
          <w:tcPr>
            <w:tcW w:w="1134" w:type="dxa"/>
            <w:tcBorders>
              <w:top w:val="nil"/>
              <w:left w:val="nil"/>
              <w:bottom w:val="single" w:sz="4" w:space="0" w:color="auto"/>
              <w:right w:val="single" w:sz="4" w:space="0" w:color="auto"/>
            </w:tcBorders>
            <w:shd w:val="clear" w:color="auto" w:fill="auto"/>
            <w:noWrap/>
            <w:vAlign w:val="center"/>
            <w:hideMark/>
          </w:tcPr>
          <w:p w14:paraId="369F74BF"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1777</w:t>
            </w:r>
          </w:p>
        </w:tc>
        <w:tc>
          <w:tcPr>
            <w:tcW w:w="992" w:type="dxa"/>
            <w:tcBorders>
              <w:top w:val="nil"/>
              <w:left w:val="nil"/>
              <w:bottom w:val="single" w:sz="4" w:space="0" w:color="auto"/>
              <w:right w:val="single" w:sz="4" w:space="0" w:color="auto"/>
            </w:tcBorders>
            <w:shd w:val="clear" w:color="auto" w:fill="auto"/>
            <w:noWrap/>
            <w:vAlign w:val="center"/>
            <w:hideMark/>
          </w:tcPr>
          <w:p w14:paraId="1E4E8A32"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9,6%</w:t>
            </w:r>
          </w:p>
        </w:tc>
        <w:tc>
          <w:tcPr>
            <w:tcW w:w="1134" w:type="dxa"/>
            <w:tcBorders>
              <w:top w:val="nil"/>
              <w:left w:val="nil"/>
              <w:bottom w:val="single" w:sz="4" w:space="0" w:color="auto"/>
              <w:right w:val="single" w:sz="4" w:space="0" w:color="auto"/>
            </w:tcBorders>
            <w:shd w:val="clear" w:color="auto" w:fill="auto"/>
            <w:noWrap/>
            <w:vAlign w:val="center"/>
            <w:hideMark/>
          </w:tcPr>
          <w:p w14:paraId="46186C97"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155</w:t>
            </w:r>
          </w:p>
        </w:tc>
        <w:tc>
          <w:tcPr>
            <w:tcW w:w="1134" w:type="dxa"/>
            <w:tcBorders>
              <w:top w:val="nil"/>
              <w:left w:val="nil"/>
              <w:bottom w:val="single" w:sz="4" w:space="0" w:color="auto"/>
              <w:right w:val="single" w:sz="4" w:space="0" w:color="auto"/>
            </w:tcBorders>
            <w:shd w:val="clear" w:color="auto" w:fill="auto"/>
            <w:noWrap/>
            <w:vAlign w:val="center"/>
            <w:hideMark/>
          </w:tcPr>
          <w:p w14:paraId="320AC13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1,3</w:t>
            </w:r>
          </w:p>
        </w:tc>
        <w:tc>
          <w:tcPr>
            <w:tcW w:w="1134" w:type="dxa"/>
            <w:tcBorders>
              <w:top w:val="nil"/>
              <w:left w:val="nil"/>
              <w:bottom w:val="single" w:sz="4" w:space="0" w:color="auto"/>
              <w:right w:val="single" w:sz="4" w:space="0" w:color="auto"/>
            </w:tcBorders>
            <w:shd w:val="clear" w:color="auto" w:fill="auto"/>
            <w:noWrap/>
            <w:vAlign w:val="center"/>
            <w:hideMark/>
          </w:tcPr>
          <w:p w14:paraId="61A20A3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16,1</w:t>
            </w:r>
          </w:p>
        </w:tc>
      </w:tr>
      <w:tr w:rsidR="00C74C27" w:rsidRPr="00C74C27" w14:paraId="3637DCB5"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698FB976"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Koks un koka izstrādājumi</w:t>
            </w:r>
          </w:p>
        </w:tc>
        <w:tc>
          <w:tcPr>
            <w:tcW w:w="1183" w:type="dxa"/>
            <w:tcBorders>
              <w:top w:val="nil"/>
              <w:left w:val="nil"/>
              <w:bottom w:val="single" w:sz="4" w:space="0" w:color="auto"/>
              <w:right w:val="single" w:sz="4" w:space="0" w:color="auto"/>
            </w:tcBorders>
            <w:shd w:val="clear" w:color="auto" w:fill="auto"/>
            <w:noWrap/>
            <w:vAlign w:val="center"/>
            <w:hideMark/>
          </w:tcPr>
          <w:p w14:paraId="49CADBA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2214</w:t>
            </w:r>
          </w:p>
        </w:tc>
        <w:tc>
          <w:tcPr>
            <w:tcW w:w="1134" w:type="dxa"/>
            <w:tcBorders>
              <w:top w:val="nil"/>
              <w:left w:val="nil"/>
              <w:bottom w:val="single" w:sz="4" w:space="0" w:color="auto"/>
              <w:right w:val="single" w:sz="4" w:space="0" w:color="auto"/>
            </w:tcBorders>
            <w:shd w:val="clear" w:color="auto" w:fill="auto"/>
            <w:noWrap/>
            <w:vAlign w:val="center"/>
            <w:hideMark/>
          </w:tcPr>
          <w:p w14:paraId="065A66B3"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1742</w:t>
            </w:r>
          </w:p>
        </w:tc>
        <w:tc>
          <w:tcPr>
            <w:tcW w:w="992" w:type="dxa"/>
            <w:tcBorders>
              <w:top w:val="nil"/>
              <w:left w:val="nil"/>
              <w:bottom w:val="single" w:sz="4" w:space="0" w:color="auto"/>
              <w:right w:val="single" w:sz="4" w:space="0" w:color="auto"/>
            </w:tcBorders>
            <w:shd w:val="clear" w:color="auto" w:fill="auto"/>
            <w:noWrap/>
            <w:vAlign w:val="center"/>
            <w:hideMark/>
          </w:tcPr>
          <w:p w14:paraId="5522954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-21,3%</w:t>
            </w:r>
          </w:p>
        </w:tc>
        <w:tc>
          <w:tcPr>
            <w:tcW w:w="1134" w:type="dxa"/>
            <w:tcBorders>
              <w:top w:val="nil"/>
              <w:left w:val="nil"/>
              <w:bottom w:val="single" w:sz="4" w:space="0" w:color="auto"/>
              <w:right w:val="single" w:sz="4" w:space="0" w:color="auto"/>
            </w:tcBorders>
            <w:shd w:val="clear" w:color="auto" w:fill="auto"/>
            <w:noWrap/>
            <w:vAlign w:val="center"/>
            <w:hideMark/>
          </w:tcPr>
          <w:p w14:paraId="2AC4A93E"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-472</w:t>
            </w:r>
          </w:p>
        </w:tc>
        <w:tc>
          <w:tcPr>
            <w:tcW w:w="1134" w:type="dxa"/>
            <w:tcBorders>
              <w:top w:val="nil"/>
              <w:left w:val="nil"/>
              <w:bottom w:val="single" w:sz="4" w:space="0" w:color="auto"/>
              <w:right w:val="single" w:sz="4" w:space="0" w:color="auto"/>
            </w:tcBorders>
            <w:shd w:val="clear" w:color="auto" w:fill="auto"/>
            <w:noWrap/>
            <w:vAlign w:val="center"/>
            <w:hideMark/>
          </w:tcPr>
          <w:p w14:paraId="559D8611"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-4,0</w:t>
            </w:r>
          </w:p>
        </w:tc>
        <w:tc>
          <w:tcPr>
            <w:tcW w:w="1134" w:type="dxa"/>
            <w:tcBorders>
              <w:top w:val="nil"/>
              <w:left w:val="nil"/>
              <w:bottom w:val="single" w:sz="4" w:space="0" w:color="auto"/>
              <w:right w:val="single" w:sz="4" w:space="0" w:color="auto"/>
            </w:tcBorders>
            <w:shd w:val="clear" w:color="auto" w:fill="auto"/>
            <w:noWrap/>
            <w:vAlign w:val="center"/>
            <w:hideMark/>
          </w:tcPr>
          <w:p w14:paraId="172D0C2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15,8</w:t>
            </w:r>
          </w:p>
        </w:tc>
      </w:tr>
      <w:tr w:rsidR="00C74C27" w:rsidRPr="00C74C27" w14:paraId="51089CB6"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181AC97F" w14:textId="77777777" w:rsidR="00C74C27" w:rsidRPr="00C74C27" w:rsidRDefault="00C74C27" w:rsidP="00C74C27">
            <w:pPr>
              <w:spacing w:after="0"/>
              <w:ind w:firstLine="0"/>
              <w:jc w:val="left"/>
              <w:rPr>
                <w:rFonts w:eastAsia="Times New Roman" w:cs="Times New Roman"/>
                <w:color w:val="000000"/>
                <w:sz w:val="20"/>
                <w:szCs w:val="20"/>
              </w:rPr>
            </w:pPr>
            <w:proofErr w:type="spellStart"/>
            <w:r w:rsidRPr="00C74C27">
              <w:rPr>
                <w:rFonts w:eastAsia="Times New Roman" w:cs="Times New Roman"/>
                <w:color w:val="000000"/>
                <w:sz w:val="20"/>
                <w:szCs w:val="20"/>
              </w:rPr>
              <w:t>Minerālprodukti</w:t>
            </w:r>
            <w:proofErr w:type="spellEnd"/>
          </w:p>
        </w:tc>
        <w:tc>
          <w:tcPr>
            <w:tcW w:w="1183" w:type="dxa"/>
            <w:tcBorders>
              <w:top w:val="nil"/>
              <w:left w:val="nil"/>
              <w:bottom w:val="single" w:sz="4" w:space="0" w:color="auto"/>
              <w:right w:val="single" w:sz="4" w:space="0" w:color="auto"/>
            </w:tcBorders>
            <w:shd w:val="clear" w:color="auto" w:fill="auto"/>
            <w:noWrap/>
            <w:vAlign w:val="center"/>
            <w:hideMark/>
          </w:tcPr>
          <w:p w14:paraId="56B0DA63"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1400</w:t>
            </w:r>
          </w:p>
        </w:tc>
        <w:tc>
          <w:tcPr>
            <w:tcW w:w="1134" w:type="dxa"/>
            <w:tcBorders>
              <w:top w:val="nil"/>
              <w:left w:val="nil"/>
              <w:bottom w:val="single" w:sz="4" w:space="0" w:color="auto"/>
              <w:right w:val="single" w:sz="4" w:space="0" w:color="auto"/>
            </w:tcBorders>
            <w:shd w:val="clear" w:color="auto" w:fill="auto"/>
            <w:noWrap/>
            <w:vAlign w:val="center"/>
            <w:hideMark/>
          </w:tcPr>
          <w:p w14:paraId="59B6EC3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968</w:t>
            </w:r>
          </w:p>
        </w:tc>
        <w:tc>
          <w:tcPr>
            <w:tcW w:w="992" w:type="dxa"/>
            <w:tcBorders>
              <w:top w:val="nil"/>
              <w:left w:val="nil"/>
              <w:bottom w:val="single" w:sz="4" w:space="0" w:color="auto"/>
              <w:right w:val="single" w:sz="4" w:space="0" w:color="auto"/>
            </w:tcBorders>
            <w:shd w:val="clear" w:color="auto" w:fill="auto"/>
            <w:noWrap/>
            <w:vAlign w:val="center"/>
            <w:hideMark/>
          </w:tcPr>
          <w:p w14:paraId="5990FB8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-30,9%</w:t>
            </w:r>
          </w:p>
        </w:tc>
        <w:tc>
          <w:tcPr>
            <w:tcW w:w="1134" w:type="dxa"/>
            <w:tcBorders>
              <w:top w:val="nil"/>
              <w:left w:val="nil"/>
              <w:bottom w:val="single" w:sz="4" w:space="0" w:color="auto"/>
              <w:right w:val="single" w:sz="4" w:space="0" w:color="auto"/>
            </w:tcBorders>
            <w:shd w:val="clear" w:color="auto" w:fill="auto"/>
            <w:noWrap/>
            <w:vAlign w:val="center"/>
            <w:hideMark/>
          </w:tcPr>
          <w:p w14:paraId="2A0E6C6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-432</w:t>
            </w:r>
          </w:p>
        </w:tc>
        <w:tc>
          <w:tcPr>
            <w:tcW w:w="1134" w:type="dxa"/>
            <w:tcBorders>
              <w:top w:val="nil"/>
              <w:left w:val="nil"/>
              <w:bottom w:val="single" w:sz="4" w:space="0" w:color="auto"/>
              <w:right w:val="single" w:sz="4" w:space="0" w:color="auto"/>
            </w:tcBorders>
            <w:shd w:val="clear" w:color="auto" w:fill="auto"/>
            <w:noWrap/>
            <w:vAlign w:val="center"/>
            <w:hideMark/>
          </w:tcPr>
          <w:p w14:paraId="066220D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-3,7</w:t>
            </w:r>
          </w:p>
        </w:tc>
        <w:tc>
          <w:tcPr>
            <w:tcW w:w="1134" w:type="dxa"/>
            <w:tcBorders>
              <w:top w:val="nil"/>
              <w:left w:val="nil"/>
              <w:bottom w:val="single" w:sz="4" w:space="0" w:color="auto"/>
              <w:right w:val="single" w:sz="4" w:space="0" w:color="auto"/>
            </w:tcBorders>
            <w:shd w:val="clear" w:color="auto" w:fill="auto"/>
            <w:noWrap/>
            <w:vAlign w:val="center"/>
            <w:hideMark/>
          </w:tcPr>
          <w:p w14:paraId="7D917A2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8,8</w:t>
            </w:r>
          </w:p>
        </w:tc>
      </w:tr>
      <w:tr w:rsidR="00C74C27" w:rsidRPr="00C74C27" w14:paraId="770C7878"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5270CAE8"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Ķīmiskās rūpniecības ražojumi</w:t>
            </w:r>
          </w:p>
        </w:tc>
        <w:tc>
          <w:tcPr>
            <w:tcW w:w="1183" w:type="dxa"/>
            <w:tcBorders>
              <w:top w:val="nil"/>
              <w:left w:val="nil"/>
              <w:bottom w:val="single" w:sz="4" w:space="0" w:color="auto"/>
              <w:right w:val="single" w:sz="4" w:space="0" w:color="auto"/>
            </w:tcBorders>
            <w:shd w:val="clear" w:color="auto" w:fill="auto"/>
            <w:noWrap/>
            <w:vAlign w:val="center"/>
            <w:hideMark/>
          </w:tcPr>
          <w:p w14:paraId="4C25097C"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992</w:t>
            </w:r>
          </w:p>
        </w:tc>
        <w:tc>
          <w:tcPr>
            <w:tcW w:w="1134" w:type="dxa"/>
            <w:tcBorders>
              <w:top w:val="nil"/>
              <w:left w:val="nil"/>
              <w:bottom w:val="single" w:sz="4" w:space="0" w:color="auto"/>
              <w:right w:val="single" w:sz="4" w:space="0" w:color="auto"/>
            </w:tcBorders>
            <w:shd w:val="clear" w:color="auto" w:fill="auto"/>
            <w:noWrap/>
            <w:vAlign w:val="center"/>
            <w:hideMark/>
          </w:tcPr>
          <w:p w14:paraId="43E9C6C5"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884</w:t>
            </w:r>
          </w:p>
        </w:tc>
        <w:tc>
          <w:tcPr>
            <w:tcW w:w="992" w:type="dxa"/>
            <w:tcBorders>
              <w:top w:val="nil"/>
              <w:left w:val="nil"/>
              <w:bottom w:val="single" w:sz="4" w:space="0" w:color="auto"/>
              <w:right w:val="single" w:sz="4" w:space="0" w:color="auto"/>
            </w:tcBorders>
            <w:shd w:val="clear" w:color="auto" w:fill="auto"/>
            <w:noWrap/>
            <w:vAlign w:val="center"/>
            <w:hideMark/>
          </w:tcPr>
          <w:p w14:paraId="7A7B3C8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-10,9%</w:t>
            </w:r>
          </w:p>
        </w:tc>
        <w:tc>
          <w:tcPr>
            <w:tcW w:w="1134" w:type="dxa"/>
            <w:tcBorders>
              <w:top w:val="nil"/>
              <w:left w:val="nil"/>
              <w:bottom w:val="single" w:sz="4" w:space="0" w:color="auto"/>
              <w:right w:val="single" w:sz="4" w:space="0" w:color="auto"/>
            </w:tcBorders>
            <w:shd w:val="clear" w:color="auto" w:fill="auto"/>
            <w:noWrap/>
            <w:vAlign w:val="center"/>
            <w:hideMark/>
          </w:tcPr>
          <w:p w14:paraId="64CE9D8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-108</w:t>
            </w:r>
          </w:p>
        </w:tc>
        <w:tc>
          <w:tcPr>
            <w:tcW w:w="1134" w:type="dxa"/>
            <w:tcBorders>
              <w:top w:val="nil"/>
              <w:left w:val="nil"/>
              <w:bottom w:val="single" w:sz="4" w:space="0" w:color="auto"/>
              <w:right w:val="single" w:sz="4" w:space="0" w:color="auto"/>
            </w:tcBorders>
            <w:shd w:val="clear" w:color="auto" w:fill="auto"/>
            <w:noWrap/>
            <w:vAlign w:val="center"/>
            <w:hideMark/>
          </w:tcPr>
          <w:p w14:paraId="657F0A3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-0,9</w:t>
            </w:r>
          </w:p>
        </w:tc>
        <w:tc>
          <w:tcPr>
            <w:tcW w:w="1134" w:type="dxa"/>
            <w:tcBorders>
              <w:top w:val="nil"/>
              <w:left w:val="nil"/>
              <w:bottom w:val="single" w:sz="4" w:space="0" w:color="auto"/>
              <w:right w:val="single" w:sz="4" w:space="0" w:color="auto"/>
            </w:tcBorders>
            <w:shd w:val="clear" w:color="auto" w:fill="auto"/>
            <w:noWrap/>
            <w:vAlign w:val="center"/>
            <w:hideMark/>
          </w:tcPr>
          <w:p w14:paraId="55B760E1"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8,0</w:t>
            </w:r>
          </w:p>
        </w:tc>
      </w:tr>
      <w:tr w:rsidR="00C74C27" w:rsidRPr="00C74C27" w14:paraId="6CB32836"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3476808A"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Pārējās preces</w:t>
            </w:r>
          </w:p>
        </w:tc>
        <w:tc>
          <w:tcPr>
            <w:tcW w:w="1183" w:type="dxa"/>
            <w:tcBorders>
              <w:top w:val="nil"/>
              <w:left w:val="nil"/>
              <w:bottom w:val="single" w:sz="4" w:space="0" w:color="auto"/>
              <w:right w:val="single" w:sz="4" w:space="0" w:color="auto"/>
            </w:tcBorders>
            <w:shd w:val="clear" w:color="auto" w:fill="auto"/>
            <w:noWrap/>
            <w:vAlign w:val="center"/>
            <w:hideMark/>
          </w:tcPr>
          <w:p w14:paraId="412E0C2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875</w:t>
            </w:r>
          </w:p>
        </w:tc>
        <w:tc>
          <w:tcPr>
            <w:tcW w:w="1134" w:type="dxa"/>
            <w:tcBorders>
              <w:top w:val="nil"/>
              <w:left w:val="nil"/>
              <w:bottom w:val="single" w:sz="4" w:space="0" w:color="auto"/>
              <w:right w:val="single" w:sz="4" w:space="0" w:color="auto"/>
            </w:tcBorders>
            <w:shd w:val="clear" w:color="auto" w:fill="auto"/>
            <w:noWrap/>
            <w:vAlign w:val="center"/>
            <w:hideMark/>
          </w:tcPr>
          <w:p w14:paraId="1E95A5E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813</w:t>
            </w:r>
          </w:p>
        </w:tc>
        <w:tc>
          <w:tcPr>
            <w:tcW w:w="992" w:type="dxa"/>
            <w:tcBorders>
              <w:top w:val="nil"/>
              <w:left w:val="nil"/>
              <w:bottom w:val="single" w:sz="4" w:space="0" w:color="auto"/>
              <w:right w:val="single" w:sz="4" w:space="0" w:color="auto"/>
            </w:tcBorders>
            <w:shd w:val="clear" w:color="auto" w:fill="auto"/>
            <w:noWrap/>
            <w:vAlign w:val="center"/>
            <w:hideMark/>
          </w:tcPr>
          <w:p w14:paraId="6E09CE41"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-7,1%</w:t>
            </w:r>
          </w:p>
        </w:tc>
        <w:tc>
          <w:tcPr>
            <w:tcW w:w="1134" w:type="dxa"/>
            <w:tcBorders>
              <w:top w:val="nil"/>
              <w:left w:val="nil"/>
              <w:bottom w:val="single" w:sz="4" w:space="0" w:color="auto"/>
              <w:right w:val="single" w:sz="4" w:space="0" w:color="auto"/>
            </w:tcBorders>
            <w:shd w:val="clear" w:color="auto" w:fill="auto"/>
            <w:noWrap/>
            <w:vAlign w:val="center"/>
            <w:hideMark/>
          </w:tcPr>
          <w:p w14:paraId="093A76D2"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-62</w:t>
            </w:r>
          </w:p>
        </w:tc>
        <w:tc>
          <w:tcPr>
            <w:tcW w:w="1134" w:type="dxa"/>
            <w:tcBorders>
              <w:top w:val="nil"/>
              <w:left w:val="nil"/>
              <w:bottom w:val="single" w:sz="4" w:space="0" w:color="auto"/>
              <w:right w:val="single" w:sz="4" w:space="0" w:color="auto"/>
            </w:tcBorders>
            <w:shd w:val="clear" w:color="auto" w:fill="auto"/>
            <w:noWrap/>
            <w:vAlign w:val="center"/>
            <w:hideMark/>
          </w:tcPr>
          <w:p w14:paraId="22ED1CA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-0,5</w:t>
            </w:r>
          </w:p>
        </w:tc>
        <w:tc>
          <w:tcPr>
            <w:tcW w:w="1134" w:type="dxa"/>
            <w:tcBorders>
              <w:top w:val="nil"/>
              <w:left w:val="nil"/>
              <w:bottom w:val="single" w:sz="4" w:space="0" w:color="auto"/>
              <w:right w:val="single" w:sz="4" w:space="0" w:color="auto"/>
            </w:tcBorders>
            <w:shd w:val="clear" w:color="auto" w:fill="auto"/>
            <w:noWrap/>
            <w:vAlign w:val="center"/>
            <w:hideMark/>
          </w:tcPr>
          <w:p w14:paraId="7D70D54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7,4</w:t>
            </w:r>
          </w:p>
        </w:tc>
      </w:tr>
      <w:tr w:rsidR="00C74C27" w:rsidRPr="00C74C27" w14:paraId="753162D9"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301A7F9A"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Metāli un to izstrādājumi</w:t>
            </w:r>
          </w:p>
        </w:tc>
        <w:tc>
          <w:tcPr>
            <w:tcW w:w="1183" w:type="dxa"/>
            <w:tcBorders>
              <w:top w:val="nil"/>
              <w:left w:val="nil"/>
              <w:bottom w:val="single" w:sz="4" w:space="0" w:color="auto"/>
              <w:right w:val="single" w:sz="4" w:space="0" w:color="auto"/>
            </w:tcBorders>
            <w:shd w:val="clear" w:color="auto" w:fill="auto"/>
            <w:noWrap/>
            <w:vAlign w:val="center"/>
            <w:hideMark/>
          </w:tcPr>
          <w:p w14:paraId="039E04A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910</w:t>
            </w:r>
          </w:p>
        </w:tc>
        <w:tc>
          <w:tcPr>
            <w:tcW w:w="1134" w:type="dxa"/>
            <w:tcBorders>
              <w:top w:val="nil"/>
              <w:left w:val="nil"/>
              <w:bottom w:val="single" w:sz="4" w:space="0" w:color="auto"/>
              <w:right w:val="single" w:sz="4" w:space="0" w:color="auto"/>
            </w:tcBorders>
            <w:shd w:val="clear" w:color="auto" w:fill="auto"/>
            <w:noWrap/>
            <w:vAlign w:val="center"/>
            <w:hideMark/>
          </w:tcPr>
          <w:p w14:paraId="602515A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713</w:t>
            </w:r>
          </w:p>
        </w:tc>
        <w:tc>
          <w:tcPr>
            <w:tcW w:w="992" w:type="dxa"/>
            <w:tcBorders>
              <w:top w:val="nil"/>
              <w:left w:val="nil"/>
              <w:bottom w:val="single" w:sz="4" w:space="0" w:color="auto"/>
              <w:right w:val="single" w:sz="4" w:space="0" w:color="auto"/>
            </w:tcBorders>
            <w:shd w:val="clear" w:color="auto" w:fill="auto"/>
            <w:noWrap/>
            <w:vAlign w:val="center"/>
            <w:hideMark/>
          </w:tcPr>
          <w:p w14:paraId="09BC1D6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-21,6%</w:t>
            </w:r>
          </w:p>
        </w:tc>
        <w:tc>
          <w:tcPr>
            <w:tcW w:w="1134" w:type="dxa"/>
            <w:tcBorders>
              <w:top w:val="nil"/>
              <w:left w:val="nil"/>
              <w:bottom w:val="single" w:sz="4" w:space="0" w:color="auto"/>
              <w:right w:val="single" w:sz="4" w:space="0" w:color="auto"/>
            </w:tcBorders>
            <w:shd w:val="clear" w:color="auto" w:fill="auto"/>
            <w:noWrap/>
            <w:vAlign w:val="center"/>
            <w:hideMark/>
          </w:tcPr>
          <w:p w14:paraId="10C0D6AE"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-196</w:t>
            </w:r>
          </w:p>
        </w:tc>
        <w:tc>
          <w:tcPr>
            <w:tcW w:w="1134" w:type="dxa"/>
            <w:tcBorders>
              <w:top w:val="nil"/>
              <w:left w:val="nil"/>
              <w:bottom w:val="single" w:sz="4" w:space="0" w:color="auto"/>
              <w:right w:val="single" w:sz="4" w:space="0" w:color="auto"/>
            </w:tcBorders>
            <w:shd w:val="clear" w:color="auto" w:fill="auto"/>
            <w:noWrap/>
            <w:vAlign w:val="center"/>
            <w:hideMark/>
          </w:tcPr>
          <w:p w14:paraId="50F8980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-1,7</w:t>
            </w:r>
          </w:p>
        </w:tc>
        <w:tc>
          <w:tcPr>
            <w:tcW w:w="1134" w:type="dxa"/>
            <w:tcBorders>
              <w:top w:val="nil"/>
              <w:left w:val="nil"/>
              <w:bottom w:val="single" w:sz="4" w:space="0" w:color="auto"/>
              <w:right w:val="single" w:sz="4" w:space="0" w:color="auto"/>
            </w:tcBorders>
            <w:shd w:val="clear" w:color="auto" w:fill="auto"/>
            <w:noWrap/>
            <w:vAlign w:val="center"/>
            <w:hideMark/>
          </w:tcPr>
          <w:p w14:paraId="6BECC43E"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6,5</w:t>
            </w:r>
          </w:p>
        </w:tc>
      </w:tr>
      <w:tr w:rsidR="00C74C27" w:rsidRPr="00C74C27" w14:paraId="4BCB2DF8"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02AA276E"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Satiksmes līdzekļi</w:t>
            </w:r>
          </w:p>
        </w:tc>
        <w:tc>
          <w:tcPr>
            <w:tcW w:w="1183" w:type="dxa"/>
            <w:tcBorders>
              <w:top w:val="nil"/>
              <w:left w:val="nil"/>
              <w:bottom w:val="single" w:sz="4" w:space="0" w:color="auto"/>
              <w:right w:val="single" w:sz="4" w:space="0" w:color="auto"/>
            </w:tcBorders>
            <w:shd w:val="clear" w:color="auto" w:fill="auto"/>
            <w:noWrap/>
            <w:vAlign w:val="center"/>
            <w:hideMark/>
          </w:tcPr>
          <w:p w14:paraId="54B75F8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549</w:t>
            </w:r>
          </w:p>
        </w:tc>
        <w:tc>
          <w:tcPr>
            <w:tcW w:w="1134" w:type="dxa"/>
            <w:tcBorders>
              <w:top w:val="nil"/>
              <w:left w:val="nil"/>
              <w:bottom w:val="single" w:sz="4" w:space="0" w:color="auto"/>
              <w:right w:val="single" w:sz="4" w:space="0" w:color="auto"/>
            </w:tcBorders>
            <w:shd w:val="clear" w:color="auto" w:fill="auto"/>
            <w:noWrap/>
            <w:vAlign w:val="center"/>
            <w:hideMark/>
          </w:tcPr>
          <w:p w14:paraId="19D8C392"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672</w:t>
            </w:r>
          </w:p>
        </w:tc>
        <w:tc>
          <w:tcPr>
            <w:tcW w:w="992" w:type="dxa"/>
            <w:tcBorders>
              <w:top w:val="nil"/>
              <w:left w:val="nil"/>
              <w:bottom w:val="single" w:sz="4" w:space="0" w:color="auto"/>
              <w:right w:val="single" w:sz="4" w:space="0" w:color="auto"/>
            </w:tcBorders>
            <w:shd w:val="clear" w:color="auto" w:fill="auto"/>
            <w:noWrap/>
            <w:vAlign w:val="center"/>
            <w:hideMark/>
          </w:tcPr>
          <w:p w14:paraId="2BD37662"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22,4%</w:t>
            </w:r>
          </w:p>
        </w:tc>
        <w:tc>
          <w:tcPr>
            <w:tcW w:w="1134" w:type="dxa"/>
            <w:tcBorders>
              <w:top w:val="nil"/>
              <w:left w:val="nil"/>
              <w:bottom w:val="single" w:sz="4" w:space="0" w:color="auto"/>
              <w:right w:val="single" w:sz="4" w:space="0" w:color="auto"/>
            </w:tcBorders>
            <w:shd w:val="clear" w:color="auto" w:fill="auto"/>
            <w:noWrap/>
            <w:vAlign w:val="center"/>
            <w:hideMark/>
          </w:tcPr>
          <w:p w14:paraId="6A7145DF"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123</w:t>
            </w:r>
          </w:p>
        </w:tc>
        <w:tc>
          <w:tcPr>
            <w:tcW w:w="1134" w:type="dxa"/>
            <w:tcBorders>
              <w:top w:val="nil"/>
              <w:left w:val="nil"/>
              <w:bottom w:val="single" w:sz="4" w:space="0" w:color="auto"/>
              <w:right w:val="single" w:sz="4" w:space="0" w:color="auto"/>
            </w:tcBorders>
            <w:shd w:val="clear" w:color="auto" w:fill="auto"/>
            <w:noWrap/>
            <w:vAlign w:val="center"/>
            <w:hideMark/>
          </w:tcPr>
          <w:p w14:paraId="169265A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1,1</w:t>
            </w:r>
          </w:p>
        </w:tc>
        <w:tc>
          <w:tcPr>
            <w:tcW w:w="1134" w:type="dxa"/>
            <w:tcBorders>
              <w:top w:val="nil"/>
              <w:left w:val="nil"/>
              <w:bottom w:val="single" w:sz="4" w:space="0" w:color="auto"/>
              <w:right w:val="single" w:sz="4" w:space="0" w:color="auto"/>
            </w:tcBorders>
            <w:shd w:val="clear" w:color="auto" w:fill="auto"/>
            <w:noWrap/>
            <w:vAlign w:val="center"/>
            <w:hideMark/>
          </w:tcPr>
          <w:p w14:paraId="0952E295"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6,1</w:t>
            </w:r>
          </w:p>
        </w:tc>
      </w:tr>
      <w:tr w:rsidR="00C74C27" w:rsidRPr="00C74C27" w14:paraId="2B89A2EB"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4CAF53A4"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Plastmasas, kaučuks un to izstrādājumi</w:t>
            </w:r>
          </w:p>
        </w:tc>
        <w:tc>
          <w:tcPr>
            <w:tcW w:w="1183" w:type="dxa"/>
            <w:tcBorders>
              <w:top w:val="nil"/>
              <w:left w:val="nil"/>
              <w:bottom w:val="single" w:sz="4" w:space="0" w:color="auto"/>
              <w:right w:val="single" w:sz="4" w:space="0" w:color="auto"/>
            </w:tcBorders>
            <w:shd w:val="clear" w:color="auto" w:fill="auto"/>
            <w:noWrap/>
            <w:vAlign w:val="center"/>
            <w:hideMark/>
          </w:tcPr>
          <w:p w14:paraId="7D289E87"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390</w:t>
            </w:r>
          </w:p>
        </w:tc>
        <w:tc>
          <w:tcPr>
            <w:tcW w:w="1134" w:type="dxa"/>
            <w:tcBorders>
              <w:top w:val="nil"/>
              <w:left w:val="nil"/>
              <w:bottom w:val="single" w:sz="4" w:space="0" w:color="auto"/>
              <w:right w:val="single" w:sz="4" w:space="0" w:color="auto"/>
            </w:tcBorders>
            <w:shd w:val="clear" w:color="auto" w:fill="auto"/>
            <w:noWrap/>
            <w:vAlign w:val="center"/>
            <w:hideMark/>
          </w:tcPr>
          <w:p w14:paraId="1A56AD1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364</w:t>
            </w:r>
          </w:p>
        </w:tc>
        <w:tc>
          <w:tcPr>
            <w:tcW w:w="992" w:type="dxa"/>
            <w:tcBorders>
              <w:top w:val="nil"/>
              <w:left w:val="nil"/>
              <w:bottom w:val="single" w:sz="4" w:space="0" w:color="auto"/>
              <w:right w:val="single" w:sz="4" w:space="0" w:color="auto"/>
            </w:tcBorders>
            <w:shd w:val="clear" w:color="auto" w:fill="auto"/>
            <w:noWrap/>
            <w:vAlign w:val="center"/>
            <w:hideMark/>
          </w:tcPr>
          <w:p w14:paraId="0A3AEB3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-6,9%</w:t>
            </w:r>
          </w:p>
        </w:tc>
        <w:tc>
          <w:tcPr>
            <w:tcW w:w="1134" w:type="dxa"/>
            <w:tcBorders>
              <w:top w:val="nil"/>
              <w:left w:val="nil"/>
              <w:bottom w:val="single" w:sz="4" w:space="0" w:color="auto"/>
              <w:right w:val="single" w:sz="4" w:space="0" w:color="auto"/>
            </w:tcBorders>
            <w:shd w:val="clear" w:color="auto" w:fill="auto"/>
            <w:noWrap/>
            <w:vAlign w:val="center"/>
            <w:hideMark/>
          </w:tcPr>
          <w:p w14:paraId="115DE4F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-27</w:t>
            </w:r>
          </w:p>
        </w:tc>
        <w:tc>
          <w:tcPr>
            <w:tcW w:w="1134" w:type="dxa"/>
            <w:tcBorders>
              <w:top w:val="nil"/>
              <w:left w:val="nil"/>
              <w:bottom w:val="single" w:sz="4" w:space="0" w:color="auto"/>
              <w:right w:val="single" w:sz="4" w:space="0" w:color="auto"/>
            </w:tcBorders>
            <w:shd w:val="clear" w:color="auto" w:fill="auto"/>
            <w:noWrap/>
            <w:vAlign w:val="center"/>
            <w:hideMark/>
          </w:tcPr>
          <w:p w14:paraId="5A2483C2"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14:paraId="45DF88A3"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3,3</w:t>
            </w:r>
          </w:p>
        </w:tc>
      </w:tr>
      <w:tr w:rsidR="00C74C27" w:rsidRPr="00C74C27" w14:paraId="1E6A4C7B"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5A3BD2B5"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Tekstilmateriāli un tekstilizstrādājumi</w:t>
            </w:r>
          </w:p>
        </w:tc>
        <w:tc>
          <w:tcPr>
            <w:tcW w:w="1183" w:type="dxa"/>
            <w:tcBorders>
              <w:top w:val="nil"/>
              <w:left w:val="nil"/>
              <w:bottom w:val="single" w:sz="4" w:space="0" w:color="auto"/>
              <w:right w:val="single" w:sz="4" w:space="0" w:color="auto"/>
            </w:tcBorders>
            <w:shd w:val="clear" w:color="auto" w:fill="auto"/>
            <w:noWrap/>
            <w:vAlign w:val="center"/>
            <w:hideMark/>
          </w:tcPr>
          <w:p w14:paraId="440F529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273</w:t>
            </w:r>
          </w:p>
        </w:tc>
        <w:tc>
          <w:tcPr>
            <w:tcW w:w="1134" w:type="dxa"/>
            <w:tcBorders>
              <w:top w:val="nil"/>
              <w:left w:val="nil"/>
              <w:bottom w:val="single" w:sz="4" w:space="0" w:color="auto"/>
              <w:right w:val="single" w:sz="4" w:space="0" w:color="auto"/>
            </w:tcBorders>
            <w:shd w:val="clear" w:color="auto" w:fill="auto"/>
            <w:noWrap/>
            <w:vAlign w:val="center"/>
            <w:hideMark/>
          </w:tcPr>
          <w:p w14:paraId="1ADFD607"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291</w:t>
            </w:r>
          </w:p>
        </w:tc>
        <w:tc>
          <w:tcPr>
            <w:tcW w:w="992" w:type="dxa"/>
            <w:tcBorders>
              <w:top w:val="nil"/>
              <w:left w:val="nil"/>
              <w:bottom w:val="single" w:sz="4" w:space="0" w:color="auto"/>
              <w:right w:val="single" w:sz="4" w:space="0" w:color="auto"/>
            </w:tcBorders>
            <w:shd w:val="clear" w:color="auto" w:fill="auto"/>
            <w:noWrap/>
            <w:vAlign w:val="center"/>
            <w:hideMark/>
          </w:tcPr>
          <w:p w14:paraId="1822915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6,7%</w:t>
            </w:r>
          </w:p>
        </w:tc>
        <w:tc>
          <w:tcPr>
            <w:tcW w:w="1134" w:type="dxa"/>
            <w:tcBorders>
              <w:top w:val="nil"/>
              <w:left w:val="nil"/>
              <w:bottom w:val="single" w:sz="4" w:space="0" w:color="auto"/>
              <w:right w:val="single" w:sz="4" w:space="0" w:color="auto"/>
            </w:tcBorders>
            <w:shd w:val="clear" w:color="auto" w:fill="auto"/>
            <w:noWrap/>
            <w:vAlign w:val="center"/>
            <w:hideMark/>
          </w:tcPr>
          <w:p w14:paraId="012EF62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14:paraId="01A4E79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14:paraId="2E556E0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2,6</w:t>
            </w:r>
          </w:p>
        </w:tc>
      </w:tr>
      <w:tr w:rsidR="00C74C27" w:rsidRPr="00C74C27" w14:paraId="175981CC"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6F04DEA3"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Būvniecības izstrādājumi</w:t>
            </w:r>
          </w:p>
        </w:tc>
        <w:tc>
          <w:tcPr>
            <w:tcW w:w="1183" w:type="dxa"/>
            <w:tcBorders>
              <w:top w:val="nil"/>
              <w:left w:val="nil"/>
              <w:bottom w:val="single" w:sz="4" w:space="0" w:color="auto"/>
              <w:right w:val="single" w:sz="4" w:space="0" w:color="auto"/>
            </w:tcBorders>
            <w:shd w:val="clear" w:color="auto" w:fill="auto"/>
            <w:noWrap/>
            <w:vAlign w:val="center"/>
            <w:hideMark/>
          </w:tcPr>
          <w:p w14:paraId="28DE1481"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256</w:t>
            </w:r>
          </w:p>
        </w:tc>
        <w:tc>
          <w:tcPr>
            <w:tcW w:w="1134" w:type="dxa"/>
            <w:tcBorders>
              <w:top w:val="nil"/>
              <w:left w:val="nil"/>
              <w:bottom w:val="single" w:sz="4" w:space="0" w:color="auto"/>
              <w:right w:val="single" w:sz="4" w:space="0" w:color="auto"/>
            </w:tcBorders>
            <w:shd w:val="clear" w:color="auto" w:fill="auto"/>
            <w:noWrap/>
            <w:vAlign w:val="center"/>
            <w:hideMark/>
          </w:tcPr>
          <w:p w14:paraId="6AC56FB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232</w:t>
            </w:r>
          </w:p>
        </w:tc>
        <w:tc>
          <w:tcPr>
            <w:tcW w:w="992" w:type="dxa"/>
            <w:tcBorders>
              <w:top w:val="nil"/>
              <w:left w:val="nil"/>
              <w:bottom w:val="single" w:sz="4" w:space="0" w:color="auto"/>
              <w:right w:val="single" w:sz="4" w:space="0" w:color="auto"/>
            </w:tcBorders>
            <w:shd w:val="clear" w:color="auto" w:fill="auto"/>
            <w:noWrap/>
            <w:vAlign w:val="center"/>
            <w:hideMark/>
          </w:tcPr>
          <w:p w14:paraId="335B3A3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-9,6%</w:t>
            </w:r>
          </w:p>
        </w:tc>
        <w:tc>
          <w:tcPr>
            <w:tcW w:w="1134" w:type="dxa"/>
            <w:tcBorders>
              <w:top w:val="nil"/>
              <w:left w:val="nil"/>
              <w:bottom w:val="single" w:sz="4" w:space="0" w:color="auto"/>
              <w:right w:val="single" w:sz="4" w:space="0" w:color="auto"/>
            </w:tcBorders>
            <w:shd w:val="clear" w:color="auto" w:fill="auto"/>
            <w:noWrap/>
            <w:vAlign w:val="center"/>
            <w:hideMark/>
          </w:tcPr>
          <w:p w14:paraId="4DD5F4B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-25</w:t>
            </w:r>
          </w:p>
        </w:tc>
        <w:tc>
          <w:tcPr>
            <w:tcW w:w="1134" w:type="dxa"/>
            <w:tcBorders>
              <w:top w:val="nil"/>
              <w:left w:val="nil"/>
              <w:bottom w:val="single" w:sz="4" w:space="0" w:color="auto"/>
              <w:right w:val="single" w:sz="4" w:space="0" w:color="auto"/>
            </w:tcBorders>
            <w:shd w:val="clear" w:color="auto" w:fill="auto"/>
            <w:noWrap/>
            <w:vAlign w:val="center"/>
            <w:hideMark/>
          </w:tcPr>
          <w:p w14:paraId="241A50C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14:paraId="20988CA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2,1</w:t>
            </w:r>
          </w:p>
        </w:tc>
      </w:tr>
      <w:tr w:rsidR="00C74C27" w:rsidRPr="00C74C27" w14:paraId="75CA7217" w14:textId="77777777" w:rsidTr="005B2BAF">
        <w:trPr>
          <w:trHeight w:val="324"/>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5FD52462"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Papīrs, kartons un poligrāfijas izstrādājumi</w:t>
            </w:r>
          </w:p>
        </w:tc>
        <w:tc>
          <w:tcPr>
            <w:tcW w:w="1183" w:type="dxa"/>
            <w:tcBorders>
              <w:top w:val="nil"/>
              <w:left w:val="nil"/>
              <w:bottom w:val="single" w:sz="4" w:space="0" w:color="auto"/>
              <w:right w:val="single" w:sz="4" w:space="0" w:color="auto"/>
            </w:tcBorders>
            <w:shd w:val="clear" w:color="auto" w:fill="auto"/>
            <w:noWrap/>
            <w:vAlign w:val="center"/>
            <w:hideMark/>
          </w:tcPr>
          <w:p w14:paraId="0EE1A31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220</w:t>
            </w:r>
          </w:p>
        </w:tc>
        <w:tc>
          <w:tcPr>
            <w:tcW w:w="1134" w:type="dxa"/>
            <w:tcBorders>
              <w:top w:val="nil"/>
              <w:left w:val="nil"/>
              <w:bottom w:val="single" w:sz="4" w:space="0" w:color="auto"/>
              <w:right w:val="single" w:sz="4" w:space="0" w:color="auto"/>
            </w:tcBorders>
            <w:shd w:val="clear" w:color="auto" w:fill="auto"/>
            <w:noWrap/>
            <w:vAlign w:val="center"/>
            <w:hideMark/>
          </w:tcPr>
          <w:p w14:paraId="01396007"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194</w:t>
            </w:r>
          </w:p>
        </w:tc>
        <w:tc>
          <w:tcPr>
            <w:tcW w:w="992" w:type="dxa"/>
            <w:tcBorders>
              <w:top w:val="nil"/>
              <w:left w:val="nil"/>
              <w:bottom w:val="single" w:sz="4" w:space="0" w:color="auto"/>
              <w:right w:val="single" w:sz="4" w:space="0" w:color="auto"/>
            </w:tcBorders>
            <w:shd w:val="clear" w:color="auto" w:fill="auto"/>
            <w:noWrap/>
            <w:vAlign w:val="center"/>
            <w:hideMark/>
          </w:tcPr>
          <w:p w14:paraId="11259D6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-11,6%</w:t>
            </w:r>
          </w:p>
        </w:tc>
        <w:tc>
          <w:tcPr>
            <w:tcW w:w="1134" w:type="dxa"/>
            <w:tcBorders>
              <w:top w:val="nil"/>
              <w:left w:val="nil"/>
              <w:bottom w:val="single" w:sz="4" w:space="0" w:color="auto"/>
              <w:right w:val="single" w:sz="4" w:space="0" w:color="auto"/>
            </w:tcBorders>
            <w:shd w:val="clear" w:color="auto" w:fill="auto"/>
            <w:noWrap/>
            <w:vAlign w:val="center"/>
            <w:hideMark/>
          </w:tcPr>
          <w:p w14:paraId="6B141603"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-25</w:t>
            </w:r>
          </w:p>
        </w:tc>
        <w:tc>
          <w:tcPr>
            <w:tcW w:w="1134" w:type="dxa"/>
            <w:tcBorders>
              <w:top w:val="nil"/>
              <w:left w:val="nil"/>
              <w:bottom w:val="single" w:sz="4" w:space="0" w:color="auto"/>
              <w:right w:val="single" w:sz="4" w:space="0" w:color="auto"/>
            </w:tcBorders>
            <w:shd w:val="clear" w:color="auto" w:fill="auto"/>
            <w:noWrap/>
            <w:vAlign w:val="center"/>
            <w:hideMark/>
          </w:tcPr>
          <w:p w14:paraId="7C9D732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14:paraId="3F5688C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1,8</w:t>
            </w:r>
          </w:p>
        </w:tc>
      </w:tr>
      <w:tr w:rsidR="00C74C27" w:rsidRPr="00C74C27" w14:paraId="40640731" w14:textId="77777777" w:rsidTr="005B2BAF">
        <w:trPr>
          <w:trHeight w:val="312"/>
          <w:jc w:val="center"/>
        </w:trPr>
        <w:tc>
          <w:tcPr>
            <w:tcW w:w="2073" w:type="dxa"/>
            <w:tcBorders>
              <w:top w:val="nil"/>
              <w:left w:val="single" w:sz="4" w:space="0" w:color="auto"/>
              <w:bottom w:val="single" w:sz="4" w:space="0" w:color="auto"/>
              <w:right w:val="single" w:sz="4" w:space="0" w:color="auto"/>
            </w:tcBorders>
            <w:shd w:val="clear" w:color="auto" w:fill="auto"/>
            <w:noWrap/>
            <w:vAlign w:val="center"/>
            <w:hideMark/>
          </w:tcPr>
          <w:p w14:paraId="7287CBD9" w14:textId="77777777" w:rsidR="00C74C27" w:rsidRPr="00C74C27" w:rsidRDefault="00C74C27" w:rsidP="00C74C27">
            <w:pPr>
              <w:spacing w:after="0"/>
              <w:ind w:firstLine="0"/>
              <w:jc w:val="left"/>
              <w:rPr>
                <w:rFonts w:eastAsia="Times New Roman" w:cs="Times New Roman"/>
                <w:b/>
                <w:bCs/>
                <w:color w:val="000000"/>
                <w:sz w:val="20"/>
                <w:szCs w:val="20"/>
              </w:rPr>
            </w:pPr>
            <w:r w:rsidRPr="00C74C27">
              <w:rPr>
                <w:rFonts w:eastAsia="Times New Roman" w:cs="Times New Roman"/>
                <w:b/>
                <w:bCs/>
                <w:color w:val="000000"/>
                <w:sz w:val="20"/>
                <w:szCs w:val="20"/>
              </w:rPr>
              <w:t>Kopējais preču eksports</w:t>
            </w:r>
          </w:p>
        </w:tc>
        <w:tc>
          <w:tcPr>
            <w:tcW w:w="1183" w:type="dxa"/>
            <w:tcBorders>
              <w:top w:val="nil"/>
              <w:left w:val="nil"/>
              <w:bottom w:val="single" w:sz="4" w:space="0" w:color="auto"/>
              <w:right w:val="single" w:sz="4" w:space="0" w:color="auto"/>
            </w:tcBorders>
            <w:shd w:val="clear" w:color="auto" w:fill="auto"/>
            <w:noWrap/>
            <w:vAlign w:val="center"/>
            <w:hideMark/>
          </w:tcPr>
          <w:p w14:paraId="5EA42876"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11684</w:t>
            </w:r>
          </w:p>
        </w:tc>
        <w:tc>
          <w:tcPr>
            <w:tcW w:w="1134" w:type="dxa"/>
            <w:tcBorders>
              <w:top w:val="nil"/>
              <w:left w:val="nil"/>
              <w:bottom w:val="single" w:sz="4" w:space="0" w:color="auto"/>
              <w:right w:val="single" w:sz="4" w:space="0" w:color="auto"/>
            </w:tcBorders>
            <w:shd w:val="clear" w:color="auto" w:fill="auto"/>
            <w:noWrap/>
            <w:vAlign w:val="center"/>
            <w:hideMark/>
          </w:tcPr>
          <w:p w14:paraId="5AB10E9B"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11012</w:t>
            </w:r>
          </w:p>
        </w:tc>
        <w:tc>
          <w:tcPr>
            <w:tcW w:w="992" w:type="dxa"/>
            <w:tcBorders>
              <w:top w:val="nil"/>
              <w:left w:val="nil"/>
              <w:bottom w:val="single" w:sz="4" w:space="0" w:color="auto"/>
              <w:right w:val="single" w:sz="4" w:space="0" w:color="auto"/>
            </w:tcBorders>
            <w:shd w:val="clear" w:color="auto" w:fill="auto"/>
            <w:noWrap/>
            <w:vAlign w:val="center"/>
            <w:hideMark/>
          </w:tcPr>
          <w:p w14:paraId="558A450C"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14:paraId="3487B70D"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-673</w:t>
            </w:r>
          </w:p>
        </w:tc>
        <w:tc>
          <w:tcPr>
            <w:tcW w:w="1134" w:type="dxa"/>
            <w:tcBorders>
              <w:top w:val="nil"/>
              <w:left w:val="nil"/>
              <w:bottom w:val="single" w:sz="4" w:space="0" w:color="auto"/>
              <w:right w:val="single" w:sz="4" w:space="0" w:color="auto"/>
            </w:tcBorders>
            <w:shd w:val="clear" w:color="auto" w:fill="auto"/>
            <w:noWrap/>
            <w:vAlign w:val="center"/>
            <w:hideMark/>
          </w:tcPr>
          <w:p w14:paraId="55863175"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14:paraId="18243723"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100</w:t>
            </w:r>
          </w:p>
        </w:tc>
      </w:tr>
    </w:tbl>
    <w:p w14:paraId="5874B598" w14:textId="77777777" w:rsidR="00C74C27" w:rsidRPr="00C74C27" w:rsidRDefault="00C74C27" w:rsidP="00C74C27">
      <w:pPr>
        <w:spacing w:before="120"/>
        <w:rPr>
          <w:rFonts w:eastAsia="Calibri" w:cs="Arial"/>
          <w:noProof/>
          <w:szCs w:val="24"/>
          <w:lang w:eastAsia="en-US"/>
        </w:rPr>
      </w:pPr>
      <w:r w:rsidRPr="00C74C27">
        <w:rPr>
          <w:rFonts w:eastAsia="Calibri" w:cs="Arial"/>
          <w:noProof/>
          <w:szCs w:val="24"/>
          <w:lang w:eastAsia="en-US"/>
        </w:rPr>
        <w:t>Atšķirībā no preču eksporta, pakalpojumu eksports šogad turpināja samērā strauju attīstību, lai arī mērenāku nekā 2022. gadā. 2023. gada pirmajā pusgadā pakalpojumu eksporta vērtība bija par 12,4% augstāka nekā pērnā gada attiecīgajā periodā.</w:t>
      </w:r>
    </w:p>
    <w:p w14:paraId="10677D69"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No visiem ārvalstniekiem sniegtajiem pakalpojumiem straujākais pieaugums bija tūrisma pakalpojumos. Ārvalstu tūristu izdevumi Latvijā šā gada sešos mēnešos pieauga par 23,6%. Tik strauju izaugsmi noteica gan lielāks ārvalstu tūristu skaits, ko labvēlīgi ietekmēja pasaules hokeja čempionāta norise Rīgā, gan tūrisma nozares atkopšanās no pandēmijas, gan augstā inflācija, sadārdzinot pakalpojumu cenas. Apkalpoto ārvalstu viesu skaits Latvijas viesnīcās šā gada pirmajā pusē pieauga par 41,2% salīdzinājumā ar attiecīgo periodu pērn. Tomēr ārvalstu tūristu skaits joprojām aptuveni par trešdaļu atpaliek no pirmspandēmijas līmeņa. </w:t>
      </w:r>
    </w:p>
    <w:p w14:paraId="6D42DBEA"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Būtiski pieauga arī transporta pakalpojumu eksports, kopumā par 10,2%, salīdzinot ar 2022. gada pirmo pusi. Tomēr arī šajā pakalpojumu grupā izaugsmi nodrošināja tikai tūrisma nozare. Starp </w:t>
      </w:r>
      <w:r w:rsidRPr="00C74C27">
        <w:rPr>
          <w:rFonts w:eastAsia="Calibri" w:cs="Arial"/>
          <w:noProof/>
          <w:color w:val="000000"/>
          <w:szCs w:val="24"/>
          <w:lang w:eastAsia="en-US"/>
        </w:rPr>
        <w:t xml:space="preserve">visiem ārvalstniekiem sniegtajiem </w:t>
      </w:r>
      <w:r w:rsidRPr="00C74C27">
        <w:rPr>
          <w:rFonts w:eastAsia="Calibri" w:cs="Arial"/>
          <w:noProof/>
          <w:szCs w:val="24"/>
          <w:lang w:eastAsia="en-US"/>
        </w:rPr>
        <w:t>transporta pakalpojumiem pieauga tikai gaisa transporta pakalpojumu eksports, kopumā par 66,2%, kamēr jūras un dzelzceļa transporta pakalpojumu eksports samazinājās attiecīgi par 30,8% un 20,0%. Savukārt autotransporta pakalpojumi, kas pēc īpatsvara ir lielākā grupa transporta pakalpojumu eksportā, palielinājās vien par 0,9%. No citiem pakalpojumu veidiem var atzīmēt telesakaru un datorpakalpojumu eksporta kāpumu par 9,2%, kā arī būvniecības pakalpojumu eksporta pieaugumu par 18,0%.  Detalizētāka informācija par pakalpojumu eksporta vērtību, kā arī tās pārmaiņas ir atspoguļotas 1.20. un 1.21. attēlā.</w:t>
      </w:r>
    </w:p>
    <w:tbl>
      <w:tblPr>
        <w:tblStyle w:val="TableGrid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320"/>
        <w:gridCol w:w="4440"/>
      </w:tblGrid>
      <w:tr w:rsidR="00C74C27" w:rsidRPr="00C74C27" w14:paraId="41E8375E" w14:textId="77777777" w:rsidTr="0049639B">
        <w:tc>
          <w:tcPr>
            <w:tcW w:w="4099" w:type="dxa"/>
          </w:tcPr>
          <w:p w14:paraId="38FB97BE" w14:textId="77777777" w:rsidR="00C74C27" w:rsidRPr="00C74C27" w:rsidRDefault="00C74C27" w:rsidP="00C74C27">
            <w:pPr>
              <w:spacing w:after="0"/>
              <w:ind w:firstLine="0"/>
              <w:jc w:val="center"/>
              <w:rPr>
                <w:b/>
                <w:bCs/>
                <w:i/>
                <w:iCs/>
                <w:sz w:val="20"/>
              </w:rPr>
            </w:pPr>
          </w:p>
        </w:tc>
        <w:tc>
          <w:tcPr>
            <w:tcW w:w="4207" w:type="dxa"/>
          </w:tcPr>
          <w:p w14:paraId="26F9380E" w14:textId="77777777" w:rsidR="00C74C27" w:rsidRPr="00C74C27" w:rsidRDefault="00C74C27" w:rsidP="00C74C27">
            <w:pPr>
              <w:spacing w:after="0"/>
              <w:ind w:firstLine="0"/>
              <w:jc w:val="center"/>
              <w:rPr>
                <w:b/>
                <w:bCs/>
                <w:i/>
                <w:iCs/>
                <w:sz w:val="20"/>
              </w:rPr>
            </w:pPr>
          </w:p>
        </w:tc>
      </w:tr>
      <w:tr w:rsidR="00C74C27" w:rsidRPr="00C74C27" w14:paraId="1AC9154F" w14:textId="77777777" w:rsidTr="0049639B">
        <w:tc>
          <w:tcPr>
            <w:tcW w:w="4099" w:type="dxa"/>
          </w:tcPr>
          <w:p w14:paraId="04A0F987" w14:textId="77777777" w:rsidR="00C74C27" w:rsidRPr="00C74C27" w:rsidRDefault="00C74C27" w:rsidP="00C74C27">
            <w:pPr>
              <w:spacing w:after="0"/>
              <w:ind w:firstLine="0"/>
              <w:jc w:val="left"/>
              <w:rPr>
                <w:sz w:val="22"/>
              </w:rPr>
            </w:pPr>
            <w:r w:rsidRPr="00C74C27">
              <w:rPr>
                <w:noProof/>
                <w:sz w:val="22"/>
              </w:rPr>
              <w:lastRenderedPageBreak/>
              <w:drawing>
                <wp:inline distT="0" distB="0" distL="0" distR="0" wp14:anchorId="3B1DC71C" wp14:editId="006C5F68">
                  <wp:extent cx="2735580" cy="4084320"/>
                  <wp:effectExtent l="0" t="0" r="7620" b="0"/>
                  <wp:docPr id="539162517" name="Chart 539162517">
                    <a:extLst xmlns:a="http://schemas.openxmlformats.org/drawingml/2006/main">
                      <a:ext uri="{FF2B5EF4-FFF2-40B4-BE49-F238E27FC236}">
                        <a16:creationId xmlns:a16="http://schemas.microsoft.com/office/drawing/2014/main" id="{00000000-0008-0000-28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4207" w:type="dxa"/>
          </w:tcPr>
          <w:p w14:paraId="2E91647F" w14:textId="77777777" w:rsidR="00C74C27" w:rsidRPr="00C74C27" w:rsidRDefault="00C74C27" w:rsidP="00C74C27">
            <w:pPr>
              <w:spacing w:after="0"/>
              <w:ind w:firstLine="0"/>
              <w:jc w:val="left"/>
              <w:rPr>
                <w:rFonts w:ascii="Calibri" w:hAnsi="Calibri"/>
                <w:sz w:val="22"/>
              </w:rPr>
            </w:pPr>
            <w:r w:rsidRPr="00C74C27">
              <w:rPr>
                <w:rFonts w:ascii="Calibri" w:hAnsi="Calibri"/>
                <w:noProof/>
                <w:sz w:val="22"/>
              </w:rPr>
              <w:drawing>
                <wp:inline distT="0" distB="0" distL="0" distR="0" wp14:anchorId="5894D147" wp14:editId="602D68FC">
                  <wp:extent cx="2811145" cy="4069080"/>
                  <wp:effectExtent l="0" t="0" r="8255" b="7620"/>
                  <wp:docPr id="5" name="Chart 5">
                    <a:extLst xmlns:a="http://schemas.openxmlformats.org/drawingml/2006/main">
                      <a:ext uri="{FF2B5EF4-FFF2-40B4-BE49-F238E27FC236}">
                        <a16:creationId xmlns:a16="http://schemas.microsoft.com/office/drawing/2014/main" id="{00000000-0008-0000-2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C74C27">
              <w:rPr>
                <w:rFonts w:ascii="Calibri" w:hAnsi="Calibri"/>
                <w:sz w:val="22"/>
              </w:rPr>
              <w:t xml:space="preserve">  </w:t>
            </w:r>
          </w:p>
        </w:tc>
      </w:tr>
      <w:tr w:rsidR="00C74C27" w:rsidRPr="00C74C27" w14:paraId="255C0114" w14:textId="77777777" w:rsidTr="0049639B">
        <w:tc>
          <w:tcPr>
            <w:tcW w:w="4099" w:type="dxa"/>
          </w:tcPr>
          <w:p w14:paraId="2F4341E1" w14:textId="77777777" w:rsidR="00C74C27" w:rsidRPr="00C74C27" w:rsidRDefault="00C74C27" w:rsidP="00C74C27">
            <w:pPr>
              <w:spacing w:after="0"/>
              <w:ind w:firstLine="0"/>
              <w:jc w:val="center"/>
              <w:rPr>
                <w:b/>
                <w:bCs/>
                <w:i/>
                <w:iCs/>
                <w:szCs w:val="24"/>
              </w:rPr>
            </w:pPr>
            <w:r w:rsidRPr="00C74C27">
              <w:rPr>
                <w:b/>
                <w:bCs/>
                <w:i/>
                <w:iCs/>
                <w:szCs w:val="24"/>
              </w:rPr>
              <w:t xml:space="preserve">1.20. att. Latvijas pakalpojumu eksports faktiskajās cenās pa grupām (milj. </w:t>
            </w:r>
            <w:proofErr w:type="spellStart"/>
            <w:r w:rsidRPr="00C74C27">
              <w:rPr>
                <w:b/>
                <w:bCs/>
                <w:i/>
                <w:iCs/>
                <w:szCs w:val="24"/>
              </w:rPr>
              <w:t>euro</w:t>
            </w:r>
            <w:proofErr w:type="spellEnd"/>
            <w:r w:rsidRPr="00C74C27">
              <w:rPr>
                <w:b/>
                <w:bCs/>
                <w:i/>
                <w:iCs/>
                <w:szCs w:val="24"/>
              </w:rPr>
              <w:t>)</w:t>
            </w:r>
          </w:p>
        </w:tc>
        <w:tc>
          <w:tcPr>
            <w:tcW w:w="4207" w:type="dxa"/>
          </w:tcPr>
          <w:p w14:paraId="424327D5" w14:textId="77777777" w:rsidR="00C74C27" w:rsidRPr="00C74C27" w:rsidRDefault="00C74C27" w:rsidP="00C74C27">
            <w:pPr>
              <w:spacing w:after="0"/>
              <w:ind w:firstLine="0"/>
              <w:jc w:val="center"/>
              <w:rPr>
                <w:b/>
                <w:bCs/>
                <w:i/>
                <w:iCs/>
                <w:szCs w:val="24"/>
              </w:rPr>
            </w:pPr>
            <w:r w:rsidRPr="00C74C27">
              <w:rPr>
                <w:b/>
                <w:bCs/>
                <w:i/>
                <w:iCs/>
                <w:szCs w:val="24"/>
              </w:rPr>
              <w:t>1.21. att. Latvijas pakalpojumu eksports faktiskajās cenās pa grupām, devumi (</w:t>
            </w:r>
            <w:proofErr w:type="spellStart"/>
            <w:r w:rsidRPr="00C74C27">
              <w:rPr>
                <w:b/>
                <w:bCs/>
                <w:i/>
                <w:iCs/>
                <w:szCs w:val="24"/>
              </w:rPr>
              <w:t>pp</w:t>
            </w:r>
            <w:proofErr w:type="spellEnd"/>
            <w:r w:rsidRPr="00C74C27">
              <w:rPr>
                <w:b/>
                <w:bCs/>
                <w:i/>
                <w:iCs/>
                <w:szCs w:val="24"/>
              </w:rPr>
              <w:t>) un kopējais pieaugums (%)</w:t>
            </w:r>
          </w:p>
        </w:tc>
      </w:tr>
    </w:tbl>
    <w:p w14:paraId="55A228EB" w14:textId="77777777" w:rsidR="00C74C27" w:rsidRPr="00C74C27" w:rsidRDefault="00C74C27" w:rsidP="00C74C27">
      <w:pPr>
        <w:spacing w:before="120"/>
        <w:rPr>
          <w:rFonts w:eastAsia="Calibri" w:cs="Arial"/>
          <w:noProof/>
          <w:szCs w:val="24"/>
          <w:lang w:eastAsia="en-US"/>
        </w:rPr>
      </w:pPr>
      <w:r w:rsidRPr="00C74C27">
        <w:rPr>
          <w:rFonts w:eastAsia="Calibri" w:cs="Arial"/>
          <w:noProof/>
          <w:szCs w:val="24"/>
          <w:lang w:eastAsia="en-US"/>
        </w:rPr>
        <w:t>Latvijas preču eksporta attīstību 2023. gadā turpinās ietekmēt vājais ārējais pieprasījums, it īpaši ES, kas ir lielākais eksporta tirgus Latvijas precēm. ES ekonomikas pieaugums šā gada otrajā ceturksnī ir apstājies, pirms tam divus gadus nepārtraukti palielinoties. Negatīvi vērtējams Igaunijas, Polijas, Zviedrijas un Vācijas ekonomikas kritums šā gada otrajā ceturksnī. Šīs valstis ierindojas starp lielākajiem Latvijas eksporta tirgiem Eiropā. Vērtējot ES dalībvalstu uzņēmēju un patērētāju ekonomisko sentimentu, jāsecina, ka tas turpina pasliktināties. Šā gada augustā ekonomikas sentiments ES atkal pasliktinājās tādās Latvijas preču eksportam nozīmīgās nozarēs kā apstrādes rūpniecība un būvniecība. Šīs nozares tieši ietekmē Latvijas kokrūpniecības, metālapstrādes, kā arī būvniecības materiālu eksportu.</w:t>
      </w:r>
    </w:p>
    <w:p w14:paraId="4908923E"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ES ekonomiku negatīvi ietekmējošo faktoru netrūkst, bet pārsvarā tie ir saistīti ar augsto inflāciju, izaicinājumiem enerģētikas nozarē, kā arī ar ierobežojošo monetāro politiku, ko īsteno ECB. 2023. gada septembrī EK publicēja jaunākās ekonomiskās prognozes, kas liecina, ka ES ekonomikas pieaugums šogad varētu sasniegt 0,8%, kas ir par 0,2 procentpunktiem mazāk nekā iepriekšējā novērtējumā, kurš bija izstrādāts šā gada maijā. Tas arī ir būtiski zemāk nekā ES ekonomikas izaugsme pērnajā gadā, kad tā sasniedza 3,4%. Nedaudz labāka ekonomikas situācija ir ASV un Ķīnā, valstīs, kuras nosaka toni pasaules tirdzniecībā. Tomēr arī tur ekonomikas izaugsme bremzējas.</w:t>
      </w:r>
    </w:p>
    <w:p w14:paraId="68DF2A50" w14:textId="341FE832"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Analizējot preču </w:t>
      </w:r>
      <w:r w:rsidRPr="00C74C27">
        <w:rPr>
          <w:rFonts w:eastAsia="Calibri" w:cs="Arial"/>
          <w:b/>
          <w:bCs/>
          <w:noProof/>
          <w:szCs w:val="24"/>
          <w:lang w:eastAsia="en-US"/>
        </w:rPr>
        <w:t xml:space="preserve">importa </w:t>
      </w:r>
      <w:r w:rsidRPr="00C74C27">
        <w:rPr>
          <w:rFonts w:eastAsia="Calibri" w:cs="Arial"/>
          <w:noProof/>
          <w:szCs w:val="24"/>
          <w:lang w:eastAsia="en-US"/>
        </w:rPr>
        <w:t xml:space="preserve">dinamiku pa mēnešiem, var secināt, ka tā ir līdzīga preču eksporta dinamikai. Ja vēl gada sākumā preču importā bija fiksēts kāpums, tad pēdējos piecos mēnešos preču imports gada izteiksmē uzrāda kritumu. Kopumā 2023. gada pirmajos septiņos mēnešos, salīdzinot ar pērnā gada attiecīgo periodu, preču imports faktiskajās cenās ir samazinājies par 6,5%. Būtiskākais negatīvais devums preču importa kritumā bija minerālproduktu importa samazinājumam par 36,1% jeb 933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ko noteica gan zemākas energoresursu cenas, gan mazāks dabasgāzes patēriņš. Sagaidāms, ka līdzvērtīgs </w:t>
      </w:r>
      <w:r w:rsidRPr="00C74C27">
        <w:rPr>
          <w:rFonts w:eastAsia="Calibri" w:cs="Arial"/>
          <w:noProof/>
          <w:szCs w:val="24"/>
          <w:lang w:eastAsia="en-US"/>
        </w:rPr>
        <w:lastRenderedPageBreak/>
        <w:t>minerālproduktu importa samazinājums saglabāsies arī atlikušajos šā gada mēnešos. Būtisks importa samazinājums bija arī metāliem un metālu izstrādājumiem, kā arī koka un koksnes izstrādājumiem, attiecīgi par 23,9% un 42,6%.</w:t>
      </w:r>
    </w:p>
    <w:p w14:paraId="54673E71"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Vienlaicīgi, 2023. gada septiņos mēnešos būtiski pieauga lauksaimniecības un pārtikas preču importa vērtība, kopumā par 19,8%, ko noteica alkoholisko dzērienu, piena pārstrādes produktu un citu pārtikas preču importa pieaugums. Par 17,5% pieauga satiksmes preču, t.i., automobiļu, traktoru u.c. imports. Savukārt mehānismu un ierīču, kā arī elektroiekārtu imports pieauga par 4,7%. Detalizētāki dati par preču importa vērtību ir atspoguļoti 1.3. tabulā.</w:t>
      </w:r>
    </w:p>
    <w:p w14:paraId="17D346CD" w14:textId="77777777" w:rsidR="00C74C27" w:rsidRPr="00C74C27" w:rsidRDefault="00C74C27" w:rsidP="00C74C27">
      <w:pPr>
        <w:rPr>
          <w:rFonts w:eastAsia="Calibri" w:cs="Arial"/>
          <w:noProof/>
          <w:szCs w:val="24"/>
          <w:lang w:eastAsia="en-US"/>
        </w:rPr>
      </w:pPr>
      <w:r w:rsidRPr="00C74C27">
        <w:rPr>
          <w:rFonts w:eastAsia="Calibri" w:cs="Arial"/>
          <w:noProof/>
          <w:szCs w:val="24"/>
          <w:lang w:eastAsia="en-US"/>
        </w:rPr>
        <w:t xml:space="preserve">Pakalpojumu importa vērtība 2023. gada pirmajā pusgadā pieauga par 19,8%, ko veicināja visi svarīgākie pakalpojumu veidi. Gaisa un autotransporta pakalpojumu importa pieauguma rezultātā transporta pakalpojumu importa vērtība palielinājās par 11,4%. Latvijas iedzīvotāju izdevumi ārvalstīs palielinājās par 24,1% jeb par 103 milj. </w:t>
      </w:r>
      <w:r w:rsidRPr="00C74C27">
        <w:rPr>
          <w:rFonts w:eastAsia="Calibri" w:cs="Arial"/>
          <w:i/>
          <w:iCs/>
          <w:noProof/>
          <w:szCs w:val="24"/>
          <w:lang w:eastAsia="en-US"/>
        </w:rPr>
        <w:t>euro</w:t>
      </w:r>
      <w:r w:rsidRPr="00C74C27">
        <w:rPr>
          <w:rFonts w:eastAsia="Calibri" w:cs="Arial"/>
          <w:noProof/>
          <w:szCs w:val="24"/>
          <w:lang w:eastAsia="en-US"/>
        </w:rPr>
        <w:t xml:space="preserve">, kas bija lielākais kāpums starp visiem pakalpojumiem. Būtisks importa pieaugums bija fiksēts finanšu pakalpojumiem, kā arī telesakaru un datorpakalpojumiem, attiecīgi par 69,6% un 15,8%. </w:t>
      </w:r>
    </w:p>
    <w:p w14:paraId="1F4FE078" w14:textId="77777777" w:rsidR="00C74C27" w:rsidRPr="00C74C27" w:rsidRDefault="00C74C27" w:rsidP="00C74C27">
      <w:pPr>
        <w:jc w:val="right"/>
        <w:rPr>
          <w:rFonts w:eastAsia="Calibri" w:cs="Arial"/>
          <w:b/>
          <w:bCs/>
          <w:i/>
          <w:iCs/>
          <w:noProof/>
          <w:szCs w:val="24"/>
          <w:lang w:eastAsia="en-US"/>
        </w:rPr>
      </w:pPr>
      <w:r w:rsidRPr="00C74C27">
        <w:rPr>
          <w:rFonts w:eastAsia="Calibri" w:cs="Arial"/>
          <w:b/>
          <w:bCs/>
          <w:i/>
          <w:iCs/>
          <w:noProof/>
          <w:szCs w:val="24"/>
          <w:lang w:eastAsia="en-US"/>
        </w:rPr>
        <w:t>1.3. tabula. Preču importa vērtība 2022. gada un 2023. gada pirmajos septiņos mēnešos (izmaiņas, devums izaugsmē un preču grupu īpatsvars 2023. gada septiņos mēnešos)</w:t>
      </w:r>
    </w:p>
    <w:tbl>
      <w:tblPr>
        <w:tblW w:w="8359" w:type="dxa"/>
        <w:jc w:val="center"/>
        <w:tblLayout w:type="fixed"/>
        <w:tblLook w:val="04A0" w:firstRow="1" w:lastRow="0" w:firstColumn="1" w:lastColumn="0" w:noHBand="0" w:noVBand="1"/>
      </w:tblPr>
      <w:tblGrid>
        <w:gridCol w:w="1980"/>
        <w:gridCol w:w="1063"/>
        <w:gridCol w:w="1063"/>
        <w:gridCol w:w="1063"/>
        <w:gridCol w:w="1063"/>
        <w:gridCol w:w="1063"/>
        <w:gridCol w:w="1064"/>
      </w:tblGrid>
      <w:tr w:rsidR="00C74C27" w:rsidRPr="00C74C27" w14:paraId="7FD356CE" w14:textId="77777777" w:rsidTr="00C74C27">
        <w:trPr>
          <w:trHeight w:val="775"/>
          <w:jc w:val="center"/>
        </w:trPr>
        <w:tc>
          <w:tcPr>
            <w:tcW w:w="1980" w:type="dxa"/>
            <w:tcBorders>
              <w:top w:val="single" w:sz="4" w:space="0" w:color="auto"/>
              <w:left w:val="single" w:sz="4" w:space="0" w:color="auto"/>
              <w:bottom w:val="single" w:sz="4" w:space="0" w:color="auto"/>
              <w:right w:val="single" w:sz="4" w:space="0" w:color="auto"/>
            </w:tcBorders>
            <w:shd w:val="clear" w:color="auto" w:fill="9CC2E5"/>
            <w:noWrap/>
            <w:vAlign w:val="center"/>
            <w:hideMark/>
          </w:tcPr>
          <w:p w14:paraId="566325B2"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Preču grupa</w:t>
            </w:r>
          </w:p>
        </w:tc>
        <w:tc>
          <w:tcPr>
            <w:tcW w:w="1063" w:type="dxa"/>
            <w:tcBorders>
              <w:top w:val="single" w:sz="4" w:space="0" w:color="auto"/>
              <w:left w:val="nil"/>
              <w:bottom w:val="single" w:sz="4" w:space="0" w:color="auto"/>
              <w:right w:val="single" w:sz="4" w:space="0" w:color="auto"/>
            </w:tcBorders>
            <w:shd w:val="clear" w:color="auto" w:fill="9CC2E5"/>
            <w:vAlign w:val="center"/>
            <w:hideMark/>
          </w:tcPr>
          <w:p w14:paraId="34AA1028"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 xml:space="preserve">I-VII 2022 </w:t>
            </w:r>
            <w:r w:rsidRPr="00C74C27">
              <w:rPr>
                <w:rFonts w:eastAsia="Calibri" w:cs="Times New Roman"/>
                <w:b/>
                <w:bCs/>
                <w:sz w:val="20"/>
                <w:szCs w:val="20"/>
              </w:rPr>
              <w:t xml:space="preserve">milj. </w:t>
            </w:r>
            <w:proofErr w:type="spellStart"/>
            <w:r w:rsidRPr="00C74C27">
              <w:rPr>
                <w:rFonts w:eastAsia="Calibri" w:cs="Times New Roman"/>
                <w:b/>
                <w:bCs/>
                <w:i/>
                <w:iCs/>
                <w:sz w:val="20"/>
                <w:szCs w:val="20"/>
              </w:rPr>
              <w:t>euro</w:t>
            </w:r>
            <w:proofErr w:type="spellEnd"/>
          </w:p>
        </w:tc>
        <w:tc>
          <w:tcPr>
            <w:tcW w:w="1063" w:type="dxa"/>
            <w:tcBorders>
              <w:top w:val="single" w:sz="4" w:space="0" w:color="auto"/>
              <w:left w:val="nil"/>
              <w:bottom w:val="single" w:sz="4" w:space="0" w:color="auto"/>
              <w:right w:val="single" w:sz="4" w:space="0" w:color="auto"/>
            </w:tcBorders>
            <w:shd w:val="clear" w:color="auto" w:fill="9CC2E5"/>
            <w:vAlign w:val="center"/>
            <w:hideMark/>
          </w:tcPr>
          <w:p w14:paraId="7B3A96FC"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 xml:space="preserve">I-VII 2023 </w:t>
            </w:r>
            <w:r w:rsidRPr="00C74C27">
              <w:rPr>
                <w:rFonts w:eastAsia="Calibri" w:cs="Times New Roman"/>
                <w:b/>
                <w:bCs/>
                <w:sz w:val="20"/>
                <w:szCs w:val="20"/>
              </w:rPr>
              <w:t xml:space="preserve">milj. </w:t>
            </w:r>
            <w:proofErr w:type="spellStart"/>
            <w:r w:rsidRPr="00C74C27">
              <w:rPr>
                <w:rFonts w:eastAsia="Calibri" w:cs="Times New Roman"/>
                <w:b/>
                <w:bCs/>
                <w:i/>
                <w:iCs/>
                <w:sz w:val="20"/>
                <w:szCs w:val="20"/>
              </w:rPr>
              <w:t>euro</w:t>
            </w:r>
            <w:proofErr w:type="spellEnd"/>
          </w:p>
        </w:tc>
        <w:tc>
          <w:tcPr>
            <w:tcW w:w="1063" w:type="dxa"/>
            <w:tcBorders>
              <w:top w:val="single" w:sz="4" w:space="0" w:color="auto"/>
              <w:left w:val="nil"/>
              <w:bottom w:val="single" w:sz="4" w:space="0" w:color="auto"/>
              <w:right w:val="single" w:sz="4" w:space="0" w:color="auto"/>
            </w:tcBorders>
            <w:shd w:val="clear" w:color="auto" w:fill="9CC2E5"/>
            <w:noWrap/>
            <w:vAlign w:val="center"/>
            <w:hideMark/>
          </w:tcPr>
          <w:p w14:paraId="11BF3431"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Izmaiņas, %</w:t>
            </w:r>
          </w:p>
        </w:tc>
        <w:tc>
          <w:tcPr>
            <w:tcW w:w="1063" w:type="dxa"/>
            <w:tcBorders>
              <w:top w:val="single" w:sz="4" w:space="0" w:color="auto"/>
              <w:left w:val="nil"/>
              <w:bottom w:val="single" w:sz="4" w:space="0" w:color="auto"/>
              <w:right w:val="single" w:sz="4" w:space="0" w:color="auto"/>
            </w:tcBorders>
            <w:shd w:val="clear" w:color="auto" w:fill="9CC2E5"/>
            <w:noWrap/>
            <w:vAlign w:val="center"/>
            <w:hideMark/>
          </w:tcPr>
          <w:p w14:paraId="6F41EBFA"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 xml:space="preserve">Izmaiņas, milj. </w:t>
            </w:r>
            <w:proofErr w:type="spellStart"/>
            <w:r w:rsidRPr="00C74C27">
              <w:rPr>
                <w:rFonts w:eastAsia="Times New Roman" w:cs="Times New Roman"/>
                <w:b/>
                <w:bCs/>
                <w:i/>
                <w:iCs/>
                <w:color w:val="000000"/>
                <w:sz w:val="20"/>
                <w:szCs w:val="20"/>
              </w:rPr>
              <w:t>euro</w:t>
            </w:r>
            <w:proofErr w:type="spellEnd"/>
          </w:p>
        </w:tc>
        <w:tc>
          <w:tcPr>
            <w:tcW w:w="1063" w:type="dxa"/>
            <w:tcBorders>
              <w:top w:val="single" w:sz="4" w:space="0" w:color="auto"/>
              <w:left w:val="nil"/>
              <w:bottom w:val="single" w:sz="4" w:space="0" w:color="auto"/>
              <w:right w:val="single" w:sz="4" w:space="0" w:color="auto"/>
            </w:tcBorders>
            <w:shd w:val="clear" w:color="auto" w:fill="9CC2E5"/>
            <w:vAlign w:val="center"/>
            <w:hideMark/>
          </w:tcPr>
          <w:p w14:paraId="4F06CE28"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 xml:space="preserve">Devums izaugsmē, </w:t>
            </w:r>
            <w:proofErr w:type="spellStart"/>
            <w:r w:rsidRPr="00C74C27">
              <w:rPr>
                <w:rFonts w:eastAsia="Times New Roman" w:cs="Times New Roman"/>
                <w:b/>
                <w:bCs/>
                <w:color w:val="000000"/>
                <w:sz w:val="20"/>
                <w:szCs w:val="20"/>
              </w:rPr>
              <w:t>pp</w:t>
            </w:r>
            <w:proofErr w:type="spellEnd"/>
          </w:p>
        </w:tc>
        <w:tc>
          <w:tcPr>
            <w:tcW w:w="1064" w:type="dxa"/>
            <w:tcBorders>
              <w:top w:val="single" w:sz="4" w:space="0" w:color="auto"/>
              <w:left w:val="nil"/>
              <w:bottom w:val="single" w:sz="4" w:space="0" w:color="auto"/>
              <w:right w:val="single" w:sz="4" w:space="0" w:color="auto"/>
            </w:tcBorders>
            <w:shd w:val="clear" w:color="auto" w:fill="9CC2E5"/>
            <w:vAlign w:val="center"/>
            <w:hideMark/>
          </w:tcPr>
          <w:p w14:paraId="531FA394" w14:textId="77777777" w:rsidR="00C74C27" w:rsidRPr="00C74C27" w:rsidRDefault="00C74C27" w:rsidP="00C74C27">
            <w:pPr>
              <w:spacing w:after="0"/>
              <w:ind w:firstLine="0"/>
              <w:jc w:val="center"/>
              <w:rPr>
                <w:rFonts w:eastAsia="Times New Roman" w:cs="Times New Roman"/>
                <w:b/>
                <w:bCs/>
                <w:color w:val="000000"/>
                <w:sz w:val="20"/>
                <w:szCs w:val="20"/>
              </w:rPr>
            </w:pPr>
            <w:proofErr w:type="spellStart"/>
            <w:r w:rsidRPr="00C74C27">
              <w:rPr>
                <w:rFonts w:eastAsia="Times New Roman" w:cs="Times New Roman"/>
                <w:b/>
                <w:bCs/>
                <w:color w:val="000000"/>
                <w:sz w:val="20"/>
                <w:szCs w:val="20"/>
              </w:rPr>
              <w:t>Īpat</w:t>
            </w:r>
            <w:proofErr w:type="spellEnd"/>
            <w:r w:rsidRPr="00C74C27">
              <w:rPr>
                <w:rFonts w:eastAsia="Times New Roman" w:cs="Times New Roman"/>
                <w:b/>
                <w:bCs/>
                <w:color w:val="000000"/>
                <w:sz w:val="20"/>
                <w:szCs w:val="20"/>
              </w:rPr>
              <w:t>-svars, %</w:t>
            </w:r>
          </w:p>
        </w:tc>
      </w:tr>
      <w:tr w:rsidR="00C74C27" w:rsidRPr="00C74C27" w14:paraId="2C72708A"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69B60835"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Mehānismi un ierīces, t.sk. elektroierīces</w:t>
            </w:r>
          </w:p>
        </w:tc>
        <w:tc>
          <w:tcPr>
            <w:tcW w:w="1063" w:type="dxa"/>
            <w:tcBorders>
              <w:top w:val="nil"/>
              <w:left w:val="nil"/>
              <w:bottom w:val="single" w:sz="4" w:space="0" w:color="auto"/>
              <w:right w:val="single" w:sz="4" w:space="0" w:color="auto"/>
            </w:tcBorders>
            <w:shd w:val="clear" w:color="auto" w:fill="auto"/>
            <w:noWrap/>
            <w:vAlign w:val="center"/>
            <w:hideMark/>
          </w:tcPr>
          <w:p w14:paraId="0765BE5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2508</w:t>
            </w:r>
          </w:p>
        </w:tc>
        <w:tc>
          <w:tcPr>
            <w:tcW w:w="1063" w:type="dxa"/>
            <w:tcBorders>
              <w:top w:val="nil"/>
              <w:left w:val="nil"/>
              <w:bottom w:val="single" w:sz="4" w:space="0" w:color="auto"/>
              <w:right w:val="single" w:sz="4" w:space="0" w:color="auto"/>
            </w:tcBorders>
            <w:shd w:val="clear" w:color="auto" w:fill="auto"/>
            <w:noWrap/>
            <w:vAlign w:val="center"/>
            <w:hideMark/>
          </w:tcPr>
          <w:p w14:paraId="65439DF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2625</w:t>
            </w:r>
          </w:p>
        </w:tc>
        <w:tc>
          <w:tcPr>
            <w:tcW w:w="1063" w:type="dxa"/>
            <w:tcBorders>
              <w:top w:val="nil"/>
              <w:left w:val="nil"/>
              <w:bottom w:val="single" w:sz="4" w:space="0" w:color="auto"/>
              <w:right w:val="single" w:sz="4" w:space="0" w:color="auto"/>
            </w:tcBorders>
            <w:shd w:val="clear" w:color="auto" w:fill="auto"/>
            <w:noWrap/>
            <w:vAlign w:val="center"/>
            <w:hideMark/>
          </w:tcPr>
          <w:p w14:paraId="6E10EE51"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4,7%</w:t>
            </w:r>
          </w:p>
        </w:tc>
        <w:tc>
          <w:tcPr>
            <w:tcW w:w="1063" w:type="dxa"/>
            <w:tcBorders>
              <w:top w:val="nil"/>
              <w:left w:val="nil"/>
              <w:bottom w:val="single" w:sz="4" w:space="0" w:color="auto"/>
              <w:right w:val="single" w:sz="4" w:space="0" w:color="auto"/>
            </w:tcBorders>
            <w:shd w:val="clear" w:color="auto" w:fill="auto"/>
            <w:noWrap/>
            <w:vAlign w:val="center"/>
            <w:hideMark/>
          </w:tcPr>
          <w:p w14:paraId="1A93797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117</w:t>
            </w:r>
          </w:p>
        </w:tc>
        <w:tc>
          <w:tcPr>
            <w:tcW w:w="1063" w:type="dxa"/>
            <w:tcBorders>
              <w:top w:val="nil"/>
              <w:left w:val="nil"/>
              <w:bottom w:val="single" w:sz="4" w:space="0" w:color="auto"/>
              <w:right w:val="single" w:sz="4" w:space="0" w:color="auto"/>
            </w:tcBorders>
            <w:shd w:val="clear" w:color="auto" w:fill="auto"/>
            <w:noWrap/>
            <w:vAlign w:val="center"/>
            <w:hideMark/>
          </w:tcPr>
          <w:p w14:paraId="26A85EC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0,8</w:t>
            </w:r>
          </w:p>
        </w:tc>
        <w:tc>
          <w:tcPr>
            <w:tcW w:w="1064" w:type="dxa"/>
            <w:tcBorders>
              <w:top w:val="nil"/>
              <w:left w:val="nil"/>
              <w:bottom w:val="single" w:sz="4" w:space="0" w:color="auto"/>
              <w:right w:val="single" w:sz="4" w:space="0" w:color="auto"/>
            </w:tcBorders>
            <w:shd w:val="clear" w:color="auto" w:fill="auto"/>
            <w:noWrap/>
            <w:vAlign w:val="center"/>
            <w:hideMark/>
          </w:tcPr>
          <w:p w14:paraId="244955EF"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19,4</w:t>
            </w:r>
          </w:p>
        </w:tc>
      </w:tr>
      <w:tr w:rsidR="00C74C27" w:rsidRPr="00C74C27" w14:paraId="38A91786"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3D54393F"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Lauksaimniecības preces un pārtika</w:t>
            </w:r>
          </w:p>
        </w:tc>
        <w:tc>
          <w:tcPr>
            <w:tcW w:w="1063" w:type="dxa"/>
            <w:tcBorders>
              <w:top w:val="nil"/>
              <w:left w:val="nil"/>
              <w:bottom w:val="single" w:sz="4" w:space="0" w:color="auto"/>
              <w:right w:val="single" w:sz="4" w:space="0" w:color="auto"/>
            </w:tcBorders>
            <w:shd w:val="clear" w:color="auto" w:fill="auto"/>
            <w:noWrap/>
            <w:vAlign w:val="center"/>
            <w:hideMark/>
          </w:tcPr>
          <w:p w14:paraId="6324FAEE"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2139</w:t>
            </w:r>
          </w:p>
        </w:tc>
        <w:tc>
          <w:tcPr>
            <w:tcW w:w="1063" w:type="dxa"/>
            <w:tcBorders>
              <w:top w:val="nil"/>
              <w:left w:val="nil"/>
              <w:bottom w:val="single" w:sz="4" w:space="0" w:color="auto"/>
              <w:right w:val="single" w:sz="4" w:space="0" w:color="auto"/>
            </w:tcBorders>
            <w:shd w:val="clear" w:color="auto" w:fill="auto"/>
            <w:noWrap/>
            <w:vAlign w:val="center"/>
            <w:hideMark/>
          </w:tcPr>
          <w:p w14:paraId="1CBB5C8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2562</w:t>
            </w:r>
          </w:p>
        </w:tc>
        <w:tc>
          <w:tcPr>
            <w:tcW w:w="1063" w:type="dxa"/>
            <w:tcBorders>
              <w:top w:val="nil"/>
              <w:left w:val="nil"/>
              <w:bottom w:val="single" w:sz="4" w:space="0" w:color="auto"/>
              <w:right w:val="single" w:sz="4" w:space="0" w:color="auto"/>
            </w:tcBorders>
            <w:shd w:val="clear" w:color="auto" w:fill="auto"/>
            <w:noWrap/>
            <w:vAlign w:val="center"/>
            <w:hideMark/>
          </w:tcPr>
          <w:p w14:paraId="5AD92EE9"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19,8%</w:t>
            </w:r>
          </w:p>
        </w:tc>
        <w:tc>
          <w:tcPr>
            <w:tcW w:w="1063" w:type="dxa"/>
            <w:tcBorders>
              <w:top w:val="nil"/>
              <w:left w:val="nil"/>
              <w:bottom w:val="single" w:sz="4" w:space="0" w:color="auto"/>
              <w:right w:val="single" w:sz="4" w:space="0" w:color="auto"/>
            </w:tcBorders>
            <w:shd w:val="clear" w:color="auto" w:fill="auto"/>
            <w:noWrap/>
            <w:vAlign w:val="center"/>
            <w:hideMark/>
          </w:tcPr>
          <w:p w14:paraId="58E97D41"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423</w:t>
            </w:r>
          </w:p>
        </w:tc>
        <w:tc>
          <w:tcPr>
            <w:tcW w:w="1063" w:type="dxa"/>
            <w:tcBorders>
              <w:top w:val="nil"/>
              <w:left w:val="nil"/>
              <w:bottom w:val="single" w:sz="4" w:space="0" w:color="auto"/>
              <w:right w:val="single" w:sz="4" w:space="0" w:color="auto"/>
            </w:tcBorders>
            <w:shd w:val="clear" w:color="auto" w:fill="auto"/>
            <w:noWrap/>
            <w:vAlign w:val="center"/>
            <w:hideMark/>
          </w:tcPr>
          <w:p w14:paraId="107713F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2,9</w:t>
            </w:r>
          </w:p>
        </w:tc>
        <w:tc>
          <w:tcPr>
            <w:tcW w:w="1064" w:type="dxa"/>
            <w:tcBorders>
              <w:top w:val="nil"/>
              <w:left w:val="nil"/>
              <w:bottom w:val="single" w:sz="4" w:space="0" w:color="auto"/>
              <w:right w:val="single" w:sz="4" w:space="0" w:color="auto"/>
            </w:tcBorders>
            <w:shd w:val="clear" w:color="auto" w:fill="auto"/>
            <w:noWrap/>
            <w:vAlign w:val="center"/>
            <w:hideMark/>
          </w:tcPr>
          <w:p w14:paraId="4344923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18,9</w:t>
            </w:r>
          </w:p>
        </w:tc>
      </w:tr>
      <w:tr w:rsidR="00C74C27" w:rsidRPr="00C74C27" w14:paraId="13E9DBE3"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49F85296"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 xml:space="preserve">Satiksmes līdzekļi </w:t>
            </w:r>
          </w:p>
        </w:tc>
        <w:tc>
          <w:tcPr>
            <w:tcW w:w="1063" w:type="dxa"/>
            <w:tcBorders>
              <w:top w:val="nil"/>
              <w:left w:val="nil"/>
              <w:bottom w:val="single" w:sz="4" w:space="0" w:color="auto"/>
              <w:right w:val="single" w:sz="4" w:space="0" w:color="auto"/>
            </w:tcBorders>
            <w:shd w:val="clear" w:color="auto" w:fill="auto"/>
            <w:noWrap/>
            <w:vAlign w:val="center"/>
            <w:hideMark/>
          </w:tcPr>
          <w:p w14:paraId="56851557"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1452</w:t>
            </w:r>
          </w:p>
        </w:tc>
        <w:tc>
          <w:tcPr>
            <w:tcW w:w="1063" w:type="dxa"/>
            <w:tcBorders>
              <w:top w:val="nil"/>
              <w:left w:val="nil"/>
              <w:bottom w:val="single" w:sz="4" w:space="0" w:color="auto"/>
              <w:right w:val="single" w:sz="4" w:space="0" w:color="auto"/>
            </w:tcBorders>
            <w:shd w:val="clear" w:color="auto" w:fill="auto"/>
            <w:noWrap/>
            <w:vAlign w:val="center"/>
            <w:hideMark/>
          </w:tcPr>
          <w:p w14:paraId="4A908412"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1707</w:t>
            </w:r>
          </w:p>
        </w:tc>
        <w:tc>
          <w:tcPr>
            <w:tcW w:w="1063" w:type="dxa"/>
            <w:tcBorders>
              <w:top w:val="nil"/>
              <w:left w:val="nil"/>
              <w:bottom w:val="single" w:sz="4" w:space="0" w:color="auto"/>
              <w:right w:val="single" w:sz="4" w:space="0" w:color="auto"/>
            </w:tcBorders>
            <w:shd w:val="clear" w:color="auto" w:fill="auto"/>
            <w:noWrap/>
            <w:vAlign w:val="center"/>
            <w:hideMark/>
          </w:tcPr>
          <w:p w14:paraId="25277BBC"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17,5%</w:t>
            </w:r>
          </w:p>
        </w:tc>
        <w:tc>
          <w:tcPr>
            <w:tcW w:w="1063" w:type="dxa"/>
            <w:tcBorders>
              <w:top w:val="nil"/>
              <w:left w:val="nil"/>
              <w:bottom w:val="single" w:sz="4" w:space="0" w:color="auto"/>
              <w:right w:val="single" w:sz="4" w:space="0" w:color="auto"/>
            </w:tcBorders>
            <w:shd w:val="clear" w:color="auto" w:fill="auto"/>
            <w:noWrap/>
            <w:vAlign w:val="center"/>
            <w:hideMark/>
          </w:tcPr>
          <w:p w14:paraId="76C2A2E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255</w:t>
            </w:r>
          </w:p>
        </w:tc>
        <w:tc>
          <w:tcPr>
            <w:tcW w:w="1063" w:type="dxa"/>
            <w:tcBorders>
              <w:top w:val="nil"/>
              <w:left w:val="nil"/>
              <w:bottom w:val="single" w:sz="4" w:space="0" w:color="auto"/>
              <w:right w:val="single" w:sz="4" w:space="0" w:color="auto"/>
            </w:tcBorders>
            <w:shd w:val="clear" w:color="auto" w:fill="auto"/>
            <w:noWrap/>
            <w:vAlign w:val="center"/>
            <w:hideMark/>
          </w:tcPr>
          <w:p w14:paraId="23F150D1"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1,8</w:t>
            </w:r>
          </w:p>
        </w:tc>
        <w:tc>
          <w:tcPr>
            <w:tcW w:w="1064" w:type="dxa"/>
            <w:tcBorders>
              <w:top w:val="nil"/>
              <w:left w:val="nil"/>
              <w:bottom w:val="single" w:sz="4" w:space="0" w:color="auto"/>
              <w:right w:val="single" w:sz="4" w:space="0" w:color="auto"/>
            </w:tcBorders>
            <w:shd w:val="clear" w:color="auto" w:fill="auto"/>
            <w:noWrap/>
            <w:vAlign w:val="center"/>
            <w:hideMark/>
          </w:tcPr>
          <w:p w14:paraId="7BB618FF"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12,6</w:t>
            </w:r>
          </w:p>
        </w:tc>
      </w:tr>
      <w:tr w:rsidR="00C74C27" w:rsidRPr="00C74C27" w14:paraId="69BEA0A2"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DA540A6" w14:textId="77777777" w:rsidR="00C74C27" w:rsidRPr="00C74C27" w:rsidRDefault="00C74C27" w:rsidP="00C74C27">
            <w:pPr>
              <w:spacing w:after="0"/>
              <w:ind w:firstLine="0"/>
              <w:jc w:val="left"/>
              <w:rPr>
                <w:rFonts w:eastAsia="Times New Roman" w:cs="Times New Roman"/>
                <w:color w:val="000000"/>
                <w:sz w:val="20"/>
                <w:szCs w:val="20"/>
              </w:rPr>
            </w:pPr>
            <w:proofErr w:type="spellStart"/>
            <w:r w:rsidRPr="00C74C27">
              <w:rPr>
                <w:rFonts w:eastAsia="Times New Roman" w:cs="Times New Roman"/>
                <w:color w:val="000000"/>
                <w:sz w:val="20"/>
                <w:szCs w:val="20"/>
              </w:rPr>
              <w:t>Minerālprodukti</w:t>
            </w:r>
            <w:proofErr w:type="spellEnd"/>
          </w:p>
        </w:tc>
        <w:tc>
          <w:tcPr>
            <w:tcW w:w="1063" w:type="dxa"/>
            <w:tcBorders>
              <w:top w:val="nil"/>
              <w:left w:val="nil"/>
              <w:bottom w:val="single" w:sz="4" w:space="0" w:color="auto"/>
              <w:right w:val="single" w:sz="4" w:space="0" w:color="auto"/>
            </w:tcBorders>
            <w:shd w:val="clear" w:color="auto" w:fill="auto"/>
            <w:noWrap/>
            <w:vAlign w:val="center"/>
            <w:hideMark/>
          </w:tcPr>
          <w:p w14:paraId="17ADE817"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2585</w:t>
            </w:r>
          </w:p>
        </w:tc>
        <w:tc>
          <w:tcPr>
            <w:tcW w:w="1063" w:type="dxa"/>
            <w:tcBorders>
              <w:top w:val="nil"/>
              <w:left w:val="nil"/>
              <w:bottom w:val="single" w:sz="4" w:space="0" w:color="auto"/>
              <w:right w:val="single" w:sz="4" w:space="0" w:color="auto"/>
            </w:tcBorders>
            <w:shd w:val="clear" w:color="auto" w:fill="auto"/>
            <w:noWrap/>
            <w:vAlign w:val="center"/>
            <w:hideMark/>
          </w:tcPr>
          <w:p w14:paraId="05AD6E49"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1652</w:t>
            </w:r>
          </w:p>
        </w:tc>
        <w:tc>
          <w:tcPr>
            <w:tcW w:w="1063" w:type="dxa"/>
            <w:tcBorders>
              <w:top w:val="nil"/>
              <w:left w:val="nil"/>
              <w:bottom w:val="single" w:sz="4" w:space="0" w:color="auto"/>
              <w:right w:val="single" w:sz="4" w:space="0" w:color="auto"/>
            </w:tcBorders>
            <w:shd w:val="clear" w:color="auto" w:fill="auto"/>
            <w:noWrap/>
            <w:vAlign w:val="center"/>
            <w:hideMark/>
          </w:tcPr>
          <w:p w14:paraId="696C954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-36,1%</w:t>
            </w:r>
          </w:p>
        </w:tc>
        <w:tc>
          <w:tcPr>
            <w:tcW w:w="1063" w:type="dxa"/>
            <w:tcBorders>
              <w:top w:val="nil"/>
              <w:left w:val="nil"/>
              <w:bottom w:val="single" w:sz="4" w:space="0" w:color="auto"/>
              <w:right w:val="single" w:sz="4" w:space="0" w:color="auto"/>
            </w:tcBorders>
            <w:shd w:val="clear" w:color="auto" w:fill="auto"/>
            <w:noWrap/>
            <w:vAlign w:val="center"/>
            <w:hideMark/>
          </w:tcPr>
          <w:p w14:paraId="05A7857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-933</w:t>
            </w:r>
          </w:p>
        </w:tc>
        <w:tc>
          <w:tcPr>
            <w:tcW w:w="1063" w:type="dxa"/>
            <w:tcBorders>
              <w:top w:val="nil"/>
              <w:left w:val="nil"/>
              <w:bottom w:val="single" w:sz="4" w:space="0" w:color="auto"/>
              <w:right w:val="single" w:sz="4" w:space="0" w:color="auto"/>
            </w:tcBorders>
            <w:shd w:val="clear" w:color="auto" w:fill="auto"/>
            <w:noWrap/>
            <w:vAlign w:val="center"/>
            <w:hideMark/>
          </w:tcPr>
          <w:p w14:paraId="06B7A9F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-6,4</w:t>
            </w:r>
          </w:p>
        </w:tc>
        <w:tc>
          <w:tcPr>
            <w:tcW w:w="1064" w:type="dxa"/>
            <w:tcBorders>
              <w:top w:val="nil"/>
              <w:left w:val="nil"/>
              <w:bottom w:val="single" w:sz="4" w:space="0" w:color="auto"/>
              <w:right w:val="single" w:sz="4" w:space="0" w:color="auto"/>
            </w:tcBorders>
            <w:shd w:val="clear" w:color="auto" w:fill="auto"/>
            <w:noWrap/>
            <w:vAlign w:val="center"/>
            <w:hideMark/>
          </w:tcPr>
          <w:p w14:paraId="4F00B8CE"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12,2</w:t>
            </w:r>
          </w:p>
        </w:tc>
      </w:tr>
      <w:tr w:rsidR="00C74C27" w:rsidRPr="00C74C27" w14:paraId="3D65EC2A"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512552F9"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Ķīmiskās rūpniecības ražojumi</w:t>
            </w:r>
          </w:p>
        </w:tc>
        <w:tc>
          <w:tcPr>
            <w:tcW w:w="1063" w:type="dxa"/>
            <w:tcBorders>
              <w:top w:val="nil"/>
              <w:left w:val="nil"/>
              <w:bottom w:val="single" w:sz="4" w:space="0" w:color="auto"/>
              <w:right w:val="single" w:sz="4" w:space="0" w:color="auto"/>
            </w:tcBorders>
            <w:shd w:val="clear" w:color="auto" w:fill="auto"/>
            <w:noWrap/>
            <w:vAlign w:val="center"/>
            <w:hideMark/>
          </w:tcPr>
          <w:p w14:paraId="1FECF86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1530</w:t>
            </w:r>
          </w:p>
        </w:tc>
        <w:tc>
          <w:tcPr>
            <w:tcW w:w="1063" w:type="dxa"/>
            <w:tcBorders>
              <w:top w:val="nil"/>
              <w:left w:val="nil"/>
              <w:bottom w:val="single" w:sz="4" w:space="0" w:color="auto"/>
              <w:right w:val="single" w:sz="4" w:space="0" w:color="auto"/>
            </w:tcBorders>
            <w:shd w:val="clear" w:color="auto" w:fill="auto"/>
            <w:noWrap/>
            <w:vAlign w:val="center"/>
            <w:hideMark/>
          </w:tcPr>
          <w:p w14:paraId="6102F22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1393</w:t>
            </w:r>
          </w:p>
        </w:tc>
        <w:tc>
          <w:tcPr>
            <w:tcW w:w="1063" w:type="dxa"/>
            <w:tcBorders>
              <w:top w:val="nil"/>
              <w:left w:val="nil"/>
              <w:bottom w:val="single" w:sz="4" w:space="0" w:color="auto"/>
              <w:right w:val="single" w:sz="4" w:space="0" w:color="auto"/>
            </w:tcBorders>
            <w:shd w:val="clear" w:color="auto" w:fill="auto"/>
            <w:noWrap/>
            <w:vAlign w:val="center"/>
            <w:hideMark/>
          </w:tcPr>
          <w:p w14:paraId="4911388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-9,0%</w:t>
            </w:r>
          </w:p>
        </w:tc>
        <w:tc>
          <w:tcPr>
            <w:tcW w:w="1063" w:type="dxa"/>
            <w:tcBorders>
              <w:top w:val="nil"/>
              <w:left w:val="nil"/>
              <w:bottom w:val="single" w:sz="4" w:space="0" w:color="auto"/>
              <w:right w:val="single" w:sz="4" w:space="0" w:color="auto"/>
            </w:tcBorders>
            <w:shd w:val="clear" w:color="auto" w:fill="auto"/>
            <w:noWrap/>
            <w:vAlign w:val="center"/>
            <w:hideMark/>
          </w:tcPr>
          <w:p w14:paraId="34B29C3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-137</w:t>
            </w:r>
          </w:p>
        </w:tc>
        <w:tc>
          <w:tcPr>
            <w:tcW w:w="1063" w:type="dxa"/>
            <w:tcBorders>
              <w:top w:val="nil"/>
              <w:left w:val="nil"/>
              <w:bottom w:val="single" w:sz="4" w:space="0" w:color="auto"/>
              <w:right w:val="single" w:sz="4" w:space="0" w:color="auto"/>
            </w:tcBorders>
            <w:shd w:val="clear" w:color="auto" w:fill="auto"/>
            <w:noWrap/>
            <w:vAlign w:val="center"/>
            <w:hideMark/>
          </w:tcPr>
          <w:p w14:paraId="43209A0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-0,9</w:t>
            </w:r>
          </w:p>
        </w:tc>
        <w:tc>
          <w:tcPr>
            <w:tcW w:w="1064" w:type="dxa"/>
            <w:tcBorders>
              <w:top w:val="nil"/>
              <w:left w:val="nil"/>
              <w:bottom w:val="single" w:sz="4" w:space="0" w:color="auto"/>
              <w:right w:val="single" w:sz="4" w:space="0" w:color="auto"/>
            </w:tcBorders>
            <w:shd w:val="clear" w:color="auto" w:fill="auto"/>
            <w:noWrap/>
            <w:vAlign w:val="center"/>
            <w:hideMark/>
          </w:tcPr>
          <w:p w14:paraId="54C24F3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10,3</w:t>
            </w:r>
          </w:p>
        </w:tc>
      </w:tr>
      <w:tr w:rsidR="00C74C27" w:rsidRPr="00C74C27" w14:paraId="38B3B645"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0A21D26A"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Metāli un to izstrādājumi</w:t>
            </w:r>
          </w:p>
        </w:tc>
        <w:tc>
          <w:tcPr>
            <w:tcW w:w="1063" w:type="dxa"/>
            <w:tcBorders>
              <w:top w:val="nil"/>
              <w:left w:val="nil"/>
              <w:bottom w:val="single" w:sz="4" w:space="0" w:color="auto"/>
              <w:right w:val="single" w:sz="4" w:space="0" w:color="auto"/>
            </w:tcBorders>
            <w:shd w:val="clear" w:color="auto" w:fill="auto"/>
            <w:noWrap/>
            <w:vAlign w:val="center"/>
            <w:hideMark/>
          </w:tcPr>
          <w:p w14:paraId="4E91E71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1147</w:t>
            </w:r>
          </w:p>
        </w:tc>
        <w:tc>
          <w:tcPr>
            <w:tcW w:w="1063" w:type="dxa"/>
            <w:tcBorders>
              <w:top w:val="nil"/>
              <w:left w:val="nil"/>
              <w:bottom w:val="single" w:sz="4" w:space="0" w:color="auto"/>
              <w:right w:val="single" w:sz="4" w:space="0" w:color="auto"/>
            </w:tcBorders>
            <w:shd w:val="clear" w:color="auto" w:fill="auto"/>
            <w:noWrap/>
            <w:vAlign w:val="center"/>
            <w:hideMark/>
          </w:tcPr>
          <w:p w14:paraId="4E5BABEF"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873</w:t>
            </w:r>
          </w:p>
        </w:tc>
        <w:tc>
          <w:tcPr>
            <w:tcW w:w="1063" w:type="dxa"/>
            <w:tcBorders>
              <w:top w:val="nil"/>
              <w:left w:val="nil"/>
              <w:bottom w:val="single" w:sz="4" w:space="0" w:color="auto"/>
              <w:right w:val="single" w:sz="4" w:space="0" w:color="auto"/>
            </w:tcBorders>
            <w:shd w:val="clear" w:color="auto" w:fill="auto"/>
            <w:noWrap/>
            <w:vAlign w:val="center"/>
            <w:hideMark/>
          </w:tcPr>
          <w:p w14:paraId="2DDFC159"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-23,9%</w:t>
            </w:r>
          </w:p>
        </w:tc>
        <w:tc>
          <w:tcPr>
            <w:tcW w:w="1063" w:type="dxa"/>
            <w:tcBorders>
              <w:top w:val="nil"/>
              <w:left w:val="nil"/>
              <w:bottom w:val="single" w:sz="4" w:space="0" w:color="auto"/>
              <w:right w:val="single" w:sz="4" w:space="0" w:color="auto"/>
            </w:tcBorders>
            <w:shd w:val="clear" w:color="auto" w:fill="auto"/>
            <w:noWrap/>
            <w:vAlign w:val="center"/>
            <w:hideMark/>
          </w:tcPr>
          <w:p w14:paraId="7C093EC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-274</w:t>
            </w:r>
          </w:p>
        </w:tc>
        <w:tc>
          <w:tcPr>
            <w:tcW w:w="1063" w:type="dxa"/>
            <w:tcBorders>
              <w:top w:val="nil"/>
              <w:left w:val="nil"/>
              <w:bottom w:val="single" w:sz="4" w:space="0" w:color="auto"/>
              <w:right w:val="single" w:sz="4" w:space="0" w:color="auto"/>
            </w:tcBorders>
            <w:shd w:val="clear" w:color="auto" w:fill="auto"/>
            <w:noWrap/>
            <w:vAlign w:val="center"/>
            <w:hideMark/>
          </w:tcPr>
          <w:p w14:paraId="09BA7B7E"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-1,9</w:t>
            </w:r>
          </w:p>
        </w:tc>
        <w:tc>
          <w:tcPr>
            <w:tcW w:w="1064" w:type="dxa"/>
            <w:tcBorders>
              <w:top w:val="nil"/>
              <w:left w:val="nil"/>
              <w:bottom w:val="single" w:sz="4" w:space="0" w:color="auto"/>
              <w:right w:val="single" w:sz="4" w:space="0" w:color="auto"/>
            </w:tcBorders>
            <w:shd w:val="clear" w:color="auto" w:fill="auto"/>
            <w:noWrap/>
            <w:vAlign w:val="center"/>
            <w:hideMark/>
          </w:tcPr>
          <w:p w14:paraId="5220359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6,4</w:t>
            </w:r>
          </w:p>
        </w:tc>
      </w:tr>
      <w:tr w:rsidR="00C74C27" w:rsidRPr="00C74C27" w14:paraId="5ADD1AD2"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6164508D"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Plastmasas, kaučuks un to izstrādājumi</w:t>
            </w:r>
          </w:p>
        </w:tc>
        <w:tc>
          <w:tcPr>
            <w:tcW w:w="1063" w:type="dxa"/>
            <w:tcBorders>
              <w:top w:val="nil"/>
              <w:left w:val="nil"/>
              <w:bottom w:val="single" w:sz="4" w:space="0" w:color="auto"/>
              <w:right w:val="single" w:sz="4" w:space="0" w:color="auto"/>
            </w:tcBorders>
            <w:shd w:val="clear" w:color="auto" w:fill="auto"/>
            <w:noWrap/>
            <w:vAlign w:val="center"/>
            <w:hideMark/>
          </w:tcPr>
          <w:p w14:paraId="6073291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786</w:t>
            </w:r>
          </w:p>
        </w:tc>
        <w:tc>
          <w:tcPr>
            <w:tcW w:w="1063" w:type="dxa"/>
            <w:tcBorders>
              <w:top w:val="nil"/>
              <w:left w:val="nil"/>
              <w:bottom w:val="single" w:sz="4" w:space="0" w:color="auto"/>
              <w:right w:val="single" w:sz="4" w:space="0" w:color="auto"/>
            </w:tcBorders>
            <w:shd w:val="clear" w:color="auto" w:fill="auto"/>
            <w:noWrap/>
            <w:vAlign w:val="center"/>
            <w:hideMark/>
          </w:tcPr>
          <w:p w14:paraId="3CFCE2A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678</w:t>
            </w:r>
          </w:p>
        </w:tc>
        <w:tc>
          <w:tcPr>
            <w:tcW w:w="1063" w:type="dxa"/>
            <w:tcBorders>
              <w:top w:val="nil"/>
              <w:left w:val="nil"/>
              <w:bottom w:val="single" w:sz="4" w:space="0" w:color="auto"/>
              <w:right w:val="single" w:sz="4" w:space="0" w:color="auto"/>
            </w:tcBorders>
            <w:shd w:val="clear" w:color="auto" w:fill="auto"/>
            <w:noWrap/>
            <w:vAlign w:val="center"/>
            <w:hideMark/>
          </w:tcPr>
          <w:p w14:paraId="4C8EEA98"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-13,7%</w:t>
            </w:r>
          </w:p>
        </w:tc>
        <w:tc>
          <w:tcPr>
            <w:tcW w:w="1063" w:type="dxa"/>
            <w:tcBorders>
              <w:top w:val="nil"/>
              <w:left w:val="nil"/>
              <w:bottom w:val="single" w:sz="4" w:space="0" w:color="auto"/>
              <w:right w:val="single" w:sz="4" w:space="0" w:color="auto"/>
            </w:tcBorders>
            <w:shd w:val="clear" w:color="auto" w:fill="auto"/>
            <w:noWrap/>
            <w:vAlign w:val="center"/>
            <w:hideMark/>
          </w:tcPr>
          <w:p w14:paraId="21CA9439"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-108</w:t>
            </w:r>
          </w:p>
        </w:tc>
        <w:tc>
          <w:tcPr>
            <w:tcW w:w="1063" w:type="dxa"/>
            <w:tcBorders>
              <w:top w:val="nil"/>
              <w:left w:val="nil"/>
              <w:bottom w:val="single" w:sz="4" w:space="0" w:color="auto"/>
              <w:right w:val="single" w:sz="4" w:space="0" w:color="auto"/>
            </w:tcBorders>
            <w:shd w:val="clear" w:color="auto" w:fill="auto"/>
            <w:noWrap/>
            <w:vAlign w:val="center"/>
            <w:hideMark/>
          </w:tcPr>
          <w:p w14:paraId="73A521B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-0,7</w:t>
            </w:r>
          </w:p>
        </w:tc>
        <w:tc>
          <w:tcPr>
            <w:tcW w:w="1064" w:type="dxa"/>
            <w:tcBorders>
              <w:top w:val="nil"/>
              <w:left w:val="nil"/>
              <w:bottom w:val="single" w:sz="4" w:space="0" w:color="auto"/>
              <w:right w:val="single" w:sz="4" w:space="0" w:color="auto"/>
            </w:tcBorders>
            <w:shd w:val="clear" w:color="auto" w:fill="auto"/>
            <w:noWrap/>
            <w:vAlign w:val="center"/>
            <w:hideMark/>
          </w:tcPr>
          <w:p w14:paraId="210BC04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5,0</w:t>
            </w:r>
          </w:p>
        </w:tc>
      </w:tr>
      <w:tr w:rsidR="00C74C27" w:rsidRPr="00C74C27" w14:paraId="29805568"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6F5AC3C0"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Tekstilmateriāli un tekstilizstrādājumi</w:t>
            </w:r>
          </w:p>
        </w:tc>
        <w:tc>
          <w:tcPr>
            <w:tcW w:w="1063" w:type="dxa"/>
            <w:tcBorders>
              <w:top w:val="nil"/>
              <w:left w:val="nil"/>
              <w:bottom w:val="single" w:sz="4" w:space="0" w:color="auto"/>
              <w:right w:val="single" w:sz="4" w:space="0" w:color="auto"/>
            </w:tcBorders>
            <w:shd w:val="clear" w:color="auto" w:fill="auto"/>
            <w:noWrap/>
            <w:vAlign w:val="center"/>
            <w:hideMark/>
          </w:tcPr>
          <w:p w14:paraId="0814984F"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416</w:t>
            </w:r>
          </w:p>
        </w:tc>
        <w:tc>
          <w:tcPr>
            <w:tcW w:w="1063" w:type="dxa"/>
            <w:tcBorders>
              <w:top w:val="nil"/>
              <w:left w:val="nil"/>
              <w:bottom w:val="single" w:sz="4" w:space="0" w:color="auto"/>
              <w:right w:val="single" w:sz="4" w:space="0" w:color="auto"/>
            </w:tcBorders>
            <w:shd w:val="clear" w:color="auto" w:fill="auto"/>
            <w:noWrap/>
            <w:vAlign w:val="center"/>
            <w:hideMark/>
          </w:tcPr>
          <w:p w14:paraId="1923D669"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425</w:t>
            </w:r>
          </w:p>
        </w:tc>
        <w:tc>
          <w:tcPr>
            <w:tcW w:w="1063" w:type="dxa"/>
            <w:tcBorders>
              <w:top w:val="nil"/>
              <w:left w:val="nil"/>
              <w:bottom w:val="single" w:sz="4" w:space="0" w:color="auto"/>
              <w:right w:val="single" w:sz="4" w:space="0" w:color="auto"/>
            </w:tcBorders>
            <w:shd w:val="clear" w:color="auto" w:fill="auto"/>
            <w:noWrap/>
            <w:vAlign w:val="center"/>
            <w:hideMark/>
          </w:tcPr>
          <w:p w14:paraId="0EE5271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2,2%</w:t>
            </w:r>
          </w:p>
        </w:tc>
        <w:tc>
          <w:tcPr>
            <w:tcW w:w="1063" w:type="dxa"/>
            <w:tcBorders>
              <w:top w:val="nil"/>
              <w:left w:val="nil"/>
              <w:bottom w:val="single" w:sz="4" w:space="0" w:color="auto"/>
              <w:right w:val="single" w:sz="4" w:space="0" w:color="auto"/>
            </w:tcBorders>
            <w:shd w:val="clear" w:color="auto" w:fill="auto"/>
            <w:noWrap/>
            <w:vAlign w:val="center"/>
            <w:hideMark/>
          </w:tcPr>
          <w:p w14:paraId="0819E9B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9</w:t>
            </w:r>
          </w:p>
        </w:tc>
        <w:tc>
          <w:tcPr>
            <w:tcW w:w="1063" w:type="dxa"/>
            <w:tcBorders>
              <w:top w:val="nil"/>
              <w:left w:val="nil"/>
              <w:bottom w:val="single" w:sz="4" w:space="0" w:color="auto"/>
              <w:right w:val="single" w:sz="4" w:space="0" w:color="auto"/>
            </w:tcBorders>
            <w:shd w:val="clear" w:color="auto" w:fill="auto"/>
            <w:noWrap/>
            <w:vAlign w:val="center"/>
            <w:hideMark/>
          </w:tcPr>
          <w:p w14:paraId="6526C539"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0,1</w:t>
            </w:r>
          </w:p>
        </w:tc>
        <w:tc>
          <w:tcPr>
            <w:tcW w:w="1064" w:type="dxa"/>
            <w:tcBorders>
              <w:top w:val="nil"/>
              <w:left w:val="nil"/>
              <w:bottom w:val="single" w:sz="4" w:space="0" w:color="auto"/>
              <w:right w:val="single" w:sz="4" w:space="0" w:color="auto"/>
            </w:tcBorders>
            <w:shd w:val="clear" w:color="auto" w:fill="auto"/>
            <w:noWrap/>
            <w:vAlign w:val="center"/>
            <w:hideMark/>
          </w:tcPr>
          <w:p w14:paraId="1B691611"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3,1</w:t>
            </w:r>
          </w:p>
        </w:tc>
      </w:tr>
      <w:tr w:rsidR="00C74C27" w:rsidRPr="00C74C27" w14:paraId="10F5E79C"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3B593858"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Koks un koka izstrādājumi</w:t>
            </w:r>
          </w:p>
        </w:tc>
        <w:tc>
          <w:tcPr>
            <w:tcW w:w="1063" w:type="dxa"/>
            <w:tcBorders>
              <w:top w:val="nil"/>
              <w:left w:val="nil"/>
              <w:bottom w:val="single" w:sz="4" w:space="0" w:color="auto"/>
              <w:right w:val="single" w:sz="4" w:space="0" w:color="auto"/>
            </w:tcBorders>
            <w:shd w:val="clear" w:color="auto" w:fill="auto"/>
            <w:noWrap/>
            <w:vAlign w:val="center"/>
            <w:hideMark/>
          </w:tcPr>
          <w:p w14:paraId="68D35F55"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621</w:t>
            </w:r>
          </w:p>
        </w:tc>
        <w:tc>
          <w:tcPr>
            <w:tcW w:w="1063" w:type="dxa"/>
            <w:tcBorders>
              <w:top w:val="nil"/>
              <w:left w:val="nil"/>
              <w:bottom w:val="single" w:sz="4" w:space="0" w:color="auto"/>
              <w:right w:val="single" w:sz="4" w:space="0" w:color="auto"/>
            </w:tcBorders>
            <w:shd w:val="clear" w:color="auto" w:fill="auto"/>
            <w:noWrap/>
            <w:vAlign w:val="center"/>
            <w:hideMark/>
          </w:tcPr>
          <w:p w14:paraId="0FFD382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357</w:t>
            </w:r>
          </w:p>
        </w:tc>
        <w:tc>
          <w:tcPr>
            <w:tcW w:w="1063" w:type="dxa"/>
            <w:tcBorders>
              <w:top w:val="nil"/>
              <w:left w:val="nil"/>
              <w:bottom w:val="single" w:sz="4" w:space="0" w:color="auto"/>
              <w:right w:val="single" w:sz="4" w:space="0" w:color="auto"/>
            </w:tcBorders>
            <w:shd w:val="clear" w:color="auto" w:fill="auto"/>
            <w:noWrap/>
            <w:vAlign w:val="center"/>
            <w:hideMark/>
          </w:tcPr>
          <w:p w14:paraId="005F8503"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-42,6%</w:t>
            </w:r>
          </w:p>
        </w:tc>
        <w:tc>
          <w:tcPr>
            <w:tcW w:w="1063" w:type="dxa"/>
            <w:tcBorders>
              <w:top w:val="nil"/>
              <w:left w:val="nil"/>
              <w:bottom w:val="single" w:sz="4" w:space="0" w:color="auto"/>
              <w:right w:val="single" w:sz="4" w:space="0" w:color="auto"/>
            </w:tcBorders>
            <w:shd w:val="clear" w:color="auto" w:fill="auto"/>
            <w:noWrap/>
            <w:vAlign w:val="center"/>
            <w:hideMark/>
          </w:tcPr>
          <w:p w14:paraId="6B7E85F3"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-265</w:t>
            </w:r>
          </w:p>
        </w:tc>
        <w:tc>
          <w:tcPr>
            <w:tcW w:w="1063" w:type="dxa"/>
            <w:tcBorders>
              <w:top w:val="nil"/>
              <w:left w:val="nil"/>
              <w:bottom w:val="single" w:sz="4" w:space="0" w:color="auto"/>
              <w:right w:val="single" w:sz="4" w:space="0" w:color="auto"/>
            </w:tcBorders>
            <w:shd w:val="clear" w:color="auto" w:fill="auto"/>
            <w:noWrap/>
            <w:vAlign w:val="center"/>
            <w:hideMark/>
          </w:tcPr>
          <w:p w14:paraId="6FE5AE8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-1,8</w:t>
            </w:r>
          </w:p>
        </w:tc>
        <w:tc>
          <w:tcPr>
            <w:tcW w:w="1064" w:type="dxa"/>
            <w:tcBorders>
              <w:top w:val="nil"/>
              <w:left w:val="nil"/>
              <w:bottom w:val="single" w:sz="4" w:space="0" w:color="auto"/>
              <w:right w:val="single" w:sz="4" w:space="0" w:color="auto"/>
            </w:tcBorders>
            <w:shd w:val="clear" w:color="auto" w:fill="auto"/>
            <w:noWrap/>
            <w:vAlign w:val="center"/>
            <w:hideMark/>
          </w:tcPr>
          <w:p w14:paraId="5964F41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2,6</w:t>
            </w:r>
          </w:p>
        </w:tc>
      </w:tr>
      <w:tr w:rsidR="00C74C27" w:rsidRPr="00C74C27" w14:paraId="105E0C4E" w14:textId="77777777" w:rsidTr="0049639B">
        <w:trPr>
          <w:trHeight w:val="324"/>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44C314CD"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Papīrs, kartons un poligrāfijas izstrādājumi</w:t>
            </w:r>
          </w:p>
        </w:tc>
        <w:tc>
          <w:tcPr>
            <w:tcW w:w="1063" w:type="dxa"/>
            <w:tcBorders>
              <w:top w:val="nil"/>
              <w:left w:val="nil"/>
              <w:bottom w:val="single" w:sz="4" w:space="0" w:color="auto"/>
              <w:right w:val="single" w:sz="4" w:space="0" w:color="auto"/>
            </w:tcBorders>
            <w:shd w:val="clear" w:color="auto" w:fill="auto"/>
            <w:noWrap/>
            <w:vAlign w:val="center"/>
            <w:hideMark/>
          </w:tcPr>
          <w:p w14:paraId="0B01E11B"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257</w:t>
            </w:r>
          </w:p>
        </w:tc>
        <w:tc>
          <w:tcPr>
            <w:tcW w:w="1063" w:type="dxa"/>
            <w:tcBorders>
              <w:top w:val="nil"/>
              <w:left w:val="nil"/>
              <w:bottom w:val="single" w:sz="4" w:space="0" w:color="auto"/>
              <w:right w:val="single" w:sz="4" w:space="0" w:color="auto"/>
            </w:tcBorders>
            <w:shd w:val="clear" w:color="auto" w:fill="auto"/>
            <w:noWrap/>
            <w:vAlign w:val="center"/>
            <w:hideMark/>
          </w:tcPr>
          <w:p w14:paraId="62257A1C"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235</w:t>
            </w:r>
          </w:p>
        </w:tc>
        <w:tc>
          <w:tcPr>
            <w:tcW w:w="1063" w:type="dxa"/>
            <w:tcBorders>
              <w:top w:val="nil"/>
              <w:left w:val="nil"/>
              <w:bottom w:val="single" w:sz="4" w:space="0" w:color="auto"/>
              <w:right w:val="single" w:sz="4" w:space="0" w:color="auto"/>
            </w:tcBorders>
            <w:shd w:val="clear" w:color="auto" w:fill="auto"/>
            <w:noWrap/>
            <w:vAlign w:val="center"/>
            <w:hideMark/>
          </w:tcPr>
          <w:p w14:paraId="52CA71F1"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-8,8%</w:t>
            </w:r>
          </w:p>
        </w:tc>
        <w:tc>
          <w:tcPr>
            <w:tcW w:w="1063" w:type="dxa"/>
            <w:tcBorders>
              <w:top w:val="nil"/>
              <w:left w:val="nil"/>
              <w:bottom w:val="single" w:sz="4" w:space="0" w:color="auto"/>
              <w:right w:val="single" w:sz="4" w:space="0" w:color="auto"/>
            </w:tcBorders>
            <w:shd w:val="clear" w:color="auto" w:fill="auto"/>
            <w:noWrap/>
            <w:vAlign w:val="center"/>
            <w:hideMark/>
          </w:tcPr>
          <w:p w14:paraId="3B82085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-23</w:t>
            </w:r>
          </w:p>
        </w:tc>
        <w:tc>
          <w:tcPr>
            <w:tcW w:w="1063" w:type="dxa"/>
            <w:tcBorders>
              <w:top w:val="nil"/>
              <w:left w:val="nil"/>
              <w:bottom w:val="single" w:sz="4" w:space="0" w:color="auto"/>
              <w:right w:val="single" w:sz="4" w:space="0" w:color="auto"/>
            </w:tcBorders>
            <w:shd w:val="clear" w:color="auto" w:fill="auto"/>
            <w:noWrap/>
            <w:vAlign w:val="center"/>
            <w:hideMark/>
          </w:tcPr>
          <w:p w14:paraId="06879B2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-0,2</w:t>
            </w:r>
          </w:p>
        </w:tc>
        <w:tc>
          <w:tcPr>
            <w:tcW w:w="1064" w:type="dxa"/>
            <w:tcBorders>
              <w:top w:val="nil"/>
              <w:left w:val="nil"/>
              <w:bottom w:val="single" w:sz="4" w:space="0" w:color="auto"/>
              <w:right w:val="single" w:sz="4" w:space="0" w:color="auto"/>
            </w:tcBorders>
            <w:shd w:val="clear" w:color="auto" w:fill="auto"/>
            <w:noWrap/>
            <w:vAlign w:val="center"/>
            <w:hideMark/>
          </w:tcPr>
          <w:p w14:paraId="1B57BF99"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1,7</w:t>
            </w:r>
          </w:p>
        </w:tc>
      </w:tr>
      <w:tr w:rsidR="00C74C27" w:rsidRPr="00C74C27" w14:paraId="319BFDE7"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030AB6E6" w14:textId="77777777" w:rsidR="00C74C27" w:rsidRPr="00C74C27" w:rsidRDefault="00C74C27" w:rsidP="00C74C27">
            <w:pPr>
              <w:spacing w:after="0"/>
              <w:ind w:firstLine="0"/>
              <w:jc w:val="left"/>
              <w:rPr>
                <w:rFonts w:eastAsia="Times New Roman" w:cs="Times New Roman"/>
                <w:color w:val="000000"/>
                <w:sz w:val="20"/>
                <w:szCs w:val="20"/>
              </w:rPr>
            </w:pPr>
            <w:r w:rsidRPr="00C74C27">
              <w:rPr>
                <w:rFonts w:eastAsia="Times New Roman" w:cs="Times New Roman"/>
                <w:color w:val="000000"/>
                <w:sz w:val="20"/>
                <w:szCs w:val="20"/>
              </w:rPr>
              <w:t>Būvniecības izstrādājumi</w:t>
            </w:r>
          </w:p>
        </w:tc>
        <w:tc>
          <w:tcPr>
            <w:tcW w:w="1063" w:type="dxa"/>
            <w:tcBorders>
              <w:top w:val="nil"/>
              <w:left w:val="nil"/>
              <w:bottom w:val="single" w:sz="4" w:space="0" w:color="auto"/>
              <w:right w:val="single" w:sz="4" w:space="0" w:color="auto"/>
            </w:tcBorders>
            <w:shd w:val="clear" w:color="auto" w:fill="auto"/>
            <w:noWrap/>
            <w:vAlign w:val="center"/>
            <w:hideMark/>
          </w:tcPr>
          <w:p w14:paraId="4D174FA0"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214</w:t>
            </w:r>
          </w:p>
        </w:tc>
        <w:tc>
          <w:tcPr>
            <w:tcW w:w="1063" w:type="dxa"/>
            <w:tcBorders>
              <w:top w:val="nil"/>
              <w:left w:val="nil"/>
              <w:bottom w:val="single" w:sz="4" w:space="0" w:color="auto"/>
              <w:right w:val="single" w:sz="4" w:space="0" w:color="auto"/>
            </w:tcBorders>
            <w:shd w:val="clear" w:color="auto" w:fill="auto"/>
            <w:noWrap/>
            <w:vAlign w:val="center"/>
            <w:hideMark/>
          </w:tcPr>
          <w:p w14:paraId="12567E34"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197</w:t>
            </w:r>
          </w:p>
        </w:tc>
        <w:tc>
          <w:tcPr>
            <w:tcW w:w="1063" w:type="dxa"/>
            <w:tcBorders>
              <w:top w:val="nil"/>
              <w:left w:val="nil"/>
              <w:bottom w:val="single" w:sz="4" w:space="0" w:color="auto"/>
              <w:right w:val="single" w:sz="4" w:space="0" w:color="auto"/>
            </w:tcBorders>
            <w:shd w:val="clear" w:color="auto" w:fill="auto"/>
            <w:noWrap/>
            <w:vAlign w:val="center"/>
            <w:hideMark/>
          </w:tcPr>
          <w:p w14:paraId="1B34498A"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-8,0%</w:t>
            </w:r>
          </w:p>
        </w:tc>
        <w:tc>
          <w:tcPr>
            <w:tcW w:w="1063" w:type="dxa"/>
            <w:tcBorders>
              <w:top w:val="nil"/>
              <w:left w:val="nil"/>
              <w:bottom w:val="single" w:sz="4" w:space="0" w:color="auto"/>
              <w:right w:val="single" w:sz="4" w:space="0" w:color="auto"/>
            </w:tcBorders>
            <w:shd w:val="clear" w:color="auto" w:fill="auto"/>
            <w:noWrap/>
            <w:vAlign w:val="center"/>
            <w:hideMark/>
          </w:tcPr>
          <w:p w14:paraId="3FF5F2E6"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-17</w:t>
            </w:r>
          </w:p>
        </w:tc>
        <w:tc>
          <w:tcPr>
            <w:tcW w:w="1063" w:type="dxa"/>
            <w:tcBorders>
              <w:top w:val="nil"/>
              <w:left w:val="nil"/>
              <w:bottom w:val="single" w:sz="4" w:space="0" w:color="auto"/>
              <w:right w:val="single" w:sz="4" w:space="0" w:color="auto"/>
            </w:tcBorders>
            <w:shd w:val="clear" w:color="auto" w:fill="auto"/>
            <w:noWrap/>
            <w:vAlign w:val="center"/>
            <w:hideMark/>
          </w:tcPr>
          <w:p w14:paraId="59742B22"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-0,1</w:t>
            </w:r>
          </w:p>
        </w:tc>
        <w:tc>
          <w:tcPr>
            <w:tcW w:w="1064" w:type="dxa"/>
            <w:tcBorders>
              <w:top w:val="nil"/>
              <w:left w:val="nil"/>
              <w:bottom w:val="single" w:sz="4" w:space="0" w:color="auto"/>
              <w:right w:val="single" w:sz="4" w:space="0" w:color="auto"/>
            </w:tcBorders>
            <w:shd w:val="clear" w:color="auto" w:fill="auto"/>
            <w:noWrap/>
            <w:vAlign w:val="center"/>
            <w:hideMark/>
          </w:tcPr>
          <w:p w14:paraId="58A79F6D" w14:textId="77777777" w:rsidR="00C74C27" w:rsidRPr="00C74C27" w:rsidRDefault="00C74C27" w:rsidP="00C74C27">
            <w:pPr>
              <w:spacing w:after="0"/>
              <w:ind w:firstLine="0"/>
              <w:jc w:val="center"/>
              <w:rPr>
                <w:rFonts w:eastAsia="Times New Roman" w:cs="Times New Roman"/>
                <w:color w:val="000000"/>
                <w:sz w:val="20"/>
                <w:szCs w:val="20"/>
              </w:rPr>
            </w:pPr>
            <w:r w:rsidRPr="00C74C27">
              <w:rPr>
                <w:rFonts w:eastAsia="Times New Roman" w:cs="Times New Roman"/>
                <w:color w:val="000000"/>
                <w:sz w:val="20"/>
                <w:szCs w:val="20"/>
              </w:rPr>
              <w:t>1,5</w:t>
            </w:r>
          </w:p>
        </w:tc>
      </w:tr>
      <w:tr w:rsidR="00C74C27" w:rsidRPr="00C74C27" w14:paraId="1E221402"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tcPr>
          <w:p w14:paraId="48685093" w14:textId="77777777" w:rsidR="00C74C27" w:rsidRPr="00C74C27" w:rsidRDefault="00C74C27" w:rsidP="00C74C27">
            <w:pPr>
              <w:spacing w:after="0"/>
              <w:ind w:firstLine="0"/>
              <w:jc w:val="left"/>
              <w:rPr>
                <w:rFonts w:eastAsia="Times New Roman" w:cs="Times New Roman"/>
                <w:b/>
                <w:bCs/>
                <w:color w:val="000000"/>
                <w:sz w:val="20"/>
                <w:szCs w:val="20"/>
              </w:rPr>
            </w:pPr>
            <w:r w:rsidRPr="00C74C27">
              <w:rPr>
                <w:rFonts w:eastAsia="Times New Roman" w:cs="Times New Roman"/>
                <w:color w:val="000000"/>
                <w:sz w:val="20"/>
                <w:szCs w:val="20"/>
              </w:rPr>
              <w:t xml:space="preserve">Pārējās preces </w:t>
            </w:r>
          </w:p>
        </w:tc>
        <w:tc>
          <w:tcPr>
            <w:tcW w:w="1063" w:type="dxa"/>
            <w:tcBorders>
              <w:top w:val="nil"/>
              <w:left w:val="nil"/>
              <w:bottom w:val="single" w:sz="4" w:space="0" w:color="auto"/>
              <w:right w:val="single" w:sz="4" w:space="0" w:color="auto"/>
            </w:tcBorders>
            <w:shd w:val="clear" w:color="auto" w:fill="auto"/>
            <w:noWrap/>
            <w:vAlign w:val="center"/>
          </w:tcPr>
          <w:p w14:paraId="64E7E015"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color w:val="000000"/>
                <w:sz w:val="20"/>
                <w:szCs w:val="20"/>
              </w:rPr>
              <w:t>838</w:t>
            </w:r>
          </w:p>
        </w:tc>
        <w:tc>
          <w:tcPr>
            <w:tcW w:w="1063" w:type="dxa"/>
            <w:tcBorders>
              <w:top w:val="nil"/>
              <w:left w:val="nil"/>
              <w:bottom w:val="single" w:sz="4" w:space="0" w:color="auto"/>
              <w:right w:val="single" w:sz="4" w:space="0" w:color="auto"/>
            </w:tcBorders>
            <w:shd w:val="clear" w:color="auto" w:fill="auto"/>
            <w:noWrap/>
            <w:vAlign w:val="center"/>
          </w:tcPr>
          <w:p w14:paraId="2E8C66D0"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color w:val="000000"/>
                <w:sz w:val="20"/>
                <w:szCs w:val="20"/>
              </w:rPr>
              <w:t>850</w:t>
            </w:r>
          </w:p>
        </w:tc>
        <w:tc>
          <w:tcPr>
            <w:tcW w:w="1063" w:type="dxa"/>
            <w:tcBorders>
              <w:top w:val="nil"/>
              <w:left w:val="nil"/>
              <w:bottom w:val="single" w:sz="4" w:space="0" w:color="auto"/>
              <w:right w:val="single" w:sz="4" w:space="0" w:color="auto"/>
            </w:tcBorders>
            <w:shd w:val="clear" w:color="auto" w:fill="auto"/>
            <w:noWrap/>
            <w:vAlign w:val="center"/>
          </w:tcPr>
          <w:p w14:paraId="5B510397"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color w:val="000000"/>
                <w:sz w:val="20"/>
                <w:szCs w:val="20"/>
              </w:rPr>
              <w:t>1,4%</w:t>
            </w:r>
          </w:p>
        </w:tc>
        <w:tc>
          <w:tcPr>
            <w:tcW w:w="1063" w:type="dxa"/>
            <w:tcBorders>
              <w:top w:val="nil"/>
              <w:left w:val="nil"/>
              <w:bottom w:val="single" w:sz="4" w:space="0" w:color="auto"/>
              <w:right w:val="single" w:sz="4" w:space="0" w:color="auto"/>
            </w:tcBorders>
            <w:shd w:val="clear" w:color="auto" w:fill="auto"/>
            <w:noWrap/>
            <w:vAlign w:val="center"/>
          </w:tcPr>
          <w:p w14:paraId="4E03A361"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color w:val="000000"/>
                <w:sz w:val="20"/>
                <w:szCs w:val="20"/>
              </w:rPr>
              <w:t>12</w:t>
            </w:r>
          </w:p>
        </w:tc>
        <w:tc>
          <w:tcPr>
            <w:tcW w:w="1063" w:type="dxa"/>
            <w:tcBorders>
              <w:top w:val="nil"/>
              <w:left w:val="nil"/>
              <w:bottom w:val="single" w:sz="4" w:space="0" w:color="auto"/>
              <w:right w:val="single" w:sz="4" w:space="0" w:color="auto"/>
            </w:tcBorders>
            <w:shd w:val="clear" w:color="auto" w:fill="auto"/>
            <w:noWrap/>
            <w:vAlign w:val="center"/>
          </w:tcPr>
          <w:p w14:paraId="7C9F8CD0"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color w:val="000000"/>
                <w:sz w:val="20"/>
                <w:szCs w:val="20"/>
              </w:rPr>
              <w:t>0,1</w:t>
            </w:r>
          </w:p>
        </w:tc>
        <w:tc>
          <w:tcPr>
            <w:tcW w:w="1064" w:type="dxa"/>
            <w:tcBorders>
              <w:top w:val="nil"/>
              <w:left w:val="nil"/>
              <w:bottom w:val="single" w:sz="4" w:space="0" w:color="auto"/>
              <w:right w:val="single" w:sz="4" w:space="0" w:color="auto"/>
            </w:tcBorders>
            <w:shd w:val="clear" w:color="auto" w:fill="auto"/>
            <w:noWrap/>
            <w:vAlign w:val="center"/>
          </w:tcPr>
          <w:p w14:paraId="0FE9F9D5"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color w:val="000000"/>
                <w:sz w:val="20"/>
                <w:szCs w:val="20"/>
              </w:rPr>
              <w:t>6,3</w:t>
            </w:r>
          </w:p>
        </w:tc>
      </w:tr>
      <w:tr w:rsidR="00C74C27" w:rsidRPr="00C74C27" w14:paraId="3F19B49F" w14:textId="77777777" w:rsidTr="0049639B">
        <w:trPr>
          <w:trHeight w:val="312"/>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1C6649F9" w14:textId="77777777" w:rsidR="00C74C27" w:rsidRPr="00C74C27" w:rsidRDefault="00C74C27" w:rsidP="00C74C27">
            <w:pPr>
              <w:spacing w:after="0"/>
              <w:ind w:firstLine="0"/>
              <w:jc w:val="left"/>
              <w:rPr>
                <w:rFonts w:eastAsia="Times New Roman" w:cs="Times New Roman"/>
                <w:b/>
                <w:bCs/>
                <w:color w:val="000000"/>
                <w:sz w:val="20"/>
                <w:szCs w:val="20"/>
              </w:rPr>
            </w:pPr>
            <w:r w:rsidRPr="00C74C27">
              <w:rPr>
                <w:rFonts w:eastAsia="Times New Roman" w:cs="Times New Roman"/>
                <w:b/>
                <w:bCs/>
                <w:color w:val="000000"/>
                <w:sz w:val="20"/>
                <w:szCs w:val="20"/>
              </w:rPr>
              <w:t>Kopējais preču imports</w:t>
            </w:r>
          </w:p>
        </w:tc>
        <w:tc>
          <w:tcPr>
            <w:tcW w:w="1063" w:type="dxa"/>
            <w:tcBorders>
              <w:top w:val="nil"/>
              <w:left w:val="nil"/>
              <w:bottom w:val="single" w:sz="4" w:space="0" w:color="auto"/>
              <w:right w:val="single" w:sz="4" w:space="0" w:color="auto"/>
            </w:tcBorders>
            <w:shd w:val="clear" w:color="auto" w:fill="auto"/>
            <w:noWrap/>
            <w:vAlign w:val="center"/>
            <w:hideMark/>
          </w:tcPr>
          <w:p w14:paraId="1B30A69B"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14494</w:t>
            </w:r>
          </w:p>
        </w:tc>
        <w:tc>
          <w:tcPr>
            <w:tcW w:w="1063" w:type="dxa"/>
            <w:tcBorders>
              <w:top w:val="nil"/>
              <w:left w:val="nil"/>
              <w:bottom w:val="single" w:sz="4" w:space="0" w:color="auto"/>
              <w:right w:val="single" w:sz="4" w:space="0" w:color="auto"/>
            </w:tcBorders>
            <w:shd w:val="clear" w:color="auto" w:fill="auto"/>
            <w:noWrap/>
            <w:vAlign w:val="center"/>
            <w:hideMark/>
          </w:tcPr>
          <w:p w14:paraId="34745749"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13554</w:t>
            </w:r>
          </w:p>
        </w:tc>
        <w:tc>
          <w:tcPr>
            <w:tcW w:w="1063" w:type="dxa"/>
            <w:tcBorders>
              <w:top w:val="nil"/>
              <w:left w:val="nil"/>
              <w:bottom w:val="single" w:sz="4" w:space="0" w:color="auto"/>
              <w:right w:val="single" w:sz="4" w:space="0" w:color="auto"/>
            </w:tcBorders>
            <w:shd w:val="clear" w:color="auto" w:fill="auto"/>
            <w:noWrap/>
            <w:vAlign w:val="center"/>
            <w:hideMark/>
          </w:tcPr>
          <w:p w14:paraId="6E45503A"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-6,5%</w:t>
            </w:r>
          </w:p>
        </w:tc>
        <w:tc>
          <w:tcPr>
            <w:tcW w:w="1063" w:type="dxa"/>
            <w:tcBorders>
              <w:top w:val="nil"/>
              <w:left w:val="nil"/>
              <w:bottom w:val="single" w:sz="4" w:space="0" w:color="auto"/>
              <w:right w:val="single" w:sz="4" w:space="0" w:color="auto"/>
            </w:tcBorders>
            <w:shd w:val="clear" w:color="auto" w:fill="auto"/>
            <w:noWrap/>
            <w:vAlign w:val="center"/>
            <w:hideMark/>
          </w:tcPr>
          <w:p w14:paraId="7423B090"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-941</w:t>
            </w:r>
          </w:p>
        </w:tc>
        <w:tc>
          <w:tcPr>
            <w:tcW w:w="1063" w:type="dxa"/>
            <w:tcBorders>
              <w:top w:val="nil"/>
              <w:left w:val="nil"/>
              <w:bottom w:val="single" w:sz="4" w:space="0" w:color="auto"/>
              <w:right w:val="single" w:sz="4" w:space="0" w:color="auto"/>
            </w:tcBorders>
            <w:shd w:val="clear" w:color="auto" w:fill="auto"/>
            <w:noWrap/>
            <w:vAlign w:val="center"/>
            <w:hideMark/>
          </w:tcPr>
          <w:p w14:paraId="183968F2"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-6,5</w:t>
            </w:r>
          </w:p>
        </w:tc>
        <w:tc>
          <w:tcPr>
            <w:tcW w:w="1064" w:type="dxa"/>
            <w:tcBorders>
              <w:top w:val="nil"/>
              <w:left w:val="nil"/>
              <w:bottom w:val="single" w:sz="4" w:space="0" w:color="auto"/>
              <w:right w:val="single" w:sz="4" w:space="0" w:color="auto"/>
            </w:tcBorders>
            <w:shd w:val="clear" w:color="auto" w:fill="auto"/>
            <w:noWrap/>
            <w:vAlign w:val="center"/>
            <w:hideMark/>
          </w:tcPr>
          <w:p w14:paraId="6D7BBD4A" w14:textId="77777777" w:rsidR="00C74C27" w:rsidRPr="00C74C27" w:rsidRDefault="00C74C27" w:rsidP="00C74C27">
            <w:pPr>
              <w:spacing w:after="0"/>
              <w:ind w:firstLine="0"/>
              <w:jc w:val="center"/>
              <w:rPr>
                <w:rFonts w:eastAsia="Times New Roman" w:cs="Times New Roman"/>
                <w:b/>
                <w:bCs/>
                <w:color w:val="000000"/>
                <w:sz w:val="20"/>
                <w:szCs w:val="20"/>
              </w:rPr>
            </w:pPr>
            <w:r w:rsidRPr="00C74C27">
              <w:rPr>
                <w:rFonts w:eastAsia="Times New Roman" w:cs="Times New Roman"/>
                <w:b/>
                <w:bCs/>
                <w:color w:val="000000"/>
                <w:sz w:val="20"/>
                <w:szCs w:val="20"/>
              </w:rPr>
              <w:t>100</w:t>
            </w:r>
          </w:p>
        </w:tc>
      </w:tr>
    </w:tbl>
    <w:p w14:paraId="68002475" w14:textId="77777777" w:rsidR="00B82877" w:rsidRDefault="00B82877" w:rsidP="005B2BAF">
      <w:pPr>
        <w:ind w:firstLine="0"/>
        <w:rPr>
          <w:rFonts w:eastAsia="Calibri" w:cs="Arial"/>
          <w:b/>
          <w:bCs/>
          <w:noProof/>
          <w:szCs w:val="24"/>
          <w:lang w:eastAsia="en-US"/>
        </w:rPr>
      </w:pPr>
    </w:p>
    <w:p w14:paraId="3A37129E" w14:textId="1DA542CB" w:rsidR="00C74C27" w:rsidRPr="005B2BAF" w:rsidRDefault="00C74C27" w:rsidP="006F1373">
      <w:pPr>
        <w:pStyle w:val="H5"/>
      </w:pPr>
      <w:r w:rsidRPr="005B2BAF">
        <w:t>Tekošais konts</w:t>
      </w:r>
    </w:p>
    <w:p w14:paraId="6DD210C9" w14:textId="17DC9F9E" w:rsidR="00C74C27" w:rsidRPr="00C74C27" w:rsidRDefault="00C74C27" w:rsidP="00C74C27">
      <w:pPr>
        <w:rPr>
          <w:rFonts w:eastAsia="Calibri" w:cs="Arial"/>
          <w:noProof/>
          <w:szCs w:val="24"/>
          <w:lang w:eastAsia="en-US"/>
        </w:rPr>
      </w:pPr>
      <w:r w:rsidRPr="00C74C27">
        <w:rPr>
          <w:rFonts w:eastAsia="Calibri" w:cs="Arial"/>
          <w:noProof/>
          <w:szCs w:val="24"/>
          <w:lang w:eastAsia="en-US"/>
        </w:rPr>
        <w:t>2022. gadā maksājumu bilances tekošā konta deficīts turpināja palielināties, sasniedzot 1832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jeb 4,7% no IKP, kas ir lielākais deficīta apmērs kopš 2009. gada. Lielāks tekošā konta deficīts bija tikai laika periodā no 2005. līdz 2008. gadam, kad bija izteiktas ekonomikas pārkaršanas pazīmes, pieaugot pat līdz 20,8% no IKP. Deficīta pieaugums lielā </w:t>
      </w:r>
      <w:r w:rsidRPr="00C74C27">
        <w:rPr>
          <w:rFonts w:eastAsia="Calibri" w:cs="Arial"/>
          <w:noProof/>
          <w:szCs w:val="24"/>
          <w:lang w:eastAsia="en-US"/>
        </w:rPr>
        <w:lastRenderedPageBreak/>
        <w:t>mērā ir saistīts ar enerģētikas krīzi visā Eiropā, ko noteica straujais gāzes cenu pieaugums pēdējos divos gados, nevis ar iekšējām Latvijas ekonomikas nesabalansētībām. Tekošā konta bilances pasliktināšanos noteica preču konts, kamēr pārējiem apakškontiem bija vērojama pozitīva dinamika. Preču importam pieaugot straujāk par preču eksportu, preču konta deficīts 2022. gadā sasniedza 4093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kas bija par 1337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vairāk nekā 2021. gadā. Kā jau atzīmēts, straujo preču importa kāpumu lielā mērā noteica cenu kāpums, it īpaši energoresursiem, nevis iekšējā patēriņa pieaugums. 2022. gadā minerālproduktu imports pieauga par 3665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izskaidrojot vairāk nekā pusi no kopējā preču importa pieauguma. Lielāko daļu no minerālproduktu importa noteica gāzes, jēlnaftas un naftas produktu importa kāpums. Ņemot vērā, ka Latvija neražo gāzi un naftas produktus, kā arī nevar ietekmēt globālās biržas cenas, tieši energoresursu imports 2022. gadā pasliktināja ārējās tirdzniecības bilanci. Pakalpojumu eksportam palielinoties straujāk par pakalpojumu importu, pakalpojumu konta pārpalikums pieauga par 627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līdz 2332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tādējādi daļēji nosedzot preču konta deficītu. Sākotnējo ienākumu kontu 2022. gadā negatīvi ietekmēja augstākas ārvalstu investoriem izmaksātas dividendes nekā iepriekšējā gadā. Tomēr Latvijas rezidentu gūtie ienākumi ārvalstīs pieauga straujāk, kas ļāva samazināt konta deficītu par 42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līdz 577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Pozitīva dinamika bija vērojama arī otrreizējo ienākumu kontā. Pateicoties augstākiem ienākumiem, ko ārvalstīs spēja nopelnīt Latvijas uzņēmumi un mājsaimniecības, konta pārpalikums pieauga par 146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līdz 505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w:t>
      </w:r>
    </w:p>
    <w:p w14:paraId="2EDAE39C" w14:textId="77777777" w:rsidR="00C74C27" w:rsidRPr="00C74C27" w:rsidRDefault="00C74C27" w:rsidP="00C74C27">
      <w:pPr>
        <w:keepNext/>
        <w:spacing w:after="160" w:line="259" w:lineRule="auto"/>
        <w:ind w:firstLine="0"/>
        <w:jc w:val="center"/>
        <w:rPr>
          <w:rFonts w:eastAsia="Calibri" w:cs="Arial"/>
          <w:b/>
          <w:bCs/>
          <w:i/>
          <w:iCs/>
          <w:noProof/>
          <w:szCs w:val="24"/>
          <w:lang w:eastAsia="en-US"/>
        </w:rPr>
      </w:pPr>
    </w:p>
    <w:tbl>
      <w:tblPr>
        <w:tblStyle w:val="TableGrid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89"/>
        <w:gridCol w:w="4272"/>
      </w:tblGrid>
      <w:tr w:rsidR="00C74C27" w:rsidRPr="00C74C27" w14:paraId="241EE049" w14:textId="77777777" w:rsidTr="0049639B">
        <w:tc>
          <w:tcPr>
            <w:tcW w:w="4189" w:type="dxa"/>
          </w:tcPr>
          <w:p w14:paraId="1E5AA36D" w14:textId="77777777" w:rsidR="00C74C27" w:rsidRPr="00C74C27" w:rsidRDefault="00C74C27" w:rsidP="00C74C27">
            <w:pPr>
              <w:keepNext/>
              <w:spacing w:after="0"/>
              <w:ind w:firstLine="0"/>
              <w:jc w:val="center"/>
              <w:rPr>
                <w:rFonts w:ascii="Calibri" w:hAnsi="Calibri"/>
                <w:b/>
                <w:i/>
                <w:sz w:val="22"/>
              </w:rPr>
            </w:pPr>
            <w:r w:rsidRPr="00C74C27">
              <w:rPr>
                <w:rFonts w:ascii="Calibri" w:hAnsi="Calibri"/>
                <w:noProof/>
                <w:sz w:val="22"/>
              </w:rPr>
              <w:drawing>
                <wp:inline distT="0" distB="0" distL="0" distR="0" wp14:anchorId="492168D5" wp14:editId="21BF92B1">
                  <wp:extent cx="2596662" cy="3878580"/>
                  <wp:effectExtent l="0" t="0" r="0" b="7620"/>
                  <wp:docPr id="591734317" name="Chart 591734317">
                    <a:extLst xmlns:a="http://schemas.openxmlformats.org/drawingml/2006/main">
                      <a:ext uri="{FF2B5EF4-FFF2-40B4-BE49-F238E27FC236}">
                        <a16:creationId xmlns:a16="http://schemas.microsoft.com/office/drawing/2014/main" id="{10BB196A-8F06-4203-A95D-9877D6A10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w="4117" w:type="dxa"/>
          </w:tcPr>
          <w:p w14:paraId="163C5894" w14:textId="77777777" w:rsidR="00C74C27" w:rsidRPr="00C74C27" w:rsidRDefault="00C74C27" w:rsidP="00C74C27">
            <w:pPr>
              <w:keepNext/>
              <w:spacing w:after="0"/>
              <w:ind w:firstLine="0"/>
              <w:jc w:val="center"/>
              <w:rPr>
                <w:rFonts w:ascii="Calibri" w:hAnsi="Calibri"/>
                <w:b/>
                <w:i/>
                <w:sz w:val="22"/>
              </w:rPr>
            </w:pPr>
            <w:r w:rsidRPr="00C74C27">
              <w:rPr>
                <w:rFonts w:ascii="Calibri" w:hAnsi="Calibri"/>
                <w:noProof/>
                <w:sz w:val="22"/>
              </w:rPr>
              <w:drawing>
                <wp:inline distT="0" distB="0" distL="0" distR="0" wp14:anchorId="4D6B4593" wp14:editId="2758F7DD">
                  <wp:extent cx="2712720" cy="3855720"/>
                  <wp:effectExtent l="0" t="0" r="0" b="0"/>
                  <wp:docPr id="1546310399" name="Chart 1546310399">
                    <a:extLst xmlns:a="http://schemas.openxmlformats.org/drawingml/2006/main">
                      <a:ext uri="{FF2B5EF4-FFF2-40B4-BE49-F238E27FC236}">
                        <a16:creationId xmlns:a16="http://schemas.microsoft.com/office/drawing/2014/main" id="{D0D0F076-3DD2-52B9-D7D3-0F959A1EEF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4F8F250A" w14:textId="7678EF8D" w:rsidR="00C74C27" w:rsidRPr="00C74C27" w:rsidRDefault="00C74C27" w:rsidP="00C74C27">
      <w:pPr>
        <w:keepNext/>
        <w:spacing w:after="160" w:line="259" w:lineRule="auto"/>
        <w:ind w:firstLine="0"/>
        <w:jc w:val="center"/>
        <w:rPr>
          <w:rFonts w:eastAsia="Calibri" w:cs="Arial"/>
          <w:b/>
          <w:bCs/>
          <w:i/>
          <w:iCs/>
          <w:noProof/>
          <w:szCs w:val="24"/>
          <w:lang w:eastAsia="en-US"/>
        </w:rPr>
      </w:pPr>
      <w:r w:rsidRPr="00C74C27">
        <w:rPr>
          <w:rFonts w:eastAsia="Calibri" w:cs="Arial"/>
          <w:b/>
          <w:bCs/>
          <w:i/>
          <w:iCs/>
          <w:noProof/>
          <w:szCs w:val="24"/>
          <w:lang w:eastAsia="en-US"/>
        </w:rPr>
        <w:t>1.2</w:t>
      </w:r>
      <w:r w:rsidR="00DB7D5E">
        <w:rPr>
          <w:rFonts w:eastAsia="Calibri" w:cs="Arial"/>
          <w:b/>
          <w:bCs/>
          <w:i/>
          <w:iCs/>
          <w:noProof/>
          <w:szCs w:val="24"/>
          <w:lang w:eastAsia="en-US"/>
        </w:rPr>
        <w:t>2</w:t>
      </w:r>
      <w:r w:rsidRPr="00C74C27">
        <w:rPr>
          <w:rFonts w:eastAsia="Calibri" w:cs="Arial"/>
          <w:b/>
          <w:bCs/>
          <w:i/>
          <w:iCs/>
          <w:noProof/>
          <w:szCs w:val="24"/>
          <w:lang w:eastAsia="en-US"/>
        </w:rPr>
        <w:t xml:space="preserve">. att. Latvijas maksājumu bilances tekošā konta komponentes (milj. euro) </w:t>
      </w:r>
      <w:r w:rsidRPr="00C74C27">
        <w:rPr>
          <w:rFonts w:eastAsia="Calibri" w:cs="Arial"/>
          <w:b/>
          <w:bCs/>
          <w:i/>
          <w:iCs/>
          <w:noProof/>
          <w:szCs w:val="24"/>
          <w:lang w:eastAsia="en-US"/>
        </w:rPr>
        <w:br/>
        <w:t>un tekošais konts procentos no IKP (labā ass)</w:t>
      </w:r>
    </w:p>
    <w:p w14:paraId="418CC647" w14:textId="0FD7B571" w:rsidR="00C74C27" w:rsidRPr="00C74C27" w:rsidRDefault="00C74C27" w:rsidP="00C74C27">
      <w:pPr>
        <w:rPr>
          <w:rFonts w:eastAsia="Calibri" w:cs="Arial"/>
          <w:noProof/>
          <w:szCs w:val="24"/>
          <w:lang w:eastAsia="en-US"/>
        </w:rPr>
      </w:pPr>
      <w:r w:rsidRPr="00C74C27">
        <w:rPr>
          <w:rFonts w:eastAsia="Calibri" w:cs="Arial"/>
          <w:noProof/>
          <w:szCs w:val="24"/>
          <w:lang w:eastAsia="en-US"/>
        </w:rPr>
        <w:t>2023. gada pirmajā pusgadā Latvijas maksājumu bilances tekošā konta deficīts veidoja 883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pretstatā 1080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attiecīgajā periodā pērnajā gadā. Tekošā konta deficīta samazinājumu šogad lielā mērā nosaka otrreizējo ienākumu konta pārpalikuma pieaugums. Pateicoties augstākiem ienākumiem no ārvalstīm, ko saņēma gan uzņēmēji, gan mājsaimniecības, kā arī augstākai ES struktūrfondu investīciju plūsmai, otrreizējo ienākumu </w:t>
      </w:r>
      <w:r w:rsidRPr="00C74C27">
        <w:rPr>
          <w:rFonts w:eastAsia="Calibri" w:cs="Arial"/>
          <w:noProof/>
          <w:szCs w:val="24"/>
          <w:lang w:eastAsia="en-US"/>
        </w:rPr>
        <w:lastRenderedPageBreak/>
        <w:t xml:space="preserve">konta pārpalikums pieauga par 303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līdz 463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Pārējos apakškontos bilance pasliktinājās. Tā, preču konta deficīts pieauga par 3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līdz 1784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ko noteica nedaudz straujāks preču eksporta samazinājums nekā importam. Pakalpojumu konta pārpalikums samazinājās par 32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līdz 1003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Sākotnējo ienākumu konta bilanci negatīvi ietekmēja augstākas ārvalstu investoriem izmaksātas dividendes, kā arī citi maksājumi saistībā ar augstākiem kredītu maksājumiem. Tā rezultātā šī konta deficīts pieauga par 71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 xml:space="preserve"> līdz 565 </w:t>
      </w:r>
      <w:r w:rsidR="00605007">
        <w:rPr>
          <w:rFonts w:eastAsia="Calibri" w:cs="Arial"/>
          <w:noProof/>
          <w:szCs w:val="24"/>
          <w:lang w:eastAsia="en-US"/>
        </w:rPr>
        <w:t>milj.</w:t>
      </w:r>
      <w:r w:rsidRPr="00C74C27">
        <w:rPr>
          <w:rFonts w:eastAsia="Calibri" w:cs="Arial"/>
          <w:noProof/>
          <w:szCs w:val="24"/>
          <w:lang w:eastAsia="en-US"/>
        </w:rPr>
        <w:t xml:space="preserve"> </w:t>
      </w:r>
      <w:r w:rsidRPr="00C74C27">
        <w:rPr>
          <w:rFonts w:eastAsia="Calibri" w:cs="Arial"/>
          <w:i/>
          <w:iCs/>
          <w:noProof/>
          <w:szCs w:val="24"/>
          <w:lang w:eastAsia="en-US"/>
        </w:rPr>
        <w:t>euro</w:t>
      </w:r>
      <w:r w:rsidRPr="00C74C27">
        <w:rPr>
          <w:rFonts w:eastAsia="Calibri" w:cs="Arial"/>
          <w:noProof/>
          <w:szCs w:val="24"/>
          <w:lang w:eastAsia="en-US"/>
        </w:rPr>
        <w:t>.</w:t>
      </w:r>
    </w:p>
    <w:p w14:paraId="509F5CDF" w14:textId="77777777" w:rsidR="00C74C27" w:rsidRPr="00C74C27" w:rsidRDefault="00C74C27" w:rsidP="00C74C27">
      <w:pPr>
        <w:rPr>
          <w:rFonts w:ascii="Calibri" w:eastAsia="Calibri" w:hAnsi="Calibri" w:cs="Arial"/>
          <w:color w:val="FF0000"/>
          <w:sz w:val="22"/>
          <w:lang w:eastAsia="en-US"/>
        </w:rPr>
      </w:pPr>
      <w:r w:rsidRPr="00C74C27">
        <w:rPr>
          <w:rFonts w:eastAsia="Calibri" w:cs="Arial"/>
          <w:noProof/>
          <w:szCs w:val="24"/>
          <w:lang w:eastAsia="en-US"/>
        </w:rPr>
        <w:t xml:space="preserve">Sagaidāms, ka būtiski zemāka dabasgāzes cena šogad nekā pagājušajā gadā, kā arī mazāks dabasgāzes patēriņš turpinās mazināt energoresursu importu, tādējādi samazinot arī kopējo preču importu. Līdz ar to preču konta deficīts 2023. gadā kopumā būs mazāks nekā iepriekšējā gadā. Savukārt augsta un noturīga ES struktūrfondu investīciju plūsma labvēlīgi ietekmēs sākotnējo un otrreizējo ienākumu kontus. Atbilstoši FM novērtējumam, Latvijas maksājumu bilances tekošā konta deficīts 2023. gadā samazināsies līdz 2,9% no IKP. </w:t>
      </w:r>
    </w:p>
    <w:p w14:paraId="0CBAB101" w14:textId="77777777" w:rsidR="00C74C27" w:rsidRPr="00C74C27" w:rsidRDefault="00C74C27" w:rsidP="00C74C27">
      <w:pPr>
        <w:keepNext/>
        <w:keepLines/>
        <w:spacing w:before="200" w:after="0" w:line="259" w:lineRule="auto"/>
        <w:ind w:firstLine="0"/>
        <w:jc w:val="center"/>
        <w:outlineLvl w:val="2"/>
        <w:rPr>
          <w:rFonts w:eastAsia="Times New Roman" w:cs="Times New Roman"/>
          <w:b/>
          <w:bCs/>
          <w:sz w:val="32"/>
          <w:szCs w:val="32"/>
          <w:lang w:eastAsia="en-US"/>
        </w:rPr>
      </w:pPr>
      <w:r w:rsidRPr="00C74C27">
        <w:rPr>
          <w:rFonts w:eastAsia="Times New Roman" w:cs="Times New Roman"/>
          <w:b/>
          <w:bCs/>
          <w:sz w:val="32"/>
          <w:szCs w:val="32"/>
          <w:lang w:eastAsia="en-US"/>
        </w:rPr>
        <w:t>1.2.6. Investīcijas</w:t>
      </w:r>
      <w:bookmarkEnd w:id="11"/>
    </w:p>
    <w:p w14:paraId="71252C9B" w14:textId="77777777" w:rsidR="00C74C27" w:rsidRPr="00C74C27" w:rsidRDefault="00C74C27" w:rsidP="00C74C27">
      <w:pPr>
        <w:rPr>
          <w:rFonts w:eastAsia="Calibri" w:cs="Arial"/>
          <w:szCs w:val="24"/>
          <w:lang w:eastAsia="en-US"/>
        </w:rPr>
      </w:pPr>
      <w:bookmarkStart w:id="12" w:name="_Toc126011230"/>
      <w:bookmarkStart w:id="13" w:name="_Toc126044014"/>
      <w:r w:rsidRPr="00C74C27">
        <w:rPr>
          <w:rFonts w:eastAsia="Calibri" w:cs="Arial"/>
          <w:szCs w:val="24"/>
          <w:lang w:eastAsia="en-US"/>
        </w:rPr>
        <w:t>2022. gadā investīciju apjoms Latvijā pieauga par 0,6% salīdzināmajās cenās. Salīdzinājumā ar pārējām IKP sastāvdaļām – privāto un sabiedrisko patēriņu, kā arī eksportu, investīciju sniegums bija visvājākais, nodrošinot vien 0,1 procentpunktus IKP pieaugumā. Vienlaikus straujā cenu kāpuma dēļ investīciju pieaugums tautsaimniecībā faktiskajās cenās pērnajā gadā bija būtisks jeb 13,3% apmērā. Lai arī kopējā investīciju dinamika bija vāja, tomēr investīciju izmaiņas pa pamatlīdzekļu veidiem bija ļoti neviendabīgas. Investīciju pieaugumu 2022. gadā veicināja lielākas investīcijas iekārtās un mašīnās, kā arī intelektuālajā īpašumā. Vienlaicīgi investīcijas ēkās un būvēs bija būtiski zemākas nekā 2021. gadā.</w:t>
      </w:r>
    </w:p>
    <w:p w14:paraId="3A2D2DD2" w14:textId="77777777" w:rsidR="00C74C27" w:rsidRPr="00C74C27" w:rsidRDefault="00C74C27" w:rsidP="00C74C27">
      <w:pPr>
        <w:rPr>
          <w:rFonts w:eastAsia="Calibri" w:cs="Arial"/>
          <w:szCs w:val="24"/>
          <w:lang w:eastAsia="en-US"/>
        </w:rPr>
      </w:pPr>
      <w:r w:rsidRPr="00C74C27">
        <w:rPr>
          <w:rFonts w:eastAsia="Calibri" w:cs="Arial"/>
          <w:szCs w:val="24"/>
          <w:lang w:eastAsia="en-US"/>
        </w:rPr>
        <w:t xml:space="preserve">2022. gadā noteicošā lomā kopējā investīciju pieaugumā bija investīcijām iekārtās un mašīnās, kas pieauga par 9,4% salīdzinājumā ar 2021. gadu, veidojot 49,5% no kopējām investīcijām. Investīcijas tehnoloģiskajās iekārtās un mašīnās nepārtraukti auga jau kopš 2016. gada, tādējādi tuvojoties vēsturiski augstākajam līmenim kopš 2007. gada. Līdz 2020. gadam investīcijas ēkās un būvēs veidoja lielāko daļu no kopējām investīcijām, bet pēdējos divos gados par galveno investīciju aktīvu kļuva tieši investīcijas iekārtās un mašīnās, kas varētu liecināt par uzņēmumu vēlmi veicināt produktivitāti. Tomēr aktuālākie apstrādes rūpniecības nozarē strādājošo uzņēmēju aptaujas dati rāda, ka tikai 20% no plānotajām investīcijām 2023. gadā būs vērstas uz ražošanas procesu optimizāciju. Šāds uzņēmēju novērtējums ir būtiski zemāks nekā tādās valstīs kā Vācija, Čehija, Slovēnija, kur IKP uz vienu iedzīvotāju ir būtiski augstāks nekā Latvijā. Papildus tam, šāds novērtējums ir aptuveni par ceturtdaļu mazāks nekā vidēji ES. Lai strauji celtu produktivitāti, investīciju apjomam, kuras paredzētas ražošanas procesa </w:t>
      </w:r>
      <w:proofErr w:type="spellStart"/>
      <w:r w:rsidRPr="00C74C27">
        <w:rPr>
          <w:rFonts w:eastAsia="Calibri" w:cs="Arial"/>
          <w:szCs w:val="24"/>
          <w:lang w:eastAsia="en-US"/>
        </w:rPr>
        <w:t>efektivizācijai</w:t>
      </w:r>
      <w:proofErr w:type="spellEnd"/>
      <w:r w:rsidRPr="00C74C27">
        <w:rPr>
          <w:rFonts w:eastAsia="Calibri" w:cs="Arial"/>
          <w:szCs w:val="24"/>
          <w:lang w:eastAsia="en-US"/>
        </w:rPr>
        <w:t>, jābūt lielākam. Tāpat Latvijas uzņēmumu aptaujas dati liecina, ka 38% no plānotajām investīcijām šogad paredzētas veco iekārtu aizvietošanai, bet ražošanas paplašināšanai uzņēmēji plāno atvēlēt vien 29% no paredzētajām investīcijām. Arī šie dati signalizē, ka tuvākajos gados nav pamata sagaidīt strauju apstrādes rūpniecības nozares attīstību.</w:t>
      </w:r>
    </w:p>
    <w:p w14:paraId="7243A056" w14:textId="77777777" w:rsidR="00C74C27" w:rsidRPr="00C74C27" w:rsidRDefault="00C74C27" w:rsidP="00C74C27">
      <w:pPr>
        <w:rPr>
          <w:rFonts w:eastAsia="Calibri" w:cs="Arial"/>
          <w:szCs w:val="24"/>
          <w:lang w:eastAsia="en-US"/>
        </w:rPr>
      </w:pPr>
      <w:r w:rsidRPr="00C74C27">
        <w:rPr>
          <w:rFonts w:eastAsia="Calibri" w:cs="Arial"/>
          <w:szCs w:val="24"/>
          <w:lang w:eastAsia="en-US"/>
        </w:rPr>
        <w:t>2022. gadā straujš investīciju pieaugums bija fiksēts intelektuālā īpašuma produktos. Šie pamatlīdzekļi ietver sevī investīcijas pētniecībā un attīstībā, programmatūrā un licencēs. Kopumā pērnajā gadā investīciju apjoms šajos pamatlīdzekļos bija par 21,0% lielāks nekā pirms gada.</w:t>
      </w:r>
    </w:p>
    <w:p w14:paraId="276AF549" w14:textId="77777777" w:rsidR="00C74C27" w:rsidRPr="00C74C27" w:rsidRDefault="00C74C27" w:rsidP="00C74C27">
      <w:pPr>
        <w:rPr>
          <w:rFonts w:eastAsia="Calibri" w:cs="Arial"/>
          <w:szCs w:val="24"/>
          <w:lang w:eastAsia="en-US"/>
        </w:rPr>
      </w:pPr>
      <w:r w:rsidRPr="00C74C27">
        <w:rPr>
          <w:rFonts w:eastAsia="Calibri" w:cs="Arial"/>
          <w:szCs w:val="24"/>
          <w:lang w:eastAsia="en-US"/>
        </w:rPr>
        <w:t xml:space="preserve">Kopējo investīciju apjomu pērn mazināja zemāka aktivitāte būvniecības nozarē. 2022. gadā investīcijas biroju, mājokļu, noliktavu un citu ēku būvniecībā, kā arī jau esošo ēku un būvju renovācijā samazinājās par 11,1%. Tādējādi investīcijas šajos pamatlīdzekļos ir samazinājušās jau ceturto gadu pēc kārtas. Līdz ar šo kritumu būvniecības investīciju īpatsvars kopējās investīcijās 2022. gadā samazinājās līdz 39,6%, kamēr pirms pandēmijas investīcijas </w:t>
      </w:r>
      <w:r w:rsidRPr="00C74C27">
        <w:rPr>
          <w:rFonts w:eastAsia="Calibri" w:cs="Arial"/>
          <w:szCs w:val="24"/>
          <w:lang w:eastAsia="en-US"/>
        </w:rPr>
        <w:lastRenderedPageBreak/>
        <w:t>būvniecībā veidoja pusi no tautsaimniecībā veiktajām investīcijām. Investīcijas šajos aktīvos spilgti raksturo būvniecības produkcijas apjomu samazinājumu, kas 2022. gadā sasniedza 11,3%.</w:t>
      </w:r>
    </w:p>
    <w:p w14:paraId="4D50B6AE" w14:textId="4069AD03" w:rsidR="00C74C27" w:rsidRPr="00C74C27" w:rsidRDefault="00C74C27" w:rsidP="00C74C27">
      <w:pPr>
        <w:rPr>
          <w:rFonts w:eastAsia="Calibri" w:cs="Arial"/>
          <w:noProof/>
          <w:szCs w:val="24"/>
          <w:lang w:eastAsia="en-US"/>
        </w:rPr>
      </w:pPr>
      <w:bookmarkStart w:id="14" w:name="_Hlk146612640"/>
      <w:r w:rsidRPr="00C74C27">
        <w:rPr>
          <w:rFonts w:eastAsia="Calibri" w:cs="Arial"/>
          <w:szCs w:val="24"/>
          <w:lang w:eastAsia="en-US"/>
        </w:rPr>
        <w:t xml:space="preserve">2023. gada pirmajā ceturksnī kopējais investīciju apjoms strauji pieauga, sasniedzot 1382 </w:t>
      </w:r>
      <w:r w:rsidR="00605007">
        <w:rPr>
          <w:rFonts w:eastAsia="Calibri" w:cs="Arial"/>
          <w:szCs w:val="24"/>
          <w:lang w:eastAsia="en-US"/>
        </w:rPr>
        <w:t>milj.</w:t>
      </w:r>
      <w:r w:rsidRPr="00C74C27">
        <w:rPr>
          <w:rFonts w:eastAsia="Calibri" w:cs="Arial"/>
          <w:szCs w:val="24"/>
          <w:lang w:eastAsia="en-US"/>
        </w:rPr>
        <w:t xml:space="preserve"> </w:t>
      </w:r>
      <w:proofErr w:type="spellStart"/>
      <w:r w:rsidRPr="00C74C27">
        <w:rPr>
          <w:rFonts w:eastAsia="Calibri" w:cs="Arial"/>
          <w:i/>
          <w:iCs/>
          <w:szCs w:val="24"/>
          <w:lang w:eastAsia="en-US"/>
        </w:rPr>
        <w:t>euro</w:t>
      </w:r>
      <w:proofErr w:type="spellEnd"/>
      <w:r w:rsidRPr="00C74C27">
        <w:rPr>
          <w:rFonts w:eastAsia="Calibri" w:cs="Arial"/>
          <w:szCs w:val="24"/>
          <w:lang w:eastAsia="en-US"/>
        </w:rPr>
        <w:t xml:space="preserve"> salīdzināmās cenās. Salīdzinājumā ar pērnā gada attiecīgo periodu bruto pamatkapitāla veidošanas apjoms palielinājies par 12,2%, tādējādi nodrošinot 2,3 procentpunktu devumu ekonomikas izaugsmē. </w:t>
      </w:r>
      <w:bookmarkEnd w:id="14"/>
      <w:r w:rsidRPr="00C74C27">
        <w:rPr>
          <w:rFonts w:eastAsia="Calibri" w:cs="Arial"/>
          <w:szCs w:val="24"/>
          <w:lang w:eastAsia="en-US"/>
        </w:rPr>
        <w:t xml:space="preserve">Pozitīvi vērtējams, ka šā gada sākumā turpinājies investīciju pieaugums iekārtās un mašīnās, kā arī atjaunojas investīciju aktivitāte ēkās un būvēs. Šā gada otrajā ceturksnī investīciju pieauguma temps mazinājies, taču ir saglabājies augsts, it īpaši uz privātā patēriņa un eksporta fona. Kopējais investīciju apjoms 2023. gada otrajā ceturksnī veidoja 1689 </w:t>
      </w:r>
      <w:r w:rsidR="00605007">
        <w:rPr>
          <w:rFonts w:eastAsia="Calibri" w:cs="Arial"/>
          <w:szCs w:val="24"/>
          <w:lang w:eastAsia="en-US"/>
        </w:rPr>
        <w:t>milj.</w:t>
      </w:r>
      <w:r w:rsidRPr="00C74C27">
        <w:rPr>
          <w:rFonts w:eastAsia="Calibri" w:cs="Arial"/>
          <w:szCs w:val="24"/>
          <w:lang w:eastAsia="en-US"/>
        </w:rPr>
        <w:t xml:space="preserve"> </w:t>
      </w:r>
      <w:proofErr w:type="spellStart"/>
      <w:r w:rsidRPr="00C74C27">
        <w:rPr>
          <w:rFonts w:eastAsia="Calibri" w:cs="Arial"/>
          <w:i/>
          <w:iCs/>
          <w:szCs w:val="24"/>
          <w:lang w:eastAsia="en-US"/>
        </w:rPr>
        <w:t>euro</w:t>
      </w:r>
      <w:proofErr w:type="spellEnd"/>
      <w:r w:rsidRPr="00C74C27">
        <w:rPr>
          <w:rFonts w:eastAsia="Calibri" w:cs="Arial"/>
          <w:szCs w:val="24"/>
          <w:lang w:eastAsia="en-US"/>
        </w:rPr>
        <w:t xml:space="preserve"> un bija par 6,1% augstāks nekā attiecīgajā ceturksnī pērn, tādējādi nedaudz mīkstinot privātā patēriņa un eksporta krituma ietekmi. Kopumā šā gada pirmajā pusē investīciju apjoms Latvijā bija par 8,7% augstāks nekā iepriekšējā gada pirmajā pusē.</w:t>
      </w:r>
    </w:p>
    <w:tbl>
      <w:tblPr>
        <w:tblW w:w="5003" w:type="pct"/>
        <w:tblInd w:w="-5" w:type="dxa"/>
        <w:tblLayout w:type="fixed"/>
        <w:tblLook w:val="04A0" w:firstRow="1" w:lastRow="0" w:firstColumn="1" w:lastColumn="0" w:noHBand="0" w:noVBand="1"/>
      </w:tblPr>
      <w:tblGrid>
        <w:gridCol w:w="4537"/>
        <w:gridCol w:w="4539"/>
      </w:tblGrid>
      <w:tr w:rsidR="00C74C27" w:rsidRPr="00C74C27" w14:paraId="562E9C6F" w14:textId="77777777" w:rsidTr="0049639B">
        <w:trPr>
          <w:cantSplit/>
          <w:trHeight w:val="6224"/>
        </w:trPr>
        <w:tc>
          <w:tcPr>
            <w:tcW w:w="4155" w:type="dxa"/>
          </w:tcPr>
          <w:p w14:paraId="2C7CFDCA" w14:textId="77777777" w:rsidR="00C74C27" w:rsidRPr="00C74C27" w:rsidRDefault="00C74C27" w:rsidP="00C74C27">
            <w:pPr>
              <w:keepNext/>
              <w:keepLines/>
              <w:spacing w:before="240" w:after="240" w:line="259" w:lineRule="auto"/>
              <w:ind w:firstLine="0"/>
              <w:jc w:val="center"/>
              <w:outlineLvl w:val="1"/>
              <w:rPr>
                <w:rFonts w:ascii="Calibri" w:eastAsia="Calibri" w:hAnsi="Calibri" w:cs="Arial"/>
                <w:noProof/>
                <w:szCs w:val="24"/>
                <w:lang w:eastAsia="en-US"/>
              </w:rPr>
            </w:pPr>
            <w:r w:rsidRPr="00C74C27">
              <w:rPr>
                <w:rFonts w:ascii="Calibri" w:eastAsia="Calibri" w:hAnsi="Calibri" w:cs="Times New Roman"/>
                <w:noProof/>
                <w:sz w:val="22"/>
                <w:lang w:eastAsia="en-US"/>
              </w:rPr>
              <w:drawing>
                <wp:inline distT="0" distB="0" distL="0" distR="0" wp14:anchorId="1B299C80" wp14:editId="26658B5B">
                  <wp:extent cx="2638425" cy="3695700"/>
                  <wp:effectExtent l="0" t="0" r="0" b="0"/>
                  <wp:docPr id="240674272" name="Chart 1">
                    <a:extLst xmlns:a="http://schemas.openxmlformats.org/drawingml/2006/main">
                      <a:ext uri="{FF2B5EF4-FFF2-40B4-BE49-F238E27FC236}">
                        <a16:creationId xmlns:a16="http://schemas.microsoft.com/office/drawing/2014/main" id="{00000000-0008-0000-2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4156" w:type="dxa"/>
          </w:tcPr>
          <w:p w14:paraId="5220FA49" w14:textId="77777777" w:rsidR="00C74C27" w:rsidRPr="00C74C27" w:rsidRDefault="00C74C27" w:rsidP="00C74C27">
            <w:pPr>
              <w:keepNext/>
              <w:keepLines/>
              <w:spacing w:before="240" w:after="240" w:line="259" w:lineRule="auto"/>
              <w:ind w:firstLine="0"/>
              <w:jc w:val="center"/>
              <w:outlineLvl w:val="1"/>
              <w:rPr>
                <w:rFonts w:ascii="Calibri" w:eastAsia="Calibri" w:hAnsi="Calibri" w:cs="Arial"/>
                <w:noProof/>
                <w:szCs w:val="24"/>
                <w:lang w:eastAsia="en-US"/>
              </w:rPr>
            </w:pPr>
            <w:r w:rsidRPr="00C74C27">
              <w:rPr>
                <w:rFonts w:ascii="Calibri" w:eastAsia="Calibri" w:hAnsi="Calibri" w:cs="Times New Roman"/>
                <w:noProof/>
                <w:sz w:val="22"/>
                <w:lang w:eastAsia="en-US"/>
              </w:rPr>
              <w:drawing>
                <wp:inline distT="0" distB="0" distL="0" distR="0" wp14:anchorId="209FE605" wp14:editId="31481DFE">
                  <wp:extent cx="2501900" cy="3962400"/>
                  <wp:effectExtent l="0" t="0" r="0" b="0"/>
                  <wp:docPr id="1627177878" name="Chart 1">
                    <a:extLst xmlns:a="http://schemas.openxmlformats.org/drawingml/2006/main">
                      <a:ext uri="{FF2B5EF4-FFF2-40B4-BE49-F238E27FC236}">
                        <a16:creationId xmlns:a16="http://schemas.microsoft.com/office/drawing/2014/main" id="{00000000-0008-0000-2C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r w:rsidR="00C74C27" w:rsidRPr="00C74C27" w14:paraId="225E799A" w14:textId="77777777" w:rsidTr="0049639B">
        <w:tblPrEx>
          <w:tblCellMar>
            <w:left w:w="0" w:type="dxa"/>
            <w:right w:w="0" w:type="dxa"/>
          </w:tblCellMar>
        </w:tblPrEx>
        <w:trPr>
          <w:cantSplit/>
        </w:trPr>
        <w:tc>
          <w:tcPr>
            <w:tcW w:w="4155" w:type="dxa"/>
            <w:tcBorders>
              <w:top w:val="nil"/>
              <w:left w:val="nil"/>
              <w:bottom w:val="nil"/>
              <w:right w:val="nil"/>
            </w:tcBorders>
          </w:tcPr>
          <w:p w14:paraId="553426F7" w14:textId="273CDAFF" w:rsidR="00C74C27" w:rsidRPr="00C74C27" w:rsidRDefault="00C74C27" w:rsidP="00C74C27">
            <w:pPr>
              <w:keepNext/>
              <w:keepLines/>
              <w:spacing w:after="0"/>
              <w:ind w:firstLine="0"/>
              <w:jc w:val="center"/>
              <w:outlineLvl w:val="1"/>
              <w:rPr>
                <w:rFonts w:eastAsia="Calibri" w:cs="Times New Roman"/>
                <w:b/>
                <w:i/>
                <w:iCs/>
                <w:noProof/>
                <w:szCs w:val="24"/>
                <w:lang w:eastAsia="en-US"/>
              </w:rPr>
            </w:pPr>
            <w:r w:rsidRPr="00C74C27">
              <w:rPr>
                <w:rFonts w:eastAsia="Calibri" w:cs="Times New Roman"/>
                <w:b/>
                <w:i/>
                <w:iCs/>
                <w:noProof/>
                <w:szCs w:val="24"/>
                <w:lang w:eastAsia="en-US"/>
              </w:rPr>
              <w:t>1.2</w:t>
            </w:r>
            <w:r w:rsidR="00DB7D5E">
              <w:rPr>
                <w:rFonts w:eastAsia="Calibri" w:cs="Times New Roman"/>
                <w:b/>
                <w:i/>
                <w:iCs/>
                <w:noProof/>
                <w:szCs w:val="24"/>
                <w:lang w:eastAsia="en-US"/>
              </w:rPr>
              <w:t>3</w:t>
            </w:r>
            <w:r w:rsidRPr="00C74C27">
              <w:rPr>
                <w:rFonts w:eastAsia="Calibri" w:cs="Times New Roman"/>
                <w:b/>
                <w:i/>
                <w:iCs/>
                <w:noProof/>
                <w:szCs w:val="24"/>
                <w:lang w:eastAsia="en-US"/>
              </w:rPr>
              <w:t>. att. Bruto kapitālieguldījumi</w:t>
            </w:r>
            <w:r w:rsidRPr="00C74C27">
              <w:rPr>
                <w:rFonts w:eastAsia="Calibri" w:cs="Times New Roman"/>
                <w:b/>
                <w:i/>
                <w:iCs/>
                <w:noProof/>
                <w:szCs w:val="24"/>
                <w:lang w:eastAsia="en-US"/>
              </w:rPr>
              <w:br/>
              <w:t>pa darbības veidiem</w:t>
            </w:r>
            <w:r w:rsidRPr="00C74C27">
              <w:rPr>
                <w:rFonts w:eastAsia="Calibri" w:cs="Times New Roman"/>
                <w:b/>
                <w:i/>
                <w:iCs/>
                <w:noProof/>
                <w:szCs w:val="24"/>
                <w:lang w:eastAsia="en-US"/>
              </w:rPr>
              <w:br/>
              <w:t>(milj. euro, salīdzināmajās cenās)</w:t>
            </w:r>
          </w:p>
        </w:tc>
        <w:tc>
          <w:tcPr>
            <w:tcW w:w="4156" w:type="dxa"/>
            <w:tcBorders>
              <w:top w:val="nil"/>
              <w:left w:val="nil"/>
              <w:bottom w:val="nil"/>
              <w:right w:val="nil"/>
            </w:tcBorders>
          </w:tcPr>
          <w:p w14:paraId="4CC7A700" w14:textId="689329C5" w:rsidR="00C74C27" w:rsidRPr="00C74C27" w:rsidRDefault="00C74C27" w:rsidP="00C74C27">
            <w:pPr>
              <w:keepNext/>
              <w:keepLines/>
              <w:spacing w:after="0"/>
              <w:ind w:firstLine="0"/>
              <w:jc w:val="center"/>
              <w:outlineLvl w:val="1"/>
              <w:rPr>
                <w:rFonts w:eastAsia="Calibri" w:cs="Times New Roman"/>
                <w:b/>
                <w:i/>
                <w:iCs/>
                <w:noProof/>
                <w:szCs w:val="24"/>
                <w:lang w:eastAsia="en-US"/>
              </w:rPr>
            </w:pPr>
            <w:r w:rsidRPr="00C74C27">
              <w:rPr>
                <w:rFonts w:eastAsia="Calibri" w:cs="Times New Roman"/>
                <w:b/>
                <w:i/>
                <w:iCs/>
                <w:noProof/>
                <w:szCs w:val="24"/>
                <w:lang w:eastAsia="en-US"/>
              </w:rPr>
              <w:t>1.2</w:t>
            </w:r>
            <w:r w:rsidR="00DB7D5E">
              <w:rPr>
                <w:rFonts w:eastAsia="Calibri" w:cs="Times New Roman"/>
                <w:b/>
                <w:i/>
                <w:iCs/>
                <w:noProof/>
                <w:szCs w:val="24"/>
                <w:lang w:eastAsia="en-US"/>
              </w:rPr>
              <w:t>4</w:t>
            </w:r>
            <w:r w:rsidRPr="00C74C27">
              <w:rPr>
                <w:rFonts w:eastAsia="Calibri" w:cs="Times New Roman"/>
                <w:b/>
                <w:i/>
                <w:iCs/>
                <w:noProof/>
                <w:szCs w:val="24"/>
                <w:lang w:eastAsia="en-US"/>
              </w:rPr>
              <w:t>. att. Bruto kapitālieguldījumu izmaiņas pa darbības veidiem</w:t>
            </w:r>
            <w:r w:rsidRPr="00C74C27">
              <w:rPr>
                <w:rFonts w:eastAsia="Calibri" w:cs="Times New Roman"/>
                <w:b/>
                <w:i/>
                <w:iCs/>
                <w:noProof/>
                <w:szCs w:val="24"/>
                <w:lang w:eastAsia="en-US"/>
              </w:rPr>
              <w:br/>
              <w:t>(milj. euro, salīdzināmajās cenās)</w:t>
            </w:r>
          </w:p>
        </w:tc>
      </w:tr>
    </w:tbl>
    <w:p w14:paraId="1D6BD12E" w14:textId="77777777" w:rsidR="00C74C27" w:rsidRPr="00C74C27" w:rsidRDefault="00C74C27" w:rsidP="00C74C27">
      <w:pPr>
        <w:rPr>
          <w:rFonts w:eastAsia="Calibri" w:cs="Arial"/>
          <w:szCs w:val="24"/>
          <w:lang w:eastAsia="en-US"/>
        </w:rPr>
      </w:pPr>
    </w:p>
    <w:p w14:paraId="4C448915" w14:textId="77777777" w:rsidR="00C74C27" w:rsidRPr="00C74C27" w:rsidRDefault="00C74C27" w:rsidP="00C74C27">
      <w:pPr>
        <w:rPr>
          <w:rFonts w:eastAsia="Calibri" w:cs="Arial"/>
          <w:szCs w:val="24"/>
          <w:lang w:eastAsia="en-US"/>
        </w:rPr>
      </w:pPr>
      <w:r w:rsidRPr="00C74C27">
        <w:rPr>
          <w:rFonts w:eastAsia="Calibri" w:cs="Arial"/>
          <w:szCs w:val="24"/>
          <w:lang w:eastAsia="en-US"/>
        </w:rPr>
        <w:t xml:space="preserve">Lielāko devumu kopējā investīciju pieaugumā šā gadā pirmajā pusē nodrošināja augstākas investīcijas biroju, mājokļu, noliktavu un citu ēku būvniecībā, kā arī jau esošo ēku un būvju renovācijā. Investīciju apjoms šajos pamatlīdzekļos pieauga par 16,0% salīdzinājumā ar 2022. gada pirmo pusgadu. Tas atspoguļojas arī būvniecības nozares attīstībā. Straujo kāpumu lielā mērā izskaidro pērnā gada zemā bāze. Neskatoties uz strauju un noturīgu izaugsmi gan pirmajā, gan otrajā ceturksnī, investīcijas ēkās un būvēs vēl atpaliek no pirms Covid-19 krīzes līmeņiem. Sagaidāms, ka arī turpmākajos ceturkšņos investīciju pieaugums būs samērā straujš pērnā gada zemās bāzes dēļ. Vienlaicīgi jāatzīmē, ka aktīvākām investīcijām pastāv arī </w:t>
      </w:r>
      <w:r w:rsidRPr="00C74C27">
        <w:rPr>
          <w:rFonts w:eastAsia="Calibri" w:cs="Arial"/>
          <w:szCs w:val="24"/>
          <w:lang w:eastAsia="en-US"/>
        </w:rPr>
        <w:lastRenderedPageBreak/>
        <w:t xml:space="preserve">vairāki šķēršļi. Pirmkārt, augstās būvmateriālu cenas. Lai arī energoresursu cenas kopš pērnā gada būtiski samazinās, tomēr metālu, cementa un citu būvmateriālu ražošanas izmaksas joprojām ir augstas. Otrkārt, </w:t>
      </w:r>
      <w:proofErr w:type="spellStart"/>
      <w:r w:rsidRPr="00C74C27">
        <w:rPr>
          <w:rFonts w:eastAsia="Calibri" w:cs="Arial"/>
          <w:szCs w:val="24"/>
          <w:lang w:eastAsia="en-US"/>
        </w:rPr>
        <w:t>procentlikmju</w:t>
      </w:r>
      <w:proofErr w:type="spellEnd"/>
      <w:r w:rsidRPr="00C74C27">
        <w:rPr>
          <w:rFonts w:eastAsia="Calibri" w:cs="Arial"/>
          <w:szCs w:val="24"/>
          <w:lang w:eastAsia="en-US"/>
        </w:rPr>
        <w:t xml:space="preserve"> pieaugums. 2023. gada vidū 6 mēnešu </w:t>
      </w:r>
      <w:proofErr w:type="spellStart"/>
      <w:r w:rsidRPr="00C74C27">
        <w:rPr>
          <w:rFonts w:eastAsia="Calibri" w:cs="Arial"/>
          <w:i/>
          <w:iCs/>
          <w:szCs w:val="24"/>
          <w:lang w:eastAsia="en-US"/>
        </w:rPr>
        <w:t>Euribor</w:t>
      </w:r>
      <w:proofErr w:type="spellEnd"/>
      <w:r w:rsidRPr="00C74C27">
        <w:rPr>
          <w:rFonts w:eastAsia="Calibri" w:cs="Arial"/>
          <w:i/>
          <w:iCs/>
          <w:szCs w:val="24"/>
          <w:lang w:eastAsia="en-US"/>
        </w:rPr>
        <w:t xml:space="preserve"> </w:t>
      </w:r>
      <w:r w:rsidRPr="00C74C27">
        <w:rPr>
          <w:rFonts w:eastAsia="Calibri" w:cs="Arial"/>
          <w:szCs w:val="24"/>
          <w:lang w:eastAsia="en-US"/>
        </w:rPr>
        <w:t xml:space="preserve">likme svārstās ap 4%, kamēr vēl līdz pērnā gada vidum tā bija negatīva. Šāda </w:t>
      </w:r>
      <w:proofErr w:type="spellStart"/>
      <w:r w:rsidRPr="00C74C27">
        <w:rPr>
          <w:rFonts w:eastAsia="Calibri" w:cs="Arial"/>
          <w:szCs w:val="24"/>
          <w:lang w:eastAsia="en-US"/>
        </w:rPr>
        <w:t>procentlikmju</w:t>
      </w:r>
      <w:proofErr w:type="spellEnd"/>
      <w:r w:rsidRPr="00C74C27">
        <w:rPr>
          <w:rFonts w:eastAsia="Calibri" w:cs="Arial"/>
          <w:szCs w:val="24"/>
          <w:lang w:eastAsia="en-US"/>
        </w:rPr>
        <w:t xml:space="preserve"> dinamika palielina gan pašreizējo kredītsaistību apkalpošanas izmaksas uzņēmējiem un mājsaimniecībām, gan mazina pieprasījumu pēc jauniem kredītiem. </w:t>
      </w:r>
    </w:p>
    <w:p w14:paraId="7C4BCD62" w14:textId="2BAF638E" w:rsidR="00C74C27" w:rsidRPr="00C74C27" w:rsidRDefault="00C74C27" w:rsidP="00C74C27">
      <w:pPr>
        <w:rPr>
          <w:rFonts w:eastAsia="Calibri" w:cs="Arial"/>
          <w:szCs w:val="24"/>
          <w:lang w:eastAsia="en-US"/>
        </w:rPr>
      </w:pPr>
      <w:r w:rsidRPr="00C74C27">
        <w:rPr>
          <w:rFonts w:eastAsia="Calibri" w:cs="Arial"/>
          <w:szCs w:val="24"/>
          <w:lang w:eastAsia="en-US"/>
        </w:rPr>
        <w:t xml:space="preserve">Šādos apstākļos pieaug valdības investīciju loma. Lai arī valdības investīciju apjoms nesasniedz pat ceturto daļu no kopējām investīcijām tautsaimniecībā, tās nodrošina būtisku multiplikatoru privātajām investīcijām. Atbilstoši FM prognozēm, vispārējās valdības investīciju apjoms šogad sasniegs 2077 </w:t>
      </w:r>
      <w:r w:rsidR="00605007">
        <w:rPr>
          <w:rFonts w:eastAsia="Calibri" w:cs="Arial"/>
          <w:szCs w:val="24"/>
          <w:lang w:eastAsia="en-US"/>
        </w:rPr>
        <w:t>milj.</w:t>
      </w:r>
      <w:r w:rsidRPr="00C74C27">
        <w:rPr>
          <w:rFonts w:eastAsia="Calibri" w:cs="Arial"/>
          <w:szCs w:val="24"/>
          <w:lang w:eastAsia="en-US"/>
        </w:rPr>
        <w:t xml:space="preserve"> </w:t>
      </w:r>
      <w:proofErr w:type="spellStart"/>
      <w:r w:rsidRPr="00C74C27">
        <w:rPr>
          <w:rFonts w:eastAsia="Calibri" w:cs="Arial"/>
          <w:i/>
          <w:iCs/>
          <w:szCs w:val="24"/>
          <w:lang w:eastAsia="en-US"/>
        </w:rPr>
        <w:t>euro</w:t>
      </w:r>
      <w:proofErr w:type="spellEnd"/>
      <w:r w:rsidRPr="00C74C27">
        <w:rPr>
          <w:rFonts w:eastAsia="Calibri" w:cs="Arial"/>
          <w:szCs w:val="24"/>
          <w:lang w:eastAsia="en-US"/>
        </w:rPr>
        <w:t>, kas ir par 38,9% vairāk nekā 2022.</w:t>
      </w:r>
      <w:r w:rsidRPr="00C74C27">
        <w:rPr>
          <w:rFonts w:ascii="Calibri" w:eastAsia="Calibri" w:hAnsi="Calibri" w:cs="Times New Roman"/>
          <w:sz w:val="22"/>
          <w:lang w:eastAsia="en-US"/>
        </w:rPr>
        <w:t> </w:t>
      </w:r>
      <w:r w:rsidRPr="00C74C27">
        <w:rPr>
          <w:rFonts w:eastAsia="Calibri" w:cs="Arial"/>
          <w:szCs w:val="24"/>
          <w:lang w:eastAsia="en-US"/>
        </w:rPr>
        <w:t xml:space="preserve">gadā, t.sk. strauji augošais investīciju apjoms </w:t>
      </w:r>
      <w:r w:rsidRPr="00C74C27">
        <w:rPr>
          <w:rFonts w:eastAsia="Calibri" w:cs="Arial"/>
          <w:i/>
          <w:iCs/>
          <w:szCs w:val="24"/>
          <w:lang w:eastAsia="en-US"/>
        </w:rPr>
        <w:t>Rail </w:t>
      </w:r>
      <w:proofErr w:type="spellStart"/>
      <w:r w:rsidRPr="00C74C27">
        <w:rPr>
          <w:rFonts w:eastAsia="Calibri" w:cs="Arial"/>
          <w:i/>
          <w:iCs/>
          <w:szCs w:val="24"/>
          <w:lang w:eastAsia="en-US"/>
        </w:rPr>
        <w:t>Baltica</w:t>
      </w:r>
      <w:proofErr w:type="spellEnd"/>
      <w:r w:rsidRPr="00C74C27">
        <w:rPr>
          <w:rFonts w:eastAsia="Calibri" w:cs="Arial"/>
          <w:szCs w:val="24"/>
          <w:lang w:eastAsia="en-US"/>
        </w:rPr>
        <w:t xml:space="preserve"> projekta realizācijā, kas kopā rada būtisku devumu ekonomikas attīstībā.</w:t>
      </w:r>
    </w:p>
    <w:p w14:paraId="031311E1" w14:textId="77777777" w:rsidR="00C74C27" w:rsidRPr="00C74C27" w:rsidRDefault="00C74C27" w:rsidP="00C74C27">
      <w:pPr>
        <w:rPr>
          <w:rFonts w:eastAsia="Calibri" w:cs="Arial"/>
          <w:szCs w:val="24"/>
          <w:lang w:eastAsia="en-US"/>
        </w:rPr>
      </w:pPr>
      <w:r w:rsidRPr="00C74C27">
        <w:rPr>
          <w:rFonts w:eastAsia="Calibri" w:cs="Arial"/>
          <w:szCs w:val="24"/>
          <w:lang w:eastAsia="en-US"/>
        </w:rPr>
        <w:t xml:space="preserve">  Investīcijas tehnoloģiskajās iekārtās un mašīnās 2023. gada pirmajā pusgadā bija par 3,1% lielākas nekā attiecīgajā periodā pirms gada. Informācija par investīciju struktūru šajos pamatlīdzekļos ir ierobežota un precīzi zināmi dati ir pieejami tikai par transportlīdzekļiem. Investīcijas transportlīdzekļos, kas veido nedaudz mazāk par trešdaļu no kopējām investīcijām šajā grupā, pieauga par 27,3%, kas vērtējams kā ļoti straujš kāpums. Balstoties uz šo informāciju, var secināt, ka investīcijas vai daļa no tām, tādos pamatlīdzekļos kā informācijas un komunikācijas iekārtas, ieroču sistēmas, kā arī pārējās tehnoloģiskās iekārtas, mazinājās. Atbilstoši ārējās tirdzniecības datiem, automobiļu un citu mehānisko transportlīdzekļu imports šā gada pirmajā pusgadā pieauga par 39,2% faktiskajās cenās, kas kopumā izskaidro straujo investīciju pieaugumu šajā segmentā.</w:t>
      </w:r>
    </w:p>
    <w:p w14:paraId="0DA1A029" w14:textId="28E7B47F" w:rsidR="00C74C27" w:rsidRPr="00C74C27" w:rsidRDefault="00C74C27" w:rsidP="00C74C27">
      <w:pPr>
        <w:keepNext/>
        <w:keepLines/>
        <w:spacing w:before="240" w:after="240"/>
        <w:ind w:firstLine="0"/>
        <w:jc w:val="center"/>
        <w:outlineLvl w:val="1"/>
        <w:rPr>
          <w:rFonts w:eastAsia="Times New Roman" w:cs="Times New Roman"/>
          <w:b/>
          <w:bCs/>
          <w:color w:val="000000"/>
          <w:sz w:val="36"/>
          <w:szCs w:val="28"/>
        </w:rPr>
      </w:pPr>
      <w:r w:rsidRPr="00C74C27">
        <w:rPr>
          <w:rFonts w:eastAsia="Times New Roman" w:cs="Times New Roman"/>
          <w:b/>
          <w:bCs/>
          <w:color w:val="000000"/>
          <w:sz w:val="36"/>
          <w:szCs w:val="28"/>
        </w:rPr>
        <w:t xml:space="preserve">1.3. Makroekonomisko nelīdzsvarotību uzraudzība </w:t>
      </w:r>
      <w:bookmarkEnd w:id="12"/>
      <w:bookmarkEnd w:id="13"/>
      <w:r>
        <w:rPr>
          <w:rFonts w:eastAsia="Times New Roman" w:cs="Times New Roman"/>
          <w:b/>
          <w:bCs/>
          <w:color w:val="000000"/>
          <w:sz w:val="36"/>
          <w:szCs w:val="28"/>
        </w:rPr>
        <w:t>ES</w:t>
      </w:r>
    </w:p>
    <w:p w14:paraId="0C89F9F3" w14:textId="2D599125" w:rsidR="00C74C27" w:rsidRPr="00C74C27" w:rsidRDefault="00C74C27" w:rsidP="00C74C27">
      <w:pPr>
        <w:rPr>
          <w:rFonts w:eastAsia="Calibri" w:cs="Arial"/>
          <w:szCs w:val="24"/>
          <w:lang w:eastAsia="en-US"/>
        </w:rPr>
      </w:pPr>
      <w:bookmarkStart w:id="15" w:name="_Toc126011233"/>
      <w:bookmarkStart w:id="16" w:name="_Toc126044017"/>
      <w:r w:rsidRPr="00C74C27">
        <w:rPr>
          <w:rFonts w:eastAsia="Calibri" w:cs="Arial"/>
          <w:szCs w:val="24"/>
          <w:lang w:eastAsia="en-US"/>
        </w:rPr>
        <w:t xml:space="preserve">Agrās brīdināšanas mehānisma ziņojums </w:t>
      </w:r>
      <w:r w:rsidR="00957DAA" w:rsidRPr="00957DAA">
        <w:rPr>
          <w:rFonts w:eastAsia="Calibri" w:cs="Arial"/>
          <w:szCs w:val="24"/>
          <w:lang w:eastAsia="en-US"/>
        </w:rPr>
        <w:t>(</w:t>
      </w:r>
      <w:proofErr w:type="spellStart"/>
      <w:r w:rsidR="00957DAA" w:rsidRPr="00957DAA">
        <w:rPr>
          <w:rFonts w:eastAsia="Calibri" w:cs="Arial"/>
          <w:i/>
          <w:iCs/>
          <w:szCs w:val="24"/>
          <w:lang w:eastAsia="en-US"/>
        </w:rPr>
        <w:t>Alert</w:t>
      </w:r>
      <w:proofErr w:type="spellEnd"/>
      <w:r w:rsidR="00957DAA" w:rsidRPr="00957DAA">
        <w:rPr>
          <w:rFonts w:eastAsia="Calibri" w:cs="Arial"/>
          <w:i/>
          <w:iCs/>
          <w:szCs w:val="24"/>
          <w:lang w:eastAsia="en-US"/>
        </w:rPr>
        <w:t xml:space="preserve"> </w:t>
      </w:r>
      <w:proofErr w:type="spellStart"/>
      <w:r w:rsidR="00957DAA" w:rsidRPr="00957DAA">
        <w:rPr>
          <w:rFonts w:eastAsia="Calibri" w:cs="Arial"/>
          <w:i/>
          <w:iCs/>
          <w:szCs w:val="24"/>
          <w:lang w:eastAsia="en-US"/>
        </w:rPr>
        <w:t>Mechanism</w:t>
      </w:r>
      <w:proofErr w:type="spellEnd"/>
      <w:r w:rsidR="00957DAA" w:rsidRPr="00957DAA">
        <w:rPr>
          <w:rFonts w:eastAsia="Calibri" w:cs="Arial"/>
          <w:i/>
          <w:iCs/>
          <w:szCs w:val="24"/>
          <w:lang w:eastAsia="en-US"/>
        </w:rPr>
        <w:t xml:space="preserve"> </w:t>
      </w:r>
      <w:proofErr w:type="spellStart"/>
      <w:r w:rsidR="00957DAA" w:rsidRPr="00957DAA">
        <w:rPr>
          <w:rFonts w:eastAsia="Calibri" w:cs="Arial"/>
          <w:i/>
          <w:iCs/>
          <w:szCs w:val="24"/>
          <w:lang w:eastAsia="en-US"/>
        </w:rPr>
        <w:t>Report</w:t>
      </w:r>
      <w:proofErr w:type="spellEnd"/>
      <w:r w:rsidR="00957DAA">
        <w:rPr>
          <w:rFonts w:eastAsia="Calibri" w:cs="Arial"/>
          <w:i/>
          <w:iCs/>
          <w:szCs w:val="24"/>
          <w:lang w:eastAsia="en-US"/>
        </w:rPr>
        <w:t xml:space="preserve"> - </w:t>
      </w:r>
      <w:r w:rsidR="00957DAA" w:rsidRPr="00957DAA">
        <w:rPr>
          <w:rFonts w:eastAsia="Calibri" w:cs="Arial"/>
          <w:szCs w:val="24"/>
          <w:lang w:eastAsia="en-US"/>
        </w:rPr>
        <w:t>A</w:t>
      </w:r>
      <w:r w:rsidR="002D2D5D">
        <w:rPr>
          <w:rFonts w:eastAsia="Calibri" w:cs="Arial"/>
          <w:szCs w:val="24"/>
          <w:lang w:eastAsia="en-US"/>
        </w:rPr>
        <w:t>MR</w:t>
      </w:r>
      <w:r w:rsidR="00957DAA" w:rsidRPr="00957DAA">
        <w:rPr>
          <w:rFonts w:eastAsia="Calibri" w:cs="Arial"/>
          <w:szCs w:val="24"/>
          <w:lang w:eastAsia="en-US"/>
        </w:rPr>
        <w:t>)</w:t>
      </w:r>
      <w:r w:rsidR="00957DAA">
        <w:rPr>
          <w:rFonts w:eastAsia="Calibri" w:cs="Arial"/>
          <w:szCs w:val="24"/>
          <w:lang w:eastAsia="en-US"/>
        </w:rPr>
        <w:t xml:space="preserve"> </w:t>
      </w:r>
      <w:r w:rsidRPr="00C74C27">
        <w:rPr>
          <w:rFonts w:eastAsia="Calibri" w:cs="Arial"/>
          <w:szCs w:val="24"/>
          <w:lang w:eastAsia="en-US"/>
        </w:rPr>
        <w:t>tiek publicēts tekošā gada beigās, kas ir arī sākums jaunam makroekonomiskās nesabalansētības uzraudzības ciklam. Tādējādi šobrīd, sagatavojot 2023. gada budžeta paskaidrojumus, tiek izmantots “Agrās brīdināšanas mehānisma ziņojums 2023”</w:t>
      </w:r>
      <w:r w:rsidR="00957DAA">
        <w:rPr>
          <w:rFonts w:eastAsia="Calibri" w:cs="Arial"/>
          <w:szCs w:val="24"/>
          <w:lang w:eastAsia="en-US"/>
        </w:rPr>
        <w:t xml:space="preserve">, </w:t>
      </w:r>
      <w:r w:rsidRPr="00C74C27">
        <w:rPr>
          <w:rFonts w:eastAsia="Calibri" w:cs="Arial"/>
          <w:szCs w:val="24"/>
          <w:lang w:eastAsia="en-US"/>
        </w:rPr>
        <w:t xml:space="preserve">kurš tika publicēts 2022. gada 22. novembrī. Ziņojumu izstrādē tiek lietoti statistikas dati ar gada nobīdi, attiecīgi 2023. gada </w:t>
      </w:r>
      <w:r w:rsidR="00957DAA">
        <w:rPr>
          <w:rFonts w:eastAsia="Calibri" w:cs="Arial"/>
          <w:szCs w:val="24"/>
          <w:lang w:eastAsia="en-US"/>
        </w:rPr>
        <w:t>AM</w:t>
      </w:r>
      <w:r w:rsidR="003F1B42">
        <w:rPr>
          <w:rFonts w:eastAsia="Calibri" w:cs="Arial"/>
          <w:szCs w:val="24"/>
          <w:lang w:eastAsia="en-US"/>
        </w:rPr>
        <w:t>R</w:t>
      </w:r>
      <w:r w:rsidRPr="00C74C27">
        <w:rPr>
          <w:rFonts w:eastAsia="Calibri" w:cs="Arial"/>
          <w:szCs w:val="24"/>
          <w:lang w:eastAsia="en-US"/>
        </w:rPr>
        <w:t xml:space="preserve"> balstās uz 2021. gada statistikas datiem. Ziņojuma pamatā ir divas rādītāju grupas – 14 pamata rādītāji un 28 papildinoši rādītāji. Pamata rādītājiem ir definēti </w:t>
      </w:r>
      <w:proofErr w:type="spellStart"/>
      <w:r w:rsidRPr="00C74C27">
        <w:rPr>
          <w:rFonts w:eastAsia="Calibri" w:cs="Arial"/>
          <w:szCs w:val="24"/>
          <w:lang w:eastAsia="en-US"/>
        </w:rPr>
        <w:t>mērķlīmeņi</w:t>
      </w:r>
      <w:proofErr w:type="spellEnd"/>
      <w:r w:rsidRPr="00C74C27">
        <w:rPr>
          <w:rFonts w:eastAsia="Calibri" w:cs="Arial"/>
          <w:szCs w:val="24"/>
          <w:lang w:eastAsia="en-US"/>
        </w:rPr>
        <w:t xml:space="preserve"> jeb pieļaujamās robežvērtības, kuru pārsniegšana var iniciēt Padziļinātās izpētes ziņojuma (</w:t>
      </w:r>
      <w:proofErr w:type="spellStart"/>
      <w:r w:rsidRPr="00C74C27">
        <w:rPr>
          <w:rFonts w:eastAsia="Calibri" w:cs="Arial"/>
          <w:i/>
          <w:iCs/>
          <w:szCs w:val="24"/>
          <w:lang w:eastAsia="en-US"/>
        </w:rPr>
        <w:t>In-depth</w:t>
      </w:r>
      <w:proofErr w:type="spellEnd"/>
      <w:r w:rsidRPr="00C74C27">
        <w:rPr>
          <w:rFonts w:eastAsia="Calibri" w:cs="Arial"/>
          <w:i/>
          <w:iCs/>
          <w:szCs w:val="24"/>
          <w:lang w:eastAsia="en-US"/>
        </w:rPr>
        <w:t xml:space="preserve"> </w:t>
      </w:r>
      <w:proofErr w:type="spellStart"/>
      <w:r w:rsidRPr="00C74C27">
        <w:rPr>
          <w:rFonts w:eastAsia="Calibri" w:cs="Arial"/>
          <w:i/>
          <w:iCs/>
          <w:szCs w:val="24"/>
          <w:lang w:eastAsia="en-US"/>
        </w:rPr>
        <w:t>review</w:t>
      </w:r>
      <w:proofErr w:type="spellEnd"/>
      <w:r w:rsidRPr="00C74C27">
        <w:rPr>
          <w:rFonts w:eastAsia="Calibri" w:cs="Arial"/>
          <w:szCs w:val="24"/>
          <w:lang w:eastAsia="en-US"/>
        </w:rPr>
        <w:t>) izstrādi par attiecīgo dalībvalsti. Lēmums par attiecīgās valsts ekonomikas padziļinātās izpētes procedūras uzsākšanu var tikt pieņemts pamatojoties uz izvērstu, fundamentālu ekonomiskās situācijas un saistīto risku analīzi, kā arī ņemot vērā rādītāju sagaidāmo dinamiku. Automātiska padziļinātās izpētes procedūras uzsākšana, pamatojoties vienīgi uz tehnisku dažu rādītāju noteikto robežvērtību pārsniegšanu, netiek praktizēta. Pamata rādītāju tabula (</w:t>
      </w:r>
      <w:proofErr w:type="spellStart"/>
      <w:r w:rsidRPr="00C74C27">
        <w:rPr>
          <w:rFonts w:eastAsia="Calibri" w:cs="Arial"/>
          <w:i/>
          <w:iCs/>
          <w:szCs w:val="24"/>
          <w:lang w:eastAsia="en-US"/>
        </w:rPr>
        <w:t>scoreboard</w:t>
      </w:r>
      <w:proofErr w:type="spellEnd"/>
      <w:r w:rsidRPr="00C74C27">
        <w:rPr>
          <w:rFonts w:eastAsia="Calibri" w:cs="Arial"/>
          <w:szCs w:val="24"/>
          <w:lang w:eastAsia="en-US"/>
        </w:rPr>
        <w:t>) ietver šādus rādītājus:</w:t>
      </w:r>
    </w:p>
    <w:p w14:paraId="24469A79"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Tekošā konta bilance, % no IKP, 3 gadu vidējais rādītājs;</w:t>
      </w:r>
    </w:p>
    <w:p w14:paraId="43A0DA77"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Neto starptautisko investīciju pozīcija, % no IKP;</w:t>
      </w:r>
    </w:p>
    <w:p w14:paraId="0CE9DE27"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 xml:space="preserve">Reālais efektīvais valūtas kurss (HICP </w:t>
      </w:r>
      <w:proofErr w:type="spellStart"/>
      <w:r w:rsidRPr="00C74C27">
        <w:rPr>
          <w:rFonts w:eastAsia="Calibri" w:cs="Arial"/>
          <w:szCs w:val="20"/>
          <w:lang w:eastAsia="en-US"/>
        </w:rPr>
        <w:t>deflators</w:t>
      </w:r>
      <w:proofErr w:type="spellEnd"/>
      <w:r w:rsidRPr="00C74C27">
        <w:rPr>
          <w:rFonts w:eastAsia="Calibri" w:cs="Arial"/>
          <w:szCs w:val="20"/>
          <w:lang w:eastAsia="en-US"/>
        </w:rPr>
        <w:t>), 3 gadu % izmaiņas;</w:t>
      </w:r>
    </w:p>
    <w:p w14:paraId="02FC2642"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Eksporta tirgus daļa, % no pasaules eksporta, 5 gadu % izmaiņas;</w:t>
      </w:r>
    </w:p>
    <w:p w14:paraId="1E546C46"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Nominālo vienības darbaspēka izmaksu indekss,</w:t>
      </w:r>
      <w:r w:rsidRPr="00C74C27">
        <w:rPr>
          <w:rFonts w:eastAsia="Calibri" w:cs="Arial"/>
          <w:szCs w:val="20"/>
          <w:vertAlign w:val="superscript"/>
          <w:lang w:eastAsia="en-US"/>
        </w:rPr>
        <w:footnoteReference w:id="2"/>
      </w:r>
      <w:r w:rsidRPr="00C74C27">
        <w:rPr>
          <w:rFonts w:eastAsia="Calibri" w:cs="Arial"/>
          <w:szCs w:val="20"/>
          <w:lang w:eastAsia="en-US"/>
        </w:rPr>
        <w:t xml:space="preserve"> 3 gadu % izmaiņas, (2010=100);</w:t>
      </w:r>
    </w:p>
    <w:p w14:paraId="27CA790C"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Mājokļu cenu indekss (2010=100), gada % izmaiņas;</w:t>
      </w:r>
    </w:p>
    <w:p w14:paraId="1D929402"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lastRenderedPageBreak/>
        <w:t xml:space="preserve">Privātā sektora konsolidētā </w:t>
      </w:r>
      <w:proofErr w:type="spellStart"/>
      <w:r w:rsidRPr="00C74C27">
        <w:rPr>
          <w:rFonts w:eastAsia="Calibri" w:cs="Arial"/>
          <w:szCs w:val="20"/>
          <w:lang w:eastAsia="en-US"/>
        </w:rPr>
        <w:t>kredītplūsma</w:t>
      </w:r>
      <w:proofErr w:type="spellEnd"/>
      <w:r w:rsidRPr="00C74C27">
        <w:rPr>
          <w:rFonts w:eastAsia="Calibri" w:cs="Arial"/>
          <w:szCs w:val="20"/>
          <w:lang w:eastAsia="en-US"/>
        </w:rPr>
        <w:t>, % no IKP;</w:t>
      </w:r>
    </w:p>
    <w:p w14:paraId="1B44D19E"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Privātā sektora konsolidētais parāds, % no IKP;</w:t>
      </w:r>
    </w:p>
    <w:p w14:paraId="3A2A596A"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Vispārējās valdības sektora parāds, % no IKP;</w:t>
      </w:r>
    </w:p>
    <w:p w14:paraId="05B50822"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Bezdarba līmenis, 3 gadu vidējais;</w:t>
      </w:r>
    </w:p>
    <w:p w14:paraId="0D05C4EA"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Finanšu sektora nekonsolidētās saistības, 1 gada % izmaiņas;</w:t>
      </w:r>
    </w:p>
    <w:p w14:paraId="31600034"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Iedzīvotāju ekonomiskās aktivitātes līmenis – 3 gadu izmaiņas procentu punktos no visiem iedzīvotājiem vecuma grupā no 15 līdz 64 gadiem;</w:t>
      </w:r>
    </w:p>
    <w:p w14:paraId="4AF49166"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Ilgtermiņa bezdarba līmenis – 3 gadu izmaiņas procentu punktos no ekonomiski aktīvajiem iedzīvotājiem vecuma grupā no 15 līdz 74 gadiem;</w:t>
      </w:r>
    </w:p>
    <w:p w14:paraId="237ACCF9" w14:textId="77777777" w:rsidR="00C74C27" w:rsidRPr="00C74C27" w:rsidRDefault="00C74C27" w:rsidP="00C74C27">
      <w:pPr>
        <w:numPr>
          <w:ilvl w:val="0"/>
          <w:numId w:val="24"/>
        </w:numPr>
        <w:spacing w:after="160" w:line="259" w:lineRule="auto"/>
        <w:contextualSpacing/>
        <w:jc w:val="left"/>
        <w:rPr>
          <w:rFonts w:eastAsia="Calibri" w:cs="Arial"/>
          <w:szCs w:val="20"/>
          <w:lang w:eastAsia="en-US"/>
        </w:rPr>
      </w:pPr>
      <w:r w:rsidRPr="00C74C27">
        <w:rPr>
          <w:rFonts w:eastAsia="Calibri" w:cs="Arial"/>
          <w:szCs w:val="20"/>
          <w:lang w:eastAsia="en-US"/>
        </w:rPr>
        <w:t>Jauniešu bezdarba līmenis – 3 gadu izmaiņas procentu punktos no ekonomiski aktīvajiem iedzīvotājiem vecuma grupā no 15 līdz 24 gadiem.</w:t>
      </w:r>
    </w:p>
    <w:p w14:paraId="39163AE8" w14:textId="77777777" w:rsidR="00C74C27" w:rsidRPr="00C74C27" w:rsidRDefault="00C74C27" w:rsidP="00C74C27">
      <w:pPr>
        <w:contextualSpacing/>
        <w:jc w:val="left"/>
        <w:rPr>
          <w:rFonts w:eastAsia="Calibri" w:cs="Arial"/>
          <w:szCs w:val="20"/>
          <w:lang w:eastAsia="en-US"/>
        </w:rPr>
      </w:pPr>
    </w:p>
    <w:p w14:paraId="24DEB6F1" w14:textId="77777777" w:rsidR="00C74C27" w:rsidRPr="00C74C27" w:rsidRDefault="00C74C27" w:rsidP="00C74C27">
      <w:pPr>
        <w:rPr>
          <w:rFonts w:eastAsia="Calibri" w:cs="Arial"/>
          <w:szCs w:val="20"/>
          <w:lang w:eastAsia="en-US"/>
        </w:rPr>
      </w:pPr>
      <w:r w:rsidRPr="00C74C27">
        <w:rPr>
          <w:rFonts w:eastAsia="Calibri" w:cs="Arial"/>
          <w:szCs w:val="20"/>
          <w:lang w:eastAsia="en-US"/>
        </w:rPr>
        <w:t>Līdzīgi kā pamata rādītāju tehniskā neievērošana, arī papildinošo sociālo rādītāju robežvērtību tehniska neievērošana nevar kalpot par makroekonomiskās nesabalansētības fakta atzīšanu kādā no dalībvalstīm – šāds lēmums vienmēr tiek balstīts uz padziļinātu, vispārēju situācijas analīzi, ņemot vērā rādītāju dinamiku un attīstības perspektīvas.</w:t>
      </w:r>
    </w:p>
    <w:p w14:paraId="0F1CFB2B" w14:textId="77777777" w:rsidR="00C74C27" w:rsidRPr="00C74C27" w:rsidRDefault="00C74C27" w:rsidP="00C74C27">
      <w:pPr>
        <w:spacing w:before="240" w:after="240"/>
        <w:ind w:firstLine="0"/>
        <w:jc w:val="center"/>
        <w:outlineLvl w:val="2"/>
        <w:rPr>
          <w:rFonts w:eastAsia="Times New Roman" w:cs="Times New Roman"/>
          <w:b/>
          <w:sz w:val="32"/>
          <w:szCs w:val="20"/>
          <w:lang w:eastAsia="en-US"/>
        </w:rPr>
      </w:pPr>
      <w:r w:rsidRPr="00C74C27">
        <w:rPr>
          <w:rFonts w:eastAsia="Times New Roman" w:cs="Times New Roman"/>
          <w:b/>
          <w:sz w:val="32"/>
          <w:szCs w:val="20"/>
          <w:lang w:eastAsia="en-US"/>
        </w:rPr>
        <w:t>1.3.1. Pārmērīga makroekonomiskā nesabalansētība un Padziļināto izpētes ziņojumu izstrāde</w:t>
      </w:r>
    </w:p>
    <w:p w14:paraId="65DC5C43" w14:textId="5F3BC68F" w:rsidR="00C74C27" w:rsidRPr="00C74C27" w:rsidRDefault="00C74C27" w:rsidP="00C74C27">
      <w:pPr>
        <w:rPr>
          <w:rFonts w:eastAsia="Calibri" w:cs="Arial"/>
          <w:szCs w:val="20"/>
          <w:lang w:eastAsia="en-US"/>
        </w:rPr>
      </w:pPr>
      <w:r w:rsidRPr="00C74C27">
        <w:rPr>
          <w:rFonts w:eastAsia="Calibri" w:cs="Arial"/>
          <w:szCs w:val="20"/>
          <w:lang w:eastAsia="en-US"/>
        </w:rPr>
        <w:t xml:space="preserve">2023. gada </w:t>
      </w:r>
      <w:r w:rsidR="00957DAA">
        <w:rPr>
          <w:rFonts w:eastAsia="Calibri" w:cs="Arial"/>
          <w:szCs w:val="20"/>
          <w:lang w:eastAsia="en-US"/>
        </w:rPr>
        <w:t>AM</w:t>
      </w:r>
      <w:r w:rsidR="00856AAD">
        <w:rPr>
          <w:rFonts w:eastAsia="Calibri" w:cs="Arial"/>
          <w:szCs w:val="20"/>
          <w:lang w:eastAsia="en-US"/>
        </w:rPr>
        <w:t>R</w:t>
      </w:r>
      <w:r w:rsidRPr="00C74C27">
        <w:rPr>
          <w:rFonts w:eastAsia="Calibri" w:cs="Arial"/>
          <w:szCs w:val="20"/>
          <w:lang w:eastAsia="en-US"/>
        </w:rPr>
        <w:t xml:space="preserve"> 10 dalībvalstīm konstatētas nesabalansētības. Salīdzinājumā ar iepriekšējā gada ziņojumu, 2023. gadā par divām valstīm  (Horvātija un Īrija) ir samazinājies to valstu skaits, kurām ir konstatētas nesabalansētības.</w:t>
      </w:r>
    </w:p>
    <w:p w14:paraId="51CC66A8" w14:textId="77777777" w:rsidR="00C74C27" w:rsidRPr="00C74C27" w:rsidRDefault="00C74C27" w:rsidP="00C74C27">
      <w:pPr>
        <w:rPr>
          <w:rFonts w:eastAsia="Calibri" w:cs="Arial"/>
          <w:szCs w:val="20"/>
          <w:lang w:eastAsia="en-US"/>
        </w:rPr>
      </w:pPr>
      <w:r w:rsidRPr="00C74C27">
        <w:rPr>
          <w:rFonts w:eastAsia="Calibri" w:cs="Arial"/>
          <w:szCs w:val="20"/>
          <w:lang w:eastAsia="en-US"/>
        </w:rPr>
        <w:t>Latvijā tāpat kā līdz šim makroekonomiskās nesabalansētības nav konstatētas un nav ierosināts sākt padziļināto izpēti, taču ir ierosināts veikt trīs atsevišķus tematiskos novērtējumus.</w:t>
      </w:r>
    </w:p>
    <w:p w14:paraId="298B1F96" w14:textId="77777777" w:rsidR="00C74C27" w:rsidRPr="00C74C27" w:rsidRDefault="00C74C27" w:rsidP="00C74C27">
      <w:pPr>
        <w:ind w:firstLine="0"/>
        <w:jc w:val="center"/>
        <w:rPr>
          <w:rFonts w:eastAsia="Calibri" w:cs="Arial"/>
          <w:szCs w:val="20"/>
          <w:lang w:eastAsia="en-US"/>
        </w:rPr>
      </w:pPr>
      <w:r w:rsidRPr="00C74C27">
        <w:rPr>
          <w:rFonts w:ascii="Calibri" w:eastAsia="Calibri" w:hAnsi="Calibri" w:cs="Times New Roman"/>
          <w:noProof/>
          <w:sz w:val="22"/>
          <w:lang w:eastAsia="en-US"/>
        </w:rPr>
        <w:drawing>
          <wp:inline distT="0" distB="0" distL="0" distR="0" wp14:anchorId="36B35A63" wp14:editId="199F5BE3">
            <wp:extent cx="5278120" cy="3621405"/>
            <wp:effectExtent l="0" t="0" r="0" b="0"/>
            <wp:docPr id="1018665938" name="Chart 1">
              <a:extLst xmlns:a="http://schemas.openxmlformats.org/drawingml/2006/main">
                <a:ext uri="{FF2B5EF4-FFF2-40B4-BE49-F238E27FC236}">
                  <a16:creationId xmlns:a16="http://schemas.microsoft.com/office/drawing/2014/main" id="{0E88124D-4D46-43D9-90EF-F946BB9A62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9478E30" w14:textId="1D3426E5" w:rsidR="00C74C27" w:rsidRPr="00C74C27" w:rsidRDefault="00C74C27" w:rsidP="00C74C27">
      <w:pPr>
        <w:ind w:firstLine="0"/>
        <w:jc w:val="center"/>
        <w:rPr>
          <w:rFonts w:eastAsia="Calibri" w:cs="Arial"/>
          <w:b/>
          <w:bCs/>
          <w:i/>
          <w:iCs/>
          <w:szCs w:val="20"/>
          <w:lang w:eastAsia="en-US"/>
        </w:rPr>
      </w:pPr>
      <w:r w:rsidRPr="00C74C27">
        <w:rPr>
          <w:rFonts w:eastAsia="Calibri" w:cs="Arial"/>
          <w:b/>
          <w:bCs/>
          <w:i/>
          <w:iCs/>
          <w:szCs w:val="20"/>
          <w:lang w:eastAsia="en-US"/>
        </w:rPr>
        <w:t>1.2</w:t>
      </w:r>
      <w:r w:rsidR="00DB7D5E">
        <w:rPr>
          <w:rFonts w:eastAsia="Calibri" w:cs="Arial"/>
          <w:b/>
          <w:bCs/>
          <w:i/>
          <w:iCs/>
          <w:szCs w:val="20"/>
          <w:lang w:eastAsia="en-US"/>
        </w:rPr>
        <w:t>5</w:t>
      </w:r>
      <w:r w:rsidRPr="00C74C27">
        <w:rPr>
          <w:rFonts w:eastAsia="Calibri" w:cs="Arial"/>
          <w:b/>
          <w:bCs/>
          <w:i/>
          <w:iCs/>
          <w:szCs w:val="20"/>
          <w:lang w:eastAsia="en-US"/>
        </w:rPr>
        <w:t xml:space="preserve">. att. Valstu skaits, kurās pārsniegti Agrās brīdināšanas mehānisma rādītāju noteiktie </w:t>
      </w:r>
      <w:proofErr w:type="spellStart"/>
      <w:r w:rsidRPr="00C74C27">
        <w:rPr>
          <w:rFonts w:eastAsia="Calibri" w:cs="Arial"/>
          <w:b/>
          <w:bCs/>
          <w:i/>
          <w:iCs/>
          <w:szCs w:val="20"/>
          <w:lang w:eastAsia="en-US"/>
        </w:rPr>
        <w:t>robežsliekšņi</w:t>
      </w:r>
      <w:proofErr w:type="spellEnd"/>
    </w:p>
    <w:p w14:paraId="2926B955" w14:textId="313C35EA" w:rsidR="00C74C27" w:rsidRPr="00C74C27" w:rsidRDefault="00C74C27" w:rsidP="00C74C27">
      <w:pPr>
        <w:spacing w:before="120"/>
        <w:rPr>
          <w:rFonts w:eastAsia="Calibri" w:cs="Arial"/>
          <w:szCs w:val="20"/>
          <w:lang w:eastAsia="en-US"/>
        </w:rPr>
      </w:pPr>
      <w:r w:rsidRPr="00C74C27">
        <w:rPr>
          <w:rFonts w:eastAsia="Calibri" w:cs="Arial"/>
          <w:szCs w:val="20"/>
          <w:lang w:eastAsia="en-US"/>
        </w:rPr>
        <w:lastRenderedPageBreak/>
        <w:t xml:space="preserve">Saskaņā ar 2023. gada </w:t>
      </w:r>
      <w:r w:rsidR="00957DAA">
        <w:rPr>
          <w:rFonts w:eastAsia="Calibri" w:cs="Arial"/>
          <w:szCs w:val="20"/>
          <w:lang w:eastAsia="en-US"/>
        </w:rPr>
        <w:t>AM</w:t>
      </w:r>
      <w:r w:rsidR="00856AAD">
        <w:rPr>
          <w:rFonts w:eastAsia="Calibri" w:cs="Arial"/>
          <w:szCs w:val="20"/>
          <w:lang w:eastAsia="en-US"/>
        </w:rPr>
        <w:t>R</w:t>
      </w:r>
      <w:r w:rsidRPr="00C74C27">
        <w:rPr>
          <w:rFonts w:eastAsia="Calibri" w:cs="Arial"/>
          <w:szCs w:val="20"/>
          <w:lang w:eastAsia="en-US"/>
        </w:rPr>
        <w:t xml:space="preserve"> padziļinātā izpētes procedūra ir uzsākta 10 valstīm – Francijai, Vācijai, Nīderlandei, Portugālei, Rumānijai, Spānijai, Zviedrijai, Kiprai, Grieķijai un Itālijai (1.4. tabula).</w:t>
      </w:r>
    </w:p>
    <w:p w14:paraId="4DA0A8F3" w14:textId="3C95CE14" w:rsidR="00C74C27" w:rsidRPr="00C74C27" w:rsidRDefault="00C74C27" w:rsidP="00C74C27">
      <w:pPr>
        <w:jc w:val="right"/>
        <w:rPr>
          <w:rFonts w:eastAsia="Calibri" w:cs="Arial"/>
          <w:b/>
          <w:bCs/>
          <w:i/>
          <w:iCs/>
          <w:szCs w:val="20"/>
          <w:lang w:eastAsia="en-US"/>
        </w:rPr>
      </w:pPr>
      <w:r w:rsidRPr="00C74C27">
        <w:rPr>
          <w:rFonts w:eastAsia="Calibri" w:cs="Arial"/>
          <w:b/>
          <w:bCs/>
          <w:i/>
          <w:iCs/>
          <w:szCs w:val="20"/>
          <w:lang w:eastAsia="en-US"/>
        </w:rPr>
        <w:t xml:space="preserve">1.4. tabula 2023. gada </w:t>
      </w:r>
      <w:r w:rsidR="00957DAA">
        <w:rPr>
          <w:rFonts w:eastAsia="Calibri" w:cs="Arial"/>
          <w:b/>
          <w:bCs/>
          <w:i/>
          <w:iCs/>
          <w:szCs w:val="20"/>
          <w:lang w:eastAsia="en-US"/>
        </w:rPr>
        <w:t>AM</w:t>
      </w:r>
      <w:r w:rsidR="00856AAD">
        <w:rPr>
          <w:rFonts w:eastAsia="Calibri" w:cs="Arial"/>
          <w:b/>
          <w:bCs/>
          <w:i/>
          <w:iCs/>
          <w:szCs w:val="20"/>
          <w:lang w:eastAsia="en-US"/>
        </w:rPr>
        <w:t>R</w:t>
      </w:r>
      <w:r w:rsidRPr="00C74C27">
        <w:rPr>
          <w:rFonts w:eastAsia="Calibri" w:cs="Arial"/>
          <w:b/>
          <w:bCs/>
          <w:i/>
          <w:iCs/>
          <w:szCs w:val="20"/>
          <w:lang w:eastAsia="en-US"/>
        </w:rPr>
        <w:t xml:space="preserve"> rezultāts </w:t>
      </w:r>
    </w:p>
    <w:tbl>
      <w:tblPr>
        <w:tblStyle w:val="ListTable2-Accent17"/>
        <w:tblW w:w="8894" w:type="dxa"/>
        <w:jc w:val="center"/>
        <w:tblLook w:val="04A0" w:firstRow="1" w:lastRow="0" w:firstColumn="1" w:lastColumn="0" w:noHBand="0" w:noVBand="1"/>
      </w:tblPr>
      <w:tblGrid>
        <w:gridCol w:w="4275"/>
        <w:gridCol w:w="4619"/>
      </w:tblGrid>
      <w:tr w:rsidR="00C74C27" w:rsidRPr="00C74C27" w14:paraId="07CF981D" w14:textId="77777777" w:rsidTr="0049639B">
        <w:trPr>
          <w:cnfStyle w:val="100000000000" w:firstRow="1" w:lastRow="0" w:firstColumn="0" w:lastColumn="0" w:oddVBand="0" w:evenVBand="0" w:oddHBand="0"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4275" w:type="dxa"/>
          </w:tcPr>
          <w:p w14:paraId="277E5F86" w14:textId="77777777" w:rsidR="00C74C27" w:rsidRPr="00C74C27" w:rsidRDefault="00C74C27" w:rsidP="00C74C27">
            <w:pPr>
              <w:numPr>
                <w:ilvl w:val="0"/>
                <w:numId w:val="4"/>
              </w:numPr>
              <w:spacing w:before="60" w:after="60"/>
              <w:contextualSpacing/>
              <w:jc w:val="left"/>
              <w:rPr>
                <w:rFonts w:cs="Times New Roman"/>
                <w:sz w:val="20"/>
                <w:szCs w:val="20"/>
              </w:rPr>
            </w:pPr>
            <w:r w:rsidRPr="00C74C27">
              <w:rPr>
                <w:rFonts w:cs="Times New Roman"/>
                <w:sz w:val="20"/>
                <w:szCs w:val="20"/>
              </w:rPr>
              <w:t xml:space="preserve">Nesabalansētības netika konstatētas un netiek iniciēta Padziļinātā izpētes ziņojuma izstrāde </w:t>
            </w:r>
          </w:p>
        </w:tc>
        <w:tc>
          <w:tcPr>
            <w:tcW w:w="4619" w:type="dxa"/>
          </w:tcPr>
          <w:p w14:paraId="36236B13" w14:textId="77777777" w:rsidR="00C74C27" w:rsidRPr="00C74C27" w:rsidRDefault="00C74C27" w:rsidP="00C74C27">
            <w:pPr>
              <w:spacing w:before="60" w:after="60"/>
              <w:ind w:firstLine="0"/>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C74C27">
              <w:rPr>
                <w:rFonts w:cs="Times New Roman"/>
                <w:sz w:val="20"/>
                <w:szCs w:val="20"/>
              </w:rPr>
              <w:t>Austrija, Beļģija, Bulgārija, Igaunija, Īrija, Horvātija, Ungārija, Čehija, Dānija, Latvija, Lietuva, Luksemburga, Malta, Slovākija, Polija, Slovēnija, Somija</w:t>
            </w:r>
          </w:p>
        </w:tc>
      </w:tr>
      <w:tr w:rsidR="00C74C27" w:rsidRPr="00C74C27" w14:paraId="1E953F2F" w14:textId="77777777" w:rsidTr="00C74C27">
        <w:trPr>
          <w:cnfStyle w:val="000000100000" w:firstRow="0" w:lastRow="0" w:firstColumn="0" w:lastColumn="0" w:oddVBand="0" w:evenVBand="0" w:oddHBand="1"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4275" w:type="dxa"/>
          </w:tcPr>
          <w:p w14:paraId="420B4CB4" w14:textId="77777777" w:rsidR="00C74C27" w:rsidRPr="00C74C27" w:rsidRDefault="00C74C27" w:rsidP="00C74C27">
            <w:pPr>
              <w:numPr>
                <w:ilvl w:val="0"/>
                <w:numId w:val="4"/>
              </w:numPr>
              <w:spacing w:before="60" w:after="60"/>
              <w:contextualSpacing/>
              <w:jc w:val="left"/>
              <w:rPr>
                <w:rFonts w:cs="Times New Roman"/>
                <w:sz w:val="20"/>
                <w:szCs w:val="20"/>
              </w:rPr>
            </w:pPr>
            <w:r w:rsidRPr="00C74C27">
              <w:rPr>
                <w:rFonts w:cs="Times New Roman"/>
                <w:sz w:val="20"/>
                <w:szCs w:val="20"/>
              </w:rPr>
              <w:t>Pastāv makroekonomiskās nesabalansētības</w:t>
            </w:r>
          </w:p>
        </w:tc>
        <w:tc>
          <w:tcPr>
            <w:tcW w:w="4619" w:type="dxa"/>
          </w:tcPr>
          <w:p w14:paraId="468A69C3" w14:textId="77777777" w:rsidR="00C74C27" w:rsidRPr="00C74C27" w:rsidRDefault="00C74C27" w:rsidP="00C74C27">
            <w:pPr>
              <w:spacing w:before="60" w:after="60"/>
              <w:ind w:firstLine="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C74C27">
              <w:rPr>
                <w:rFonts w:cs="Times New Roman"/>
                <w:sz w:val="20"/>
                <w:szCs w:val="20"/>
              </w:rPr>
              <w:t>Francija, Vācija, Nīderlande, Portugāle, Rumānija, Spānija, Zviedrija, Kipra, Grieķija un Itālija</w:t>
            </w:r>
          </w:p>
          <w:p w14:paraId="4708258C" w14:textId="77777777" w:rsidR="00C74C27" w:rsidRPr="00C74C27" w:rsidRDefault="00C74C27" w:rsidP="00C74C27">
            <w:pPr>
              <w:spacing w:before="60" w:after="60"/>
              <w:ind w:firstLine="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p>
        </w:tc>
      </w:tr>
      <w:tr w:rsidR="00C74C27" w:rsidRPr="00C74C27" w14:paraId="45252E75" w14:textId="77777777" w:rsidTr="0049639B">
        <w:trPr>
          <w:trHeight w:val="498"/>
          <w:jc w:val="center"/>
        </w:trPr>
        <w:tc>
          <w:tcPr>
            <w:cnfStyle w:val="001000000000" w:firstRow="0" w:lastRow="0" w:firstColumn="1" w:lastColumn="0" w:oddVBand="0" w:evenVBand="0" w:oddHBand="0" w:evenHBand="0" w:firstRowFirstColumn="0" w:firstRowLastColumn="0" w:lastRowFirstColumn="0" w:lastRowLastColumn="0"/>
            <w:tcW w:w="4275" w:type="dxa"/>
          </w:tcPr>
          <w:p w14:paraId="5EA5A0F3" w14:textId="77777777" w:rsidR="00C74C27" w:rsidRPr="00C74C27" w:rsidRDefault="00C74C27" w:rsidP="00C74C27">
            <w:pPr>
              <w:numPr>
                <w:ilvl w:val="0"/>
                <w:numId w:val="4"/>
              </w:numPr>
              <w:spacing w:before="60" w:after="60"/>
              <w:contextualSpacing/>
              <w:jc w:val="left"/>
              <w:rPr>
                <w:rFonts w:cs="Times New Roman"/>
                <w:sz w:val="20"/>
                <w:szCs w:val="20"/>
              </w:rPr>
            </w:pPr>
            <w:r w:rsidRPr="00C74C27">
              <w:rPr>
                <w:rFonts w:cs="Times New Roman"/>
                <w:sz w:val="20"/>
                <w:szCs w:val="20"/>
              </w:rPr>
              <w:t>Kopā, no 27 ES dalībvalstīm Padziļinātās izpētes ziņojumi izstrādāti</w:t>
            </w:r>
          </w:p>
        </w:tc>
        <w:tc>
          <w:tcPr>
            <w:tcW w:w="4619" w:type="dxa"/>
          </w:tcPr>
          <w:p w14:paraId="131C70EF" w14:textId="77777777" w:rsidR="00C74C27" w:rsidRPr="00C74C27" w:rsidRDefault="00C74C27" w:rsidP="00C74C27">
            <w:pPr>
              <w:spacing w:before="60" w:after="60"/>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C74C27">
              <w:rPr>
                <w:rFonts w:cs="Times New Roman"/>
                <w:sz w:val="20"/>
                <w:szCs w:val="20"/>
              </w:rPr>
              <w:t>10 dalībvalstīs</w:t>
            </w:r>
          </w:p>
        </w:tc>
      </w:tr>
    </w:tbl>
    <w:p w14:paraId="3E7409BB" w14:textId="77777777" w:rsidR="00C74C27" w:rsidRPr="00C74C27" w:rsidRDefault="00C74C27" w:rsidP="00C74C27">
      <w:pPr>
        <w:spacing w:before="120"/>
        <w:rPr>
          <w:rFonts w:eastAsia="Calibri" w:cs="Arial"/>
          <w:b/>
          <w:szCs w:val="20"/>
          <w:lang w:eastAsia="en-US"/>
        </w:rPr>
      </w:pPr>
      <w:r w:rsidRPr="00C74C27">
        <w:rPr>
          <w:rFonts w:eastAsia="Calibri" w:cs="Arial"/>
          <w:szCs w:val="20"/>
          <w:lang w:eastAsia="en-US"/>
        </w:rPr>
        <w:t>Ziņojumā norādīts, ka pēc Krievijas iebrukuma Ukrainā ES ekonomika atrodas pagrieziena punktā, transformējoties no atveseļošanās no Covid-19 pandēmijas uz izaugsmes palēnināšanos augstas inflācijas spiediena apstākļos.</w:t>
      </w:r>
    </w:p>
    <w:p w14:paraId="04A632DD" w14:textId="564E11ED" w:rsidR="00C74C27" w:rsidRPr="00C74C27" w:rsidRDefault="00C74C27" w:rsidP="004A74DD">
      <w:pPr>
        <w:spacing w:before="240" w:after="240"/>
        <w:ind w:firstLine="0"/>
        <w:jc w:val="center"/>
        <w:outlineLvl w:val="2"/>
        <w:rPr>
          <w:rFonts w:eastAsia="Times New Roman" w:cs="Times New Roman"/>
          <w:b/>
          <w:sz w:val="32"/>
          <w:szCs w:val="20"/>
          <w:lang w:eastAsia="en-US"/>
        </w:rPr>
      </w:pPr>
      <w:r w:rsidRPr="00C74C27">
        <w:rPr>
          <w:rFonts w:eastAsia="Times New Roman" w:cs="Times New Roman"/>
          <w:b/>
          <w:sz w:val="32"/>
          <w:szCs w:val="20"/>
          <w:lang w:eastAsia="en-US"/>
        </w:rPr>
        <w:t xml:space="preserve">1.3.2. </w:t>
      </w:r>
      <w:bookmarkStart w:id="17" w:name="_Hlk148090271"/>
      <w:r w:rsidRPr="00C74C27">
        <w:rPr>
          <w:rFonts w:eastAsia="Times New Roman" w:cs="Times New Roman"/>
          <w:b/>
          <w:sz w:val="32"/>
          <w:szCs w:val="20"/>
          <w:lang w:eastAsia="en-US"/>
        </w:rPr>
        <w:t xml:space="preserve">Latvijas ekonomiskās situācijas novērtējums 2023. gada </w:t>
      </w:r>
      <w:r>
        <w:rPr>
          <w:rFonts w:eastAsia="Times New Roman" w:cs="Times New Roman"/>
          <w:b/>
          <w:sz w:val="32"/>
          <w:szCs w:val="20"/>
          <w:lang w:eastAsia="en-US"/>
        </w:rPr>
        <w:t>AMR</w:t>
      </w:r>
      <w:r w:rsidRPr="00C74C27">
        <w:rPr>
          <w:rFonts w:eastAsia="Times New Roman" w:cs="Times New Roman"/>
          <w:b/>
          <w:sz w:val="32"/>
          <w:szCs w:val="20"/>
          <w:lang w:eastAsia="en-US"/>
        </w:rPr>
        <w:t xml:space="preserve"> un iespējamās tendences 2024. gada ziņojumā</w:t>
      </w:r>
      <w:bookmarkEnd w:id="17"/>
    </w:p>
    <w:p w14:paraId="76F9F949" w14:textId="681AFBFB" w:rsidR="00C74C27" w:rsidRPr="00C74C27" w:rsidRDefault="00C74C27" w:rsidP="00C74C27">
      <w:pPr>
        <w:ind w:firstLine="567"/>
        <w:rPr>
          <w:rFonts w:eastAsia="Calibri" w:cs="Arial"/>
          <w:szCs w:val="24"/>
          <w:lang w:eastAsia="en-US"/>
        </w:rPr>
      </w:pPr>
      <w:bookmarkStart w:id="18" w:name="_Hlk146704327"/>
      <w:r w:rsidRPr="00C74C27">
        <w:rPr>
          <w:rFonts w:eastAsia="Calibri" w:cs="Arial"/>
          <w:szCs w:val="24"/>
          <w:lang w:eastAsia="en-US"/>
        </w:rPr>
        <w:t xml:space="preserve">Saskaņā ar 2023. gada </w:t>
      </w:r>
      <w:r>
        <w:rPr>
          <w:rFonts w:eastAsia="Calibri" w:cs="Arial"/>
          <w:szCs w:val="24"/>
          <w:lang w:eastAsia="en-US"/>
        </w:rPr>
        <w:t>AMR</w:t>
      </w:r>
      <w:r w:rsidRPr="00C74C27">
        <w:rPr>
          <w:rFonts w:eastAsia="Calibri" w:cs="Arial"/>
          <w:szCs w:val="24"/>
          <w:lang w:eastAsia="en-US"/>
        </w:rPr>
        <w:t>, kurā tiek izmantoti 2021. gada statistikas dati, redzams, ka 2021. gadā Latvijai četri rādītāji pārsniedza noteikto robežvērtību rādītājus, proti, nominālās vienības darbaspēka izmaksu pieaugums, mājokļu cenu indekss, ekonomiski aktīvo iedzīvotāju īpatsvars % no visiem iedzīvotājiem vecuma grupā no 15-64 gadiem un jauniešu bezdarba līmenis % no ekonomiski aktīvajiem iedzīvotājiem vecuma grupā no 15 līdz 24 gadiem. Turklāt EK  prognozēja, ka 2023. gadā arī tekošā konta bilances 3 gadu vidējais rādītājs pārsniegs noteikto robežvērtību -4% no IKP un sasniegs -6,9%. Pašlaik aktuālie Latvijas Bankas dati gan parāda ievērojami zemāku tekošā konta deficītu – 4,7% no IKP 2022. gadā un 4,6% no IKP 2023. gada pirmajā pusē.</w:t>
      </w:r>
    </w:p>
    <w:bookmarkEnd w:id="18"/>
    <w:p w14:paraId="6EDD5DC7" w14:textId="7A4549FD" w:rsidR="00C74C27" w:rsidRPr="00C74C27" w:rsidRDefault="00C74C27" w:rsidP="00C74C27">
      <w:pPr>
        <w:ind w:firstLine="567"/>
        <w:rPr>
          <w:rFonts w:eastAsia="Calibri" w:cs="Arial"/>
          <w:szCs w:val="24"/>
          <w:lang w:eastAsia="en-US"/>
        </w:rPr>
      </w:pPr>
      <w:r w:rsidRPr="00C74C27">
        <w:rPr>
          <w:rFonts w:eastAsia="Calibri" w:cs="Arial"/>
          <w:szCs w:val="24"/>
          <w:lang w:eastAsia="en-US"/>
        </w:rPr>
        <w:t xml:space="preserve">Jaunums atšķirībā no iepriekšējiem gadiem ir tas, ka 2023. gada </w:t>
      </w:r>
      <w:r>
        <w:rPr>
          <w:rFonts w:eastAsia="Calibri" w:cs="Arial"/>
          <w:szCs w:val="24"/>
          <w:lang w:eastAsia="en-US"/>
        </w:rPr>
        <w:t xml:space="preserve">AMR </w:t>
      </w:r>
      <w:r w:rsidRPr="00C74C27">
        <w:rPr>
          <w:rFonts w:eastAsia="Calibri" w:cs="Arial"/>
          <w:szCs w:val="24"/>
          <w:lang w:eastAsia="en-US"/>
        </w:rPr>
        <w:t xml:space="preserve">attiecībā uz Latviju (kā arī uz Lietuvu, Igauniju un citām dalībvalstīm) EK veica padziļinātus </w:t>
      </w:r>
      <w:r w:rsidRPr="00C74C27">
        <w:rPr>
          <w:rFonts w:eastAsia="Calibri" w:cs="Arial"/>
          <w:b/>
          <w:bCs/>
          <w:szCs w:val="24"/>
          <w:lang w:eastAsia="en-US"/>
        </w:rPr>
        <w:t>tematiskos novērtējumus</w:t>
      </w:r>
      <w:r w:rsidRPr="00C74C27">
        <w:rPr>
          <w:rFonts w:eastAsia="Calibri" w:cs="Arial"/>
          <w:szCs w:val="24"/>
          <w:lang w:eastAsia="en-US"/>
        </w:rPr>
        <w:t xml:space="preserve"> par trim jautājumiem, kam ir būtiska nozīme pašreizējā situācijā. Padziļinātais tematiskais novērtējums par </w:t>
      </w:r>
      <w:r w:rsidRPr="00C74C27">
        <w:rPr>
          <w:rFonts w:eastAsia="Calibri" w:cs="Arial"/>
          <w:b/>
          <w:bCs/>
          <w:szCs w:val="24"/>
          <w:lang w:eastAsia="en-US"/>
        </w:rPr>
        <w:t>mājokļu tirgus</w:t>
      </w:r>
      <w:r w:rsidRPr="00C74C27">
        <w:rPr>
          <w:rFonts w:eastAsia="Calibri" w:cs="Arial"/>
          <w:szCs w:val="24"/>
          <w:lang w:eastAsia="en-US"/>
        </w:rPr>
        <w:t xml:space="preserve"> norisēm aplūko riskus un virzītājspēkus, kas saistīti ar mājokļu cenu attīstību, hipotēku tirgiem un mājsaimniecību parādiem, padziļinātais tematiskais novērtējums par </w:t>
      </w:r>
      <w:r w:rsidRPr="00C74C27">
        <w:rPr>
          <w:rFonts w:eastAsia="Calibri" w:cs="Arial"/>
          <w:b/>
          <w:bCs/>
          <w:szCs w:val="24"/>
          <w:lang w:eastAsia="en-US"/>
        </w:rPr>
        <w:t xml:space="preserve">konkurētspējas dinamiku </w:t>
      </w:r>
      <w:r w:rsidRPr="00C74C27">
        <w:rPr>
          <w:rFonts w:eastAsia="Calibri" w:cs="Arial"/>
          <w:szCs w:val="24"/>
          <w:lang w:eastAsia="en-US"/>
        </w:rPr>
        <w:t xml:space="preserve">novērtē enerģijas izmaksu ietekmi un padziļinātais tematiskais novērtējums par </w:t>
      </w:r>
      <w:r w:rsidRPr="00C74C27">
        <w:rPr>
          <w:rFonts w:eastAsia="Calibri" w:cs="Arial"/>
          <w:b/>
          <w:bCs/>
          <w:szCs w:val="24"/>
          <w:lang w:eastAsia="en-US"/>
        </w:rPr>
        <w:t>ārējo ilgtspējību un līdzsvaru</w:t>
      </w:r>
      <w:r w:rsidRPr="00C74C27">
        <w:rPr>
          <w:rFonts w:eastAsia="Calibri" w:cs="Arial"/>
          <w:szCs w:val="24"/>
          <w:lang w:eastAsia="en-US"/>
        </w:rPr>
        <w:t xml:space="preserve"> aplūko tirdzniecības bilanču samazinājumu horizontālās pieejas ietvaros.</w:t>
      </w:r>
    </w:p>
    <w:p w14:paraId="3D6389AA" w14:textId="77777777" w:rsidR="00C74C27" w:rsidRPr="00C74C27" w:rsidRDefault="00C74C27" w:rsidP="00C74C27">
      <w:pPr>
        <w:ind w:firstLine="567"/>
        <w:rPr>
          <w:rFonts w:eastAsia="Times New Roman" w:cs="Times New Roman"/>
          <w:szCs w:val="24"/>
          <w:lang w:eastAsia="en-US"/>
        </w:rPr>
      </w:pPr>
      <w:r w:rsidRPr="00C74C27">
        <w:rPr>
          <w:rFonts w:eastAsia="Calibri" w:cs="Arial"/>
          <w:szCs w:val="24"/>
          <w:lang w:eastAsia="en-US"/>
        </w:rPr>
        <w:t xml:space="preserve">Saskaņā ar šiem </w:t>
      </w:r>
      <w:r w:rsidRPr="00C74C27">
        <w:rPr>
          <w:rFonts w:eastAsia="Calibri" w:cs="Arial"/>
          <w:b/>
          <w:bCs/>
          <w:szCs w:val="24"/>
          <w:lang w:eastAsia="en-US"/>
        </w:rPr>
        <w:t>Padziļinātajiem tematiskiem novērtējumiem</w:t>
      </w:r>
      <w:r w:rsidRPr="00C74C27">
        <w:rPr>
          <w:rFonts w:eastAsia="Calibri" w:cs="Arial"/>
          <w:szCs w:val="24"/>
          <w:lang w:eastAsia="en-US"/>
        </w:rPr>
        <w:t xml:space="preserve">, kas tika publicēti 2023. gada 24. maijā, </w:t>
      </w:r>
      <w:r w:rsidRPr="00C74C27">
        <w:rPr>
          <w:rFonts w:eastAsia="Times New Roman" w:cs="Times New Roman"/>
          <w:szCs w:val="24"/>
          <w:lang w:eastAsia="en-US"/>
        </w:rPr>
        <w:t xml:space="preserve">Latvijā </w:t>
      </w:r>
      <w:r w:rsidRPr="00C74C27">
        <w:rPr>
          <w:rFonts w:eastAsia="Times New Roman" w:cs="Times New Roman"/>
          <w:b/>
          <w:bCs/>
          <w:szCs w:val="24"/>
          <w:lang w:eastAsia="en-US"/>
        </w:rPr>
        <w:t>nav konstatēta makroekonomiskā nesabalansētība</w:t>
      </w:r>
      <w:r w:rsidRPr="00C74C27">
        <w:rPr>
          <w:rFonts w:eastAsia="Times New Roman" w:cs="Times New Roman"/>
          <w:szCs w:val="24"/>
          <w:lang w:eastAsia="en-US"/>
        </w:rPr>
        <w:t>. Tajos norādīts, ka ievainojamības, kas saistītas ar ārējā parāda apjomu un mājokļu cenu pieaugumu, joprojām ir mērenas</w:t>
      </w:r>
      <w:r w:rsidRPr="00C74C27">
        <w:rPr>
          <w:rFonts w:eastAsia="Times New Roman" w:cs="Times New Roman"/>
          <w:color w:val="FF0000"/>
          <w:szCs w:val="24"/>
          <w:lang w:eastAsia="en-US"/>
        </w:rPr>
        <w:t xml:space="preserve"> </w:t>
      </w:r>
      <w:r w:rsidRPr="00C74C27">
        <w:rPr>
          <w:rFonts w:eastAsia="Times New Roman" w:cs="Times New Roman"/>
          <w:szCs w:val="24"/>
          <w:lang w:eastAsia="en-US"/>
        </w:rPr>
        <w:t>un konkurētspējas riski ir būtiski, taču kopumā tuvākajā nākotnē ir ierobežoti. Nesenā tekošā konta deficīta palielināšanās bija būtiska, taču paredzams, ka deficīts būtiski samazināsies gan šogad, gan 2024. gadā. Sagaidāms, ka Latvijas neto starptautiskā investīciju pozīcija, kas pēdējā desmitgadē ir ievērojami uzlabojusies, saglabāsies kopumā stabila arī nākotnē.</w:t>
      </w:r>
    </w:p>
    <w:p w14:paraId="2EA507AA" w14:textId="77777777" w:rsidR="00C74C27" w:rsidRPr="00C74C27" w:rsidRDefault="00C74C27" w:rsidP="00C74C27">
      <w:pPr>
        <w:rPr>
          <w:rFonts w:eastAsia="Times New Roman" w:cs="Times New Roman"/>
          <w:szCs w:val="24"/>
          <w:lang w:eastAsia="en-US"/>
        </w:rPr>
      </w:pPr>
      <w:r w:rsidRPr="00C74C27">
        <w:rPr>
          <w:rFonts w:eastAsia="Times New Roman" w:cs="Times New Roman"/>
          <w:szCs w:val="24"/>
          <w:lang w:eastAsia="en-US"/>
        </w:rPr>
        <w:t xml:space="preserve">Tomēr inflācija un algu spiediens, ja tas saglabāsies, var pasliktināt Latvijas konkurētspēju, jo īpaši tāpēc, ka pamatinflācija ir krietni virs </w:t>
      </w:r>
      <w:proofErr w:type="spellStart"/>
      <w:r w:rsidRPr="00C74C27">
        <w:rPr>
          <w:rFonts w:eastAsia="Times New Roman" w:cs="Times New Roman"/>
          <w:i/>
          <w:iCs/>
          <w:szCs w:val="24"/>
          <w:lang w:eastAsia="en-US"/>
        </w:rPr>
        <w:t>euro</w:t>
      </w:r>
      <w:proofErr w:type="spellEnd"/>
      <w:r w:rsidRPr="00C74C27">
        <w:rPr>
          <w:rFonts w:eastAsia="Times New Roman" w:cs="Times New Roman"/>
          <w:szCs w:val="24"/>
          <w:lang w:eastAsia="en-US"/>
        </w:rPr>
        <w:t xml:space="preserve"> zonas vidējā līmeņa. </w:t>
      </w:r>
      <w:bookmarkStart w:id="19" w:name="_Hlk146705899"/>
      <w:r w:rsidRPr="00C74C27">
        <w:rPr>
          <w:rFonts w:eastAsia="Times New Roman" w:cs="Times New Roman"/>
          <w:szCs w:val="24"/>
          <w:lang w:eastAsia="en-US"/>
        </w:rPr>
        <w:t xml:space="preserve">Mājokļu cenu pieaugums pēdējā laikā ir bijis paaugstināts, taču mājokļu tirgus pārkaršana nav </w:t>
      </w:r>
      <w:r w:rsidRPr="00C74C27">
        <w:rPr>
          <w:rFonts w:eastAsia="Times New Roman" w:cs="Times New Roman"/>
          <w:szCs w:val="24"/>
          <w:lang w:eastAsia="en-US"/>
        </w:rPr>
        <w:lastRenderedPageBreak/>
        <w:t xml:space="preserve">prognozējama. </w:t>
      </w:r>
      <w:bookmarkEnd w:id="19"/>
      <w:r w:rsidRPr="00C74C27">
        <w:rPr>
          <w:rFonts w:eastAsia="Times New Roman" w:cs="Times New Roman"/>
          <w:szCs w:val="24"/>
          <w:lang w:eastAsia="en-US"/>
        </w:rPr>
        <w:t>Turklāt mājokļu cenu pieaugums 2022. gada beigās palēninājās, hipotekārā kreditēšana ir bijusi vāja, mājsaimniecību parāds ir ierobežots un attiecībā pret mājsaimniecību ienākumiem tas samazinās. Tomēr Latvija saskaras ar svarīgām strukturālām ekonomiskām problēmām saistībā ar darbaspēka piedāvājuma samazināšanos, kuras savukārt ir veicinājušas strauju darbaspēka vienību izmaksu pieaugumu un pastāv risks, ka tādējādi vidējā termiņā var samazināties Latvijas konkurētspēja. Politiskie uzstādījumi kopumā ir labvēlīgi, lai gan šeit būtu svarīgi centieni uzlabot konkurētspēju, tajā skaitā produktivitātes paaugstināšanas pasākumi un darbaspēka piedāvājuma palielināšana. Tāpat saīsināts būvatļauju izsniegšanas process palīdzētu atbalstīt mājokļu piedāvājumu un uzlabotu situāciju mājokļu tirgū. Latvijas Agrās brīdināšanas mehānisma rādītāju vērtības apkopotas 1.5. tabulā.</w:t>
      </w:r>
    </w:p>
    <w:p w14:paraId="0C23D47C" w14:textId="69A9199D" w:rsidR="00C74C27" w:rsidRPr="00C74C27" w:rsidRDefault="00C74C27" w:rsidP="00C74C27">
      <w:pPr>
        <w:jc w:val="right"/>
        <w:rPr>
          <w:rFonts w:eastAsia="Calibri" w:cs="Arial"/>
          <w:b/>
          <w:bCs/>
          <w:i/>
          <w:iCs/>
          <w:szCs w:val="20"/>
          <w:lang w:eastAsia="en-US"/>
        </w:rPr>
      </w:pPr>
      <w:r w:rsidRPr="00C74C27">
        <w:rPr>
          <w:rFonts w:eastAsia="Calibri" w:cs="Arial"/>
          <w:b/>
          <w:bCs/>
          <w:i/>
          <w:iCs/>
          <w:szCs w:val="20"/>
          <w:lang w:eastAsia="en-US"/>
        </w:rPr>
        <w:t>1.</w:t>
      </w:r>
      <w:r w:rsidR="00280666">
        <w:rPr>
          <w:rFonts w:eastAsia="Calibri" w:cs="Arial"/>
          <w:b/>
          <w:bCs/>
          <w:i/>
          <w:iCs/>
          <w:szCs w:val="20"/>
          <w:lang w:eastAsia="en-US"/>
        </w:rPr>
        <w:t>4</w:t>
      </w:r>
      <w:r w:rsidRPr="00C74C27">
        <w:rPr>
          <w:rFonts w:eastAsia="Calibri" w:cs="Arial"/>
          <w:b/>
          <w:bCs/>
          <w:i/>
          <w:iCs/>
          <w:szCs w:val="20"/>
          <w:lang w:eastAsia="en-US"/>
        </w:rPr>
        <w:t>. tabula Latvijas Agrās brīdināšanas mehānisma rādītāju vērtības</w:t>
      </w:r>
    </w:p>
    <w:tbl>
      <w:tblPr>
        <w:tblpPr w:leftFromText="180" w:rightFromText="180" w:vertAnchor="text" w:horzAnchor="margin" w:tblpXSpec="center" w:tblpY="30"/>
        <w:tblW w:w="9676" w:type="dxa"/>
        <w:tblCellMar>
          <w:top w:w="15" w:type="dxa"/>
        </w:tblCellMar>
        <w:tblLook w:val="04A0" w:firstRow="1" w:lastRow="0" w:firstColumn="1" w:lastColumn="0" w:noHBand="0" w:noVBand="1"/>
      </w:tblPr>
      <w:tblGrid>
        <w:gridCol w:w="2720"/>
        <w:gridCol w:w="960"/>
        <w:gridCol w:w="960"/>
        <w:gridCol w:w="960"/>
        <w:gridCol w:w="960"/>
        <w:gridCol w:w="960"/>
        <w:gridCol w:w="960"/>
        <w:gridCol w:w="734"/>
        <w:gridCol w:w="462"/>
      </w:tblGrid>
      <w:tr w:rsidR="00C74C27" w:rsidRPr="00C74C27" w14:paraId="53E515D4" w14:textId="77777777" w:rsidTr="00915CB6">
        <w:trPr>
          <w:gridAfter w:val="1"/>
          <w:wAfter w:w="462" w:type="dxa"/>
          <w:trHeight w:val="290"/>
          <w:tblHeader/>
        </w:trPr>
        <w:tc>
          <w:tcPr>
            <w:tcW w:w="2720" w:type="dxa"/>
            <w:tcBorders>
              <w:top w:val="nil"/>
              <w:left w:val="nil"/>
              <w:bottom w:val="nil"/>
              <w:right w:val="nil"/>
            </w:tcBorders>
            <w:shd w:val="clear" w:color="auto" w:fill="auto"/>
            <w:noWrap/>
            <w:vAlign w:val="bottom"/>
            <w:hideMark/>
          </w:tcPr>
          <w:p w14:paraId="559B56B6" w14:textId="77777777" w:rsidR="00C74C27" w:rsidRPr="00C74C27" w:rsidRDefault="00C74C27" w:rsidP="00C74C27">
            <w:pPr>
              <w:spacing w:after="0"/>
              <w:ind w:firstLine="0"/>
              <w:jc w:val="left"/>
              <w:rPr>
                <w:rFonts w:eastAsia="Times New Roman" w:cs="Times New Roman"/>
                <w:sz w:val="20"/>
                <w:szCs w:val="20"/>
              </w:rPr>
            </w:pPr>
          </w:p>
        </w:tc>
        <w:tc>
          <w:tcPr>
            <w:tcW w:w="1920" w:type="dxa"/>
            <w:gridSpan w:val="2"/>
            <w:tcBorders>
              <w:top w:val="nil"/>
              <w:left w:val="nil"/>
              <w:bottom w:val="nil"/>
              <w:right w:val="nil"/>
            </w:tcBorders>
            <w:shd w:val="clear" w:color="auto" w:fill="auto"/>
            <w:noWrap/>
            <w:vAlign w:val="center"/>
            <w:hideMark/>
          </w:tcPr>
          <w:p w14:paraId="435A70C3"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Robežvērtības</w:t>
            </w:r>
          </w:p>
        </w:tc>
        <w:tc>
          <w:tcPr>
            <w:tcW w:w="960" w:type="dxa"/>
            <w:tcBorders>
              <w:top w:val="nil"/>
              <w:left w:val="nil"/>
              <w:bottom w:val="nil"/>
              <w:right w:val="nil"/>
            </w:tcBorders>
            <w:shd w:val="clear" w:color="auto" w:fill="auto"/>
            <w:noWrap/>
            <w:vAlign w:val="center"/>
            <w:hideMark/>
          </w:tcPr>
          <w:p w14:paraId="7FA4D136"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2019</w:t>
            </w:r>
          </w:p>
        </w:tc>
        <w:tc>
          <w:tcPr>
            <w:tcW w:w="960" w:type="dxa"/>
            <w:tcBorders>
              <w:top w:val="nil"/>
              <w:left w:val="nil"/>
              <w:bottom w:val="nil"/>
              <w:right w:val="nil"/>
            </w:tcBorders>
            <w:shd w:val="clear" w:color="auto" w:fill="auto"/>
            <w:noWrap/>
            <w:vAlign w:val="center"/>
            <w:hideMark/>
          </w:tcPr>
          <w:p w14:paraId="70FB05CA"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2020</w:t>
            </w:r>
          </w:p>
        </w:tc>
        <w:tc>
          <w:tcPr>
            <w:tcW w:w="960" w:type="dxa"/>
            <w:tcBorders>
              <w:top w:val="nil"/>
              <w:left w:val="nil"/>
              <w:bottom w:val="nil"/>
              <w:right w:val="nil"/>
            </w:tcBorders>
            <w:shd w:val="clear" w:color="auto" w:fill="auto"/>
            <w:noWrap/>
            <w:vAlign w:val="center"/>
            <w:hideMark/>
          </w:tcPr>
          <w:p w14:paraId="691A1C47"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2021</w:t>
            </w:r>
          </w:p>
        </w:tc>
        <w:tc>
          <w:tcPr>
            <w:tcW w:w="960" w:type="dxa"/>
            <w:tcBorders>
              <w:top w:val="nil"/>
              <w:left w:val="nil"/>
              <w:bottom w:val="nil"/>
              <w:right w:val="nil"/>
            </w:tcBorders>
            <w:shd w:val="clear" w:color="auto" w:fill="auto"/>
            <w:noWrap/>
            <w:vAlign w:val="center"/>
            <w:hideMark/>
          </w:tcPr>
          <w:p w14:paraId="29BBC069"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2022</w:t>
            </w:r>
          </w:p>
        </w:tc>
        <w:tc>
          <w:tcPr>
            <w:tcW w:w="734" w:type="dxa"/>
            <w:tcBorders>
              <w:top w:val="nil"/>
              <w:left w:val="nil"/>
              <w:bottom w:val="nil"/>
              <w:right w:val="nil"/>
            </w:tcBorders>
            <w:shd w:val="clear" w:color="auto" w:fill="auto"/>
            <w:noWrap/>
            <w:vAlign w:val="center"/>
            <w:hideMark/>
          </w:tcPr>
          <w:p w14:paraId="22D15636" w14:textId="774CE513"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2023</w:t>
            </w:r>
          </w:p>
        </w:tc>
      </w:tr>
      <w:tr w:rsidR="00C74C27" w:rsidRPr="00C74C27" w14:paraId="0057CE38" w14:textId="77777777" w:rsidTr="0049639B">
        <w:trPr>
          <w:gridAfter w:val="1"/>
          <w:wAfter w:w="462" w:type="dxa"/>
          <w:trHeight w:val="450"/>
        </w:trPr>
        <w:tc>
          <w:tcPr>
            <w:tcW w:w="2720" w:type="dxa"/>
            <w:vMerge w:val="restart"/>
            <w:tcBorders>
              <w:top w:val="nil"/>
              <w:left w:val="nil"/>
              <w:bottom w:val="nil"/>
              <w:right w:val="nil"/>
            </w:tcBorders>
            <w:shd w:val="clear" w:color="auto" w:fill="auto"/>
            <w:noWrap/>
            <w:vAlign w:val="center"/>
            <w:hideMark/>
          </w:tcPr>
          <w:p w14:paraId="16835968"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Tekošā konta bilance % no IKP</w:t>
            </w:r>
          </w:p>
        </w:tc>
        <w:tc>
          <w:tcPr>
            <w:tcW w:w="960" w:type="dxa"/>
            <w:vMerge w:val="restart"/>
            <w:tcBorders>
              <w:top w:val="nil"/>
              <w:left w:val="nil"/>
              <w:bottom w:val="nil"/>
              <w:right w:val="nil"/>
            </w:tcBorders>
            <w:shd w:val="clear" w:color="auto" w:fill="auto"/>
            <w:vAlign w:val="center"/>
            <w:hideMark/>
          </w:tcPr>
          <w:p w14:paraId="4809BA21"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 gadu vidējais</w:t>
            </w:r>
          </w:p>
        </w:tc>
        <w:tc>
          <w:tcPr>
            <w:tcW w:w="960" w:type="dxa"/>
            <w:vMerge w:val="restart"/>
            <w:tcBorders>
              <w:top w:val="nil"/>
              <w:left w:val="nil"/>
              <w:bottom w:val="nil"/>
              <w:right w:val="nil"/>
            </w:tcBorders>
            <w:shd w:val="clear" w:color="auto" w:fill="auto"/>
            <w:vAlign w:val="center"/>
            <w:hideMark/>
          </w:tcPr>
          <w:p w14:paraId="38366B8A"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-4%</w:t>
            </w:r>
          </w:p>
        </w:tc>
        <w:tc>
          <w:tcPr>
            <w:tcW w:w="960" w:type="dxa"/>
            <w:vMerge w:val="restart"/>
            <w:tcBorders>
              <w:top w:val="nil"/>
              <w:left w:val="nil"/>
              <w:bottom w:val="nil"/>
              <w:right w:val="nil"/>
            </w:tcBorders>
            <w:shd w:val="clear" w:color="auto" w:fill="auto"/>
            <w:vAlign w:val="center"/>
            <w:hideMark/>
          </w:tcPr>
          <w:p w14:paraId="1AC86806"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0,2</w:t>
            </w:r>
          </w:p>
        </w:tc>
        <w:tc>
          <w:tcPr>
            <w:tcW w:w="960" w:type="dxa"/>
            <w:vMerge w:val="restart"/>
            <w:tcBorders>
              <w:top w:val="nil"/>
              <w:left w:val="nil"/>
              <w:bottom w:val="nil"/>
              <w:right w:val="nil"/>
            </w:tcBorders>
            <w:shd w:val="clear" w:color="auto" w:fill="auto"/>
            <w:vAlign w:val="center"/>
            <w:hideMark/>
          </w:tcPr>
          <w:p w14:paraId="154B6E52"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0,6</w:t>
            </w:r>
          </w:p>
        </w:tc>
        <w:tc>
          <w:tcPr>
            <w:tcW w:w="960" w:type="dxa"/>
            <w:vMerge w:val="restart"/>
            <w:tcBorders>
              <w:top w:val="nil"/>
              <w:left w:val="nil"/>
              <w:bottom w:val="nil"/>
              <w:right w:val="nil"/>
            </w:tcBorders>
            <w:shd w:val="clear" w:color="auto" w:fill="auto"/>
            <w:vAlign w:val="center"/>
            <w:hideMark/>
          </w:tcPr>
          <w:p w14:paraId="09D405DA"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-0,7</w:t>
            </w:r>
          </w:p>
        </w:tc>
        <w:tc>
          <w:tcPr>
            <w:tcW w:w="960" w:type="dxa"/>
            <w:vMerge w:val="restart"/>
            <w:tcBorders>
              <w:top w:val="nil"/>
              <w:left w:val="nil"/>
              <w:bottom w:val="nil"/>
              <w:right w:val="nil"/>
            </w:tcBorders>
            <w:shd w:val="clear" w:color="auto" w:fill="auto"/>
            <w:vAlign w:val="center"/>
            <w:hideMark/>
          </w:tcPr>
          <w:p w14:paraId="25F1294E"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-2,7</w:t>
            </w:r>
          </w:p>
        </w:tc>
        <w:tc>
          <w:tcPr>
            <w:tcW w:w="734" w:type="dxa"/>
            <w:vMerge w:val="restart"/>
            <w:tcBorders>
              <w:top w:val="nil"/>
              <w:left w:val="nil"/>
              <w:bottom w:val="nil"/>
              <w:right w:val="nil"/>
            </w:tcBorders>
            <w:shd w:val="clear" w:color="000000" w:fill="FFCCCC"/>
            <w:vAlign w:val="center"/>
            <w:hideMark/>
          </w:tcPr>
          <w:p w14:paraId="2FCA5626"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-6,9</w:t>
            </w:r>
          </w:p>
        </w:tc>
      </w:tr>
      <w:tr w:rsidR="00C74C27" w:rsidRPr="00C74C27" w14:paraId="25028520" w14:textId="77777777" w:rsidTr="0049639B">
        <w:trPr>
          <w:trHeight w:val="290"/>
        </w:trPr>
        <w:tc>
          <w:tcPr>
            <w:tcW w:w="2720" w:type="dxa"/>
            <w:vMerge/>
            <w:tcBorders>
              <w:top w:val="nil"/>
              <w:left w:val="nil"/>
              <w:bottom w:val="nil"/>
              <w:right w:val="nil"/>
            </w:tcBorders>
            <w:vAlign w:val="center"/>
            <w:hideMark/>
          </w:tcPr>
          <w:p w14:paraId="438EE8B9"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C82EBC1"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59B3E9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FBC8A15"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F0A2B10"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1422B9B7"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133B5E1A"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6795BCE5"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767C98E5" w14:textId="77777777" w:rsidR="00C74C27" w:rsidRPr="00C74C27" w:rsidRDefault="00C74C27" w:rsidP="00C74C27">
            <w:pPr>
              <w:spacing w:after="0"/>
              <w:ind w:firstLine="0"/>
              <w:jc w:val="center"/>
              <w:rPr>
                <w:rFonts w:eastAsia="Times New Roman" w:cs="Times New Roman"/>
                <w:color w:val="000000"/>
                <w:sz w:val="18"/>
                <w:szCs w:val="18"/>
              </w:rPr>
            </w:pPr>
          </w:p>
        </w:tc>
      </w:tr>
      <w:tr w:rsidR="00C74C27" w:rsidRPr="00C74C27" w14:paraId="5D78A5B5" w14:textId="77777777" w:rsidTr="0049639B">
        <w:trPr>
          <w:trHeight w:val="290"/>
        </w:trPr>
        <w:tc>
          <w:tcPr>
            <w:tcW w:w="2720" w:type="dxa"/>
            <w:vMerge/>
            <w:tcBorders>
              <w:top w:val="nil"/>
              <w:left w:val="nil"/>
              <w:bottom w:val="nil"/>
              <w:right w:val="nil"/>
            </w:tcBorders>
            <w:vAlign w:val="center"/>
            <w:hideMark/>
          </w:tcPr>
          <w:p w14:paraId="6CB9E0E2"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1F52A2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55ECAF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09C8945"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04AF05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5F3E085"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7F94C1F"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11EA1A21"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5CF927CC"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3ED3EE03" w14:textId="77777777" w:rsidTr="0049639B">
        <w:trPr>
          <w:trHeight w:val="290"/>
        </w:trPr>
        <w:tc>
          <w:tcPr>
            <w:tcW w:w="2720" w:type="dxa"/>
            <w:vMerge w:val="restart"/>
            <w:tcBorders>
              <w:top w:val="nil"/>
              <w:left w:val="nil"/>
              <w:bottom w:val="nil"/>
              <w:right w:val="nil"/>
            </w:tcBorders>
            <w:shd w:val="clear" w:color="auto" w:fill="auto"/>
            <w:vAlign w:val="center"/>
            <w:hideMark/>
          </w:tcPr>
          <w:p w14:paraId="787A0078"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Neto starptautiskā investīciju pozīcija</w:t>
            </w:r>
          </w:p>
        </w:tc>
        <w:tc>
          <w:tcPr>
            <w:tcW w:w="960" w:type="dxa"/>
            <w:vMerge w:val="restart"/>
            <w:tcBorders>
              <w:top w:val="nil"/>
              <w:left w:val="nil"/>
              <w:bottom w:val="nil"/>
              <w:right w:val="nil"/>
            </w:tcBorders>
            <w:shd w:val="clear" w:color="auto" w:fill="auto"/>
            <w:vAlign w:val="center"/>
            <w:hideMark/>
          </w:tcPr>
          <w:p w14:paraId="7B70F520"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 no IKP</w:t>
            </w:r>
          </w:p>
        </w:tc>
        <w:tc>
          <w:tcPr>
            <w:tcW w:w="960" w:type="dxa"/>
            <w:vMerge w:val="restart"/>
            <w:tcBorders>
              <w:top w:val="nil"/>
              <w:left w:val="nil"/>
              <w:bottom w:val="nil"/>
              <w:right w:val="nil"/>
            </w:tcBorders>
            <w:shd w:val="clear" w:color="auto" w:fill="auto"/>
            <w:vAlign w:val="center"/>
            <w:hideMark/>
          </w:tcPr>
          <w:p w14:paraId="3778BE71"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-35%</w:t>
            </w:r>
          </w:p>
        </w:tc>
        <w:tc>
          <w:tcPr>
            <w:tcW w:w="960" w:type="dxa"/>
            <w:vMerge w:val="restart"/>
            <w:tcBorders>
              <w:top w:val="nil"/>
              <w:left w:val="nil"/>
              <w:bottom w:val="nil"/>
              <w:right w:val="nil"/>
            </w:tcBorders>
            <w:shd w:val="clear" w:color="000000" w:fill="FFCCCC"/>
            <w:noWrap/>
            <w:vAlign w:val="center"/>
            <w:hideMark/>
          </w:tcPr>
          <w:p w14:paraId="2E2ECB98"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-40,3</w:t>
            </w:r>
          </w:p>
        </w:tc>
        <w:tc>
          <w:tcPr>
            <w:tcW w:w="960" w:type="dxa"/>
            <w:vMerge w:val="restart"/>
            <w:tcBorders>
              <w:top w:val="nil"/>
              <w:left w:val="nil"/>
              <w:bottom w:val="nil"/>
              <w:right w:val="nil"/>
            </w:tcBorders>
            <w:shd w:val="clear" w:color="auto" w:fill="auto"/>
            <w:noWrap/>
            <w:vAlign w:val="center"/>
            <w:hideMark/>
          </w:tcPr>
          <w:p w14:paraId="54455830"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-34,1</w:t>
            </w:r>
          </w:p>
        </w:tc>
        <w:tc>
          <w:tcPr>
            <w:tcW w:w="960" w:type="dxa"/>
            <w:vMerge w:val="restart"/>
            <w:tcBorders>
              <w:top w:val="nil"/>
              <w:left w:val="nil"/>
              <w:bottom w:val="nil"/>
              <w:right w:val="nil"/>
            </w:tcBorders>
            <w:shd w:val="clear" w:color="auto" w:fill="auto"/>
            <w:noWrap/>
            <w:vAlign w:val="center"/>
            <w:hideMark/>
          </w:tcPr>
          <w:p w14:paraId="03551EB4"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-27,4</w:t>
            </w:r>
          </w:p>
        </w:tc>
        <w:tc>
          <w:tcPr>
            <w:tcW w:w="960" w:type="dxa"/>
            <w:vMerge w:val="restart"/>
            <w:tcBorders>
              <w:top w:val="nil"/>
              <w:left w:val="nil"/>
              <w:bottom w:val="nil"/>
              <w:right w:val="nil"/>
            </w:tcBorders>
            <w:shd w:val="clear" w:color="auto" w:fill="auto"/>
            <w:noWrap/>
            <w:vAlign w:val="center"/>
            <w:hideMark/>
          </w:tcPr>
          <w:p w14:paraId="73879D21"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-27,0</w:t>
            </w:r>
          </w:p>
        </w:tc>
        <w:tc>
          <w:tcPr>
            <w:tcW w:w="734" w:type="dxa"/>
            <w:vMerge w:val="restart"/>
            <w:tcBorders>
              <w:top w:val="nil"/>
              <w:left w:val="nil"/>
              <w:bottom w:val="nil"/>
              <w:right w:val="nil"/>
            </w:tcBorders>
            <w:shd w:val="clear" w:color="auto" w:fill="auto"/>
            <w:noWrap/>
            <w:vAlign w:val="center"/>
            <w:hideMark/>
          </w:tcPr>
          <w:p w14:paraId="34A3EE9B"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-25</w:t>
            </w:r>
          </w:p>
        </w:tc>
        <w:tc>
          <w:tcPr>
            <w:tcW w:w="462" w:type="dxa"/>
            <w:vAlign w:val="center"/>
            <w:hideMark/>
          </w:tcPr>
          <w:p w14:paraId="10058535"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2232C5E8" w14:textId="77777777" w:rsidTr="0049639B">
        <w:trPr>
          <w:trHeight w:val="290"/>
        </w:trPr>
        <w:tc>
          <w:tcPr>
            <w:tcW w:w="2720" w:type="dxa"/>
            <w:vMerge/>
            <w:tcBorders>
              <w:top w:val="nil"/>
              <w:left w:val="nil"/>
              <w:bottom w:val="nil"/>
              <w:right w:val="nil"/>
            </w:tcBorders>
            <w:vAlign w:val="center"/>
            <w:hideMark/>
          </w:tcPr>
          <w:p w14:paraId="635EC5ED"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5DBF0F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1B7DB5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567825C"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0F00DBC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EFBA799"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075977AB" w14:textId="77777777" w:rsidR="00C74C27" w:rsidRPr="00C74C27" w:rsidRDefault="00C74C27" w:rsidP="00C74C27">
            <w:pPr>
              <w:spacing w:after="0"/>
              <w:ind w:firstLine="0"/>
              <w:jc w:val="left"/>
              <w:rPr>
                <w:rFonts w:eastAsia="Times New Roman" w:cs="Times New Roman"/>
                <w:sz w:val="18"/>
                <w:szCs w:val="18"/>
              </w:rPr>
            </w:pPr>
          </w:p>
        </w:tc>
        <w:tc>
          <w:tcPr>
            <w:tcW w:w="734" w:type="dxa"/>
            <w:vMerge/>
            <w:tcBorders>
              <w:top w:val="nil"/>
              <w:left w:val="nil"/>
              <w:bottom w:val="nil"/>
              <w:right w:val="nil"/>
            </w:tcBorders>
            <w:vAlign w:val="center"/>
            <w:hideMark/>
          </w:tcPr>
          <w:p w14:paraId="0E50A1DB" w14:textId="77777777" w:rsidR="00C74C27" w:rsidRPr="00C74C27" w:rsidRDefault="00C74C27" w:rsidP="00C74C27">
            <w:pPr>
              <w:spacing w:after="0"/>
              <w:ind w:firstLine="0"/>
              <w:jc w:val="left"/>
              <w:rPr>
                <w:rFonts w:eastAsia="Times New Roman" w:cs="Times New Roman"/>
                <w:sz w:val="18"/>
                <w:szCs w:val="18"/>
              </w:rPr>
            </w:pPr>
          </w:p>
        </w:tc>
        <w:tc>
          <w:tcPr>
            <w:tcW w:w="462" w:type="dxa"/>
            <w:tcBorders>
              <w:top w:val="nil"/>
              <w:left w:val="nil"/>
              <w:bottom w:val="nil"/>
              <w:right w:val="nil"/>
            </w:tcBorders>
            <w:shd w:val="clear" w:color="auto" w:fill="auto"/>
            <w:noWrap/>
            <w:vAlign w:val="bottom"/>
            <w:hideMark/>
          </w:tcPr>
          <w:p w14:paraId="465E1404" w14:textId="77777777" w:rsidR="00C74C27" w:rsidRPr="00C74C27" w:rsidRDefault="00C74C27" w:rsidP="00C74C27">
            <w:pPr>
              <w:spacing w:after="0"/>
              <w:ind w:firstLine="0"/>
              <w:jc w:val="center"/>
              <w:rPr>
                <w:rFonts w:eastAsia="Times New Roman" w:cs="Times New Roman"/>
                <w:sz w:val="18"/>
                <w:szCs w:val="18"/>
              </w:rPr>
            </w:pPr>
          </w:p>
        </w:tc>
      </w:tr>
      <w:tr w:rsidR="00C74C27" w:rsidRPr="00C74C27" w14:paraId="4357DFB0" w14:textId="77777777" w:rsidTr="0049639B">
        <w:trPr>
          <w:trHeight w:val="290"/>
        </w:trPr>
        <w:tc>
          <w:tcPr>
            <w:tcW w:w="2720" w:type="dxa"/>
            <w:vMerge w:val="restart"/>
            <w:tcBorders>
              <w:top w:val="nil"/>
              <w:left w:val="nil"/>
              <w:bottom w:val="nil"/>
              <w:right w:val="nil"/>
            </w:tcBorders>
            <w:shd w:val="clear" w:color="auto" w:fill="auto"/>
            <w:vAlign w:val="center"/>
            <w:hideMark/>
          </w:tcPr>
          <w:p w14:paraId="10DF10B4"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Reālais efektīvais valūtas maiņas kurss - 42 tirdzniecības partneri</w:t>
            </w:r>
          </w:p>
        </w:tc>
        <w:tc>
          <w:tcPr>
            <w:tcW w:w="960" w:type="dxa"/>
            <w:vMerge w:val="restart"/>
            <w:tcBorders>
              <w:top w:val="nil"/>
              <w:left w:val="nil"/>
              <w:bottom w:val="nil"/>
              <w:right w:val="nil"/>
            </w:tcBorders>
            <w:shd w:val="clear" w:color="auto" w:fill="auto"/>
            <w:vAlign w:val="center"/>
            <w:hideMark/>
          </w:tcPr>
          <w:p w14:paraId="58907E70"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 gadu % izmaiņas</w:t>
            </w:r>
          </w:p>
        </w:tc>
        <w:tc>
          <w:tcPr>
            <w:tcW w:w="960" w:type="dxa"/>
            <w:vMerge w:val="restart"/>
            <w:tcBorders>
              <w:top w:val="nil"/>
              <w:left w:val="nil"/>
              <w:bottom w:val="nil"/>
              <w:right w:val="nil"/>
            </w:tcBorders>
            <w:shd w:val="clear" w:color="auto" w:fill="auto"/>
            <w:vAlign w:val="center"/>
            <w:hideMark/>
          </w:tcPr>
          <w:p w14:paraId="3A4F7F9B"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±5%</w:t>
            </w:r>
          </w:p>
        </w:tc>
        <w:tc>
          <w:tcPr>
            <w:tcW w:w="960" w:type="dxa"/>
            <w:vMerge w:val="restart"/>
            <w:tcBorders>
              <w:top w:val="nil"/>
              <w:left w:val="nil"/>
              <w:bottom w:val="nil"/>
              <w:right w:val="nil"/>
            </w:tcBorders>
            <w:shd w:val="clear" w:color="auto" w:fill="auto"/>
            <w:noWrap/>
            <w:vAlign w:val="center"/>
            <w:hideMark/>
          </w:tcPr>
          <w:p w14:paraId="16DF2CE3"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3,8</w:t>
            </w:r>
          </w:p>
        </w:tc>
        <w:tc>
          <w:tcPr>
            <w:tcW w:w="960" w:type="dxa"/>
            <w:vMerge w:val="restart"/>
            <w:tcBorders>
              <w:top w:val="nil"/>
              <w:left w:val="nil"/>
              <w:bottom w:val="nil"/>
              <w:right w:val="nil"/>
            </w:tcBorders>
            <w:shd w:val="clear" w:color="000000" w:fill="FFCCCC"/>
            <w:noWrap/>
            <w:vAlign w:val="center"/>
            <w:hideMark/>
          </w:tcPr>
          <w:p w14:paraId="0AC9B033"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5,9</w:t>
            </w:r>
          </w:p>
        </w:tc>
        <w:tc>
          <w:tcPr>
            <w:tcW w:w="960" w:type="dxa"/>
            <w:vMerge w:val="restart"/>
            <w:tcBorders>
              <w:top w:val="nil"/>
              <w:left w:val="nil"/>
              <w:bottom w:val="nil"/>
              <w:right w:val="nil"/>
            </w:tcBorders>
            <w:shd w:val="clear" w:color="auto" w:fill="auto"/>
            <w:noWrap/>
            <w:vAlign w:val="center"/>
            <w:hideMark/>
          </w:tcPr>
          <w:p w14:paraId="76793CB0"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2,3</w:t>
            </w:r>
          </w:p>
        </w:tc>
        <w:tc>
          <w:tcPr>
            <w:tcW w:w="960" w:type="dxa"/>
            <w:vMerge w:val="restart"/>
            <w:tcBorders>
              <w:top w:val="nil"/>
              <w:left w:val="nil"/>
              <w:bottom w:val="nil"/>
              <w:right w:val="nil"/>
            </w:tcBorders>
            <w:shd w:val="clear" w:color="auto" w:fill="FFCCCC"/>
            <w:noWrap/>
            <w:vAlign w:val="center"/>
            <w:hideMark/>
          </w:tcPr>
          <w:p w14:paraId="241A1391"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5,7</w:t>
            </w:r>
          </w:p>
        </w:tc>
        <w:tc>
          <w:tcPr>
            <w:tcW w:w="734" w:type="dxa"/>
            <w:vMerge w:val="restart"/>
            <w:tcBorders>
              <w:top w:val="nil"/>
              <w:left w:val="nil"/>
              <w:bottom w:val="nil"/>
              <w:right w:val="nil"/>
            </w:tcBorders>
            <w:shd w:val="clear" w:color="auto" w:fill="FFCCCC"/>
            <w:noWrap/>
            <w:vAlign w:val="center"/>
            <w:hideMark/>
          </w:tcPr>
          <w:p w14:paraId="176D5D3F"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-7,5</w:t>
            </w:r>
          </w:p>
        </w:tc>
        <w:tc>
          <w:tcPr>
            <w:tcW w:w="462" w:type="dxa"/>
            <w:vAlign w:val="center"/>
            <w:hideMark/>
          </w:tcPr>
          <w:p w14:paraId="599EFCDF"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20313291" w14:textId="77777777" w:rsidTr="0049639B">
        <w:trPr>
          <w:trHeight w:val="290"/>
        </w:trPr>
        <w:tc>
          <w:tcPr>
            <w:tcW w:w="2720" w:type="dxa"/>
            <w:vMerge/>
            <w:tcBorders>
              <w:top w:val="nil"/>
              <w:left w:val="nil"/>
              <w:bottom w:val="nil"/>
              <w:right w:val="nil"/>
            </w:tcBorders>
            <w:vAlign w:val="center"/>
            <w:hideMark/>
          </w:tcPr>
          <w:p w14:paraId="1D2D334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A14606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AC2A802"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8B419BD"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04C264E"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04662C1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shd w:val="clear" w:color="auto" w:fill="FFCCCC"/>
            <w:vAlign w:val="center"/>
            <w:hideMark/>
          </w:tcPr>
          <w:p w14:paraId="5EB75410"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shd w:val="clear" w:color="auto" w:fill="FFCCCC"/>
            <w:vAlign w:val="center"/>
            <w:hideMark/>
          </w:tcPr>
          <w:p w14:paraId="3A20D7DE"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1906427B" w14:textId="77777777" w:rsidR="00C74C27" w:rsidRPr="00C74C27" w:rsidRDefault="00C74C27" w:rsidP="00C74C27">
            <w:pPr>
              <w:spacing w:after="0"/>
              <w:ind w:firstLine="0"/>
              <w:jc w:val="center"/>
              <w:rPr>
                <w:rFonts w:eastAsia="Times New Roman" w:cs="Times New Roman"/>
                <w:color w:val="000000"/>
                <w:sz w:val="18"/>
                <w:szCs w:val="18"/>
              </w:rPr>
            </w:pPr>
          </w:p>
        </w:tc>
      </w:tr>
      <w:tr w:rsidR="00C74C27" w:rsidRPr="00C74C27" w14:paraId="79EB5783" w14:textId="77777777" w:rsidTr="0049639B">
        <w:trPr>
          <w:trHeight w:val="290"/>
        </w:trPr>
        <w:tc>
          <w:tcPr>
            <w:tcW w:w="2720" w:type="dxa"/>
            <w:vMerge/>
            <w:tcBorders>
              <w:top w:val="nil"/>
              <w:left w:val="nil"/>
              <w:bottom w:val="nil"/>
              <w:right w:val="nil"/>
            </w:tcBorders>
            <w:vAlign w:val="center"/>
            <w:hideMark/>
          </w:tcPr>
          <w:p w14:paraId="1A6D9BE7"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A029B5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10F7D07"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A3C569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7D227DB"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344FF05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shd w:val="clear" w:color="auto" w:fill="FFCCCC"/>
            <w:vAlign w:val="center"/>
            <w:hideMark/>
          </w:tcPr>
          <w:p w14:paraId="79C36BFA"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shd w:val="clear" w:color="auto" w:fill="FFCCCC"/>
            <w:vAlign w:val="center"/>
            <w:hideMark/>
          </w:tcPr>
          <w:p w14:paraId="59124F21"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2E7281D3"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4FE73E7B" w14:textId="77777777" w:rsidTr="0049639B">
        <w:trPr>
          <w:trHeight w:val="290"/>
        </w:trPr>
        <w:tc>
          <w:tcPr>
            <w:tcW w:w="2720" w:type="dxa"/>
            <w:vMerge w:val="restart"/>
            <w:tcBorders>
              <w:top w:val="nil"/>
              <w:left w:val="nil"/>
              <w:bottom w:val="nil"/>
              <w:right w:val="nil"/>
            </w:tcBorders>
            <w:shd w:val="clear" w:color="auto" w:fill="auto"/>
            <w:vAlign w:val="center"/>
            <w:hideMark/>
          </w:tcPr>
          <w:p w14:paraId="548930F4"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Eksporta tirgus daļa % no pasaules eksporta</w:t>
            </w:r>
          </w:p>
        </w:tc>
        <w:tc>
          <w:tcPr>
            <w:tcW w:w="960" w:type="dxa"/>
            <w:vMerge w:val="restart"/>
            <w:tcBorders>
              <w:top w:val="nil"/>
              <w:left w:val="nil"/>
              <w:bottom w:val="nil"/>
              <w:right w:val="nil"/>
            </w:tcBorders>
            <w:shd w:val="clear" w:color="auto" w:fill="auto"/>
            <w:vAlign w:val="center"/>
            <w:hideMark/>
          </w:tcPr>
          <w:p w14:paraId="2E27DDEE"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5 gadu % izmaiņas</w:t>
            </w:r>
          </w:p>
        </w:tc>
        <w:tc>
          <w:tcPr>
            <w:tcW w:w="960" w:type="dxa"/>
            <w:vMerge w:val="restart"/>
            <w:tcBorders>
              <w:top w:val="nil"/>
              <w:left w:val="nil"/>
              <w:bottom w:val="nil"/>
              <w:right w:val="nil"/>
            </w:tcBorders>
            <w:shd w:val="clear" w:color="auto" w:fill="auto"/>
            <w:vAlign w:val="center"/>
            <w:hideMark/>
          </w:tcPr>
          <w:p w14:paraId="4A79AC68"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-6%</w:t>
            </w:r>
          </w:p>
        </w:tc>
        <w:tc>
          <w:tcPr>
            <w:tcW w:w="960" w:type="dxa"/>
            <w:vMerge w:val="restart"/>
            <w:tcBorders>
              <w:top w:val="nil"/>
              <w:left w:val="nil"/>
              <w:bottom w:val="nil"/>
              <w:right w:val="nil"/>
            </w:tcBorders>
            <w:shd w:val="clear" w:color="auto" w:fill="auto"/>
            <w:noWrap/>
            <w:vAlign w:val="center"/>
            <w:hideMark/>
          </w:tcPr>
          <w:p w14:paraId="38D7ED6B"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3,3</w:t>
            </w:r>
          </w:p>
        </w:tc>
        <w:tc>
          <w:tcPr>
            <w:tcW w:w="960" w:type="dxa"/>
            <w:vMerge w:val="restart"/>
            <w:tcBorders>
              <w:top w:val="nil"/>
              <w:left w:val="nil"/>
              <w:bottom w:val="nil"/>
              <w:right w:val="nil"/>
            </w:tcBorders>
            <w:shd w:val="clear" w:color="auto" w:fill="auto"/>
            <w:noWrap/>
            <w:vAlign w:val="center"/>
            <w:hideMark/>
          </w:tcPr>
          <w:p w14:paraId="4EBC0154"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19,7</w:t>
            </w:r>
          </w:p>
        </w:tc>
        <w:tc>
          <w:tcPr>
            <w:tcW w:w="960" w:type="dxa"/>
            <w:vMerge w:val="restart"/>
            <w:tcBorders>
              <w:top w:val="nil"/>
              <w:left w:val="nil"/>
              <w:bottom w:val="nil"/>
              <w:right w:val="nil"/>
            </w:tcBorders>
            <w:shd w:val="clear" w:color="auto" w:fill="auto"/>
            <w:noWrap/>
            <w:vAlign w:val="center"/>
            <w:hideMark/>
          </w:tcPr>
          <w:p w14:paraId="1D8BDD18"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13,4</w:t>
            </w:r>
          </w:p>
        </w:tc>
        <w:tc>
          <w:tcPr>
            <w:tcW w:w="960" w:type="dxa"/>
            <w:vMerge w:val="restart"/>
            <w:tcBorders>
              <w:top w:val="nil"/>
              <w:left w:val="nil"/>
              <w:bottom w:val="nil"/>
              <w:right w:val="nil"/>
            </w:tcBorders>
            <w:shd w:val="clear" w:color="auto" w:fill="auto"/>
            <w:noWrap/>
            <w:vAlign w:val="center"/>
            <w:hideMark/>
          </w:tcPr>
          <w:p w14:paraId="19AD9293"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13,81</w:t>
            </w:r>
          </w:p>
        </w:tc>
        <w:tc>
          <w:tcPr>
            <w:tcW w:w="734" w:type="dxa"/>
            <w:vMerge w:val="restart"/>
            <w:tcBorders>
              <w:top w:val="nil"/>
              <w:left w:val="nil"/>
              <w:bottom w:val="nil"/>
              <w:right w:val="nil"/>
            </w:tcBorders>
            <w:shd w:val="clear" w:color="auto" w:fill="auto"/>
            <w:noWrap/>
            <w:vAlign w:val="center"/>
            <w:hideMark/>
          </w:tcPr>
          <w:p w14:paraId="32DCD55D"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10,0</w:t>
            </w:r>
          </w:p>
        </w:tc>
        <w:tc>
          <w:tcPr>
            <w:tcW w:w="462" w:type="dxa"/>
            <w:vAlign w:val="center"/>
            <w:hideMark/>
          </w:tcPr>
          <w:p w14:paraId="5CF220F5"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27A44F8C" w14:textId="77777777" w:rsidTr="0049639B">
        <w:trPr>
          <w:trHeight w:val="290"/>
        </w:trPr>
        <w:tc>
          <w:tcPr>
            <w:tcW w:w="2720" w:type="dxa"/>
            <w:vMerge/>
            <w:tcBorders>
              <w:top w:val="nil"/>
              <w:left w:val="nil"/>
              <w:bottom w:val="nil"/>
              <w:right w:val="nil"/>
            </w:tcBorders>
            <w:vAlign w:val="center"/>
            <w:hideMark/>
          </w:tcPr>
          <w:p w14:paraId="7554C89A"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0A0A691"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E22F4C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E161411"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100CC7D7"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55B39A7"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7BF9E80"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7D305E60"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43A18CD3" w14:textId="77777777" w:rsidR="00C74C27" w:rsidRPr="00C74C27" w:rsidRDefault="00C74C27" w:rsidP="00C74C27">
            <w:pPr>
              <w:spacing w:after="0"/>
              <w:ind w:firstLine="0"/>
              <w:jc w:val="center"/>
              <w:rPr>
                <w:rFonts w:eastAsia="Times New Roman" w:cs="Times New Roman"/>
                <w:color w:val="000000"/>
                <w:sz w:val="18"/>
                <w:szCs w:val="18"/>
              </w:rPr>
            </w:pPr>
          </w:p>
        </w:tc>
      </w:tr>
      <w:tr w:rsidR="00C74C27" w:rsidRPr="00C74C27" w14:paraId="401CEA50" w14:textId="77777777" w:rsidTr="0049639B">
        <w:trPr>
          <w:trHeight w:val="290"/>
        </w:trPr>
        <w:tc>
          <w:tcPr>
            <w:tcW w:w="2720" w:type="dxa"/>
            <w:vMerge w:val="restart"/>
            <w:tcBorders>
              <w:top w:val="nil"/>
              <w:left w:val="nil"/>
              <w:bottom w:val="nil"/>
              <w:right w:val="nil"/>
            </w:tcBorders>
            <w:shd w:val="clear" w:color="auto" w:fill="auto"/>
            <w:vAlign w:val="center"/>
            <w:hideMark/>
          </w:tcPr>
          <w:p w14:paraId="658C7FFB"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Nominālās darbaspēka vienības izmaksu indekss (2010=100)</w:t>
            </w:r>
          </w:p>
        </w:tc>
        <w:tc>
          <w:tcPr>
            <w:tcW w:w="960" w:type="dxa"/>
            <w:vMerge w:val="restart"/>
            <w:tcBorders>
              <w:top w:val="nil"/>
              <w:left w:val="nil"/>
              <w:bottom w:val="nil"/>
              <w:right w:val="nil"/>
            </w:tcBorders>
            <w:shd w:val="clear" w:color="auto" w:fill="auto"/>
            <w:vAlign w:val="center"/>
            <w:hideMark/>
          </w:tcPr>
          <w:p w14:paraId="5A169D05"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 gadu % izmaiņas</w:t>
            </w:r>
          </w:p>
        </w:tc>
        <w:tc>
          <w:tcPr>
            <w:tcW w:w="960" w:type="dxa"/>
            <w:vMerge w:val="restart"/>
            <w:tcBorders>
              <w:top w:val="nil"/>
              <w:left w:val="nil"/>
              <w:bottom w:val="nil"/>
              <w:right w:val="nil"/>
            </w:tcBorders>
            <w:shd w:val="clear" w:color="auto" w:fill="auto"/>
            <w:vAlign w:val="center"/>
            <w:hideMark/>
          </w:tcPr>
          <w:p w14:paraId="3092A4AE"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9%</w:t>
            </w:r>
          </w:p>
        </w:tc>
        <w:tc>
          <w:tcPr>
            <w:tcW w:w="960" w:type="dxa"/>
            <w:vMerge w:val="restart"/>
            <w:tcBorders>
              <w:top w:val="nil"/>
              <w:left w:val="nil"/>
              <w:bottom w:val="nil"/>
              <w:right w:val="nil"/>
            </w:tcBorders>
            <w:shd w:val="clear" w:color="000000" w:fill="FFCCCC"/>
            <w:noWrap/>
            <w:vAlign w:val="center"/>
            <w:hideMark/>
          </w:tcPr>
          <w:p w14:paraId="04C47537"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15,3</w:t>
            </w:r>
          </w:p>
        </w:tc>
        <w:tc>
          <w:tcPr>
            <w:tcW w:w="960" w:type="dxa"/>
            <w:vMerge w:val="restart"/>
            <w:tcBorders>
              <w:top w:val="nil"/>
              <w:left w:val="nil"/>
              <w:bottom w:val="nil"/>
              <w:right w:val="nil"/>
            </w:tcBorders>
            <w:shd w:val="clear" w:color="000000" w:fill="FFCCCC"/>
            <w:noWrap/>
            <w:vAlign w:val="center"/>
            <w:hideMark/>
          </w:tcPr>
          <w:p w14:paraId="7FD175D3"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16,1</w:t>
            </w:r>
          </w:p>
        </w:tc>
        <w:tc>
          <w:tcPr>
            <w:tcW w:w="960" w:type="dxa"/>
            <w:vMerge w:val="restart"/>
            <w:tcBorders>
              <w:top w:val="nil"/>
              <w:left w:val="nil"/>
              <w:bottom w:val="nil"/>
              <w:right w:val="nil"/>
            </w:tcBorders>
            <w:shd w:val="clear" w:color="000000" w:fill="FFCCCC"/>
            <w:noWrap/>
            <w:vAlign w:val="center"/>
            <w:hideMark/>
          </w:tcPr>
          <w:p w14:paraId="21A21E5C"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14,5</w:t>
            </w:r>
          </w:p>
        </w:tc>
        <w:tc>
          <w:tcPr>
            <w:tcW w:w="960" w:type="dxa"/>
            <w:vMerge w:val="restart"/>
            <w:tcBorders>
              <w:top w:val="nil"/>
              <w:left w:val="nil"/>
              <w:bottom w:val="nil"/>
              <w:right w:val="nil"/>
            </w:tcBorders>
            <w:shd w:val="clear" w:color="000000" w:fill="FFCCCC"/>
            <w:noWrap/>
            <w:vAlign w:val="center"/>
            <w:hideMark/>
          </w:tcPr>
          <w:p w14:paraId="637368E4"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16,7</w:t>
            </w:r>
          </w:p>
        </w:tc>
        <w:tc>
          <w:tcPr>
            <w:tcW w:w="734" w:type="dxa"/>
            <w:vMerge w:val="restart"/>
            <w:tcBorders>
              <w:top w:val="nil"/>
              <w:left w:val="nil"/>
              <w:bottom w:val="nil"/>
              <w:right w:val="nil"/>
            </w:tcBorders>
            <w:shd w:val="clear" w:color="000000" w:fill="FFCCCC"/>
            <w:noWrap/>
            <w:vAlign w:val="center"/>
            <w:hideMark/>
          </w:tcPr>
          <w:p w14:paraId="5D8BD8E1"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25,5</w:t>
            </w:r>
          </w:p>
        </w:tc>
        <w:tc>
          <w:tcPr>
            <w:tcW w:w="462" w:type="dxa"/>
            <w:vAlign w:val="center"/>
            <w:hideMark/>
          </w:tcPr>
          <w:p w14:paraId="590C18B6"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6A119BD4" w14:textId="77777777" w:rsidTr="0049639B">
        <w:trPr>
          <w:trHeight w:val="290"/>
        </w:trPr>
        <w:tc>
          <w:tcPr>
            <w:tcW w:w="2720" w:type="dxa"/>
            <w:vMerge/>
            <w:tcBorders>
              <w:top w:val="nil"/>
              <w:left w:val="nil"/>
              <w:bottom w:val="nil"/>
              <w:right w:val="nil"/>
            </w:tcBorders>
            <w:vAlign w:val="center"/>
            <w:hideMark/>
          </w:tcPr>
          <w:p w14:paraId="3055E3FE"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A18547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26C9D10"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BD24E1F"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2E0BD6E7"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17401504"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1072FDAB" w14:textId="77777777" w:rsidR="00C74C27" w:rsidRPr="00C74C27" w:rsidRDefault="00C74C27" w:rsidP="00C74C27">
            <w:pPr>
              <w:spacing w:after="0"/>
              <w:ind w:firstLine="0"/>
              <w:jc w:val="left"/>
              <w:rPr>
                <w:rFonts w:eastAsia="Times New Roman" w:cs="Times New Roman"/>
                <w:sz w:val="18"/>
                <w:szCs w:val="18"/>
              </w:rPr>
            </w:pPr>
          </w:p>
        </w:tc>
        <w:tc>
          <w:tcPr>
            <w:tcW w:w="734" w:type="dxa"/>
            <w:vMerge/>
            <w:tcBorders>
              <w:top w:val="nil"/>
              <w:left w:val="nil"/>
              <w:bottom w:val="nil"/>
              <w:right w:val="nil"/>
            </w:tcBorders>
            <w:vAlign w:val="center"/>
            <w:hideMark/>
          </w:tcPr>
          <w:p w14:paraId="267A39FA" w14:textId="77777777" w:rsidR="00C74C27" w:rsidRPr="00C74C27" w:rsidRDefault="00C74C27" w:rsidP="00C74C27">
            <w:pPr>
              <w:spacing w:after="0"/>
              <w:ind w:firstLine="0"/>
              <w:jc w:val="left"/>
              <w:rPr>
                <w:rFonts w:eastAsia="Times New Roman" w:cs="Times New Roman"/>
                <w:sz w:val="18"/>
                <w:szCs w:val="18"/>
              </w:rPr>
            </w:pPr>
          </w:p>
        </w:tc>
        <w:tc>
          <w:tcPr>
            <w:tcW w:w="462" w:type="dxa"/>
            <w:tcBorders>
              <w:top w:val="nil"/>
              <w:left w:val="nil"/>
              <w:bottom w:val="nil"/>
              <w:right w:val="nil"/>
            </w:tcBorders>
            <w:shd w:val="clear" w:color="auto" w:fill="auto"/>
            <w:noWrap/>
            <w:vAlign w:val="bottom"/>
            <w:hideMark/>
          </w:tcPr>
          <w:p w14:paraId="3A0EEFC8" w14:textId="77777777" w:rsidR="00C74C27" w:rsidRPr="00C74C27" w:rsidRDefault="00C74C27" w:rsidP="00C74C27">
            <w:pPr>
              <w:spacing w:after="0"/>
              <w:ind w:firstLine="0"/>
              <w:jc w:val="center"/>
              <w:rPr>
                <w:rFonts w:eastAsia="Times New Roman" w:cs="Times New Roman"/>
                <w:sz w:val="18"/>
                <w:szCs w:val="18"/>
              </w:rPr>
            </w:pPr>
          </w:p>
        </w:tc>
      </w:tr>
      <w:tr w:rsidR="00C74C27" w:rsidRPr="00C74C27" w14:paraId="697FDF22" w14:textId="77777777" w:rsidTr="0049639B">
        <w:trPr>
          <w:trHeight w:val="290"/>
        </w:trPr>
        <w:tc>
          <w:tcPr>
            <w:tcW w:w="2720" w:type="dxa"/>
            <w:vMerge/>
            <w:tcBorders>
              <w:top w:val="nil"/>
              <w:left w:val="nil"/>
              <w:bottom w:val="nil"/>
              <w:right w:val="nil"/>
            </w:tcBorders>
            <w:vAlign w:val="center"/>
            <w:hideMark/>
          </w:tcPr>
          <w:p w14:paraId="4093FB7E"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823E4B2"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40944E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2A5FDC8"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4505B8A6"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07898DBA"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430ECEBE" w14:textId="77777777" w:rsidR="00C74C27" w:rsidRPr="00C74C27" w:rsidRDefault="00C74C27" w:rsidP="00C74C27">
            <w:pPr>
              <w:spacing w:after="0"/>
              <w:ind w:firstLine="0"/>
              <w:jc w:val="left"/>
              <w:rPr>
                <w:rFonts w:eastAsia="Times New Roman" w:cs="Times New Roman"/>
                <w:sz w:val="18"/>
                <w:szCs w:val="18"/>
              </w:rPr>
            </w:pPr>
          </w:p>
        </w:tc>
        <w:tc>
          <w:tcPr>
            <w:tcW w:w="734" w:type="dxa"/>
            <w:vMerge/>
            <w:tcBorders>
              <w:top w:val="nil"/>
              <w:left w:val="nil"/>
              <w:bottom w:val="nil"/>
              <w:right w:val="nil"/>
            </w:tcBorders>
            <w:vAlign w:val="center"/>
            <w:hideMark/>
          </w:tcPr>
          <w:p w14:paraId="2A1E3561" w14:textId="77777777" w:rsidR="00C74C27" w:rsidRPr="00C74C27" w:rsidRDefault="00C74C27" w:rsidP="00C74C27">
            <w:pPr>
              <w:spacing w:after="0"/>
              <w:ind w:firstLine="0"/>
              <w:jc w:val="left"/>
              <w:rPr>
                <w:rFonts w:eastAsia="Times New Roman" w:cs="Times New Roman"/>
                <w:sz w:val="18"/>
                <w:szCs w:val="18"/>
              </w:rPr>
            </w:pPr>
          </w:p>
        </w:tc>
        <w:tc>
          <w:tcPr>
            <w:tcW w:w="462" w:type="dxa"/>
            <w:tcBorders>
              <w:top w:val="nil"/>
              <w:left w:val="nil"/>
              <w:bottom w:val="nil"/>
              <w:right w:val="nil"/>
            </w:tcBorders>
            <w:shd w:val="clear" w:color="auto" w:fill="auto"/>
            <w:noWrap/>
            <w:vAlign w:val="bottom"/>
            <w:hideMark/>
          </w:tcPr>
          <w:p w14:paraId="63F2825C"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20882CD8" w14:textId="77777777" w:rsidTr="0049639B">
        <w:trPr>
          <w:trHeight w:val="290"/>
        </w:trPr>
        <w:tc>
          <w:tcPr>
            <w:tcW w:w="2720" w:type="dxa"/>
            <w:vMerge w:val="restart"/>
            <w:tcBorders>
              <w:top w:val="nil"/>
              <w:left w:val="nil"/>
              <w:bottom w:val="nil"/>
              <w:right w:val="nil"/>
            </w:tcBorders>
            <w:shd w:val="clear" w:color="auto" w:fill="auto"/>
            <w:vAlign w:val="center"/>
            <w:hideMark/>
          </w:tcPr>
          <w:p w14:paraId="69A001C7"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Mājokļu cenu indekss (2015=100)</w:t>
            </w:r>
          </w:p>
        </w:tc>
        <w:tc>
          <w:tcPr>
            <w:tcW w:w="960" w:type="dxa"/>
            <w:vMerge w:val="restart"/>
            <w:tcBorders>
              <w:top w:val="nil"/>
              <w:left w:val="nil"/>
              <w:bottom w:val="nil"/>
              <w:right w:val="nil"/>
            </w:tcBorders>
            <w:shd w:val="clear" w:color="auto" w:fill="auto"/>
            <w:vAlign w:val="center"/>
            <w:hideMark/>
          </w:tcPr>
          <w:p w14:paraId="3A7114BF"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 gada % izmaiņas</w:t>
            </w:r>
          </w:p>
        </w:tc>
        <w:tc>
          <w:tcPr>
            <w:tcW w:w="960" w:type="dxa"/>
            <w:vMerge w:val="restart"/>
            <w:tcBorders>
              <w:top w:val="nil"/>
              <w:left w:val="nil"/>
              <w:bottom w:val="nil"/>
              <w:right w:val="nil"/>
            </w:tcBorders>
            <w:shd w:val="clear" w:color="auto" w:fill="auto"/>
            <w:vAlign w:val="center"/>
            <w:hideMark/>
          </w:tcPr>
          <w:p w14:paraId="1F35BAFB"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6%</w:t>
            </w:r>
          </w:p>
        </w:tc>
        <w:tc>
          <w:tcPr>
            <w:tcW w:w="960" w:type="dxa"/>
            <w:vMerge w:val="restart"/>
            <w:tcBorders>
              <w:top w:val="nil"/>
              <w:left w:val="nil"/>
              <w:bottom w:val="nil"/>
              <w:right w:val="nil"/>
            </w:tcBorders>
            <w:shd w:val="clear" w:color="auto" w:fill="auto"/>
            <w:noWrap/>
            <w:vAlign w:val="center"/>
            <w:hideMark/>
          </w:tcPr>
          <w:p w14:paraId="6B52EF9F"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5,8</w:t>
            </w:r>
          </w:p>
        </w:tc>
        <w:tc>
          <w:tcPr>
            <w:tcW w:w="960" w:type="dxa"/>
            <w:vMerge w:val="restart"/>
            <w:tcBorders>
              <w:top w:val="nil"/>
              <w:left w:val="nil"/>
              <w:bottom w:val="nil"/>
              <w:right w:val="nil"/>
            </w:tcBorders>
            <w:shd w:val="clear" w:color="auto" w:fill="auto"/>
            <w:noWrap/>
            <w:vAlign w:val="center"/>
            <w:hideMark/>
          </w:tcPr>
          <w:p w14:paraId="67BF88B1"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2,7</w:t>
            </w:r>
          </w:p>
        </w:tc>
        <w:tc>
          <w:tcPr>
            <w:tcW w:w="960" w:type="dxa"/>
            <w:vMerge w:val="restart"/>
            <w:tcBorders>
              <w:top w:val="nil"/>
              <w:left w:val="nil"/>
              <w:bottom w:val="nil"/>
              <w:right w:val="nil"/>
            </w:tcBorders>
            <w:shd w:val="clear" w:color="000000" w:fill="FFCCCC"/>
            <w:noWrap/>
            <w:vAlign w:val="center"/>
            <w:hideMark/>
          </w:tcPr>
          <w:p w14:paraId="39EBD7BA"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7,3</w:t>
            </w:r>
          </w:p>
        </w:tc>
        <w:tc>
          <w:tcPr>
            <w:tcW w:w="960" w:type="dxa"/>
            <w:vMerge w:val="restart"/>
            <w:tcBorders>
              <w:top w:val="nil"/>
              <w:left w:val="nil"/>
              <w:bottom w:val="nil"/>
              <w:right w:val="nil"/>
            </w:tcBorders>
            <w:shd w:val="clear" w:color="auto" w:fill="auto"/>
            <w:noWrap/>
            <w:vAlign w:val="center"/>
            <w:hideMark/>
          </w:tcPr>
          <w:p w14:paraId="27BFC3DA"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-0,3</w:t>
            </w:r>
          </w:p>
        </w:tc>
        <w:tc>
          <w:tcPr>
            <w:tcW w:w="734" w:type="dxa"/>
            <w:vMerge w:val="restart"/>
            <w:tcBorders>
              <w:top w:val="nil"/>
              <w:left w:val="nil"/>
              <w:bottom w:val="nil"/>
              <w:right w:val="nil"/>
            </w:tcBorders>
            <w:shd w:val="clear" w:color="auto" w:fill="auto"/>
            <w:noWrap/>
            <w:vAlign w:val="center"/>
            <w:hideMark/>
          </w:tcPr>
          <w:p w14:paraId="02C94E67"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-2,2</w:t>
            </w:r>
          </w:p>
        </w:tc>
        <w:tc>
          <w:tcPr>
            <w:tcW w:w="462" w:type="dxa"/>
            <w:vAlign w:val="center"/>
            <w:hideMark/>
          </w:tcPr>
          <w:p w14:paraId="7FD16E7A"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661BA77B" w14:textId="77777777" w:rsidTr="0049639B">
        <w:trPr>
          <w:trHeight w:val="290"/>
        </w:trPr>
        <w:tc>
          <w:tcPr>
            <w:tcW w:w="2720" w:type="dxa"/>
            <w:vMerge/>
            <w:tcBorders>
              <w:top w:val="nil"/>
              <w:left w:val="nil"/>
              <w:bottom w:val="nil"/>
              <w:right w:val="nil"/>
            </w:tcBorders>
            <w:vAlign w:val="center"/>
            <w:hideMark/>
          </w:tcPr>
          <w:p w14:paraId="232D21E1"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15796C30"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E3830C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CB4E742"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318D792"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B12DAFA" w14:textId="77777777" w:rsidR="00C74C27" w:rsidRPr="00C74C27" w:rsidRDefault="00C74C27" w:rsidP="00C74C27">
            <w:pPr>
              <w:spacing w:after="0"/>
              <w:ind w:firstLine="0"/>
              <w:jc w:val="left"/>
              <w:rPr>
                <w:rFonts w:eastAsia="Times New Roman" w:cs="Times New Roman"/>
                <w:sz w:val="18"/>
                <w:szCs w:val="18"/>
              </w:rPr>
            </w:pPr>
          </w:p>
        </w:tc>
        <w:tc>
          <w:tcPr>
            <w:tcW w:w="960" w:type="dxa"/>
            <w:vMerge/>
            <w:tcBorders>
              <w:top w:val="nil"/>
              <w:left w:val="nil"/>
              <w:bottom w:val="nil"/>
              <w:right w:val="nil"/>
            </w:tcBorders>
            <w:vAlign w:val="center"/>
            <w:hideMark/>
          </w:tcPr>
          <w:p w14:paraId="0D67619F"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5218B819"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195B7EC9" w14:textId="77777777" w:rsidR="00C74C27" w:rsidRPr="00C74C27" w:rsidRDefault="00C74C27" w:rsidP="00C74C27">
            <w:pPr>
              <w:spacing w:after="0"/>
              <w:ind w:firstLine="0"/>
              <w:jc w:val="center"/>
              <w:rPr>
                <w:rFonts w:eastAsia="Times New Roman" w:cs="Times New Roman"/>
                <w:color w:val="000000"/>
                <w:sz w:val="18"/>
                <w:szCs w:val="18"/>
              </w:rPr>
            </w:pPr>
          </w:p>
        </w:tc>
      </w:tr>
      <w:tr w:rsidR="00C74C27" w:rsidRPr="00C74C27" w14:paraId="717F7BC3" w14:textId="77777777" w:rsidTr="0049639B">
        <w:trPr>
          <w:trHeight w:val="290"/>
        </w:trPr>
        <w:tc>
          <w:tcPr>
            <w:tcW w:w="2720" w:type="dxa"/>
            <w:vMerge w:val="restart"/>
            <w:tcBorders>
              <w:top w:val="nil"/>
              <w:left w:val="nil"/>
              <w:bottom w:val="nil"/>
              <w:right w:val="nil"/>
            </w:tcBorders>
            <w:shd w:val="clear" w:color="auto" w:fill="auto"/>
            <w:vAlign w:val="center"/>
            <w:hideMark/>
          </w:tcPr>
          <w:p w14:paraId="4DF4F7F1"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 xml:space="preserve">Privātā sektora </w:t>
            </w:r>
            <w:proofErr w:type="spellStart"/>
            <w:r w:rsidRPr="00C74C27">
              <w:rPr>
                <w:rFonts w:eastAsia="Times New Roman" w:cs="Times New Roman"/>
                <w:color w:val="000000"/>
                <w:sz w:val="18"/>
                <w:szCs w:val="18"/>
              </w:rPr>
              <w:t>kredītplūsma</w:t>
            </w:r>
            <w:proofErr w:type="spellEnd"/>
            <w:r w:rsidRPr="00C74C27">
              <w:rPr>
                <w:rFonts w:eastAsia="Times New Roman" w:cs="Times New Roman"/>
                <w:color w:val="000000"/>
                <w:sz w:val="18"/>
                <w:szCs w:val="18"/>
              </w:rPr>
              <w:t xml:space="preserve"> - konsolidēta</w:t>
            </w:r>
          </w:p>
        </w:tc>
        <w:tc>
          <w:tcPr>
            <w:tcW w:w="960" w:type="dxa"/>
            <w:vMerge w:val="restart"/>
            <w:tcBorders>
              <w:top w:val="nil"/>
              <w:left w:val="nil"/>
              <w:bottom w:val="nil"/>
              <w:right w:val="nil"/>
            </w:tcBorders>
            <w:shd w:val="clear" w:color="auto" w:fill="auto"/>
            <w:vAlign w:val="center"/>
            <w:hideMark/>
          </w:tcPr>
          <w:p w14:paraId="49D8C5B9"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 no IKP</w:t>
            </w:r>
          </w:p>
        </w:tc>
        <w:tc>
          <w:tcPr>
            <w:tcW w:w="960" w:type="dxa"/>
            <w:vMerge w:val="restart"/>
            <w:tcBorders>
              <w:top w:val="nil"/>
              <w:left w:val="nil"/>
              <w:bottom w:val="nil"/>
              <w:right w:val="nil"/>
            </w:tcBorders>
            <w:shd w:val="clear" w:color="auto" w:fill="auto"/>
            <w:vAlign w:val="center"/>
            <w:hideMark/>
          </w:tcPr>
          <w:p w14:paraId="1C2616A3"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14%</w:t>
            </w:r>
          </w:p>
        </w:tc>
        <w:tc>
          <w:tcPr>
            <w:tcW w:w="960" w:type="dxa"/>
            <w:vMerge w:val="restart"/>
            <w:tcBorders>
              <w:top w:val="nil"/>
              <w:left w:val="nil"/>
              <w:bottom w:val="nil"/>
              <w:right w:val="nil"/>
            </w:tcBorders>
            <w:shd w:val="clear" w:color="auto" w:fill="auto"/>
            <w:noWrap/>
            <w:vAlign w:val="center"/>
            <w:hideMark/>
          </w:tcPr>
          <w:p w14:paraId="7C3F292D"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1,1</w:t>
            </w:r>
          </w:p>
        </w:tc>
        <w:tc>
          <w:tcPr>
            <w:tcW w:w="960" w:type="dxa"/>
            <w:vMerge w:val="restart"/>
            <w:tcBorders>
              <w:top w:val="nil"/>
              <w:left w:val="nil"/>
              <w:bottom w:val="nil"/>
              <w:right w:val="nil"/>
            </w:tcBorders>
            <w:shd w:val="clear" w:color="auto" w:fill="auto"/>
            <w:noWrap/>
            <w:vAlign w:val="center"/>
            <w:hideMark/>
          </w:tcPr>
          <w:p w14:paraId="1E1BABDF"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-1,9</w:t>
            </w:r>
          </w:p>
        </w:tc>
        <w:tc>
          <w:tcPr>
            <w:tcW w:w="960" w:type="dxa"/>
            <w:vMerge w:val="restart"/>
            <w:tcBorders>
              <w:top w:val="nil"/>
              <w:left w:val="nil"/>
              <w:bottom w:val="nil"/>
              <w:right w:val="nil"/>
            </w:tcBorders>
            <w:shd w:val="clear" w:color="auto" w:fill="auto"/>
            <w:noWrap/>
            <w:vAlign w:val="center"/>
            <w:hideMark/>
          </w:tcPr>
          <w:p w14:paraId="269D3BB1"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0,9</w:t>
            </w:r>
          </w:p>
        </w:tc>
        <w:tc>
          <w:tcPr>
            <w:tcW w:w="960" w:type="dxa"/>
            <w:vMerge w:val="restart"/>
            <w:tcBorders>
              <w:top w:val="nil"/>
              <w:left w:val="nil"/>
              <w:bottom w:val="nil"/>
              <w:right w:val="nil"/>
            </w:tcBorders>
            <w:shd w:val="clear" w:color="auto" w:fill="auto"/>
            <w:noWrap/>
            <w:vAlign w:val="center"/>
            <w:hideMark/>
          </w:tcPr>
          <w:p w14:paraId="7907B92F"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w:t>
            </w:r>
          </w:p>
        </w:tc>
        <w:tc>
          <w:tcPr>
            <w:tcW w:w="734" w:type="dxa"/>
            <w:vMerge w:val="restart"/>
            <w:tcBorders>
              <w:top w:val="nil"/>
              <w:left w:val="nil"/>
              <w:bottom w:val="nil"/>
              <w:right w:val="nil"/>
            </w:tcBorders>
            <w:shd w:val="clear" w:color="auto" w:fill="auto"/>
            <w:noWrap/>
            <w:vAlign w:val="center"/>
            <w:hideMark/>
          </w:tcPr>
          <w:p w14:paraId="38582FA5"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w:t>
            </w:r>
          </w:p>
        </w:tc>
        <w:tc>
          <w:tcPr>
            <w:tcW w:w="462" w:type="dxa"/>
            <w:vAlign w:val="center"/>
            <w:hideMark/>
          </w:tcPr>
          <w:p w14:paraId="2A289240"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482376E8" w14:textId="77777777" w:rsidTr="0049639B">
        <w:trPr>
          <w:trHeight w:val="290"/>
        </w:trPr>
        <w:tc>
          <w:tcPr>
            <w:tcW w:w="2720" w:type="dxa"/>
            <w:vMerge/>
            <w:tcBorders>
              <w:top w:val="nil"/>
              <w:left w:val="nil"/>
              <w:bottom w:val="nil"/>
              <w:right w:val="nil"/>
            </w:tcBorders>
            <w:vAlign w:val="center"/>
            <w:hideMark/>
          </w:tcPr>
          <w:p w14:paraId="42BBD1DD"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A6EE60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B7B4CB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43C09B0"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1E4C77A9"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697563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6D4B682"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496A6A60"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127FB3DA" w14:textId="77777777" w:rsidR="00C74C27" w:rsidRPr="00C74C27" w:rsidRDefault="00C74C27" w:rsidP="00C74C27">
            <w:pPr>
              <w:spacing w:after="0"/>
              <w:ind w:firstLine="0"/>
              <w:jc w:val="center"/>
              <w:rPr>
                <w:rFonts w:eastAsia="Times New Roman" w:cs="Times New Roman"/>
                <w:color w:val="000000"/>
                <w:sz w:val="18"/>
                <w:szCs w:val="18"/>
              </w:rPr>
            </w:pPr>
          </w:p>
        </w:tc>
      </w:tr>
      <w:tr w:rsidR="00C74C27" w:rsidRPr="00C74C27" w14:paraId="087F0AE5" w14:textId="77777777" w:rsidTr="0049639B">
        <w:trPr>
          <w:trHeight w:val="290"/>
        </w:trPr>
        <w:tc>
          <w:tcPr>
            <w:tcW w:w="2720" w:type="dxa"/>
            <w:vMerge w:val="restart"/>
            <w:tcBorders>
              <w:top w:val="nil"/>
              <w:left w:val="nil"/>
              <w:bottom w:val="nil"/>
              <w:right w:val="nil"/>
            </w:tcBorders>
            <w:shd w:val="clear" w:color="auto" w:fill="auto"/>
            <w:vAlign w:val="center"/>
            <w:hideMark/>
          </w:tcPr>
          <w:p w14:paraId="13956B6A"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Privātā sektora konsolidētais parāds</w:t>
            </w:r>
          </w:p>
        </w:tc>
        <w:tc>
          <w:tcPr>
            <w:tcW w:w="960" w:type="dxa"/>
            <w:vMerge w:val="restart"/>
            <w:tcBorders>
              <w:top w:val="nil"/>
              <w:left w:val="nil"/>
              <w:bottom w:val="nil"/>
              <w:right w:val="nil"/>
            </w:tcBorders>
            <w:shd w:val="clear" w:color="auto" w:fill="auto"/>
            <w:vAlign w:val="center"/>
            <w:hideMark/>
          </w:tcPr>
          <w:p w14:paraId="66467FC5"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 no IKP</w:t>
            </w:r>
          </w:p>
        </w:tc>
        <w:tc>
          <w:tcPr>
            <w:tcW w:w="960" w:type="dxa"/>
            <w:vMerge w:val="restart"/>
            <w:tcBorders>
              <w:top w:val="nil"/>
              <w:left w:val="nil"/>
              <w:bottom w:val="nil"/>
              <w:right w:val="nil"/>
            </w:tcBorders>
            <w:shd w:val="clear" w:color="auto" w:fill="auto"/>
            <w:vAlign w:val="center"/>
            <w:hideMark/>
          </w:tcPr>
          <w:p w14:paraId="39A0A699"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133%</w:t>
            </w:r>
          </w:p>
        </w:tc>
        <w:tc>
          <w:tcPr>
            <w:tcW w:w="960" w:type="dxa"/>
            <w:vMerge w:val="restart"/>
            <w:tcBorders>
              <w:top w:val="nil"/>
              <w:left w:val="nil"/>
              <w:bottom w:val="nil"/>
              <w:right w:val="nil"/>
            </w:tcBorders>
            <w:shd w:val="clear" w:color="auto" w:fill="auto"/>
            <w:noWrap/>
            <w:vAlign w:val="center"/>
            <w:hideMark/>
          </w:tcPr>
          <w:p w14:paraId="632402FD"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66,2</w:t>
            </w:r>
          </w:p>
        </w:tc>
        <w:tc>
          <w:tcPr>
            <w:tcW w:w="960" w:type="dxa"/>
            <w:vMerge w:val="restart"/>
            <w:tcBorders>
              <w:top w:val="nil"/>
              <w:left w:val="nil"/>
              <w:bottom w:val="nil"/>
              <w:right w:val="nil"/>
            </w:tcBorders>
            <w:shd w:val="clear" w:color="auto" w:fill="auto"/>
            <w:noWrap/>
            <w:vAlign w:val="center"/>
            <w:hideMark/>
          </w:tcPr>
          <w:p w14:paraId="779381B8"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66,4</w:t>
            </w:r>
          </w:p>
        </w:tc>
        <w:tc>
          <w:tcPr>
            <w:tcW w:w="960" w:type="dxa"/>
            <w:vMerge w:val="restart"/>
            <w:tcBorders>
              <w:top w:val="nil"/>
              <w:left w:val="nil"/>
              <w:bottom w:val="nil"/>
              <w:right w:val="nil"/>
            </w:tcBorders>
            <w:shd w:val="clear" w:color="auto" w:fill="auto"/>
            <w:vAlign w:val="center"/>
            <w:hideMark/>
          </w:tcPr>
          <w:p w14:paraId="70E45991"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58</w:t>
            </w:r>
          </w:p>
        </w:tc>
        <w:tc>
          <w:tcPr>
            <w:tcW w:w="960" w:type="dxa"/>
            <w:vMerge w:val="restart"/>
            <w:tcBorders>
              <w:top w:val="nil"/>
              <w:left w:val="nil"/>
              <w:bottom w:val="nil"/>
              <w:right w:val="nil"/>
            </w:tcBorders>
            <w:shd w:val="clear" w:color="auto" w:fill="auto"/>
            <w:noWrap/>
            <w:vAlign w:val="center"/>
            <w:hideMark/>
          </w:tcPr>
          <w:p w14:paraId="034CF4E8"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w:t>
            </w:r>
          </w:p>
        </w:tc>
        <w:tc>
          <w:tcPr>
            <w:tcW w:w="734" w:type="dxa"/>
            <w:vMerge w:val="restart"/>
            <w:tcBorders>
              <w:top w:val="nil"/>
              <w:left w:val="nil"/>
              <w:bottom w:val="nil"/>
              <w:right w:val="nil"/>
            </w:tcBorders>
            <w:shd w:val="clear" w:color="auto" w:fill="auto"/>
            <w:noWrap/>
            <w:vAlign w:val="center"/>
            <w:hideMark/>
          </w:tcPr>
          <w:p w14:paraId="3A5C2B0B"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51,4</w:t>
            </w:r>
          </w:p>
        </w:tc>
        <w:tc>
          <w:tcPr>
            <w:tcW w:w="462" w:type="dxa"/>
            <w:vAlign w:val="center"/>
            <w:hideMark/>
          </w:tcPr>
          <w:p w14:paraId="7CEC18C4"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2AAF04C4" w14:textId="77777777" w:rsidTr="0049639B">
        <w:trPr>
          <w:trHeight w:val="290"/>
        </w:trPr>
        <w:tc>
          <w:tcPr>
            <w:tcW w:w="2720" w:type="dxa"/>
            <w:vMerge/>
            <w:tcBorders>
              <w:top w:val="nil"/>
              <w:left w:val="nil"/>
              <w:bottom w:val="nil"/>
              <w:right w:val="nil"/>
            </w:tcBorders>
            <w:vAlign w:val="center"/>
            <w:hideMark/>
          </w:tcPr>
          <w:p w14:paraId="0CD1B80E"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48EA1CA"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EE19EC5"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094C3FB"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62F5AEA"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1BF779D"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95C62C8"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58465498"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1D283612" w14:textId="77777777" w:rsidR="00C74C27" w:rsidRPr="00C74C27" w:rsidRDefault="00C74C27" w:rsidP="00C74C27">
            <w:pPr>
              <w:spacing w:after="0"/>
              <w:ind w:firstLine="0"/>
              <w:jc w:val="center"/>
              <w:rPr>
                <w:rFonts w:eastAsia="Times New Roman" w:cs="Times New Roman"/>
                <w:color w:val="000000"/>
                <w:sz w:val="18"/>
                <w:szCs w:val="18"/>
              </w:rPr>
            </w:pPr>
          </w:p>
        </w:tc>
      </w:tr>
      <w:tr w:rsidR="00C74C27" w:rsidRPr="00C74C27" w14:paraId="2D5C50D0" w14:textId="77777777" w:rsidTr="0049639B">
        <w:trPr>
          <w:trHeight w:val="290"/>
        </w:trPr>
        <w:tc>
          <w:tcPr>
            <w:tcW w:w="2720" w:type="dxa"/>
            <w:vMerge/>
            <w:tcBorders>
              <w:top w:val="nil"/>
              <w:left w:val="nil"/>
              <w:bottom w:val="nil"/>
              <w:right w:val="nil"/>
            </w:tcBorders>
            <w:vAlign w:val="center"/>
            <w:hideMark/>
          </w:tcPr>
          <w:p w14:paraId="17569DD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0F1CAEB"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70291B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89C9BC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B11F98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B9E01F5"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7BE1F71"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53C9339A"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68CD7708"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7CC4D9CB" w14:textId="77777777" w:rsidTr="0049639B">
        <w:trPr>
          <w:trHeight w:val="290"/>
        </w:trPr>
        <w:tc>
          <w:tcPr>
            <w:tcW w:w="2720" w:type="dxa"/>
            <w:vMerge w:val="restart"/>
            <w:tcBorders>
              <w:top w:val="nil"/>
              <w:left w:val="nil"/>
              <w:bottom w:val="nil"/>
              <w:right w:val="nil"/>
            </w:tcBorders>
            <w:shd w:val="clear" w:color="auto" w:fill="auto"/>
            <w:vAlign w:val="center"/>
            <w:hideMark/>
          </w:tcPr>
          <w:p w14:paraId="49950C69"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Vispārējais valdības parāds</w:t>
            </w:r>
          </w:p>
        </w:tc>
        <w:tc>
          <w:tcPr>
            <w:tcW w:w="960" w:type="dxa"/>
            <w:vMerge w:val="restart"/>
            <w:tcBorders>
              <w:top w:val="nil"/>
              <w:left w:val="nil"/>
              <w:bottom w:val="nil"/>
              <w:right w:val="nil"/>
            </w:tcBorders>
            <w:shd w:val="clear" w:color="auto" w:fill="auto"/>
            <w:vAlign w:val="center"/>
            <w:hideMark/>
          </w:tcPr>
          <w:p w14:paraId="7609F19B"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 no IKP</w:t>
            </w:r>
          </w:p>
        </w:tc>
        <w:tc>
          <w:tcPr>
            <w:tcW w:w="960" w:type="dxa"/>
            <w:vMerge w:val="restart"/>
            <w:tcBorders>
              <w:top w:val="nil"/>
              <w:left w:val="nil"/>
              <w:bottom w:val="nil"/>
              <w:right w:val="nil"/>
            </w:tcBorders>
            <w:shd w:val="clear" w:color="auto" w:fill="auto"/>
            <w:vAlign w:val="center"/>
            <w:hideMark/>
          </w:tcPr>
          <w:p w14:paraId="7686C2DD"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60%</w:t>
            </w:r>
          </w:p>
        </w:tc>
        <w:tc>
          <w:tcPr>
            <w:tcW w:w="960" w:type="dxa"/>
            <w:vMerge w:val="restart"/>
            <w:tcBorders>
              <w:top w:val="nil"/>
              <w:left w:val="nil"/>
              <w:bottom w:val="nil"/>
              <w:right w:val="nil"/>
            </w:tcBorders>
            <w:shd w:val="clear" w:color="auto" w:fill="auto"/>
            <w:noWrap/>
            <w:vAlign w:val="center"/>
            <w:hideMark/>
          </w:tcPr>
          <w:p w14:paraId="2AEE865B"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36,5</w:t>
            </w:r>
          </w:p>
        </w:tc>
        <w:tc>
          <w:tcPr>
            <w:tcW w:w="960" w:type="dxa"/>
            <w:vMerge w:val="restart"/>
            <w:tcBorders>
              <w:top w:val="nil"/>
              <w:left w:val="nil"/>
              <w:bottom w:val="nil"/>
              <w:right w:val="nil"/>
            </w:tcBorders>
            <w:shd w:val="clear" w:color="auto" w:fill="auto"/>
            <w:noWrap/>
            <w:vAlign w:val="center"/>
            <w:hideMark/>
          </w:tcPr>
          <w:p w14:paraId="1BA52475"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42</w:t>
            </w:r>
          </w:p>
        </w:tc>
        <w:tc>
          <w:tcPr>
            <w:tcW w:w="960" w:type="dxa"/>
            <w:vMerge w:val="restart"/>
            <w:tcBorders>
              <w:top w:val="nil"/>
              <w:left w:val="nil"/>
              <w:bottom w:val="nil"/>
              <w:right w:val="nil"/>
            </w:tcBorders>
            <w:shd w:val="clear" w:color="auto" w:fill="auto"/>
            <w:noWrap/>
            <w:vAlign w:val="center"/>
            <w:hideMark/>
          </w:tcPr>
          <w:p w14:paraId="2974565A"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43,6</w:t>
            </w:r>
          </w:p>
        </w:tc>
        <w:tc>
          <w:tcPr>
            <w:tcW w:w="960" w:type="dxa"/>
            <w:vMerge w:val="restart"/>
            <w:tcBorders>
              <w:top w:val="nil"/>
              <w:left w:val="nil"/>
              <w:bottom w:val="nil"/>
              <w:right w:val="nil"/>
            </w:tcBorders>
            <w:shd w:val="clear" w:color="auto" w:fill="auto"/>
            <w:noWrap/>
            <w:vAlign w:val="center"/>
            <w:hideMark/>
          </w:tcPr>
          <w:p w14:paraId="6F2176DC"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40,8</w:t>
            </w:r>
          </w:p>
        </w:tc>
        <w:tc>
          <w:tcPr>
            <w:tcW w:w="734" w:type="dxa"/>
            <w:vMerge w:val="restart"/>
            <w:tcBorders>
              <w:top w:val="nil"/>
              <w:left w:val="nil"/>
              <w:bottom w:val="nil"/>
              <w:right w:val="nil"/>
            </w:tcBorders>
            <w:shd w:val="clear" w:color="auto" w:fill="auto"/>
            <w:noWrap/>
            <w:vAlign w:val="center"/>
            <w:hideMark/>
          </w:tcPr>
          <w:p w14:paraId="71D9D0A7"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44</w:t>
            </w:r>
          </w:p>
        </w:tc>
        <w:tc>
          <w:tcPr>
            <w:tcW w:w="462" w:type="dxa"/>
            <w:vAlign w:val="center"/>
            <w:hideMark/>
          </w:tcPr>
          <w:p w14:paraId="4C2684E3"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0162773F" w14:textId="77777777" w:rsidTr="0049639B">
        <w:trPr>
          <w:trHeight w:val="290"/>
        </w:trPr>
        <w:tc>
          <w:tcPr>
            <w:tcW w:w="2720" w:type="dxa"/>
            <w:vMerge/>
            <w:tcBorders>
              <w:top w:val="nil"/>
              <w:left w:val="nil"/>
              <w:bottom w:val="nil"/>
              <w:right w:val="nil"/>
            </w:tcBorders>
            <w:vAlign w:val="center"/>
            <w:hideMark/>
          </w:tcPr>
          <w:p w14:paraId="26E43F1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1D549F5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2715B2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1C2570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792B24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1CDB00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AE79200"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00D8FB72"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1F32F80B" w14:textId="77777777" w:rsidR="00C74C27" w:rsidRPr="00C74C27" w:rsidRDefault="00C74C27" w:rsidP="00C74C27">
            <w:pPr>
              <w:spacing w:after="0"/>
              <w:ind w:firstLine="0"/>
              <w:jc w:val="center"/>
              <w:rPr>
                <w:rFonts w:eastAsia="Times New Roman" w:cs="Times New Roman"/>
                <w:color w:val="000000"/>
                <w:sz w:val="18"/>
                <w:szCs w:val="18"/>
              </w:rPr>
            </w:pPr>
          </w:p>
        </w:tc>
      </w:tr>
      <w:tr w:rsidR="00C74C27" w:rsidRPr="00C74C27" w14:paraId="0B34C0C3" w14:textId="77777777" w:rsidTr="0049639B">
        <w:trPr>
          <w:trHeight w:val="290"/>
        </w:trPr>
        <w:tc>
          <w:tcPr>
            <w:tcW w:w="2720" w:type="dxa"/>
            <w:vMerge w:val="restart"/>
            <w:tcBorders>
              <w:top w:val="nil"/>
              <w:left w:val="nil"/>
              <w:bottom w:val="nil"/>
              <w:right w:val="nil"/>
            </w:tcBorders>
            <w:shd w:val="clear" w:color="auto" w:fill="auto"/>
            <w:vAlign w:val="center"/>
            <w:hideMark/>
          </w:tcPr>
          <w:p w14:paraId="3985622C"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Bezdarba līmenis</w:t>
            </w:r>
          </w:p>
        </w:tc>
        <w:tc>
          <w:tcPr>
            <w:tcW w:w="960" w:type="dxa"/>
            <w:vMerge w:val="restart"/>
            <w:tcBorders>
              <w:top w:val="nil"/>
              <w:left w:val="nil"/>
              <w:bottom w:val="nil"/>
              <w:right w:val="nil"/>
            </w:tcBorders>
            <w:shd w:val="clear" w:color="auto" w:fill="auto"/>
            <w:vAlign w:val="center"/>
            <w:hideMark/>
          </w:tcPr>
          <w:p w14:paraId="4D140F9C"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 gadu vidējais</w:t>
            </w:r>
          </w:p>
        </w:tc>
        <w:tc>
          <w:tcPr>
            <w:tcW w:w="960" w:type="dxa"/>
            <w:vMerge w:val="restart"/>
            <w:tcBorders>
              <w:top w:val="nil"/>
              <w:left w:val="nil"/>
              <w:bottom w:val="nil"/>
              <w:right w:val="nil"/>
            </w:tcBorders>
            <w:shd w:val="clear" w:color="auto" w:fill="auto"/>
            <w:vAlign w:val="center"/>
            <w:hideMark/>
          </w:tcPr>
          <w:p w14:paraId="15A7A44C"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10%</w:t>
            </w:r>
          </w:p>
        </w:tc>
        <w:tc>
          <w:tcPr>
            <w:tcW w:w="960" w:type="dxa"/>
            <w:vMerge w:val="restart"/>
            <w:tcBorders>
              <w:top w:val="nil"/>
              <w:left w:val="nil"/>
              <w:bottom w:val="nil"/>
              <w:right w:val="nil"/>
            </w:tcBorders>
            <w:shd w:val="clear" w:color="auto" w:fill="auto"/>
            <w:noWrap/>
            <w:vAlign w:val="center"/>
            <w:hideMark/>
          </w:tcPr>
          <w:p w14:paraId="5B56BC2B"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7,5</w:t>
            </w:r>
          </w:p>
        </w:tc>
        <w:tc>
          <w:tcPr>
            <w:tcW w:w="960" w:type="dxa"/>
            <w:vMerge w:val="restart"/>
            <w:tcBorders>
              <w:top w:val="nil"/>
              <w:left w:val="nil"/>
              <w:bottom w:val="nil"/>
              <w:right w:val="nil"/>
            </w:tcBorders>
            <w:shd w:val="clear" w:color="auto" w:fill="auto"/>
            <w:noWrap/>
            <w:vAlign w:val="center"/>
            <w:hideMark/>
          </w:tcPr>
          <w:p w14:paraId="297D9F2E"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7,3</w:t>
            </w:r>
          </w:p>
        </w:tc>
        <w:tc>
          <w:tcPr>
            <w:tcW w:w="960" w:type="dxa"/>
            <w:vMerge w:val="restart"/>
            <w:tcBorders>
              <w:top w:val="nil"/>
              <w:left w:val="nil"/>
              <w:bottom w:val="nil"/>
              <w:right w:val="nil"/>
            </w:tcBorders>
            <w:shd w:val="clear" w:color="auto" w:fill="auto"/>
            <w:noWrap/>
            <w:vAlign w:val="center"/>
            <w:hideMark/>
          </w:tcPr>
          <w:p w14:paraId="53506E38"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7,3</w:t>
            </w:r>
          </w:p>
        </w:tc>
        <w:tc>
          <w:tcPr>
            <w:tcW w:w="960" w:type="dxa"/>
            <w:vMerge w:val="restart"/>
            <w:tcBorders>
              <w:top w:val="nil"/>
              <w:left w:val="nil"/>
              <w:bottom w:val="nil"/>
              <w:right w:val="nil"/>
            </w:tcBorders>
            <w:shd w:val="clear" w:color="auto" w:fill="auto"/>
            <w:noWrap/>
            <w:vAlign w:val="center"/>
            <w:hideMark/>
          </w:tcPr>
          <w:p w14:paraId="4FA13143"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7,5</w:t>
            </w:r>
          </w:p>
        </w:tc>
        <w:tc>
          <w:tcPr>
            <w:tcW w:w="734" w:type="dxa"/>
            <w:vMerge w:val="restart"/>
            <w:tcBorders>
              <w:top w:val="nil"/>
              <w:left w:val="nil"/>
              <w:bottom w:val="nil"/>
              <w:right w:val="nil"/>
            </w:tcBorders>
            <w:shd w:val="clear" w:color="auto" w:fill="auto"/>
            <w:noWrap/>
            <w:vAlign w:val="center"/>
            <w:hideMark/>
          </w:tcPr>
          <w:p w14:paraId="75EBA5C9" w14:textId="77777777" w:rsidR="00C74C27" w:rsidRPr="00C74C27" w:rsidRDefault="00C74C27" w:rsidP="00C74C27">
            <w:pPr>
              <w:spacing w:after="0"/>
              <w:ind w:firstLine="0"/>
              <w:jc w:val="center"/>
              <w:rPr>
                <w:rFonts w:eastAsia="Times New Roman" w:cs="Times New Roman"/>
                <w:sz w:val="18"/>
                <w:szCs w:val="18"/>
              </w:rPr>
            </w:pPr>
            <w:r w:rsidRPr="00C74C27">
              <w:rPr>
                <w:rFonts w:eastAsia="Times New Roman" w:cs="Times New Roman"/>
                <w:sz w:val="18"/>
                <w:szCs w:val="18"/>
              </w:rPr>
              <w:t>7,6</w:t>
            </w:r>
          </w:p>
        </w:tc>
        <w:tc>
          <w:tcPr>
            <w:tcW w:w="462" w:type="dxa"/>
            <w:vAlign w:val="center"/>
            <w:hideMark/>
          </w:tcPr>
          <w:p w14:paraId="6C44170A"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7E0B6C5D" w14:textId="77777777" w:rsidTr="0049639B">
        <w:trPr>
          <w:trHeight w:val="290"/>
        </w:trPr>
        <w:tc>
          <w:tcPr>
            <w:tcW w:w="2720" w:type="dxa"/>
            <w:vMerge/>
            <w:tcBorders>
              <w:top w:val="nil"/>
              <w:left w:val="nil"/>
              <w:bottom w:val="nil"/>
              <w:right w:val="nil"/>
            </w:tcBorders>
            <w:vAlign w:val="center"/>
            <w:hideMark/>
          </w:tcPr>
          <w:p w14:paraId="01D3C280"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3D94AD1"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218151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0EEB43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0841159"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59A50B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C180820" w14:textId="77777777" w:rsidR="00C74C27" w:rsidRPr="00C74C27" w:rsidRDefault="00C74C27" w:rsidP="00C74C27">
            <w:pPr>
              <w:spacing w:after="0"/>
              <w:ind w:firstLine="0"/>
              <w:jc w:val="left"/>
              <w:rPr>
                <w:rFonts w:eastAsia="Times New Roman" w:cs="Times New Roman"/>
                <w:sz w:val="18"/>
                <w:szCs w:val="18"/>
              </w:rPr>
            </w:pPr>
          </w:p>
        </w:tc>
        <w:tc>
          <w:tcPr>
            <w:tcW w:w="734" w:type="dxa"/>
            <w:vMerge/>
            <w:tcBorders>
              <w:top w:val="nil"/>
              <w:left w:val="nil"/>
              <w:bottom w:val="nil"/>
              <w:right w:val="nil"/>
            </w:tcBorders>
            <w:vAlign w:val="center"/>
            <w:hideMark/>
          </w:tcPr>
          <w:p w14:paraId="30FC8692" w14:textId="77777777" w:rsidR="00C74C27" w:rsidRPr="00C74C27" w:rsidRDefault="00C74C27" w:rsidP="00C74C27">
            <w:pPr>
              <w:spacing w:after="0"/>
              <w:ind w:firstLine="0"/>
              <w:jc w:val="left"/>
              <w:rPr>
                <w:rFonts w:eastAsia="Times New Roman" w:cs="Times New Roman"/>
                <w:sz w:val="18"/>
                <w:szCs w:val="18"/>
              </w:rPr>
            </w:pPr>
          </w:p>
        </w:tc>
        <w:tc>
          <w:tcPr>
            <w:tcW w:w="462" w:type="dxa"/>
            <w:tcBorders>
              <w:top w:val="nil"/>
              <w:left w:val="nil"/>
              <w:bottom w:val="nil"/>
              <w:right w:val="nil"/>
            </w:tcBorders>
            <w:shd w:val="clear" w:color="auto" w:fill="auto"/>
            <w:noWrap/>
            <w:vAlign w:val="bottom"/>
            <w:hideMark/>
          </w:tcPr>
          <w:p w14:paraId="62C36BCC" w14:textId="77777777" w:rsidR="00C74C27" w:rsidRPr="00C74C27" w:rsidRDefault="00C74C27" w:rsidP="00C74C27">
            <w:pPr>
              <w:spacing w:after="0"/>
              <w:ind w:firstLine="0"/>
              <w:jc w:val="center"/>
              <w:rPr>
                <w:rFonts w:eastAsia="Times New Roman" w:cs="Times New Roman"/>
                <w:sz w:val="18"/>
                <w:szCs w:val="18"/>
              </w:rPr>
            </w:pPr>
          </w:p>
        </w:tc>
      </w:tr>
      <w:tr w:rsidR="00C74C27" w:rsidRPr="00C74C27" w14:paraId="3E50428E" w14:textId="77777777" w:rsidTr="0049639B">
        <w:trPr>
          <w:trHeight w:val="290"/>
        </w:trPr>
        <w:tc>
          <w:tcPr>
            <w:tcW w:w="2720" w:type="dxa"/>
            <w:vMerge w:val="restart"/>
            <w:tcBorders>
              <w:top w:val="nil"/>
              <w:left w:val="nil"/>
              <w:bottom w:val="nil"/>
              <w:right w:val="nil"/>
            </w:tcBorders>
            <w:shd w:val="clear" w:color="auto" w:fill="auto"/>
            <w:vAlign w:val="center"/>
            <w:hideMark/>
          </w:tcPr>
          <w:p w14:paraId="17492446"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Finanšu sektora saistības kopā -nekonsolidētas</w:t>
            </w:r>
          </w:p>
        </w:tc>
        <w:tc>
          <w:tcPr>
            <w:tcW w:w="960" w:type="dxa"/>
            <w:vMerge w:val="restart"/>
            <w:tcBorders>
              <w:top w:val="nil"/>
              <w:left w:val="nil"/>
              <w:bottom w:val="nil"/>
              <w:right w:val="nil"/>
            </w:tcBorders>
            <w:shd w:val="clear" w:color="auto" w:fill="auto"/>
            <w:vAlign w:val="center"/>
            <w:hideMark/>
          </w:tcPr>
          <w:p w14:paraId="6C0147E6"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 gada % izmaiņas</w:t>
            </w:r>
          </w:p>
        </w:tc>
        <w:tc>
          <w:tcPr>
            <w:tcW w:w="960" w:type="dxa"/>
            <w:vMerge w:val="restart"/>
            <w:tcBorders>
              <w:top w:val="nil"/>
              <w:left w:val="nil"/>
              <w:bottom w:val="nil"/>
              <w:right w:val="nil"/>
            </w:tcBorders>
            <w:shd w:val="clear" w:color="auto" w:fill="auto"/>
            <w:vAlign w:val="center"/>
            <w:hideMark/>
          </w:tcPr>
          <w:p w14:paraId="083044C9"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16,5%</w:t>
            </w:r>
          </w:p>
        </w:tc>
        <w:tc>
          <w:tcPr>
            <w:tcW w:w="960" w:type="dxa"/>
            <w:vMerge w:val="restart"/>
            <w:tcBorders>
              <w:top w:val="nil"/>
              <w:left w:val="nil"/>
              <w:bottom w:val="nil"/>
              <w:right w:val="nil"/>
            </w:tcBorders>
            <w:shd w:val="clear" w:color="auto" w:fill="auto"/>
            <w:noWrap/>
            <w:vAlign w:val="center"/>
            <w:hideMark/>
          </w:tcPr>
          <w:p w14:paraId="3ECB7ACF"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4,6</w:t>
            </w:r>
          </w:p>
        </w:tc>
        <w:tc>
          <w:tcPr>
            <w:tcW w:w="960" w:type="dxa"/>
            <w:vMerge w:val="restart"/>
            <w:tcBorders>
              <w:top w:val="nil"/>
              <w:left w:val="nil"/>
              <w:bottom w:val="nil"/>
              <w:right w:val="nil"/>
            </w:tcBorders>
            <w:shd w:val="clear" w:color="auto" w:fill="auto"/>
            <w:noWrap/>
            <w:vAlign w:val="center"/>
            <w:hideMark/>
          </w:tcPr>
          <w:p w14:paraId="1F331BFC"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10,8</w:t>
            </w:r>
          </w:p>
        </w:tc>
        <w:tc>
          <w:tcPr>
            <w:tcW w:w="960" w:type="dxa"/>
            <w:vMerge w:val="restart"/>
            <w:tcBorders>
              <w:top w:val="nil"/>
              <w:left w:val="nil"/>
              <w:bottom w:val="nil"/>
              <w:right w:val="nil"/>
            </w:tcBorders>
            <w:shd w:val="clear" w:color="auto" w:fill="auto"/>
            <w:noWrap/>
            <w:vAlign w:val="center"/>
            <w:hideMark/>
          </w:tcPr>
          <w:p w14:paraId="06C562A6"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13,2</w:t>
            </w:r>
          </w:p>
        </w:tc>
        <w:tc>
          <w:tcPr>
            <w:tcW w:w="960" w:type="dxa"/>
            <w:vMerge w:val="restart"/>
            <w:tcBorders>
              <w:top w:val="nil"/>
              <w:left w:val="nil"/>
              <w:bottom w:val="nil"/>
              <w:right w:val="nil"/>
            </w:tcBorders>
            <w:shd w:val="clear" w:color="auto" w:fill="auto"/>
            <w:noWrap/>
            <w:vAlign w:val="center"/>
            <w:hideMark/>
          </w:tcPr>
          <w:p w14:paraId="5D663473"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w:t>
            </w:r>
          </w:p>
        </w:tc>
        <w:tc>
          <w:tcPr>
            <w:tcW w:w="734" w:type="dxa"/>
            <w:vMerge w:val="restart"/>
            <w:tcBorders>
              <w:top w:val="nil"/>
              <w:left w:val="nil"/>
              <w:bottom w:val="nil"/>
              <w:right w:val="nil"/>
            </w:tcBorders>
            <w:shd w:val="clear" w:color="auto" w:fill="auto"/>
            <w:noWrap/>
            <w:vAlign w:val="center"/>
            <w:hideMark/>
          </w:tcPr>
          <w:p w14:paraId="34F6F7D2" w14:textId="77777777" w:rsidR="00C74C27" w:rsidRPr="00C74C27" w:rsidRDefault="00C74C27" w:rsidP="00C74C27">
            <w:pPr>
              <w:spacing w:after="0"/>
              <w:ind w:firstLine="0"/>
              <w:jc w:val="center"/>
              <w:rPr>
                <w:rFonts w:eastAsia="Times New Roman" w:cs="Times New Roman"/>
                <w:color w:val="000000"/>
                <w:sz w:val="18"/>
                <w:szCs w:val="18"/>
              </w:rPr>
            </w:pPr>
          </w:p>
        </w:tc>
        <w:tc>
          <w:tcPr>
            <w:tcW w:w="462" w:type="dxa"/>
            <w:vAlign w:val="center"/>
            <w:hideMark/>
          </w:tcPr>
          <w:p w14:paraId="018DF72E"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7BACE065" w14:textId="77777777" w:rsidTr="0049639B">
        <w:trPr>
          <w:trHeight w:val="290"/>
        </w:trPr>
        <w:tc>
          <w:tcPr>
            <w:tcW w:w="2720" w:type="dxa"/>
            <w:vMerge/>
            <w:tcBorders>
              <w:top w:val="nil"/>
              <w:left w:val="nil"/>
              <w:bottom w:val="nil"/>
              <w:right w:val="nil"/>
            </w:tcBorders>
            <w:vAlign w:val="center"/>
            <w:hideMark/>
          </w:tcPr>
          <w:p w14:paraId="281606D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010854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4D69ABD"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7FB0E50"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561021A"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59AA72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90AE81F"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7277B125"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74D3C802" w14:textId="77777777" w:rsidR="00C74C27" w:rsidRPr="00C74C27" w:rsidRDefault="00C74C27" w:rsidP="00C74C27">
            <w:pPr>
              <w:spacing w:after="0"/>
              <w:ind w:firstLine="0"/>
              <w:jc w:val="center"/>
              <w:rPr>
                <w:rFonts w:eastAsia="Times New Roman" w:cs="Times New Roman"/>
                <w:sz w:val="20"/>
                <w:szCs w:val="20"/>
              </w:rPr>
            </w:pPr>
          </w:p>
        </w:tc>
      </w:tr>
      <w:tr w:rsidR="00C74C27" w:rsidRPr="00C74C27" w14:paraId="26E6C7C9" w14:textId="77777777" w:rsidTr="0049639B">
        <w:trPr>
          <w:trHeight w:val="290"/>
        </w:trPr>
        <w:tc>
          <w:tcPr>
            <w:tcW w:w="2720" w:type="dxa"/>
            <w:vMerge w:val="restart"/>
            <w:tcBorders>
              <w:top w:val="nil"/>
              <w:left w:val="nil"/>
              <w:bottom w:val="nil"/>
              <w:right w:val="nil"/>
            </w:tcBorders>
            <w:shd w:val="clear" w:color="auto" w:fill="auto"/>
            <w:vAlign w:val="center"/>
            <w:hideMark/>
          </w:tcPr>
          <w:p w14:paraId="322983A5"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Ekonomiski aktīvo iedzīvotāju īpatsvars % no visiem iedzīvotājiem vecuma grupā no 15-64 gadiem</w:t>
            </w:r>
          </w:p>
        </w:tc>
        <w:tc>
          <w:tcPr>
            <w:tcW w:w="960" w:type="dxa"/>
            <w:vMerge w:val="restart"/>
            <w:tcBorders>
              <w:top w:val="nil"/>
              <w:left w:val="nil"/>
              <w:bottom w:val="nil"/>
              <w:right w:val="nil"/>
            </w:tcBorders>
            <w:shd w:val="clear" w:color="auto" w:fill="auto"/>
            <w:vAlign w:val="center"/>
            <w:hideMark/>
          </w:tcPr>
          <w:p w14:paraId="7DAC1BA4"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 gadu izmaiņas procentu punktos</w:t>
            </w:r>
          </w:p>
        </w:tc>
        <w:tc>
          <w:tcPr>
            <w:tcW w:w="960" w:type="dxa"/>
            <w:vMerge w:val="restart"/>
            <w:tcBorders>
              <w:top w:val="nil"/>
              <w:left w:val="nil"/>
              <w:bottom w:val="nil"/>
              <w:right w:val="nil"/>
            </w:tcBorders>
            <w:shd w:val="clear" w:color="auto" w:fill="auto"/>
            <w:vAlign w:val="center"/>
            <w:hideMark/>
          </w:tcPr>
          <w:p w14:paraId="4EAD6674"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 xml:space="preserve">-0.2 </w:t>
            </w:r>
            <w:proofErr w:type="spellStart"/>
            <w:r w:rsidRPr="00C74C27">
              <w:rPr>
                <w:rFonts w:eastAsia="Times New Roman" w:cs="Times New Roman"/>
                <w:color w:val="000000"/>
                <w:sz w:val="18"/>
                <w:szCs w:val="18"/>
              </w:rPr>
              <w:t>pp</w:t>
            </w:r>
            <w:proofErr w:type="spellEnd"/>
          </w:p>
        </w:tc>
        <w:tc>
          <w:tcPr>
            <w:tcW w:w="960" w:type="dxa"/>
            <w:vMerge w:val="restart"/>
            <w:tcBorders>
              <w:top w:val="nil"/>
              <w:left w:val="nil"/>
              <w:bottom w:val="nil"/>
              <w:right w:val="nil"/>
            </w:tcBorders>
            <w:shd w:val="clear" w:color="auto" w:fill="auto"/>
            <w:noWrap/>
            <w:vAlign w:val="center"/>
            <w:hideMark/>
          </w:tcPr>
          <w:p w14:paraId="6D403DFD"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1,1</w:t>
            </w:r>
          </w:p>
        </w:tc>
        <w:tc>
          <w:tcPr>
            <w:tcW w:w="960" w:type="dxa"/>
            <w:vMerge w:val="restart"/>
            <w:tcBorders>
              <w:top w:val="nil"/>
              <w:left w:val="nil"/>
              <w:bottom w:val="nil"/>
              <w:right w:val="nil"/>
            </w:tcBorders>
            <w:shd w:val="clear" w:color="auto" w:fill="auto"/>
            <w:noWrap/>
            <w:vAlign w:val="center"/>
            <w:hideMark/>
          </w:tcPr>
          <w:p w14:paraId="5497088C"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1,1</w:t>
            </w:r>
          </w:p>
        </w:tc>
        <w:tc>
          <w:tcPr>
            <w:tcW w:w="960" w:type="dxa"/>
            <w:vMerge w:val="restart"/>
            <w:tcBorders>
              <w:top w:val="nil"/>
              <w:left w:val="nil"/>
              <w:bottom w:val="nil"/>
              <w:right w:val="nil"/>
            </w:tcBorders>
            <w:shd w:val="clear" w:color="000000" w:fill="FFCCCC"/>
            <w:noWrap/>
            <w:vAlign w:val="center"/>
            <w:hideMark/>
          </w:tcPr>
          <w:p w14:paraId="412FC398"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-1,8</w:t>
            </w:r>
          </w:p>
        </w:tc>
        <w:tc>
          <w:tcPr>
            <w:tcW w:w="960" w:type="dxa"/>
            <w:vMerge w:val="restart"/>
            <w:tcBorders>
              <w:top w:val="nil"/>
              <w:left w:val="nil"/>
              <w:bottom w:val="nil"/>
              <w:right w:val="nil"/>
            </w:tcBorders>
            <w:shd w:val="clear" w:color="auto" w:fill="auto"/>
            <w:noWrap/>
            <w:vAlign w:val="center"/>
            <w:hideMark/>
          </w:tcPr>
          <w:p w14:paraId="606F64CD"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-0,5</w:t>
            </w:r>
          </w:p>
        </w:tc>
        <w:tc>
          <w:tcPr>
            <w:tcW w:w="734" w:type="dxa"/>
            <w:vMerge w:val="restart"/>
            <w:tcBorders>
              <w:top w:val="nil"/>
              <w:left w:val="nil"/>
              <w:bottom w:val="nil"/>
              <w:right w:val="nil"/>
            </w:tcBorders>
            <w:shd w:val="clear" w:color="auto" w:fill="auto"/>
            <w:noWrap/>
            <w:vAlign w:val="center"/>
            <w:hideMark/>
          </w:tcPr>
          <w:p w14:paraId="2C7AEA5C"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2,5</w:t>
            </w:r>
          </w:p>
        </w:tc>
        <w:tc>
          <w:tcPr>
            <w:tcW w:w="462" w:type="dxa"/>
            <w:vAlign w:val="center"/>
            <w:hideMark/>
          </w:tcPr>
          <w:p w14:paraId="027D95C1"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0362C343" w14:textId="77777777" w:rsidTr="0049639B">
        <w:trPr>
          <w:trHeight w:val="290"/>
        </w:trPr>
        <w:tc>
          <w:tcPr>
            <w:tcW w:w="2720" w:type="dxa"/>
            <w:vMerge/>
            <w:tcBorders>
              <w:top w:val="nil"/>
              <w:left w:val="nil"/>
              <w:bottom w:val="nil"/>
              <w:right w:val="nil"/>
            </w:tcBorders>
            <w:vAlign w:val="center"/>
            <w:hideMark/>
          </w:tcPr>
          <w:p w14:paraId="7E8B261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B420AF1"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FAA824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B560AD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EEA6A37"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1F99BEA"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FDF5B58"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06BFF1D9"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0CADD220" w14:textId="77777777" w:rsidR="00C74C27" w:rsidRPr="00C74C27" w:rsidRDefault="00C74C27" w:rsidP="00C74C27">
            <w:pPr>
              <w:spacing w:after="0"/>
              <w:ind w:firstLine="0"/>
              <w:jc w:val="center"/>
              <w:rPr>
                <w:rFonts w:eastAsia="Times New Roman" w:cs="Times New Roman"/>
                <w:color w:val="000000"/>
                <w:sz w:val="18"/>
                <w:szCs w:val="18"/>
              </w:rPr>
            </w:pPr>
          </w:p>
        </w:tc>
      </w:tr>
      <w:tr w:rsidR="00C74C27" w:rsidRPr="00C74C27" w14:paraId="4A2F4CB5" w14:textId="77777777" w:rsidTr="0049639B">
        <w:trPr>
          <w:trHeight w:val="290"/>
        </w:trPr>
        <w:tc>
          <w:tcPr>
            <w:tcW w:w="2720" w:type="dxa"/>
            <w:vMerge/>
            <w:tcBorders>
              <w:top w:val="nil"/>
              <w:left w:val="nil"/>
              <w:bottom w:val="nil"/>
              <w:right w:val="nil"/>
            </w:tcBorders>
            <w:vAlign w:val="center"/>
            <w:hideMark/>
          </w:tcPr>
          <w:p w14:paraId="7EE9863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FCE60D1"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B65095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E25340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449414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9598FF0"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BF3D9E7"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54FB6C87"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4C7F4964"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1F37EC1A" w14:textId="77777777" w:rsidTr="0049639B">
        <w:trPr>
          <w:trHeight w:val="290"/>
        </w:trPr>
        <w:tc>
          <w:tcPr>
            <w:tcW w:w="2720" w:type="dxa"/>
            <w:vMerge/>
            <w:tcBorders>
              <w:top w:val="nil"/>
              <w:left w:val="nil"/>
              <w:bottom w:val="nil"/>
              <w:right w:val="nil"/>
            </w:tcBorders>
            <w:vAlign w:val="center"/>
            <w:hideMark/>
          </w:tcPr>
          <w:p w14:paraId="139E8B42"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4510BBD"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43C244E"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249AB9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1F487F0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B3DC160"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B30628E"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1A41C3E5" w14:textId="77777777" w:rsidR="00C74C27" w:rsidRPr="00C74C27" w:rsidRDefault="00C74C27" w:rsidP="00C74C27">
            <w:pPr>
              <w:spacing w:after="0"/>
              <w:ind w:firstLine="0"/>
              <w:jc w:val="left"/>
              <w:rPr>
                <w:rFonts w:eastAsia="Times New Roman" w:cs="Times New Roman"/>
                <w:color w:val="000000"/>
                <w:sz w:val="18"/>
                <w:szCs w:val="18"/>
              </w:rPr>
            </w:pPr>
          </w:p>
        </w:tc>
        <w:tc>
          <w:tcPr>
            <w:tcW w:w="462" w:type="dxa"/>
            <w:tcBorders>
              <w:top w:val="nil"/>
              <w:left w:val="nil"/>
              <w:bottom w:val="nil"/>
              <w:right w:val="nil"/>
            </w:tcBorders>
            <w:shd w:val="clear" w:color="auto" w:fill="auto"/>
            <w:noWrap/>
            <w:vAlign w:val="bottom"/>
            <w:hideMark/>
          </w:tcPr>
          <w:p w14:paraId="6804E7A7"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10EEECA5" w14:textId="77777777" w:rsidTr="0049639B">
        <w:trPr>
          <w:trHeight w:val="290"/>
        </w:trPr>
        <w:tc>
          <w:tcPr>
            <w:tcW w:w="2720" w:type="dxa"/>
            <w:vMerge w:val="restart"/>
            <w:tcBorders>
              <w:top w:val="nil"/>
              <w:left w:val="nil"/>
              <w:bottom w:val="nil"/>
              <w:right w:val="nil"/>
            </w:tcBorders>
            <w:shd w:val="clear" w:color="auto" w:fill="auto"/>
            <w:vAlign w:val="center"/>
            <w:hideMark/>
          </w:tcPr>
          <w:p w14:paraId="3F6973A4"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Ilgtermiņa bezdarba līmenis % no ekonomiski aktīvajiem iedzīvotājiem vecuma grupā no 15-74 gadiem</w:t>
            </w:r>
          </w:p>
        </w:tc>
        <w:tc>
          <w:tcPr>
            <w:tcW w:w="960" w:type="dxa"/>
            <w:vMerge w:val="restart"/>
            <w:tcBorders>
              <w:top w:val="nil"/>
              <w:left w:val="nil"/>
              <w:bottom w:val="nil"/>
              <w:right w:val="nil"/>
            </w:tcBorders>
            <w:shd w:val="clear" w:color="auto" w:fill="auto"/>
            <w:vAlign w:val="center"/>
            <w:hideMark/>
          </w:tcPr>
          <w:p w14:paraId="4B863E62"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 gadu izmaiņas procentu punktos</w:t>
            </w:r>
          </w:p>
        </w:tc>
        <w:tc>
          <w:tcPr>
            <w:tcW w:w="960" w:type="dxa"/>
            <w:vMerge w:val="restart"/>
            <w:tcBorders>
              <w:top w:val="nil"/>
              <w:left w:val="nil"/>
              <w:bottom w:val="nil"/>
              <w:right w:val="nil"/>
            </w:tcBorders>
            <w:shd w:val="clear" w:color="auto" w:fill="auto"/>
            <w:vAlign w:val="center"/>
            <w:hideMark/>
          </w:tcPr>
          <w:p w14:paraId="78140D57"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 xml:space="preserve">0.5 </w:t>
            </w:r>
            <w:proofErr w:type="spellStart"/>
            <w:r w:rsidRPr="00C74C27">
              <w:rPr>
                <w:rFonts w:eastAsia="Times New Roman" w:cs="Times New Roman"/>
                <w:color w:val="000000"/>
                <w:sz w:val="18"/>
                <w:szCs w:val="18"/>
              </w:rPr>
              <w:t>pp</w:t>
            </w:r>
            <w:proofErr w:type="spellEnd"/>
          </w:p>
        </w:tc>
        <w:tc>
          <w:tcPr>
            <w:tcW w:w="960" w:type="dxa"/>
            <w:vMerge w:val="restart"/>
            <w:tcBorders>
              <w:top w:val="nil"/>
              <w:left w:val="nil"/>
              <w:bottom w:val="nil"/>
              <w:right w:val="nil"/>
            </w:tcBorders>
            <w:shd w:val="clear" w:color="auto" w:fill="auto"/>
            <w:noWrap/>
            <w:vAlign w:val="center"/>
            <w:hideMark/>
          </w:tcPr>
          <w:p w14:paraId="3450B758"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-1,7</w:t>
            </w:r>
          </w:p>
        </w:tc>
        <w:tc>
          <w:tcPr>
            <w:tcW w:w="960" w:type="dxa"/>
            <w:vMerge w:val="restart"/>
            <w:tcBorders>
              <w:top w:val="nil"/>
              <w:left w:val="nil"/>
              <w:bottom w:val="nil"/>
              <w:right w:val="nil"/>
            </w:tcBorders>
            <w:shd w:val="clear" w:color="auto" w:fill="auto"/>
            <w:noWrap/>
            <w:vAlign w:val="center"/>
            <w:hideMark/>
          </w:tcPr>
          <w:p w14:paraId="179684D0"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-1,2</w:t>
            </w:r>
          </w:p>
        </w:tc>
        <w:tc>
          <w:tcPr>
            <w:tcW w:w="960" w:type="dxa"/>
            <w:vMerge w:val="restart"/>
            <w:tcBorders>
              <w:top w:val="nil"/>
              <w:left w:val="nil"/>
              <w:bottom w:val="nil"/>
              <w:right w:val="nil"/>
            </w:tcBorders>
            <w:shd w:val="clear" w:color="auto" w:fill="auto"/>
            <w:noWrap/>
            <w:vAlign w:val="center"/>
            <w:hideMark/>
          </w:tcPr>
          <w:p w14:paraId="0471CAE0"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-1,1</w:t>
            </w:r>
          </w:p>
        </w:tc>
        <w:tc>
          <w:tcPr>
            <w:tcW w:w="960" w:type="dxa"/>
            <w:vMerge w:val="restart"/>
            <w:tcBorders>
              <w:top w:val="nil"/>
              <w:left w:val="nil"/>
              <w:bottom w:val="nil"/>
              <w:right w:val="nil"/>
            </w:tcBorders>
            <w:shd w:val="clear" w:color="auto" w:fill="auto"/>
            <w:noWrap/>
            <w:vAlign w:val="center"/>
            <w:hideMark/>
          </w:tcPr>
          <w:p w14:paraId="1C80A667"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-0,7</w:t>
            </w:r>
          </w:p>
        </w:tc>
        <w:tc>
          <w:tcPr>
            <w:tcW w:w="734" w:type="dxa"/>
            <w:vMerge w:val="restart"/>
            <w:tcBorders>
              <w:top w:val="nil"/>
              <w:left w:val="nil"/>
              <w:bottom w:val="nil"/>
              <w:right w:val="nil"/>
            </w:tcBorders>
            <w:shd w:val="clear" w:color="auto" w:fill="auto"/>
            <w:noWrap/>
            <w:vAlign w:val="center"/>
            <w:hideMark/>
          </w:tcPr>
          <w:p w14:paraId="0E7C8BA5" w14:textId="77777777" w:rsidR="00C74C27" w:rsidRPr="00C74C27" w:rsidRDefault="00C74C27" w:rsidP="00C74C27">
            <w:pPr>
              <w:spacing w:after="0"/>
              <w:ind w:firstLine="0"/>
              <w:jc w:val="center"/>
              <w:rPr>
                <w:rFonts w:eastAsia="Times New Roman" w:cs="Times New Roman"/>
                <w:sz w:val="20"/>
                <w:szCs w:val="20"/>
              </w:rPr>
            </w:pPr>
          </w:p>
        </w:tc>
        <w:tc>
          <w:tcPr>
            <w:tcW w:w="462" w:type="dxa"/>
            <w:vAlign w:val="center"/>
            <w:hideMark/>
          </w:tcPr>
          <w:p w14:paraId="5B0604B1"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25DC6497" w14:textId="77777777" w:rsidTr="0049639B">
        <w:trPr>
          <w:trHeight w:val="290"/>
        </w:trPr>
        <w:tc>
          <w:tcPr>
            <w:tcW w:w="2720" w:type="dxa"/>
            <w:vMerge/>
            <w:tcBorders>
              <w:top w:val="nil"/>
              <w:left w:val="nil"/>
              <w:bottom w:val="nil"/>
              <w:right w:val="nil"/>
            </w:tcBorders>
            <w:vAlign w:val="center"/>
            <w:hideMark/>
          </w:tcPr>
          <w:p w14:paraId="38F9307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AC4F36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00B9F29D"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89D15B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D5840BE"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DB87DE1"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29C21E2C"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170C3429" w14:textId="77777777" w:rsidR="00C74C27" w:rsidRPr="00C74C27" w:rsidRDefault="00C74C27" w:rsidP="00C74C27">
            <w:pPr>
              <w:spacing w:after="0"/>
              <w:ind w:firstLine="0"/>
              <w:jc w:val="left"/>
              <w:rPr>
                <w:rFonts w:eastAsia="Times New Roman" w:cs="Times New Roman"/>
                <w:sz w:val="20"/>
                <w:szCs w:val="20"/>
              </w:rPr>
            </w:pPr>
          </w:p>
        </w:tc>
        <w:tc>
          <w:tcPr>
            <w:tcW w:w="462" w:type="dxa"/>
            <w:tcBorders>
              <w:top w:val="nil"/>
              <w:left w:val="nil"/>
              <w:bottom w:val="nil"/>
              <w:right w:val="nil"/>
            </w:tcBorders>
            <w:shd w:val="clear" w:color="auto" w:fill="auto"/>
            <w:noWrap/>
            <w:vAlign w:val="bottom"/>
            <w:hideMark/>
          </w:tcPr>
          <w:p w14:paraId="4A39C8E2" w14:textId="77777777" w:rsidR="00C74C27" w:rsidRPr="00C74C27" w:rsidRDefault="00C74C27" w:rsidP="00C74C27">
            <w:pPr>
              <w:spacing w:after="0"/>
              <w:ind w:firstLine="0"/>
              <w:jc w:val="center"/>
              <w:rPr>
                <w:rFonts w:eastAsia="Times New Roman" w:cs="Times New Roman"/>
                <w:sz w:val="20"/>
                <w:szCs w:val="20"/>
              </w:rPr>
            </w:pPr>
          </w:p>
        </w:tc>
      </w:tr>
      <w:tr w:rsidR="00C74C27" w:rsidRPr="00C74C27" w14:paraId="4F9FF610" w14:textId="77777777" w:rsidTr="0049639B">
        <w:trPr>
          <w:trHeight w:val="290"/>
        </w:trPr>
        <w:tc>
          <w:tcPr>
            <w:tcW w:w="2720" w:type="dxa"/>
            <w:vMerge/>
            <w:tcBorders>
              <w:top w:val="nil"/>
              <w:left w:val="nil"/>
              <w:bottom w:val="nil"/>
              <w:right w:val="nil"/>
            </w:tcBorders>
            <w:vAlign w:val="center"/>
            <w:hideMark/>
          </w:tcPr>
          <w:p w14:paraId="130BAA35"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18D7351"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6A8DCFE0"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D6CC25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067F752"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1F87C05C"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5EB4C69"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1EDF1A75" w14:textId="77777777" w:rsidR="00C74C27" w:rsidRPr="00C74C27" w:rsidRDefault="00C74C27" w:rsidP="00C74C27">
            <w:pPr>
              <w:spacing w:after="0"/>
              <w:ind w:firstLine="0"/>
              <w:jc w:val="left"/>
              <w:rPr>
                <w:rFonts w:eastAsia="Times New Roman" w:cs="Times New Roman"/>
                <w:sz w:val="20"/>
                <w:szCs w:val="20"/>
              </w:rPr>
            </w:pPr>
          </w:p>
        </w:tc>
        <w:tc>
          <w:tcPr>
            <w:tcW w:w="462" w:type="dxa"/>
            <w:tcBorders>
              <w:top w:val="nil"/>
              <w:left w:val="nil"/>
              <w:bottom w:val="nil"/>
              <w:right w:val="nil"/>
            </w:tcBorders>
            <w:shd w:val="clear" w:color="auto" w:fill="auto"/>
            <w:noWrap/>
            <w:vAlign w:val="bottom"/>
            <w:hideMark/>
          </w:tcPr>
          <w:p w14:paraId="7006CAD3"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7A5BAB24" w14:textId="77777777" w:rsidTr="0049639B">
        <w:trPr>
          <w:trHeight w:val="290"/>
        </w:trPr>
        <w:tc>
          <w:tcPr>
            <w:tcW w:w="2720" w:type="dxa"/>
            <w:vMerge w:val="restart"/>
            <w:tcBorders>
              <w:top w:val="nil"/>
              <w:left w:val="nil"/>
              <w:bottom w:val="nil"/>
              <w:right w:val="nil"/>
            </w:tcBorders>
            <w:shd w:val="clear" w:color="auto" w:fill="auto"/>
            <w:vAlign w:val="center"/>
            <w:hideMark/>
          </w:tcPr>
          <w:p w14:paraId="46AFB5EE"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Jauniešu bezdarba līmenis % no ekonomiski aktīvajiem iedzīvotājiem vecuma grupā no 15-24 gadiem</w:t>
            </w:r>
          </w:p>
        </w:tc>
        <w:tc>
          <w:tcPr>
            <w:tcW w:w="960" w:type="dxa"/>
            <w:vMerge w:val="restart"/>
            <w:tcBorders>
              <w:top w:val="nil"/>
              <w:left w:val="nil"/>
              <w:bottom w:val="nil"/>
              <w:right w:val="nil"/>
            </w:tcBorders>
            <w:shd w:val="clear" w:color="auto" w:fill="auto"/>
            <w:vAlign w:val="center"/>
            <w:hideMark/>
          </w:tcPr>
          <w:p w14:paraId="5DE33770"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3 gadu izmaiņas procentu punktos</w:t>
            </w:r>
          </w:p>
        </w:tc>
        <w:tc>
          <w:tcPr>
            <w:tcW w:w="960" w:type="dxa"/>
            <w:vMerge w:val="restart"/>
            <w:tcBorders>
              <w:top w:val="nil"/>
              <w:left w:val="nil"/>
              <w:bottom w:val="nil"/>
              <w:right w:val="nil"/>
            </w:tcBorders>
            <w:shd w:val="clear" w:color="auto" w:fill="auto"/>
            <w:vAlign w:val="center"/>
            <w:hideMark/>
          </w:tcPr>
          <w:p w14:paraId="70D2A491"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 xml:space="preserve">2 </w:t>
            </w:r>
            <w:proofErr w:type="spellStart"/>
            <w:r w:rsidRPr="00C74C27">
              <w:rPr>
                <w:rFonts w:eastAsia="Times New Roman" w:cs="Times New Roman"/>
                <w:color w:val="000000"/>
                <w:sz w:val="18"/>
                <w:szCs w:val="18"/>
              </w:rPr>
              <w:t>pp</w:t>
            </w:r>
            <w:proofErr w:type="spellEnd"/>
          </w:p>
        </w:tc>
        <w:tc>
          <w:tcPr>
            <w:tcW w:w="960" w:type="dxa"/>
            <w:vMerge w:val="restart"/>
            <w:tcBorders>
              <w:top w:val="nil"/>
              <w:left w:val="nil"/>
              <w:bottom w:val="nil"/>
              <w:right w:val="nil"/>
            </w:tcBorders>
            <w:shd w:val="clear" w:color="auto" w:fill="auto"/>
            <w:noWrap/>
            <w:vAlign w:val="center"/>
            <w:hideMark/>
          </w:tcPr>
          <w:p w14:paraId="5C00498F"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-4,8</w:t>
            </w:r>
          </w:p>
        </w:tc>
        <w:tc>
          <w:tcPr>
            <w:tcW w:w="960" w:type="dxa"/>
            <w:vMerge w:val="restart"/>
            <w:tcBorders>
              <w:top w:val="nil"/>
              <w:left w:val="nil"/>
              <w:bottom w:val="nil"/>
              <w:right w:val="nil"/>
            </w:tcBorders>
            <w:shd w:val="clear" w:color="auto" w:fill="auto"/>
            <w:noWrap/>
            <w:vAlign w:val="center"/>
            <w:hideMark/>
          </w:tcPr>
          <w:p w14:paraId="1212C898"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-2,1</w:t>
            </w:r>
          </w:p>
        </w:tc>
        <w:tc>
          <w:tcPr>
            <w:tcW w:w="960" w:type="dxa"/>
            <w:vMerge w:val="restart"/>
            <w:tcBorders>
              <w:top w:val="nil"/>
              <w:left w:val="nil"/>
              <w:bottom w:val="nil"/>
              <w:right w:val="nil"/>
            </w:tcBorders>
            <w:shd w:val="clear" w:color="auto" w:fill="FFCCCC"/>
            <w:noWrap/>
            <w:vAlign w:val="center"/>
            <w:hideMark/>
          </w:tcPr>
          <w:p w14:paraId="75A63A4B"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2,6</w:t>
            </w:r>
          </w:p>
        </w:tc>
        <w:tc>
          <w:tcPr>
            <w:tcW w:w="960" w:type="dxa"/>
            <w:vMerge w:val="restart"/>
            <w:tcBorders>
              <w:top w:val="nil"/>
              <w:left w:val="nil"/>
              <w:bottom w:val="nil"/>
              <w:right w:val="nil"/>
            </w:tcBorders>
            <w:shd w:val="clear" w:color="auto" w:fill="FFCCCC"/>
            <w:noWrap/>
            <w:vAlign w:val="center"/>
            <w:hideMark/>
          </w:tcPr>
          <w:p w14:paraId="05174F9A" w14:textId="77777777" w:rsidR="00C74C27" w:rsidRPr="00C74C27" w:rsidRDefault="00C74C27" w:rsidP="00C74C27">
            <w:pPr>
              <w:spacing w:after="0"/>
              <w:ind w:firstLine="0"/>
              <w:jc w:val="center"/>
              <w:rPr>
                <w:rFonts w:eastAsia="Times New Roman" w:cs="Times New Roman"/>
                <w:color w:val="000000"/>
                <w:sz w:val="18"/>
                <w:szCs w:val="18"/>
              </w:rPr>
            </w:pPr>
            <w:r w:rsidRPr="00C74C27">
              <w:rPr>
                <w:rFonts w:eastAsia="Times New Roman" w:cs="Times New Roman"/>
                <w:color w:val="000000"/>
                <w:sz w:val="18"/>
                <w:szCs w:val="18"/>
              </w:rPr>
              <w:t>2,6</w:t>
            </w:r>
          </w:p>
        </w:tc>
        <w:tc>
          <w:tcPr>
            <w:tcW w:w="734" w:type="dxa"/>
            <w:vMerge w:val="restart"/>
            <w:tcBorders>
              <w:top w:val="nil"/>
              <w:left w:val="nil"/>
              <w:bottom w:val="nil"/>
              <w:right w:val="nil"/>
            </w:tcBorders>
            <w:shd w:val="clear" w:color="auto" w:fill="auto"/>
            <w:noWrap/>
            <w:vAlign w:val="center"/>
            <w:hideMark/>
          </w:tcPr>
          <w:p w14:paraId="6A558043" w14:textId="77777777" w:rsidR="00C74C27" w:rsidRPr="00C74C27" w:rsidRDefault="00C74C27" w:rsidP="00C74C27">
            <w:pPr>
              <w:spacing w:after="0"/>
              <w:ind w:firstLine="0"/>
              <w:jc w:val="center"/>
              <w:rPr>
                <w:rFonts w:eastAsia="Times New Roman" w:cs="Times New Roman"/>
                <w:sz w:val="20"/>
                <w:szCs w:val="20"/>
              </w:rPr>
            </w:pPr>
          </w:p>
        </w:tc>
        <w:tc>
          <w:tcPr>
            <w:tcW w:w="462" w:type="dxa"/>
            <w:vAlign w:val="center"/>
            <w:hideMark/>
          </w:tcPr>
          <w:p w14:paraId="6D2688D1"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4ACC9EBA" w14:textId="77777777" w:rsidTr="0049639B">
        <w:trPr>
          <w:trHeight w:val="290"/>
        </w:trPr>
        <w:tc>
          <w:tcPr>
            <w:tcW w:w="2720" w:type="dxa"/>
            <w:vMerge/>
            <w:tcBorders>
              <w:top w:val="nil"/>
              <w:left w:val="nil"/>
              <w:bottom w:val="nil"/>
              <w:right w:val="nil"/>
            </w:tcBorders>
            <w:vAlign w:val="center"/>
            <w:hideMark/>
          </w:tcPr>
          <w:p w14:paraId="29C16F9A"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7CE33398"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33F477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1DA5031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5E742394"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shd w:val="clear" w:color="auto" w:fill="FFCCCC"/>
            <w:vAlign w:val="center"/>
            <w:hideMark/>
          </w:tcPr>
          <w:p w14:paraId="2885D4A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shd w:val="clear" w:color="auto" w:fill="FFCCCC"/>
            <w:vAlign w:val="center"/>
            <w:hideMark/>
          </w:tcPr>
          <w:p w14:paraId="313B2BF6"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46123F6E" w14:textId="77777777" w:rsidR="00C74C27" w:rsidRPr="00C74C27" w:rsidRDefault="00C74C27" w:rsidP="00C74C27">
            <w:pPr>
              <w:spacing w:after="0"/>
              <w:ind w:firstLine="0"/>
              <w:jc w:val="left"/>
              <w:rPr>
                <w:rFonts w:eastAsia="Times New Roman" w:cs="Times New Roman"/>
                <w:sz w:val="20"/>
                <w:szCs w:val="20"/>
              </w:rPr>
            </w:pPr>
          </w:p>
        </w:tc>
        <w:tc>
          <w:tcPr>
            <w:tcW w:w="462" w:type="dxa"/>
            <w:tcBorders>
              <w:top w:val="nil"/>
              <w:left w:val="nil"/>
              <w:bottom w:val="nil"/>
              <w:right w:val="nil"/>
            </w:tcBorders>
            <w:shd w:val="clear" w:color="auto" w:fill="auto"/>
            <w:noWrap/>
            <w:vAlign w:val="bottom"/>
            <w:hideMark/>
          </w:tcPr>
          <w:p w14:paraId="4518283E" w14:textId="77777777" w:rsidR="00C74C27" w:rsidRPr="00C74C27" w:rsidRDefault="00C74C27" w:rsidP="00C74C27">
            <w:pPr>
              <w:spacing w:after="0"/>
              <w:ind w:firstLine="0"/>
              <w:jc w:val="center"/>
              <w:rPr>
                <w:rFonts w:eastAsia="Times New Roman" w:cs="Times New Roman"/>
                <w:sz w:val="20"/>
                <w:szCs w:val="20"/>
              </w:rPr>
            </w:pPr>
          </w:p>
        </w:tc>
      </w:tr>
      <w:tr w:rsidR="00C74C27" w:rsidRPr="00C74C27" w14:paraId="2275D0A6" w14:textId="77777777" w:rsidTr="0049639B">
        <w:trPr>
          <w:trHeight w:val="290"/>
        </w:trPr>
        <w:tc>
          <w:tcPr>
            <w:tcW w:w="2720" w:type="dxa"/>
            <w:vMerge/>
            <w:tcBorders>
              <w:top w:val="nil"/>
              <w:left w:val="nil"/>
              <w:bottom w:val="nil"/>
              <w:right w:val="nil"/>
            </w:tcBorders>
            <w:vAlign w:val="center"/>
            <w:hideMark/>
          </w:tcPr>
          <w:p w14:paraId="26F214FF"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01C42CB"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73B3C83"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468D5477"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vAlign w:val="center"/>
            <w:hideMark/>
          </w:tcPr>
          <w:p w14:paraId="36EE4222"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shd w:val="clear" w:color="auto" w:fill="FFCCCC"/>
            <w:vAlign w:val="center"/>
            <w:hideMark/>
          </w:tcPr>
          <w:p w14:paraId="6D6BD137"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vMerge/>
            <w:tcBorders>
              <w:top w:val="nil"/>
              <w:left w:val="nil"/>
              <w:bottom w:val="nil"/>
              <w:right w:val="nil"/>
            </w:tcBorders>
            <w:shd w:val="clear" w:color="auto" w:fill="FFCCCC"/>
            <w:vAlign w:val="center"/>
            <w:hideMark/>
          </w:tcPr>
          <w:p w14:paraId="5C461407"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vMerge/>
            <w:tcBorders>
              <w:top w:val="nil"/>
              <w:left w:val="nil"/>
              <w:bottom w:val="nil"/>
              <w:right w:val="nil"/>
            </w:tcBorders>
            <w:vAlign w:val="center"/>
            <w:hideMark/>
          </w:tcPr>
          <w:p w14:paraId="077B43DD" w14:textId="77777777" w:rsidR="00C74C27" w:rsidRPr="00C74C27" w:rsidRDefault="00C74C27" w:rsidP="00C74C27">
            <w:pPr>
              <w:spacing w:after="0"/>
              <w:ind w:firstLine="0"/>
              <w:jc w:val="left"/>
              <w:rPr>
                <w:rFonts w:eastAsia="Times New Roman" w:cs="Times New Roman"/>
                <w:sz w:val="20"/>
                <w:szCs w:val="20"/>
              </w:rPr>
            </w:pPr>
          </w:p>
        </w:tc>
        <w:tc>
          <w:tcPr>
            <w:tcW w:w="462" w:type="dxa"/>
            <w:tcBorders>
              <w:top w:val="nil"/>
              <w:left w:val="nil"/>
              <w:bottom w:val="nil"/>
              <w:right w:val="nil"/>
            </w:tcBorders>
            <w:shd w:val="clear" w:color="auto" w:fill="auto"/>
            <w:noWrap/>
            <w:vAlign w:val="bottom"/>
            <w:hideMark/>
          </w:tcPr>
          <w:p w14:paraId="1EE7174E" w14:textId="77777777" w:rsidR="00C74C27" w:rsidRPr="00C74C27" w:rsidRDefault="00C74C27" w:rsidP="00C74C27">
            <w:pPr>
              <w:spacing w:after="0"/>
              <w:ind w:firstLine="0"/>
              <w:jc w:val="left"/>
              <w:rPr>
                <w:rFonts w:eastAsia="Times New Roman" w:cs="Times New Roman"/>
                <w:sz w:val="20"/>
                <w:szCs w:val="20"/>
              </w:rPr>
            </w:pPr>
          </w:p>
        </w:tc>
      </w:tr>
      <w:tr w:rsidR="00C74C27" w:rsidRPr="00C74C27" w14:paraId="60301962" w14:textId="77777777" w:rsidTr="0049639B">
        <w:trPr>
          <w:gridAfter w:val="1"/>
          <w:wAfter w:w="462" w:type="dxa"/>
          <w:trHeight w:val="290"/>
        </w:trPr>
        <w:tc>
          <w:tcPr>
            <w:tcW w:w="3680" w:type="dxa"/>
            <w:tcBorders>
              <w:top w:val="nil"/>
              <w:left w:val="nil"/>
              <w:bottom w:val="nil"/>
              <w:right w:val="nil"/>
            </w:tcBorders>
            <w:vAlign w:val="center"/>
          </w:tcPr>
          <w:p w14:paraId="1CD22475" w14:textId="77777777" w:rsidR="00C74C27" w:rsidRPr="00C74C27" w:rsidRDefault="00C74C27" w:rsidP="00C74C27">
            <w:pPr>
              <w:spacing w:after="0"/>
              <w:ind w:firstLine="0"/>
              <w:jc w:val="left"/>
              <w:rPr>
                <w:rFonts w:eastAsia="Times New Roman" w:cs="Times New Roman"/>
                <w:color w:val="000000"/>
                <w:sz w:val="18"/>
                <w:szCs w:val="18"/>
              </w:rPr>
            </w:pPr>
            <w:r w:rsidRPr="00C74C27">
              <w:rPr>
                <w:rFonts w:eastAsia="Times New Roman" w:cs="Times New Roman"/>
                <w:color w:val="000000"/>
                <w:sz w:val="18"/>
                <w:szCs w:val="18"/>
              </w:rPr>
              <w:t xml:space="preserve">Datu avots: </w:t>
            </w:r>
            <w:proofErr w:type="spellStart"/>
            <w:r w:rsidRPr="00C74C27">
              <w:rPr>
                <w:rFonts w:eastAsia="Times New Roman" w:cs="Times New Roman"/>
                <w:color w:val="000000"/>
                <w:sz w:val="18"/>
                <w:szCs w:val="18"/>
              </w:rPr>
              <w:t>Eurostat</w:t>
            </w:r>
            <w:proofErr w:type="spellEnd"/>
            <w:r w:rsidRPr="00C74C27">
              <w:rPr>
                <w:rFonts w:eastAsia="Times New Roman" w:cs="Times New Roman"/>
                <w:color w:val="000000"/>
                <w:sz w:val="18"/>
                <w:szCs w:val="18"/>
              </w:rPr>
              <w:t>, EK prognozes</w:t>
            </w:r>
          </w:p>
        </w:tc>
        <w:tc>
          <w:tcPr>
            <w:tcW w:w="960" w:type="dxa"/>
            <w:tcBorders>
              <w:top w:val="nil"/>
              <w:left w:val="nil"/>
              <w:bottom w:val="nil"/>
              <w:right w:val="nil"/>
            </w:tcBorders>
            <w:vAlign w:val="center"/>
          </w:tcPr>
          <w:p w14:paraId="44CD602A"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tcBorders>
              <w:top w:val="nil"/>
              <w:left w:val="nil"/>
              <w:bottom w:val="nil"/>
              <w:right w:val="nil"/>
            </w:tcBorders>
            <w:vAlign w:val="center"/>
          </w:tcPr>
          <w:p w14:paraId="15EF05ED"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tcBorders>
              <w:top w:val="nil"/>
              <w:left w:val="nil"/>
              <w:bottom w:val="nil"/>
              <w:right w:val="nil"/>
            </w:tcBorders>
            <w:vAlign w:val="center"/>
          </w:tcPr>
          <w:p w14:paraId="0DC30056"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tcBorders>
              <w:top w:val="nil"/>
              <w:left w:val="nil"/>
              <w:bottom w:val="nil"/>
              <w:right w:val="nil"/>
            </w:tcBorders>
            <w:shd w:val="clear" w:color="auto" w:fill="auto"/>
            <w:vAlign w:val="center"/>
          </w:tcPr>
          <w:p w14:paraId="0CF08F4E" w14:textId="77777777" w:rsidR="00C74C27" w:rsidRPr="00C74C27" w:rsidRDefault="00C74C27" w:rsidP="00C74C27">
            <w:pPr>
              <w:spacing w:after="0"/>
              <w:ind w:firstLine="0"/>
              <w:jc w:val="left"/>
              <w:rPr>
                <w:rFonts w:eastAsia="Times New Roman" w:cs="Times New Roman"/>
                <w:color w:val="000000"/>
                <w:sz w:val="18"/>
                <w:szCs w:val="18"/>
              </w:rPr>
            </w:pPr>
          </w:p>
        </w:tc>
        <w:tc>
          <w:tcPr>
            <w:tcW w:w="960" w:type="dxa"/>
            <w:tcBorders>
              <w:top w:val="nil"/>
              <w:left w:val="nil"/>
              <w:bottom w:val="nil"/>
              <w:right w:val="nil"/>
            </w:tcBorders>
            <w:shd w:val="clear" w:color="auto" w:fill="auto"/>
            <w:vAlign w:val="center"/>
          </w:tcPr>
          <w:p w14:paraId="03B64F53" w14:textId="77777777" w:rsidR="00C74C27" w:rsidRPr="00C74C27" w:rsidRDefault="00C74C27" w:rsidP="00C74C27">
            <w:pPr>
              <w:spacing w:after="0"/>
              <w:ind w:firstLine="0"/>
              <w:jc w:val="left"/>
              <w:rPr>
                <w:rFonts w:eastAsia="Times New Roman" w:cs="Times New Roman"/>
                <w:color w:val="000000"/>
                <w:sz w:val="18"/>
                <w:szCs w:val="18"/>
              </w:rPr>
            </w:pPr>
          </w:p>
        </w:tc>
        <w:tc>
          <w:tcPr>
            <w:tcW w:w="734" w:type="dxa"/>
            <w:tcBorders>
              <w:top w:val="nil"/>
              <w:left w:val="nil"/>
              <w:bottom w:val="nil"/>
              <w:right w:val="nil"/>
            </w:tcBorders>
            <w:vAlign w:val="center"/>
          </w:tcPr>
          <w:p w14:paraId="040DC82C" w14:textId="77777777" w:rsidR="00C74C27" w:rsidRPr="00C74C27" w:rsidRDefault="00C74C27" w:rsidP="00C74C27">
            <w:pPr>
              <w:spacing w:after="0"/>
              <w:ind w:firstLine="0"/>
              <w:jc w:val="left"/>
              <w:rPr>
                <w:rFonts w:eastAsia="Times New Roman" w:cs="Times New Roman"/>
                <w:sz w:val="20"/>
                <w:szCs w:val="20"/>
              </w:rPr>
            </w:pPr>
          </w:p>
        </w:tc>
        <w:tc>
          <w:tcPr>
            <w:tcW w:w="462" w:type="dxa"/>
            <w:tcBorders>
              <w:top w:val="nil"/>
              <w:left w:val="nil"/>
              <w:bottom w:val="nil"/>
              <w:right w:val="nil"/>
            </w:tcBorders>
            <w:shd w:val="clear" w:color="auto" w:fill="auto"/>
            <w:noWrap/>
            <w:vAlign w:val="bottom"/>
          </w:tcPr>
          <w:p w14:paraId="1FC4E91F" w14:textId="77777777" w:rsidR="00C74C27" w:rsidRPr="00C74C27" w:rsidRDefault="00C74C27" w:rsidP="00C74C27">
            <w:pPr>
              <w:spacing w:after="0"/>
              <w:ind w:firstLine="0"/>
              <w:jc w:val="left"/>
              <w:rPr>
                <w:rFonts w:eastAsia="Times New Roman" w:cs="Times New Roman"/>
                <w:sz w:val="20"/>
                <w:szCs w:val="20"/>
              </w:rPr>
            </w:pPr>
          </w:p>
        </w:tc>
      </w:tr>
    </w:tbl>
    <w:p w14:paraId="304ABD9D" w14:textId="77777777" w:rsidR="00C74C27" w:rsidRPr="00C74C27" w:rsidRDefault="00C74C27" w:rsidP="00C74C27">
      <w:pPr>
        <w:keepNext/>
        <w:keepLines/>
        <w:spacing w:before="240" w:after="240"/>
        <w:ind w:firstLine="0"/>
        <w:jc w:val="center"/>
        <w:outlineLvl w:val="1"/>
        <w:rPr>
          <w:rFonts w:eastAsia="Times New Roman" w:cs="Times New Roman"/>
          <w:b/>
          <w:bCs/>
          <w:color w:val="000000"/>
          <w:sz w:val="36"/>
          <w:szCs w:val="28"/>
        </w:rPr>
      </w:pPr>
      <w:r w:rsidRPr="00C74C27">
        <w:rPr>
          <w:rFonts w:eastAsia="Times New Roman" w:cs="Times New Roman"/>
          <w:b/>
          <w:bCs/>
          <w:color w:val="000000"/>
          <w:sz w:val="36"/>
          <w:szCs w:val="28"/>
        </w:rPr>
        <w:t>1.4. Makroekonomiskās attīstības scenārijs</w:t>
      </w:r>
      <w:bookmarkEnd w:id="15"/>
      <w:bookmarkEnd w:id="16"/>
    </w:p>
    <w:p w14:paraId="3E58F0EC" w14:textId="77777777" w:rsidR="00C74C27" w:rsidRPr="00C74C27" w:rsidRDefault="00C74C27" w:rsidP="00C74C27">
      <w:pPr>
        <w:ind w:firstLine="567"/>
        <w:rPr>
          <w:rFonts w:eastAsia="Calibri" w:cs="Arial"/>
          <w:szCs w:val="24"/>
          <w:lang w:eastAsia="en-US"/>
        </w:rPr>
      </w:pPr>
      <w:bookmarkStart w:id="20" w:name="_Toc53058976"/>
      <w:bookmarkStart w:id="21" w:name="_Toc53075484"/>
      <w:bookmarkStart w:id="22" w:name="_Toc53153500"/>
      <w:bookmarkStart w:id="23" w:name="_Toc53153709"/>
      <w:bookmarkStart w:id="24" w:name="_Toc53153763"/>
      <w:bookmarkStart w:id="25" w:name="_Toc53154090"/>
      <w:bookmarkStart w:id="26" w:name="_Toc83978315"/>
      <w:bookmarkStart w:id="27" w:name="_Toc84756399"/>
      <w:bookmarkStart w:id="28" w:name="_Toc124435951"/>
      <w:bookmarkStart w:id="29" w:name="_Toc124509590"/>
      <w:bookmarkStart w:id="30" w:name="_Toc124509646"/>
      <w:bookmarkStart w:id="31" w:name="_Toc124509740"/>
      <w:bookmarkStart w:id="32" w:name="_Toc124854071"/>
      <w:bookmarkStart w:id="33" w:name="_Toc125030549"/>
      <w:bookmarkStart w:id="34" w:name="_Toc125032642"/>
      <w:bookmarkStart w:id="35" w:name="_Toc125036699"/>
      <w:bookmarkStart w:id="36" w:name="_Toc125818279"/>
      <w:bookmarkStart w:id="37" w:name="_Toc125994488"/>
      <w:bookmarkStart w:id="38" w:name="_Toc125994657"/>
      <w:bookmarkStart w:id="39" w:name="_Toc126011234"/>
      <w:bookmarkStart w:id="40" w:name="_Toc126044018"/>
      <w:bookmarkStart w:id="41" w:name="_Hlk115086180"/>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C74C27">
        <w:rPr>
          <w:rFonts w:eastAsia="Calibri" w:cs="Arial"/>
          <w:szCs w:val="24"/>
          <w:lang w:eastAsia="en-US"/>
        </w:rPr>
        <w:t>Vidējā termiņa makroekonomiskās attīstības scenārijs 2023.</w:t>
      </w:r>
      <w:r w:rsidRPr="00C74C27">
        <w:rPr>
          <w:rFonts w:eastAsia="Calibri" w:cs="Arial"/>
          <w:szCs w:val="24"/>
          <w:lang w:eastAsia="en-US"/>
        </w:rPr>
        <w:noBreakHyphen/>
        <w:t>2026. gadam izstrādāts 2023. gada jūnijā, balstoties uz 2023. gada pirmā ceturkšņa IKP datiem, kā arī līdz šā gada jūnijam pieejamo īstermiņa makroekonomisko informāciju. Izstrādājot vidēja termiņa makroekonomiskās attīstības scenāriju, FM ir konsultējusies ar SVF un EK ekspertiem. Makroekonomisko rādītāju prognozes ir saskaņotas ar Latvijas Banku un Ekonomikas ministriju, kā arī tās 2023. gada 13. jūnijā ir apstiprinājusi Fiskālās disciplīnas padome.</w:t>
      </w:r>
    </w:p>
    <w:p w14:paraId="751F731C"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Makroekonomiskās attīstības scenārijs (skat. 1.6. tabulu) paredz, ka Latvijas ekonomikas izaugsme 2023. gadā sasniegs 1%, par vienu procentpunktu vairāk nekā šā gada februāra sākumā izstrādātajās prognozēs. Prognožu uzlabojums skaidrojams ar to, ka Latvijas ekonomika labāk nekā sagaidīts ir pārvarējusi problēmas, kas pērn</w:t>
      </w:r>
      <w:r w:rsidRPr="00C74C27">
        <w:rPr>
          <w:rFonts w:eastAsia="Calibri" w:cs="Arial"/>
          <w:color w:val="FF0000"/>
          <w:szCs w:val="24"/>
          <w:lang w:eastAsia="en-US"/>
        </w:rPr>
        <w:t xml:space="preserve"> </w:t>
      </w:r>
      <w:r w:rsidRPr="00C74C27">
        <w:rPr>
          <w:rFonts w:eastAsia="Calibri" w:cs="Arial"/>
          <w:szCs w:val="24"/>
          <w:lang w:eastAsia="en-US"/>
        </w:rPr>
        <w:t>radušās sakarā ar Krievijas karu Ukrainā un tā izraisīto energoresursu cenu kāpumu. Turklāt siltā ziema un valsts atbalsta pasākumi ir mazinājuši energoresursu cenu kāpuma negatīvo ietekmi uz mājsaimniecību patēriņu. Arī 2024. gadā gaidāma ekonomiskās izaugsmes paātrināšanās līdz 2,5%, kas ir par 0,5 procentpunktiem vairāk, nekā tika prognozēts februāra sākumā. Savukārt divos nākamajos gados – 2025. un 2026. gadā – ekonomikas izaugsme tiek prognozēta 2,9% apmērā.</w:t>
      </w:r>
    </w:p>
    <w:p w14:paraId="528FF028"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2021. un 2022. gadā ekonomikas virzītājs bija privātais patēriņš, šajos gados augot vidēji par 6,6%. Tomēr scenārijs neparedz privātā patēriņa būtisku izaugsmi šogad un nākamgad, ko lielā mērā nosaka nenoteiktība par to, kāda būs nākamās ziemas apkures sezona un iespējamie tarifu pieaugumi, kā arī vēl joprojām augstā pamatinflācija. 2023. gadā privātā patēriņa pieaugums sasniegtu 1,1% un 2024. gadā 2,6%, kas ir attiecīgi par 2,1 un 0,5 procentpunktiem vairāk nekā februāra prognozēs.</w:t>
      </w:r>
    </w:p>
    <w:p w14:paraId="76FD1973"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2023. gadā vispārējās valdības patēriņš salīdzināmajās cenās būs audzis par 4,7%. Valdības patēriņa izdevumu pieaugumu 2023. gadā veicina salīdzinoši straujais izdevumu kāpums atlīdzībai, tostarp saistībā ar minimālās algas celšanu par 24%. Tāpat, pieaugot vispārējās valdības investīciju līmenim, augs pamatkapitāla izlietojuma ietekme uz vispārējās valdības patēriņa izdevumiem gan 2023. gadā, gan 2024. gadā. Tāpēc arī 2024. gadā vispārējās valdības patēriņā gaidāms 2% pieaugums. Savukārt tālākajos gados pieaugums būtu zem 0,5%, jo valdības patēriņa prognoze ir veikta, balstoties uz nemainīgas politikas pieņēmumu, ietverot tikai jau apstiprinātus budžeta izdevumu pasākumus.</w:t>
      </w:r>
    </w:p>
    <w:p w14:paraId="66C658B2" w14:textId="113DD485" w:rsidR="00C74C27" w:rsidRPr="00C74C27" w:rsidRDefault="00C74C27" w:rsidP="00C74C27">
      <w:pPr>
        <w:ind w:firstLine="567"/>
        <w:rPr>
          <w:rFonts w:eastAsia="Calibri" w:cs="Arial"/>
          <w:szCs w:val="24"/>
          <w:lang w:eastAsia="en-US"/>
        </w:rPr>
      </w:pPr>
      <w:r w:rsidRPr="00C74C27">
        <w:rPr>
          <w:rFonts w:eastAsia="Calibri" w:cs="Arial"/>
          <w:szCs w:val="24"/>
          <w:lang w:eastAsia="en-US"/>
        </w:rPr>
        <w:t>Ekonomikas izaugsmes jūtams virzītājspēks šogad un nākamgad būs investīcijas. Investīciju apjoms šogad varētu palielināties par 6,1%, kas ir par 5,1 procentpunktu vairāk nekā februāra prognozēs. Investīcijas stimulēs ES fondu un Atveseļošanās un noturības mehānisma (ANM) finansēj</w:t>
      </w:r>
      <w:r w:rsidR="003F1B42">
        <w:rPr>
          <w:rFonts w:eastAsia="Calibri" w:cs="Arial"/>
          <w:szCs w:val="24"/>
          <w:lang w:eastAsia="en-US"/>
        </w:rPr>
        <w:t>u</w:t>
      </w:r>
      <w:r w:rsidRPr="00C74C27">
        <w:rPr>
          <w:rFonts w:eastAsia="Calibri" w:cs="Arial"/>
          <w:szCs w:val="24"/>
          <w:lang w:eastAsia="en-US"/>
        </w:rPr>
        <w:t xml:space="preserve">ms, kā arī </w:t>
      </w:r>
      <w:r w:rsidRPr="000333FD">
        <w:rPr>
          <w:rFonts w:eastAsia="Calibri" w:cs="Arial"/>
          <w:i/>
          <w:iCs/>
          <w:szCs w:val="24"/>
          <w:lang w:eastAsia="en-US"/>
        </w:rPr>
        <w:t>Rail</w:t>
      </w:r>
      <w:r w:rsidR="000333FD" w:rsidRPr="000333FD">
        <w:rPr>
          <w:rFonts w:eastAsia="Calibri" w:cs="Arial"/>
          <w:i/>
          <w:iCs/>
          <w:szCs w:val="24"/>
          <w:lang w:eastAsia="en-US"/>
        </w:rPr>
        <w:t xml:space="preserve"> </w:t>
      </w:r>
      <w:proofErr w:type="spellStart"/>
      <w:r w:rsidRPr="000333FD">
        <w:rPr>
          <w:rFonts w:eastAsia="Calibri" w:cs="Arial"/>
          <w:i/>
          <w:iCs/>
          <w:szCs w:val="24"/>
          <w:lang w:eastAsia="en-US"/>
        </w:rPr>
        <w:t>Baltica</w:t>
      </w:r>
      <w:proofErr w:type="spellEnd"/>
      <w:r w:rsidRPr="00C74C27">
        <w:rPr>
          <w:rFonts w:eastAsia="Calibri" w:cs="Arial"/>
          <w:szCs w:val="24"/>
          <w:lang w:eastAsia="en-US"/>
        </w:rPr>
        <w:t xml:space="preserve"> projekta realizācija, veicinot arī būvniecības sektora aktivitātes atjaunošanos pēc divu gadu krituma. Turpmākajos gados investīciju izaugsme būs mērenāka – 2024. gadā pieaugot par 3,1% un turpmākajos gados vidēji par 4% gadā.</w:t>
      </w:r>
    </w:p>
    <w:bookmarkEnd w:id="41"/>
    <w:p w14:paraId="624591AF" w14:textId="77777777" w:rsidR="00C74C27" w:rsidRPr="00C74C27" w:rsidRDefault="00C74C27" w:rsidP="00C74C27">
      <w:pPr>
        <w:spacing w:after="0"/>
        <w:rPr>
          <w:rFonts w:eastAsia="Calibri" w:cs="Times New Roman"/>
          <w:szCs w:val="24"/>
          <w:highlight w:val="yellow"/>
          <w:lang w:eastAsia="en-US"/>
        </w:rPr>
      </w:pPr>
      <w:r w:rsidRPr="00C74C27">
        <w:rPr>
          <w:rFonts w:eastAsia="Calibri" w:cs="Times New Roman"/>
          <w:szCs w:val="24"/>
          <w:lang w:eastAsia="en-US"/>
        </w:rPr>
        <w:t xml:space="preserve">Attiecībā uz eksporta prognozi, tad tā dinamiku ietekmēs Latvijas tirdzniecības partneru ekonomiskā aktivitāte, kam par pamatu tika ņemtas EK pavasara prognozes, kas paredzēja nedaudz spēcīgāku ES un </w:t>
      </w:r>
      <w:proofErr w:type="spellStart"/>
      <w:r w:rsidRPr="00C74C27">
        <w:rPr>
          <w:rFonts w:eastAsia="Calibri" w:cs="Times New Roman"/>
          <w:i/>
          <w:iCs/>
          <w:szCs w:val="24"/>
          <w:lang w:eastAsia="en-US"/>
        </w:rPr>
        <w:t>euro</w:t>
      </w:r>
      <w:proofErr w:type="spellEnd"/>
      <w:r w:rsidRPr="00C74C27">
        <w:rPr>
          <w:rFonts w:eastAsia="Calibri" w:cs="Times New Roman"/>
          <w:szCs w:val="24"/>
          <w:lang w:eastAsia="en-US"/>
        </w:rPr>
        <w:t xml:space="preserve"> zonas ekonomikas izaugsmi, nekā tika prognozēts februārī. Tomēr eksporta pieaugums 2023. gadā prognozēts iepriekšējā gada līmenī, jo to vairs </w:t>
      </w:r>
      <w:r w:rsidRPr="00C74C27">
        <w:rPr>
          <w:rFonts w:eastAsia="Calibri" w:cs="Times New Roman"/>
          <w:szCs w:val="24"/>
          <w:lang w:eastAsia="en-US"/>
        </w:rPr>
        <w:lastRenderedPageBreak/>
        <w:t>neveicinās straujais eksporta cenu pieaugums. Savukārt jau 2024. gadā eksporta pieaugums sāks atjaunoties līdz 3,7% un līdzīga dinamika gaidāma arī vidējā termiņā.</w:t>
      </w:r>
    </w:p>
    <w:p w14:paraId="21F2CB6E" w14:textId="5B4D0FE4" w:rsidR="00C74C27" w:rsidRPr="00C74C27" w:rsidRDefault="00C74C27" w:rsidP="00C74C27">
      <w:pPr>
        <w:spacing w:after="0"/>
        <w:rPr>
          <w:rFonts w:eastAsia="Calibri" w:cs="Times New Roman"/>
          <w:szCs w:val="24"/>
          <w:lang w:eastAsia="en-US"/>
        </w:rPr>
      </w:pPr>
      <w:r w:rsidRPr="00C74C27">
        <w:rPr>
          <w:rFonts w:eastAsia="Calibri" w:cs="Times New Roman"/>
          <w:szCs w:val="24"/>
          <w:lang w:eastAsia="en-US"/>
        </w:rPr>
        <w:t xml:space="preserve">Jāatzīmē, ka makroekonomiskās attīstības scenārijs ir izstrādāts pirms CSP 29.septembrī veiktās ikgadējās IKP datu revīzijas un balstījās uz atšķirīgiem iepriekšējo periodu un </w:t>
      </w:r>
      <w:r w:rsidR="003F1B42">
        <w:rPr>
          <w:rFonts w:eastAsia="Calibri" w:cs="Times New Roman"/>
          <w:szCs w:val="24"/>
          <w:lang w:eastAsia="en-US"/>
        </w:rPr>
        <w:t>2023.gada</w:t>
      </w:r>
      <w:r w:rsidRPr="00C74C27">
        <w:rPr>
          <w:rFonts w:eastAsia="Calibri" w:cs="Times New Roman"/>
          <w:szCs w:val="24"/>
          <w:lang w:eastAsia="en-US"/>
        </w:rPr>
        <w:t xml:space="preserve"> pirmā ceturkšņa datiem. CSP revidētie, pašlaik aktuālie dati rāda zemāku IKP izaugsmi </w:t>
      </w:r>
      <w:r w:rsidR="003F1B42">
        <w:rPr>
          <w:rFonts w:eastAsia="Calibri" w:cs="Times New Roman"/>
          <w:szCs w:val="24"/>
          <w:lang w:eastAsia="en-US"/>
        </w:rPr>
        <w:t xml:space="preserve">2023.gada </w:t>
      </w:r>
      <w:r w:rsidRPr="00C74C27">
        <w:rPr>
          <w:rFonts w:eastAsia="Calibri" w:cs="Times New Roman"/>
          <w:szCs w:val="24"/>
          <w:lang w:eastAsia="en-US"/>
        </w:rPr>
        <w:t xml:space="preserve">pirmajā ceturksnī, ko noteicis pirmām kārtām zemāks, nekā iepriekš ziņots, privātais patēriņš un preču un pakalpojumu eksports. </w:t>
      </w:r>
    </w:p>
    <w:p w14:paraId="7A73012A" w14:textId="1A5406A5" w:rsidR="00C74C27" w:rsidRPr="00C74C27" w:rsidRDefault="00C74C27" w:rsidP="00C74C27">
      <w:pPr>
        <w:spacing w:before="240" w:after="240"/>
        <w:ind w:firstLine="0"/>
        <w:jc w:val="right"/>
        <w:rPr>
          <w:rFonts w:eastAsia="Times New Roman" w:cs="Times New Roman"/>
          <w:b/>
          <w:i/>
          <w:iCs/>
        </w:rPr>
      </w:pPr>
      <w:r w:rsidRPr="00C74C27">
        <w:rPr>
          <w:rFonts w:eastAsia="Times New Roman" w:cs="Times New Roman"/>
          <w:b/>
          <w:i/>
          <w:iCs/>
        </w:rPr>
        <w:t>1.</w:t>
      </w:r>
      <w:r w:rsidR="00280666">
        <w:rPr>
          <w:rFonts w:eastAsia="Times New Roman" w:cs="Times New Roman"/>
          <w:b/>
          <w:i/>
          <w:iCs/>
        </w:rPr>
        <w:t>5</w:t>
      </w:r>
      <w:r w:rsidRPr="00C74C27">
        <w:rPr>
          <w:rFonts w:eastAsia="Times New Roman" w:cs="Times New Roman"/>
          <w:b/>
          <w:i/>
          <w:iCs/>
        </w:rPr>
        <w:t>. tabula. Makroekonomisko prognožu kopsavilkums</w:t>
      </w:r>
    </w:p>
    <w:tbl>
      <w:tblPr>
        <w:tblW w:w="48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4"/>
        <w:gridCol w:w="1002"/>
        <w:gridCol w:w="1037"/>
        <w:gridCol w:w="1038"/>
        <w:gridCol w:w="1038"/>
        <w:gridCol w:w="1038"/>
      </w:tblGrid>
      <w:tr w:rsidR="00C74C27" w:rsidRPr="00C74C27" w14:paraId="52412B5E" w14:textId="77777777" w:rsidTr="00B82877">
        <w:trPr>
          <w:trHeight w:val="300"/>
          <w:tblHeader/>
          <w:jc w:val="center"/>
        </w:trPr>
        <w:tc>
          <w:tcPr>
            <w:tcW w:w="3383" w:type="dxa"/>
            <w:vMerge w:val="restart"/>
            <w:shd w:val="clear" w:color="auto" w:fill="auto"/>
            <w:noWrap/>
            <w:vAlign w:val="center"/>
            <w:hideMark/>
          </w:tcPr>
          <w:p w14:paraId="2900B008" w14:textId="77777777" w:rsidR="00C74C27" w:rsidRPr="00C74C27" w:rsidRDefault="00C74C27" w:rsidP="00C74C27">
            <w:pPr>
              <w:spacing w:after="0"/>
              <w:ind w:firstLine="0"/>
              <w:jc w:val="left"/>
              <w:rPr>
                <w:rFonts w:eastAsia="Times New Roman" w:cs="Times New Roman"/>
                <w:sz w:val="20"/>
                <w:szCs w:val="20"/>
              </w:rPr>
            </w:pPr>
            <w:bookmarkStart w:id="42" w:name="_Hlk115088571"/>
          </w:p>
        </w:tc>
        <w:tc>
          <w:tcPr>
            <w:tcW w:w="918" w:type="dxa"/>
            <w:shd w:val="clear" w:color="auto" w:fill="auto"/>
            <w:noWrap/>
            <w:vAlign w:val="center"/>
            <w:hideMark/>
          </w:tcPr>
          <w:p w14:paraId="1A6DDB7B" w14:textId="77777777" w:rsidR="00C74C27" w:rsidRPr="00C74C27" w:rsidRDefault="00C74C27" w:rsidP="00C74C27">
            <w:pPr>
              <w:spacing w:after="0"/>
              <w:ind w:firstLine="0"/>
              <w:jc w:val="center"/>
              <w:rPr>
                <w:rFonts w:eastAsia="Times New Roman" w:cs="Times New Roman"/>
                <w:b/>
                <w:bCs/>
                <w:sz w:val="20"/>
                <w:szCs w:val="20"/>
              </w:rPr>
            </w:pPr>
            <w:r w:rsidRPr="00C74C27">
              <w:rPr>
                <w:rFonts w:eastAsia="Calibri" w:cs="Times New Roman"/>
                <w:b/>
                <w:bCs/>
                <w:sz w:val="20"/>
                <w:szCs w:val="20"/>
              </w:rPr>
              <w:t>2022</w:t>
            </w:r>
          </w:p>
        </w:tc>
        <w:tc>
          <w:tcPr>
            <w:tcW w:w="949" w:type="dxa"/>
            <w:shd w:val="clear" w:color="auto" w:fill="DEEAF6"/>
            <w:noWrap/>
            <w:vAlign w:val="center"/>
          </w:tcPr>
          <w:p w14:paraId="0389B67C" w14:textId="77777777" w:rsidR="00C74C27" w:rsidRPr="00C74C27" w:rsidRDefault="00C74C27" w:rsidP="00C74C27">
            <w:pPr>
              <w:spacing w:after="0"/>
              <w:ind w:firstLine="0"/>
              <w:jc w:val="center"/>
              <w:rPr>
                <w:rFonts w:eastAsia="Times New Roman" w:cs="Times New Roman"/>
                <w:b/>
                <w:bCs/>
                <w:sz w:val="20"/>
                <w:szCs w:val="20"/>
              </w:rPr>
            </w:pPr>
            <w:r w:rsidRPr="00C74C27">
              <w:rPr>
                <w:rFonts w:eastAsia="Calibri" w:cs="Times New Roman"/>
                <w:b/>
                <w:bCs/>
                <w:sz w:val="20"/>
                <w:szCs w:val="20"/>
              </w:rPr>
              <w:t>2023</w:t>
            </w:r>
          </w:p>
        </w:tc>
        <w:tc>
          <w:tcPr>
            <w:tcW w:w="950" w:type="dxa"/>
            <w:shd w:val="clear" w:color="auto" w:fill="DEEAF6"/>
            <w:noWrap/>
            <w:vAlign w:val="center"/>
          </w:tcPr>
          <w:p w14:paraId="552A5A62" w14:textId="77777777" w:rsidR="00C74C27" w:rsidRPr="00C74C27" w:rsidRDefault="00C74C27" w:rsidP="00C74C27">
            <w:pPr>
              <w:spacing w:after="0"/>
              <w:ind w:firstLine="0"/>
              <w:jc w:val="center"/>
              <w:rPr>
                <w:rFonts w:eastAsia="Times New Roman" w:cs="Times New Roman"/>
                <w:b/>
                <w:bCs/>
                <w:sz w:val="20"/>
                <w:szCs w:val="20"/>
              </w:rPr>
            </w:pPr>
            <w:r w:rsidRPr="00C74C27">
              <w:rPr>
                <w:rFonts w:eastAsia="Calibri" w:cs="Times New Roman"/>
                <w:b/>
                <w:bCs/>
                <w:sz w:val="20"/>
                <w:szCs w:val="20"/>
              </w:rPr>
              <w:t>2024</w:t>
            </w:r>
          </w:p>
        </w:tc>
        <w:tc>
          <w:tcPr>
            <w:tcW w:w="950" w:type="dxa"/>
            <w:shd w:val="clear" w:color="auto" w:fill="DEEAF6"/>
            <w:noWrap/>
            <w:vAlign w:val="center"/>
          </w:tcPr>
          <w:p w14:paraId="54DA494D" w14:textId="77777777" w:rsidR="00C74C27" w:rsidRPr="00C74C27" w:rsidRDefault="00C74C27" w:rsidP="00C74C27">
            <w:pPr>
              <w:spacing w:after="0"/>
              <w:ind w:firstLine="0"/>
              <w:jc w:val="center"/>
              <w:rPr>
                <w:rFonts w:eastAsia="Times New Roman" w:cs="Times New Roman"/>
                <w:b/>
                <w:bCs/>
                <w:sz w:val="20"/>
                <w:szCs w:val="20"/>
              </w:rPr>
            </w:pPr>
            <w:r w:rsidRPr="00C74C27">
              <w:rPr>
                <w:rFonts w:eastAsia="Calibri" w:cs="Times New Roman"/>
                <w:b/>
                <w:bCs/>
                <w:sz w:val="20"/>
                <w:szCs w:val="20"/>
              </w:rPr>
              <w:t>2025</w:t>
            </w:r>
          </w:p>
        </w:tc>
        <w:tc>
          <w:tcPr>
            <w:tcW w:w="950" w:type="dxa"/>
            <w:shd w:val="clear" w:color="auto" w:fill="DEEAF6"/>
            <w:noWrap/>
            <w:vAlign w:val="center"/>
          </w:tcPr>
          <w:p w14:paraId="553AF7CC" w14:textId="77777777" w:rsidR="00C74C27" w:rsidRPr="00C74C27" w:rsidRDefault="00C74C27" w:rsidP="00C74C27">
            <w:pPr>
              <w:spacing w:after="0"/>
              <w:ind w:firstLine="0"/>
              <w:jc w:val="center"/>
              <w:rPr>
                <w:rFonts w:eastAsia="Times New Roman" w:cs="Times New Roman"/>
                <w:b/>
                <w:bCs/>
                <w:sz w:val="20"/>
                <w:szCs w:val="20"/>
              </w:rPr>
            </w:pPr>
            <w:r w:rsidRPr="00C74C27">
              <w:rPr>
                <w:rFonts w:eastAsia="Calibri" w:cs="Times New Roman"/>
                <w:b/>
                <w:bCs/>
                <w:sz w:val="20"/>
                <w:szCs w:val="20"/>
              </w:rPr>
              <w:t>2026</w:t>
            </w:r>
          </w:p>
        </w:tc>
      </w:tr>
      <w:tr w:rsidR="00C74C27" w:rsidRPr="00C74C27" w14:paraId="252282DB" w14:textId="77777777" w:rsidTr="00B82877">
        <w:trPr>
          <w:trHeight w:val="300"/>
          <w:tblHeader/>
          <w:jc w:val="center"/>
        </w:trPr>
        <w:tc>
          <w:tcPr>
            <w:tcW w:w="3383" w:type="dxa"/>
            <w:vMerge/>
            <w:shd w:val="clear" w:color="auto" w:fill="auto"/>
            <w:noWrap/>
            <w:vAlign w:val="center"/>
          </w:tcPr>
          <w:p w14:paraId="2929A252" w14:textId="77777777" w:rsidR="00C74C27" w:rsidRPr="00C74C27" w:rsidRDefault="00C74C27" w:rsidP="00C74C27">
            <w:pPr>
              <w:spacing w:after="0"/>
              <w:ind w:firstLine="0"/>
              <w:jc w:val="left"/>
              <w:rPr>
                <w:rFonts w:eastAsia="Times New Roman" w:cs="Times New Roman"/>
                <w:sz w:val="20"/>
                <w:szCs w:val="20"/>
              </w:rPr>
            </w:pPr>
          </w:p>
        </w:tc>
        <w:tc>
          <w:tcPr>
            <w:tcW w:w="918" w:type="dxa"/>
            <w:shd w:val="clear" w:color="auto" w:fill="auto"/>
            <w:noWrap/>
            <w:vAlign w:val="center"/>
          </w:tcPr>
          <w:p w14:paraId="3D44F037" w14:textId="77777777" w:rsidR="00C74C27" w:rsidRPr="00C74C27" w:rsidRDefault="00C74C27" w:rsidP="00C74C27">
            <w:pPr>
              <w:spacing w:after="0"/>
              <w:ind w:firstLine="0"/>
              <w:jc w:val="center"/>
              <w:rPr>
                <w:rFonts w:eastAsia="Times New Roman" w:cs="Times New Roman"/>
                <w:sz w:val="20"/>
                <w:szCs w:val="20"/>
              </w:rPr>
            </w:pPr>
            <w:r w:rsidRPr="00C74C27">
              <w:rPr>
                <w:rFonts w:eastAsia="Times New Roman" w:cs="Times New Roman"/>
                <w:sz w:val="20"/>
                <w:szCs w:val="20"/>
              </w:rPr>
              <w:t>fakts</w:t>
            </w:r>
          </w:p>
        </w:tc>
        <w:tc>
          <w:tcPr>
            <w:tcW w:w="3799" w:type="dxa"/>
            <w:gridSpan w:val="4"/>
            <w:shd w:val="clear" w:color="auto" w:fill="DEEAF6"/>
            <w:noWrap/>
            <w:vAlign w:val="center"/>
          </w:tcPr>
          <w:p w14:paraId="18C05250" w14:textId="77777777" w:rsidR="00C74C27" w:rsidRPr="00C74C27" w:rsidRDefault="00C74C27" w:rsidP="00C74C27">
            <w:pPr>
              <w:spacing w:after="0"/>
              <w:ind w:firstLine="0"/>
              <w:jc w:val="center"/>
              <w:rPr>
                <w:rFonts w:eastAsia="Times New Roman" w:cs="Times New Roman"/>
                <w:sz w:val="20"/>
                <w:szCs w:val="20"/>
              </w:rPr>
            </w:pPr>
            <w:r w:rsidRPr="00C74C27">
              <w:rPr>
                <w:rFonts w:eastAsia="Times New Roman" w:cs="Times New Roman"/>
                <w:sz w:val="20"/>
                <w:szCs w:val="20"/>
              </w:rPr>
              <w:t>prognoze</w:t>
            </w:r>
          </w:p>
        </w:tc>
      </w:tr>
      <w:tr w:rsidR="00C74C27" w:rsidRPr="00C74C27" w14:paraId="7460CB30" w14:textId="77777777" w:rsidTr="00C74C27">
        <w:trPr>
          <w:trHeight w:val="300"/>
          <w:jc w:val="center"/>
        </w:trPr>
        <w:tc>
          <w:tcPr>
            <w:tcW w:w="3383" w:type="dxa"/>
            <w:shd w:val="clear" w:color="auto" w:fill="auto"/>
            <w:noWrap/>
            <w:vAlign w:val="center"/>
            <w:hideMark/>
          </w:tcPr>
          <w:p w14:paraId="3802E373" w14:textId="77777777" w:rsidR="00C74C27" w:rsidRPr="00C74C27" w:rsidRDefault="00C74C27" w:rsidP="00C74C27">
            <w:pPr>
              <w:spacing w:after="0"/>
              <w:ind w:firstLine="0"/>
              <w:jc w:val="left"/>
              <w:rPr>
                <w:rFonts w:eastAsia="Times New Roman" w:cs="Times New Roman"/>
                <w:noProof/>
                <w:sz w:val="20"/>
                <w:szCs w:val="20"/>
              </w:rPr>
            </w:pPr>
            <w:r w:rsidRPr="00C74C27">
              <w:rPr>
                <w:rFonts w:eastAsia="Times New Roman" w:cs="Times New Roman"/>
                <w:noProof/>
                <w:sz w:val="20"/>
                <w:szCs w:val="20"/>
              </w:rPr>
              <w:t xml:space="preserve">IKP (milj. </w:t>
            </w:r>
            <w:r w:rsidRPr="00C74C27">
              <w:rPr>
                <w:rFonts w:eastAsia="Times New Roman" w:cs="Times New Roman"/>
                <w:i/>
                <w:noProof/>
                <w:sz w:val="20"/>
                <w:szCs w:val="20"/>
              </w:rPr>
              <w:t>euro</w:t>
            </w:r>
            <w:r w:rsidRPr="00C74C27">
              <w:rPr>
                <w:rFonts w:eastAsia="Times New Roman" w:cs="Times New Roman"/>
                <w:noProof/>
                <w:sz w:val="20"/>
                <w:szCs w:val="20"/>
              </w:rPr>
              <w:t>)</w:t>
            </w:r>
          </w:p>
        </w:tc>
        <w:tc>
          <w:tcPr>
            <w:tcW w:w="918" w:type="dxa"/>
            <w:shd w:val="clear" w:color="auto" w:fill="auto"/>
            <w:noWrap/>
            <w:tcMar>
              <w:right w:w="170" w:type="dxa"/>
            </w:tcMar>
            <w:vAlign w:val="center"/>
          </w:tcPr>
          <w:p w14:paraId="61DC8F16"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38 870</w:t>
            </w:r>
          </w:p>
        </w:tc>
        <w:tc>
          <w:tcPr>
            <w:tcW w:w="949" w:type="dxa"/>
            <w:shd w:val="clear" w:color="auto" w:fill="DEEAF6"/>
            <w:noWrap/>
            <w:tcMar>
              <w:right w:w="170" w:type="dxa"/>
            </w:tcMar>
            <w:vAlign w:val="center"/>
          </w:tcPr>
          <w:p w14:paraId="656A36C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43 155</w:t>
            </w:r>
          </w:p>
        </w:tc>
        <w:tc>
          <w:tcPr>
            <w:tcW w:w="950" w:type="dxa"/>
            <w:shd w:val="clear" w:color="auto" w:fill="DEEAF6"/>
            <w:noWrap/>
            <w:tcMar>
              <w:right w:w="170" w:type="dxa"/>
            </w:tcMar>
            <w:vAlign w:val="center"/>
          </w:tcPr>
          <w:p w14:paraId="36C5415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45 524</w:t>
            </w:r>
          </w:p>
        </w:tc>
        <w:tc>
          <w:tcPr>
            <w:tcW w:w="950" w:type="dxa"/>
            <w:shd w:val="clear" w:color="auto" w:fill="DEEAF6"/>
            <w:noWrap/>
            <w:tcMar>
              <w:right w:w="170" w:type="dxa"/>
            </w:tcMar>
            <w:vAlign w:val="center"/>
          </w:tcPr>
          <w:p w14:paraId="4867C16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48 338</w:t>
            </w:r>
          </w:p>
        </w:tc>
        <w:tc>
          <w:tcPr>
            <w:tcW w:w="950" w:type="dxa"/>
            <w:shd w:val="clear" w:color="auto" w:fill="DEEAF6"/>
            <w:noWrap/>
            <w:tcMar>
              <w:right w:w="170" w:type="dxa"/>
            </w:tcMar>
            <w:vAlign w:val="center"/>
          </w:tcPr>
          <w:p w14:paraId="4F7270D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51 122</w:t>
            </w:r>
          </w:p>
        </w:tc>
      </w:tr>
      <w:tr w:rsidR="00C74C27" w:rsidRPr="00C74C27" w14:paraId="33347DDB" w14:textId="77777777" w:rsidTr="00C74C27">
        <w:trPr>
          <w:trHeight w:val="300"/>
          <w:jc w:val="center"/>
        </w:trPr>
        <w:tc>
          <w:tcPr>
            <w:tcW w:w="3383" w:type="dxa"/>
            <w:shd w:val="clear" w:color="auto" w:fill="auto"/>
            <w:noWrap/>
            <w:vAlign w:val="center"/>
            <w:hideMark/>
          </w:tcPr>
          <w:p w14:paraId="405FE8C6" w14:textId="77777777" w:rsidR="00C74C27" w:rsidRPr="00C74C27" w:rsidRDefault="00C74C27" w:rsidP="00C74C27">
            <w:pPr>
              <w:spacing w:after="0"/>
              <w:ind w:left="174" w:firstLine="0"/>
              <w:jc w:val="left"/>
              <w:rPr>
                <w:rFonts w:eastAsia="Times New Roman" w:cs="Times New Roman"/>
                <w:noProof/>
                <w:sz w:val="20"/>
                <w:szCs w:val="20"/>
              </w:rPr>
            </w:pPr>
            <w:r w:rsidRPr="00C74C27">
              <w:rPr>
                <w:rFonts w:eastAsia="Times New Roman" w:cs="Times New Roman"/>
                <w:noProof/>
                <w:sz w:val="20"/>
                <w:szCs w:val="20"/>
              </w:rPr>
              <w:t>pieaugums faktiskajās cenās (%)</w:t>
            </w:r>
          </w:p>
        </w:tc>
        <w:tc>
          <w:tcPr>
            <w:tcW w:w="918" w:type="dxa"/>
            <w:shd w:val="clear" w:color="auto" w:fill="auto"/>
            <w:noWrap/>
            <w:tcMar>
              <w:right w:w="170" w:type="dxa"/>
            </w:tcMar>
            <w:vAlign w:val="center"/>
          </w:tcPr>
          <w:p w14:paraId="3A71C2F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16,6</w:t>
            </w:r>
          </w:p>
        </w:tc>
        <w:tc>
          <w:tcPr>
            <w:tcW w:w="949" w:type="dxa"/>
            <w:shd w:val="clear" w:color="auto" w:fill="DEEAF6"/>
            <w:noWrap/>
            <w:tcMar>
              <w:right w:w="170" w:type="dxa"/>
            </w:tcMar>
            <w:vAlign w:val="center"/>
          </w:tcPr>
          <w:p w14:paraId="3951E2D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11,0</w:t>
            </w:r>
          </w:p>
        </w:tc>
        <w:tc>
          <w:tcPr>
            <w:tcW w:w="950" w:type="dxa"/>
            <w:shd w:val="clear" w:color="auto" w:fill="DEEAF6"/>
            <w:noWrap/>
            <w:tcMar>
              <w:right w:w="170" w:type="dxa"/>
            </w:tcMar>
            <w:vAlign w:val="center"/>
          </w:tcPr>
          <w:p w14:paraId="1578FD4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5,5</w:t>
            </w:r>
          </w:p>
        </w:tc>
        <w:tc>
          <w:tcPr>
            <w:tcW w:w="950" w:type="dxa"/>
            <w:shd w:val="clear" w:color="auto" w:fill="DEEAF6"/>
            <w:noWrap/>
            <w:tcMar>
              <w:right w:w="170" w:type="dxa"/>
            </w:tcMar>
            <w:vAlign w:val="center"/>
          </w:tcPr>
          <w:p w14:paraId="5D9A0B3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6,2</w:t>
            </w:r>
          </w:p>
        </w:tc>
        <w:tc>
          <w:tcPr>
            <w:tcW w:w="950" w:type="dxa"/>
            <w:shd w:val="clear" w:color="auto" w:fill="DEEAF6"/>
            <w:noWrap/>
            <w:tcMar>
              <w:right w:w="170" w:type="dxa"/>
            </w:tcMar>
            <w:vAlign w:val="center"/>
          </w:tcPr>
          <w:p w14:paraId="79AE6A64"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5,8</w:t>
            </w:r>
          </w:p>
        </w:tc>
      </w:tr>
      <w:tr w:rsidR="00C74C27" w:rsidRPr="00C74C27" w14:paraId="2F74F181" w14:textId="77777777" w:rsidTr="00C74C27">
        <w:trPr>
          <w:trHeight w:val="300"/>
          <w:jc w:val="center"/>
        </w:trPr>
        <w:tc>
          <w:tcPr>
            <w:tcW w:w="3383" w:type="dxa"/>
            <w:shd w:val="clear" w:color="auto" w:fill="auto"/>
            <w:noWrap/>
            <w:vAlign w:val="center"/>
            <w:hideMark/>
          </w:tcPr>
          <w:p w14:paraId="7FCD1A63" w14:textId="77777777" w:rsidR="00C74C27" w:rsidRPr="00C74C27" w:rsidRDefault="00C74C27" w:rsidP="00C74C27">
            <w:pPr>
              <w:spacing w:after="0"/>
              <w:ind w:left="174" w:firstLine="0"/>
              <w:jc w:val="left"/>
              <w:rPr>
                <w:rFonts w:eastAsia="Times New Roman" w:cs="Times New Roman"/>
                <w:noProof/>
                <w:sz w:val="20"/>
                <w:szCs w:val="20"/>
              </w:rPr>
            </w:pPr>
            <w:r w:rsidRPr="00C74C27">
              <w:rPr>
                <w:rFonts w:eastAsia="Times New Roman" w:cs="Times New Roman"/>
                <w:noProof/>
                <w:sz w:val="20"/>
                <w:szCs w:val="20"/>
              </w:rPr>
              <w:t>pieaugums salīdzināmās cenās (%)</w:t>
            </w:r>
          </w:p>
        </w:tc>
        <w:tc>
          <w:tcPr>
            <w:tcW w:w="918" w:type="dxa"/>
            <w:shd w:val="clear" w:color="auto" w:fill="auto"/>
            <w:noWrap/>
            <w:tcMar>
              <w:right w:w="170" w:type="dxa"/>
            </w:tcMar>
            <w:vAlign w:val="center"/>
          </w:tcPr>
          <w:p w14:paraId="7A7A546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3,4</w:t>
            </w:r>
          </w:p>
        </w:tc>
        <w:tc>
          <w:tcPr>
            <w:tcW w:w="949" w:type="dxa"/>
            <w:shd w:val="clear" w:color="auto" w:fill="DEEAF6"/>
            <w:noWrap/>
            <w:tcMar>
              <w:right w:w="170" w:type="dxa"/>
            </w:tcMar>
            <w:vAlign w:val="center"/>
          </w:tcPr>
          <w:p w14:paraId="4203F65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1,0</w:t>
            </w:r>
          </w:p>
        </w:tc>
        <w:tc>
          <w:tcPr>
            <w:tcW w:w="950" w:type="dxa"/>
            <w:shd w:val="clear" w:color="auto" w:fill="DEEAF6"/>
            <w:noWrap/>
            <w:tcMar>
              <w:right w:w="170" w:type="dxa"/>
            </w:tcMar>
            <w:vAlign w:val="center"/>
          </w:tcPr>
          <w:p w14:paraId="2D0F21A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2,5</w:t>
            </w:r>
          </w:p>
        </w:tc>
        <w:tc>
          <w:tcPr>
            <w:tcW w:w="950" w:type="dxa"/>
            <w:shd w:val="clear" w:color="auto" w:fill="DEEAF6"/>
            <w:noWrap/>
            <w:tcMar>
              <w:right w:w="170" w:type="dxa"/>
            </w:tcMar>
            <w:vAlign w:val="center"/>
          </w:tcPr>
          <w:p w14:paraId="388A012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2,9</w:t>
            </w:r>
          </w:p>
        </w:tc>
        <w:tc>
          <w:tcPr>
            <w:tcW w:w="950" w:type="dxa"/>
            <w:shd w:val="clear" w:color="auto" w:fill="DEEAF6"/>
            <w:noWrap/>
            <w:tcMar>
              <w:right w:w="170" w:type="dxa"/>
            </w:tcMar>
            <w:vAlign w:val="center"/>
          </w:tcPr>
          <w:p w14:paraId="215AB23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2,9</w:t>
            </w:r>
          </w:p>
        </w:tc>
      </w:tr>
      <w:tr w:rsidR="00C74C27" w:rsidRPr="00C74C27" w14:paraId="64DE1344" w14:textId="77777777" w:rsidTr="00C74C27">
        <w:trPr>
          <w:trHeight w:val="300"/>
          <w:jc w:val="center"/>
        </w:trPr>
        <w:tc>
          <w:tcPr>
            <w:tcW w:w="3383" w:type="dxa"/>
            <w:shd w:val="clear" w:color="auto" w:fill="auto"/>
            <w:noWrap/>
            <w:vAlign w:val="center"/>
            <w:hideMark/>
          </w:tcPr>
          <w:p w14:paraId="3461BACE" w14:textId="77777777" w:rsidR="00C74C27" w:rsidRPr="00C74C27" w:rsidRDefault="00C74C27" w:rsidP="00C74C27">
            <w:pPr>
              <w:spacing w:after="0"/>
              <w:ind w:firstLine="0"/>
              <w:jc w:val="left"/>
              <w:rPr>
                <w:rFonts w:eastAsia="Times New Roman" w:cs="Times New Roman"/>
                <w:noProof/>
                <w:sz w:val="20"/>
                <w:szCs w:val="20"/>
              </w:rPr>
            </w:pPr>
            <w:r w:rsidRPr="00C74C27">
              <w:rPr>
                <w:rFonts w:eastAsia="Times New Roman" w:cs="Times New Roman"/>
                <w:noProof/>
                <w:sz w:val="20"/>
                <w:szCs w:val="20"/>
              </w:rPr>
              <w:t>IKP deflators (gads pret gadu, %)</w:t>
            </w:r>
          </w:p>
        </w:tc>
        <w:tc>
          <w:tcPr>
            <w:tcW w:w="918" w:type="dxa"/>
            <w:shd w:val="clear" w:color="auto" w:fill="auto"/>
            <w:noWrap/>
            <w:tcMar>
              <w:right w:w="170" w:type="dxa"/>
            </w:tcMar>
            <w:vAlign w:val="center"/>
          </w:tcPr>
          <w:p w14:paraId="24483B9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12,8</w:t>
            </w:r>
          </w:p>
        </w:tc>
        <w:tc>
          <w:tcPr>
            <w:tcW w:w="949" w:type="dxa"/>
            <w:shd w:val="clear" w:color="auto" w:fill="DEEAF6"/>
            <w:noWrap/>
            <w:tcMar>
              <w:right w:w="170" w:type="dxa"/>
            </w:tcMar>
            <w:vAlign w:val="center"/>
          </w:tcPr>
          <w:p w14:paraId="0223DA8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9,9</w:t>
            </w:r>
          </w:p>
        </w:tc>
        <w:tc>
          <w:tcPr>
            <w:tcW w:w="950" w:type="dxa"/>
            <w:shd w:val="clear" w:color="auto" w:fill="DEEAF6"/>
            <w:noWrap/>
            <w:tcMar>
              <w:right w:w="170" w:type="dxa"/>
            </w:tcMar>
            <w:vAlign w:val="center"/>
          </w:tcPr>
          <w:p w14:paraId="3482C3A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2,9</w:t>
            </w:r>
          </w:p>
        </w:tc>
        <w:tc>
          <w:tcPr>
            <w:tcW w:w="950" w:type="dxa"/>
            <w:shd w:val="clear" w:color="auto" w:fill="DEEAF6"/>
            <w:noWrap/>
            <w:tcMar>
              <w:right w:w="170" w:type="dxa"/>
            </w:tcMar>
            <w:vAlign w:val="center"/>
          </w:tcPr>
          <w:p w14:paraId="1799E03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3,2</w:t>
            </w:r>
          </w:p>
        </w:tc>
        <w:tc>
          <w:tcPr>
            <w:tcW w:w="950" w:type="dxa"/>
            <w:shd w:val="clear" w:color="auto" w:fill="DEEAF6"/>
            <w:noWrap/>
            <w:tcMar>
              <w:right w:w="170" w:type="dxa"/>
            </w:tcMar>
            <w:vAlign w:val="center"/>
          </w:tcPr>
          <w:p w14:paraId="053BDEC6"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2,8</w:t>
            </w:r>
          </w:p>
        </w:tc>
      </w:tr>
      <w:tr w:rsidR="00C74C27" w:rsidRPr="00C74C27" w14:paraId="3E25ADB6" w14:textId="77777777" w:rsidTr="00C74C27">
        <w:trPr>
          <w:trHeight w:val="301"/>
          <w:jc w:val="center"/>
        </w:trPr>
        <w:tc>
          <w:tcPr>
            <w:tcW w:w="3383" w:type="dxa"/>
            <w:shd w:val="clear" w:color="auto" w:fill="auto"/>
            <w:noWrap/>
            <w:vAlign w:val="center"/>
            <w:hideMark/>
          </w:tcPr>
          <w:p w14:paraId="36960087" w14:textId="77777777" w:rsidR="00C74C27" w:rsidRPr="00C74C27" w:rsidRDefault="00C74C27" w:rsidP="00C74C27">
            <w:pPr>
              <w:spacing w:after="0"/>
              <w:ind w:firstLine="0"/>
              <w:jc w:val="left"/>
              <w:rPr>
                <w:rFonts w:eastAsia="Times New Roman" w:cs="Times New Roman"/>
                <w:noProof/>
                <w:sz w:val="20"/>
                <w:szCs w:val="20"/>
              </w:rPr>
            </w:pPr>
            <w:r w:rsidRPr="00C74C27">
              <w:rPr>
                <w:rFonts w:eastAsia="Times New Roman" w:cs="Times New Roman"/>
                <w:noProof/>
                <w:sz w:val="20"/>
                <w:szCs w:val="20"/>
              </w:rPr>
              <w:t>PCI (gads pret gadu, %)</w:t>
            </w:r>
          </w:p>
        </w:tc>
        <w:tc>
          <w:tcPr>
            <w:tcW w:w="918" w:type="dxa"/>
            <w:shd w:val="clear" w:color="auto" w:fill="auto"/>
            <w:noWrap/>
            <w:tcMar>
              <w:right w:w="170" w:type="dxa"/>
            </w:tcMar>
            <w:vAlign w:val="center"/>
          </w:tcPr>
          <w:p w14:paraId="339F194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17,3</w:t>
            </w:r>
          </w:p>
        </w:tc>
        <w:tc>
          <w:tcPr>
            <w:tcW w:w="949" w:type="dxa"/>
            <w:shd w:val="clear" w:color="auto" w:fill="DEEAF6"/>
            <w:noWrap/>
            <w:tcMar>
              <w:right w:w="170" w:type="dxa"/>
            </w:tcMar>
            <w:vAlign w:val="center"/>
          </w:tcPr>
          <w:p w14:paraId="799A8C24"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10,0</w:t>
            </w:r>
          </w:p>
        </w:tc>
        <w:tc>
          <w:tcPr>
            <w:tcW w:w="950" w:type="dxa"/>
            <w:shd w:val="clear" w:color="auto" w:fill="DEEAF6"/>
            <w:noWrap/>
            <w:tcMar>
              <w:right w:w="170" w:type="dxa"/>
            </w:tcMar>
            <w:vAlign w:val="center"/>
          </w:tcPr>
          <w:p w14:paraId="38FF33DE"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2,2</w:t>
            </w:r>
          </w:p>
        </w:tc>
        <w:tc>
          <w:tcPr>
            <w:tcW w:w="950" w:type="dxa"/>
            <w:shd w:val="clear" w:color="auto" w:fill="DEEAF6"/>
            <w:noWrap/>
            <w:tcMar>
              <w:right w:w="170" w:type="dxa"/>
            </w:tcMar>
            <w:vAlign w:val="center"/>
          </w:tcPr>
          <w:p w14:paraId="3175AFFB"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2,5</w:t>
            </w:r>
          </w:p>
        </w:tc>
        <w:tc>
          <w:tcPr>
            <w:tcW w:w="950" w:type="dxa"/>
            <w:shd w:val="clear" w:color="auto" w:fill="DEEAF6"/>
            <w:noWrap/>
            <w:tcMar>
              <w:right w:w="170" w:type="dxa"/>
            </w:tcMar>
            <w:vAlign w:val="center"/>
          </w:tcPr>
          <w:p w14:paraId="0AECEBFB"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2,3</w:t>
            </w:r>
          </w:p>
        </w:tc>
      </w:tr>
      <w:tr w:rsidR="00C74C27" w:rsidRPr="00C74C27" w14:paraId="5A252D44" w14:textId="77777777" w:rsidTr="00C74C27">
        <w:trPr>
          <w:trHeight w:val="600"/>
          <w:jc w:val="center"/>
        </w:trPr>
        <w:tc>
          <w:tcPr>
            <w:tcW w:w="3383" w:type="dxa"/>
            <w:shd w:val="clear" w:color="auto" w:fill="auto"/>
            <w:noWrap/>
            <w:vAlign w:val="center"/>
            <w:hideMark/>
          </w:tcPr>
          <w:p w14:paraId="4685FB6E" w14:textId="77777777" w:rsidR="00C74C27" w:rsidRPr="00C74C27" w:rsidRDefault="00C74C27" w:rsidP="00C74C27">
            <w:pPr>
              <w:spacing w:after="0"/>
              <w:ind w:firstLine="0"/>
              <w:jc w:val="left"/>
              <w:rPr>
                <w:rFonts w:eastAsia="Times New Roman" w:cs="Times New Roman"/>
                <w:noProof/>
                <w:sz w:val="20"/>
                <w:szCs w:val="20"/>
              </w:rPr>
            </w:pPr>
            <w:r w:rsidRPr="00C74C27">
              <w:rPr>
                <w:rFonts w:eastAsia="Times New Roman" w:cs="Times New Roman"/>
                <w:noProof/>
                <w:sz w:val="20"/>
                <w:szCs w:val="20"/>
              </w:rPr>
              <w:t xml:space="preserve">Tautsaimniecībā nodarbināto mēn. </w:t>
            </w:r>
            <w:r w:rsidRPr="00C74C27">
              <w:rPr>
                <w:rFonts w:eastAsia="Times New Roman" w:cs="Times New Roman"/>
                <w:noProof/>
                <w:sz w:val="20"/>
                <w:szCs w:val="20"/>
              </w:rPr>
              <w:br/>
              <w:t>vid. bruto darba samaksa (</w:t>
            </w:r>
            <w:r w:rsidRPr="00C74C27">
              <w:rPr>
                <w:rFonts w:eastAsia="Times New Roman" w:cs="Times New Roman"/>
                <w:i/>
                <w:noProof/>
                <w:sz w:val="20"/>
                <w:szCs w:val="20"/>
              </w:rPr>
              <w:t>euro</w:t>
            </w:r>
            <w:r w:rsidRPr="00C74C27">
              <w:rPr>
                <w:rFonts w:eastAsia="Times New Roman" w:cs="Times New Roman"/>
                <w:noProof/>
                <w:sz w:val="20"/>
                <w:szCs w:val="20"/>
              </w:rPr>
              <w:t>)</w:t>
            </w:r>
          </w:p>
        </w:tc>
        <w:tc>
          <w:tcPr>
            <w:tcW w:w="918" w:type="dxa"/>
            <w:shd w:val="clear" w:color="auto" w:fill="auto"/>
            <w:noWrap/>
            <w:tcMar>
              <w:right w:w="170" w:type="dxa"/>
            </w:tcMar>
            <w:vAlign w:val="center"/>
          </w:tcPr>
          <w:p w14:paraId="1D0B7C6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1 373</w:t>
            </w:r>
          </w:p>
        </w:tc>
        <w:tc>
          <w:tcPr>
            <w:tcW w:w="949" w:type="dxa"/>
            <w:shd w:val="clear" w:color="auto" w:fill="DEEAF6"/>
            <w:noWrap/>
            <w:tcMar>
              <w:right w:w="170" w:type="dxa"/>
            </w:tcMar>
            <w:vAlign w:val="center"/>
          </w:tcPr>
          <w:p w14:paraId="5CB08CA1"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1 524</w:t>
            </w:r>
          </w:p>
        </w:tc>
        <w:tc>
          <w:tcPr>
            <w:tcW w:w="950" w:type="dxa"/>
            <w:shd w:val="clear" w:color="auto" w:fill="DEEAF6"/>
            <w:noWrap/>
            <w:tcMar>
              <w:right w:w="170" w:type="dxa"/>
            </w:tcMar>
            <w:vAlign w:val="center"/>
          </w:tcPr>
          <w:p w14:paraId="7C0FD713"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1 638</w:t>
            </w:r>
          </w:p>
        </w:tc>
        <w:tc>
          <w:tcPr>
            <w:tcW w:w="950" w:type="dxa"/>
            <w:shd w:val="clear" w:color="auto" w:fill="DEEAF6"/>
            <w:noWrap/>
            <w:tcMar>
              <w:right w:w="170" w:type="dxa"/>
            </w:tcMar>
            <w:vAlign w:val="center"/>
          </w:tcPr>
          <w:p w14:paraId="06BAE4E6"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1 720</w:t>
            </w:r>
          </w:p>
        </w:tc>
        <w:tc>
          <w:tcPr>
            <w:tcW w:w="950" w:type="dxa"/>
            <w:shd w:val="clear" w:color="auto" w:fill="DEEAF6"/>
            <w:noWrap/>
            <w:tcMar>
              <w:right w:w="170" w:type="dxa"/>
            </w:tcMar>
            <w:vAlign w:val="center"/>
          </w:tcPr>
          <w:p w14:paraId="4AEBFBBC"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1 806</w:t>
            </w:r>
          </w:p>
        </w:tc>
      </w:tr>
      <w:tr w:rsidR="00C74C27" w:rsidRPr="00C74C27" w14:paraId="1D78494D" w14:textId="77777777" w:rsidTr="00C74C27">
        <w:trPr>
          <w:trHeight w:val="300"/>
          <w:jc w:val="center"/>
        </w:trPr>
        <w:tc>
          <w:tcPr>
            <w:tcW w:w="3383" w:type="dxa"/>
            <w:shd w:val="clear" w:color="auto" w:fill="auto"/>
            <w:noWrap/>
            <w:vAlign w:val="center"/>
            <w:hideMark/>
          </w:tcPr>
          <w:p w14:paraId="5F467EF7" w14:textId="77777777" w:rsidR="00C74C27" w:rsidRPr="00C74C27" w:rsidRDefault="00C74C27" w:rsidP="00C74C27">
            <w:pPr>
              <w:spacing w:after="0"/>
              <w:ind w:left="174" w:firstLine="0"/>
              <w:jc w:val="left"/>
              <w:rPr>
                <w:rFonts w:eastAsia="Times New Roman" w:cs="Times New Roman"/>
                <w:noProof/>
                <w:sz w:val="20"/>
                <w:szCs w:val="20"/>
              </w:rPr>
            </w:pPr>
            <w:r w:rsidRPr="00C74C27">
              <w:rPr>
                <w:rFonts w:eastAsia="Times New Roman" w:cs="Times New Roman"/>
                <w:noProof/>
                <w:sz w:val="20"/>
                <w:szCs w:val="20"/>
              </w:rPr>
              <w:t>pieaugums faktiskajās cenās (%)</w:t>
            </w:r>
          </w:p>
        </w:tc>
        <w:tc>
          <w:tcPr>
            <w:tcW w:w="918" w:type="dxa"/>
            <w:shd w:val="clear" w:color="auto" w:fill="auto"/>
            <w:noWrap/>
            <w:tcMar>
              <w:right w:w="170" w:type="dxa"/>
            </w:tcMar>
            <w:vAlign w:val="center"/>
          </w:tcPr>
          <w:p w14:paraId="2E81ADD6"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7,5</w:t>
            </w:r>
          </w:p>
        </w:tc>
        <w:tc>
          <w:tcPr>
            <w:tcW w:w="949" w:type="dxa"/>
            <w:shd w:val="clear" w:color="auto" w:fill="DEEAF6"/>
            <w:noWrap/>
            <w:tcMar>
              <w:right w:w="170" w:type="dxa"/>
            </w:tcMar>
            <w:vAlign w:val="center"/>
          </w:tcPr>
          <w:p w14:paraId="3FF6B7FE"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11,0</w:t>
            </w:r>
          </w:p>
        </w:tc>
        <w:tc>
          <w:tcPr>
            <w:tcW w:w="950" w:type="dxa"/>
            <w:shd w:val="clear" w:color="auto" w:fill="DEEAF6"/>
            <w:noWrap/>
            <w:tcMar>
              <w:right w:w="170" w:type="dxa"/>
            </w:tcMar>
            <w:vAlign w:val="center"/>
          </w:tcPr>
          <w:p w14:paraId="76FD6F86"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7,5</w:t>
            </w:r>
          </w:p>
        </w:tc>
        <w:tc>
          <w:tcPr>
            <w:tcW w:w="950" w:type="dxa"/>
            <w:shd w:val="clear" w:color="auto" w:fill="DEEAF6"/>
            <w:noWrap/>
            <w:tcMar>
              <w:right w:w="170" w:type="dxa"/>
            </w:tcMar>
            <w:vAlign w:val="center"/>
          </w:tcPr>
          <w:p w14:paraId="73AC693A"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5,0</w:t>
            </w:r>
          </w:p>
        </w:tc>
        <w:tc>
          <w:tcPr>
            <w:tcW w:w="950" w:type="dxa"/>
            <w:shd w:val="clear" w:color="auto" w:fill="DEEAF6"/>
            <w:noWrap/>
            <w:tcMar>
              <w:right w:w="170" w:type="dxa"/>
            </w:tcMar>
            <w:vAlign w:val="center"/>
          </w:tcPr>
          <w:p w14:paraId="384DD885"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5,0</w:t>
            </w:r>
          </w:p>
        </w:tc>
      </w:tr>
      <w:tr w:rsidR="00C74C27" w:rsidRPr="00C74C27" w14:paraId="28AAD1B7" w14:textId="77777777" w:rsidTr="00C74C27">
        <w:trPr>
          <w:trHeight w:val="300"/>
          <w:jc w:val="center"/>
        </w:trPr>
        <w:tc>
          <w:tcPr>
            <w:tcW w:w="3383" w:type="dxa"/>
            <w:shd w:val="clear" w:color="auto" w:fill="auto"/>
            <w:noWrap/>
            <w:vAlign w:val="center"/>
            <w:hideMark/>
          </w:tcPr>
          <w:p w14:paraId="2AA0C06D" w14:textId="77777777" w:rsidR="00C74C27" w:rsidRPr="00C74C27" w:rsidRDefault="00C74C27" w:rsidP="00C74C27">
            <w:pPr>
              <w:spacing w:after="0"/>
              <w:ind w:left="174" w:firstLine="0"/>
              <w:jc w:val="left"/>
              <w:rPr>
                <w:rFonts w:eastAsia="Times New Roman" w:cs="Times New Roman"/>
                <w:noProof/>
                <w:sz w:val="20"/>
                <w:szCs w:val="20"/>
              </w:rPr>
            </w:pPr>
            <w:r w:rsidRPr="00C74C27">
              <w:rPr>
                <w:rFonts w:eastAsia="Times New Roman" w:cs="Times New Roman"/>
                <w:noProof/>
                <w:sz w:val="20"/>
                <w:szCs w:val="20"/>
              </w:rPr>
              <w:t>pieaugums salīdzināmās cenās (%)</w:t>
            </w:r>
          </w:p>
        </w:tc>
        <w:tc>
          <w:tcPr>
            <w:tcW w:w="918" w:type="dxa"/>
            <w:shd w:val="clear" w:color="auto" w:fill="auto"/>
            <w:noWrap/>
            <w:tcMar>
              <w:right w:w="170" w:type="dxa"/>
            </w:tcMar>
            <w:vAlign w:val="center"/>
          </w:tcPr>
          <w:p w14:paraId="7402EAF0"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-8,4</w:t>
            </w:r>
          </w:p>
        </w:tc>
        <w:tc>
          <w:tcPr>
            <w:tcW w:w="949" w:type="dxa"/>
            <w:shd w:val="clear" w:color="auto" w:fill="DEEAF6"/>
            <w:noWrap/>
            <w:tcMar>
              <w:right w:w="170" w:type="dxa"/>
            </w:tcMar>
            <w:vAlign w:val="center"/>
          </w:tcPr>
          <w:p w14:paraId="2EFBF51F"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0,9</w:t>
            </w:r>
          </w:p>
        </w:tc>
        <w:tc>
          <w:tcPr>
            <w:tcW w:w="950" w:type="dxa"/>
            <w:shd w:val="clear" w:color="auto" w:fill="DEEAF6"/>
            <w:noWrap/>
            <w:tcMar>
              <w:right w:w="170" w:type="dxa"/>
            </w:tcMar>
            <w:vAlign w:val="center"/>
          </w:tcPr>
          <w:p w14:paraId="12F76A86"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5,2</w:t>
            </w:r>
          </w:p>
        </w:tc>
        <w:tc>
          <w:tcPr>
            <w:tcW w:w="950" w:type="dxa"/>
            <w:shd w:val="clear" w:color="auto" w:fill="DEEAF6"/>
            <w:noWrap/>
            <w:tcMar>
              <w:right w:w="170" w:type="dxa"/>
            </w:tcMar>
            <w:vAlign w:val="center"/>
          </w:tcPr>
          <w:p w14:paraId="38BE5C5D"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2,4</w:t>
            </w:r>
          </w:p>
        </w:tc>
        <w:tc>
          <w:tcPr>
            <w:tcW w:w="950" w:type="dxa"/>
            <w:shd w:val="clear" w:color="auto" w:fill="DEEAF6"/>
            <w:noWrap/>
            <w:tcMar>
              <w:right w:w="170" w:type="dxa"/>
            </w:tcMar>
            <w:vAlign w:val="center"/>
          </w:tcPr>
          <w:p w14:paraId="79EA32C6"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2,6</w:t>
            </w:r>
          </w:p>
        </w:tc>
      </w:tr>
      <w:tr w:rsidR="00C74C27" w:rsidRPr="00C74C27" w14:paraId="1E6B61E2" w14:textId="77777777" w:rsidTr="00C74C27">
        <w:trPr>
          <w:trHeight w:val="600"/>
          <w:jc w:val="center"/>
        </w:trPr>
        <w:tc>
          <w:tcPr>
            <w:tcW w:w="3383" w:type="dxa"/>
            <w:shd w:val="clear" w:color="auto" w:fill="auto"/>
            <w:noWrap/>
            <w:vAlign w:val="center"/>
            <w:hideMark/>
          </w:tcPr>
          <w:p w14:paraId="3C3C0FA7" w14:textId="77777777" w:rsidR="00C74C27" w:rsidRPr="00C74C27" w:rsidRDefault="00C74C27" w:rsidP="00C74C27">
            <w:pPr>
              <w:spacing w:after="0"/>
              <w:ind w:firstLine="0"/>
              <w:jc w:val="left"/>
              <w:rPr>
                <w:rFonts w:eastAsia="Times New Roman" w:cs="Times New Roman"/>
                <w:noProof/>
                <w:sz w:val="20"/>
                <w:szCs w:val="20"/>
              </w:rPr>
            </w:pPr>
            <w:r w:rsidRPr="00C74C27">
              <w:rPr>
                <w:rFonts w:eastAsia="Times New Roman" w:cs="Times New Roman"/>
                <w:noProof/>
                <w:sz w:val="20"/>
                <w:szCs w:val="20"/>
              </w:rPr>
              <w:t>Nodarbinātība (tūkst. iedzīvotāju</w:t>
            </w:r>
            <w:r w:rsidRPr="00C74C27">
              <w:rPr>
                <w:rFonts w:eastAsia="Times New Roman" w:cs="Times New Roman"/>
                <w:noProof/>
                <w:sz w:val="20"/>
                <w:szCs w:val="20"/>
              </w:rPr>
              <w:br/>
              <w:t>atbilstoši darbaspēka apsekojumiem)</w:t>
            </w:r>
          </w:p>
        </w:tc>
        <w:tc>
          <w:tcPr>
            <w:tcW w:w="918" w:type="dxa"/>
            <w:shd w:val="clear" w:color="auto" w:fill="auto"/>
            <w:noWrap/>
            <w:tcMar>
              <w:right w:w="170" w:type="dxa"/>
            </w:tcMar>
            <w:vAlign w:val="center"/>
          </w:tcPr>
          <w:p w14:paraId="67316005"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886</w:t>
            </w:r>
          </w:p>
        </w:tc>
        <w:tc>
          <w:tcPr>
            <w:tcW w:w="949" w:type="dxa"/>
            <w:shd w:val="clear" w:color="auto" w:fill="DEEAF6"/>
            <w:noWrap/>
            <w:tcMar>
              <w:right w:w="170" w:type="dxa"/>
            </w:tcMar>
            <w:vAlign w:val="center"/>
          </w:tcPr>
          <w:p w14:paraId="6C3D7E4C"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887</w:t>
            </w:r>
          </w:p>
        </w:tc>
        <w:tc>
          <w:tcPr>
            <w:tcW w:w="950" w:type="dxa"/>
            <w:shd w:val="clear" w:color="auto" w:fill="DEEAF6"/>
            <w:noWrap/>
            <w:tcMar>
              <w:right w:w="170" w:type="dxa"/>
            </w:tcMar>
            <w:vAlign w:val="center"/>
          </w:tcPr>
          <w:p w14:paraId="0E232BB0"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887</w:t>
            </w:r>
          </w:p>
        </w:tc>
        <w:tc>
          <w:tcPr>
            <w:tcW w:w="950" w:type="dxa"/>
            <w:shd w:val="clear" w:color="auto" w:fill="DEEAF6"/>
            <w:noWrap/>
            <w:tcMar>
              <w:right w:w="170" w:type="dxa"/>
            </w:tcMar>
            <w:vAlign w:val="center"/>
          </w:tcPr>
          <w:p w14:paraId="764FBF00"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884</w:t>
            </w:r>
          </w:p>
        </w:tc>
        <w:tc>
          <w:tcPr>
            <w:tcW w:w="950" w:type="dxa"/>
            <w:shd w:val="clear" w:color="auto" w:fill="DEEAF6"/>
            <w:noWrap/>
            <w:tcMar>
              <w:right w:w="170" w:type="dxa"/>
            </w:tcMar>
            <w:vAlign w:val="center"/>
          </w:tcPr>
          <w:p w14:paraId="6C5F4873"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879</w:t>
            </w:r>
          </w:p>
        </w:tc>
      </w:tr>
      <w:tr w:rsidR="00C74C27" w:rsidRPr="00C74C27" w14:paraId="75C3FC81" w14:textId="77777777" w:rsidTr="00C74C27">
        <w:trPr>
          <w:trHeight w:val="300"/>
          <w:jc w:val="center"/>
        </w:trPr>
        <w:tc>
          <w:tcPr>
            <w:tcW w:w="3383" w:type="dxa"/>
            <w:shd w:val="clear" w:color="auto" w:fill="auto"/>
            <w:noWrap/>
            <w:vAlign w:val="center"/>
            <w:hideMark/>
          </w:tcPr>
          <w:p w14:paraId="1896E98E" w14:textId="77777777" w:rsidR="00C74C27" w:rsidRPr="00C74C27" w:rsidRDefault="00C74C27" w:rsidP="00C74C27">
            <w:pPr>
              <w:spacing w:after="0"/>
              <w:ind w:left="174" w:firstLine="0"/>
              <w:jc w:val="left"/>
              <w:rPr>
                <w:rFonts w:eastAsia="Times New Roman" w:cs="Times New Roman"/>
                <w:noProof/>
                <w:sz w:val="20"/>
                <w:szCs w:val="20"/>
              </w:rPr>
            </w:pPr>
            <w:r w:rsidRPr="00C74C27">
              <w:rPr>
                <w:rFonts w:eastAsia="Times New Roman" w:cs="Times New Roman"/>
                <w:noProof/>
                <w:sz w:val="20"/>
                <w:szCs w:val="20"/>
              </w:rPr>
              <w:t>pieaugums (%)</w:t>
            </w:r>
          </w:p>
        </w:tc>
        <w:tc>
          <w:tcPr>
            <w:tcW w:w="918" w:type="dxa"/>
            <w:shd w:val="clear" w:color="auto" w:fill="auto"/>
            <w:noWrap/>
            <w:tcMar>
              <w:right w:w="170" w:type="dxa"/>
            </w:tcMar>
            <w:vAlign w:val="center"/>
          </w:tcPr>
          <w:p w14:paraId="708AA6E1"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2,6</w:t>
            </w:r>
          </w:p>
        </w:tc>
        <w:tc>
          <w:tcPr>
            <w:tcW w:w="949" w:type="dxa"/>
            <w:shd w:val="clear" w:color="auto" w:fill="DEEAF6"/>
            <w:noWrap/>
            <w:tcMar>
              <w:right w:w="170" w:type="dxa"/>
            </w:tcMar>
            <w:vAlign w:val="center"/>
          </w:tcPr>
          <w:p w14:paraId="1230EBB8"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0,1</w:t>
            </w:r>
          </w:p>
        </w:tc>
        <w:tc>
          <w:tcPr>
            <w:tcW w:w="950" w:type="dxa"/>
            <w:shd w:val="clear" w:color="auto" w:fill="DEEAF6"/>
            <w:noWrap/>
            <w:tcMar>
              <w:right w:w="170" w:type="dxa"/>
            </w:tcMar>
            <w:vAlign w:val="center"/>
          </w:tcPr>
          <w:p w14:paraId="79CFAD8F"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0,0</w:t>
            </w:r>
          </w:p>
        </w:tc>
        <w:tc>
          <w:tcPr>
            <w:tcW w:w="950" w:type="dxa"/>
            <w:shd w:val="clear" w:color="auto" w:fill="DEEAF6"/>
            <w:noWrap/>
            <w:tcMar>
              <w:right w:w="170" w:type="dxa"/>
            </w:tcMar>
            <w:vAlign w:val="center"/>
          </w:tcPr>
          <w:p w14:paraId="2F423E3D"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-0,3</w:t>
            </w:r>
          </w:p>
        </w:tc>
        <w:tc>
          <w:tcPr>
            <w:tcW w:w="950" w:type="dxa"/>
            <w:shd w:val="clear" w:color="auto" w:fill="DEEAF6"/>
            <w:noWrap/>
            <w:tcMar>
              <w:right w:w="170" w:type="dxa"/>
            </w:tcMar>
            <w:vAlign w:val="center"/>
          </w:tcPr>
          <w:p w14:paraId="1B5A643B"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-0,6</w:t>
            </w:r>
          </w:p>
        </w:tc>
      </w:tr>
      <w:tr w:rsidR="00C74C27" w:rsidRPr="00C74C27" w14:paraId="5DCE989F" w14:textId="77777777" w:rsidTr="00C74C27">
        <w:trPr>
          <w:trHeight w:val="300"/>
          <w:jc w:val="center"/>
        </w:trPr>
        <w:tc>
          <w:tcPr>
            <w:tcW w:w="3383" w:type="dxa"/>
            <w:shd w:val="clear" w:color="auto" w:fill="auto"/>
            <w:noWrap/>
            <w:vAlign w:val="center"/>
            <w:hideMark/>
          </w:tcPr>
          <w:p w14:paraId="7ABACF3B" w14:textId="77777777" w:rsidR="00C74C27" w:rsidRPr="00C74C27" w:rsidRDefault="00C74C27" w:rsidP="00C74C27">
            <w:pPr>
              <w:spacing w:after="0"/>
              <w:ind w:firstLine="0"/>
              <w:jc w:val="left"/>
              <w:rPr>
                <w:rFonts w:eastAsia="Times New Roman" w:cs="Times New Roman"/>
                <w:noProof/>
                <w:sz w:val="20"/>
                <w:szCs w:val="20"/>
              </w:rPr>
            </w:pPr>
            <w:r w:rsidRPr="00C74C27">
              <w:rPr>
                <w:rFonts w:eastAsia="Times New Roman" w:cs="Times New Roman"/>
                <w:noProof/>
                <w:sz w:val="20"/>
                <w:szCs w:val="20"/>
              </w:rPr>
              <w:t xml:space="preserve">Bezdarba līmenis (gada vidējais, </w:t>
            </w:r>
            <w:r w:rsidRPr="00C74C27">
              <w:rPr>
                <w:rFonts w:eastAsia="Times New Roman" w:cs="Times New Roman"/>
                <w:noProof/>
                <w:sz w:val="20"/>
                <w:szCs w:val="20"/>
              </w:rPr>
              <w:br/>
              <w:t>% no ekon. aktīviem iedzīv.)</w:t>
            </w:r>
          </w:p>
        </w:tc>
        <w:tc>
          <w:tcPr>
            <w:tcW w:w="918" w:type="dxa"/>
            <w:shd w:val="clear" w:color="auto" w:fill="auto"/>
            <w:noWrap/>
            <w:tcMar>
              <w:right w:w="170" w:type="dxa"/>
            </w:tcMar>
            <w:vAlign w:val="center"/>
          </w:tcPr>
          <w:p w14:paraId="6BACF9B3"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6,9</w:t>
            </w:r>
          </w:p>
        </w:tc>
        <w:tc>
          <w:tcPr>
            <w:tcW w:w="949" w:type="dxa"/>
            <w:shd w:val="clear" w:color="auto" w:fill="DEEAF6"/>
            <w:noWrap/>
            <w:tcMar>
              <w:right w:w="170" w:type="dxa"/>
            </w:tcMar>
            <w:vAlign w:val="center"/>
          </w:tcPr>
          <w:p w14:paraId="65F43E30"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6,5</w:t>
            </w:r>
          </w:p>
        </w:tc>
        <w:tc>
          <w:tcPr>
            <w:tcW w:w="950" w:type="dxa"/>
            <w:shd w:val="clear" w:color="auto" w:fill="DEEAF6"/>
            <w:noWrap/>
            <w:tcMar>
              <w:right w:w="170" w:type="dxa"/>
            </w:tcMar>
            <w:vAlign w:val="center"/>
          </w:tcPr>
          <w:p w14:paraId="6602A282"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6,6</w:t>
            </w:r>
          </w:p>
        </w:tc>
        <w:tc>
          <w:tcPr>
            <w:tcW w:w="950" w:type="dxa"/>
            <w:shd w:val="clear" w:color="auto" w:fill="DEEAF6"/>
            <w:noWrap/>
            <w:tcMar>
              <w:right w:w="170" w:type="dxa"/>
            </w:tcMar>
            <w:vAlign w:val="center"/>
          </w:tcPr>
          <w:p w14:paraId="0E2144B9"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6,4</w:t>
            </w:r>
          </w:p>
        </w:tc>
        <w:tc>
          <w:tcPr>
            <w:tcW w:w="950" w:type="dxa"/>
            <w:shd w:val="clear" w:color="auto" w:fill="DEEAF6"/>
            <w:noWrap/>
            <w:tcMar>
              <w:right w:w="170" w:type="dxa"/>
            </w:tcMar>
            <w:vAlign w:val="center"/>
          </w:tcPr>
          <w:p w14:paraId="2D562B79" w14:textId="77777777" w:rsidR="00C74C27" w:rsidRPr="00C74C27" w:rsidRDefault="00C74C27" w:rsidP="00C74C27">
            <w:pPr>
              <w:spacing w:after="0"/>
              <w:ind w:firstLine="0"/>
              <w:jc w:val="center"/>
              <w:rPr>
                <w:rFonts w:eastAsia="Times New Roman" w:cs="Times New Roman"/>
                <w:sz w:val="20"/>
                <w:szCs w:val="20"/>
              </w:rPr>
            </w:pPr>
            <w:r w:rsidRPr="00C74C27">
              <w:rPr>
                <w:rFonts w:eastAsia="Calibri" w:cs="Times New Roman"/>
                <w:sz w:val="20"/>
                <w:szCs w:val="20"/>
              </w:rPr>
              <w:t>6,4</w:t>
            </w:r>
          </w:p>
        </w:tc>
      </w:tr>
    </w:tbl>
    <w:p w14:paraId="59C1F988" w14:textId="77777777" w:rsidR="00C74C27" w:rsidRPr="00C74C27" w:rsidRDefault="00C74C27" w:rsidP="00C74C27">
      <w:pPr>
        <w:spacing w:before="120"/>
        <w:ind w:firstLine="567"/>
        <w:rPr>
          <w:rFonts w:eastAsia="Calibri" w:cs="Arial"/>
          <w:szCs w:val="24"/>
          <w:lang w:eastAsia="en-US"/>
        </w:rPr>
      </w:pPr>
      <w:r w:rsidRPr="00C74C27">
        <w:rPr>
          <w:rFonts w:eastAsia="Calibri" w:cs="Arial"/>
          <w:szCs w:val="24"/>
          <w:lang w:eastAsia="en-US"/>
        </w:rPr>
        <w:t>Gada vidējās inflācijas prognoze – 2023. gadam 10% un 2024. gadam 2,2% – salīdzinājumā ar februāra prognozēm atstāta bez izmaiņām, jo patēriņa cenu dinamika 2022. gada otrajā pusē un šā gada sākumā ir bijusi atbilstoša FM februāra sākuma prognozēm. Nākamajos divos gados tiek prognozēts cenu pieaugums attiecīgi 2,5% un 2,3% apmērā. Atbilstoši scenārijam, inflāciju ietekmēs enerģijas resursu un neapstrādātās pārtikas cenu inflācijas samazinājums 2023. gada otrajā pusē un, saglabājoties pašreizējai situācijai pasaules tirgos, cenu līmenis saglabāsies pašreizējā līmenī.</w:t>
      </w:r>
    </w:p>
    <w:p w14:paraId="018EB438"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Tā kā 2023. gada sākumā mēneša vidējā darba samaksa turpināja strauji augt, pateicoties gan minimālās darba samaksas paaugstināšanai par 24%, gan valsts budžeta izdevumu palielināšanai sabiedriskā sektora darbinieku algām, gan arī privāto uzņēmumu sniegtajam saviem darbiniekiem enerģijas atbalstam, tad 2023. gada kopējais algu pieaugums sasniegtu 11%, un 2024. gadā – 7,5%. Vidējā termiņā gan sagaidāms, ka algu pieauguma temps palēnināsies un tuvosies produktivitātes pieauguma tempam, stabilizējoties 5% līmenī.</w:t>
      </w:r>
    </w:p>
    <w:p w14:paraId="1B228BB2" w14:textId="4D736AD5" w:rsidR="00DB7D5E" w:rsidRPr="004A74DD" w:rsidRDefault="00C74C27" w:rsidP="004A74DD">
      <w:pPr>
        <w:ind w:firstLine="567"/>
        <w:rPr>
          <w:rFonts w:eastAsia="Calibri" w:cs="Arial"/>
          <w:szCs w:val="24"/>
          <w:lang w:eastAsia="en-US"/>
        </w:rPr>
      </w:pPr>
      <w:r w:rsidRPr="00C74C27">
        <w:rPr>
          <w:rFonts w:eastAsia="Calibri" w:cs="Arial"/>
          <w:szCs w:val="24"/>
          <w:lang w:eastAsia="en-US"/>
        </w:rPr>
        <w:t>Bezdarba līmenis, saglabājoties relatīvi stabilai ekonomikas izaugsmei, turpinās samazināties, 2023. gadā sasniedzot 6,5%, un aptuveni šajā līmenī saglabājoties arī nākamajos trīs gados. Tautsaimniecībā nodarbināto iedzīvotāju skaits šogad un nākamgad vēl saglabāsies stabils, bet no 2025. gada gaidāma neliela nodarbinātības samazināšanās, kas būs galvenokārt saistīta ar darbspējas vecuma iedzīvotāju skaita samazināšanos.</w:t>
      </w:r>
      <w:bookmarkEnd w:id="42"/>
    </w:p>
    <w:p w14:paraId="75905D8B" w14:textId="27C06655" w:rsidR="00C74C27" w:rsidRPr="00C74C27" w:rsidRDefault="00C74C27" w:rsidP="006F1373">
      <w:pPr>
        <w:pStyle w:val="H5"/>
      </w:pPr>
      <w:r w:rsidRPr="00C74C27">
        <w:t>Makroekonomiskās attīstības scenārija riski</w:t>
      </w:r>
    </w:p>
    <w:p w14:paraId="3E618B0B" w14:textId="77777777" w:rsidR="00C74C27" w:rsidRPr="00C74C27" w:rsidRDefault="00C74C27" w:rsidP="00C74C27">
      <w:pPr>
        <w:ind w:firstLine="567"/>
        <w:rPr>
          <w:rFonts w:eastAsia="Calibri" w:cs="Arial"/>
          <w:szCs w:val="24"/>
          <w:lang w:eastAsia="en-US"/>
        </w:rPr>
      </w:pPr>
      <w:bookmarkStart w:id="43" w:name="_Toc126011235"/>
      <w:bookmarkStart w:id="44" w:name="_Toc126044019"/>
      <w:r w:rsidRPr="00C74C27">
        <w:rPr>
          <w:rFonts w:eastAsia="Calibri" w:cs="Arial"/>
          <w:szCs w:val="24"/>
          <w:lang w:eastAsia="en-US"/>
        </w:rPr>
        <w:t xml:space="preserve">Izstrādājot makroekonomisko rādītāju prognozes, FM balstās uz konservatīviem pieņēmumiem. Vienlaikus FM izvērtēja arī ārējās un iekšējās vides riskus, un norāda, ka </w:t>
      </w:r>
      <w:r w:rsidRPr="00C74C27">
        <w:rPr>
          <w:rFonts w:eastAsia="Calibri" w:cs="Arial"/>
          <w:szCs w:val="24"/>
          <w:lang w:eastAsia="en-US"/>
        </w:rPr>
        <w:lastRenderedPageBreak/>
        <w:t>prognozes joprojām ir izstrādātas ārkārtīgi augstas nenoteiktības apstākļos. Aktualizējot makroekonomisko rādītāju prognozes, tika pieņemts, ka ģeopolitiskā situācija būtiski nepasliktinās un nenotiek krasa karadarbības eskalācija, lai arī joprojām pastāv ļoti augsta nenoteiktība.</w:t>
      </w:r>
    </w:p>
    <w:p w14:paraId="3F1FEE0D"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 xml:space="preserve">Būtiskākie negatīvie riski ir saistīti ar ģeopolitisko situāciju, ekonomiskās situācijas neprognozēti strauju pasliktināšanos </w:t>
      </w:r>
      <w:proofErr w:type="spellStart"/>
      <w:r w:rsidRPr="00C74C27">
        <w:rPr>
          <w:rFonts w:eastAsia="Calibri" w:cs="Arial"/>
          <w:i/>
          <w:iCs/>
          <w:szCs w:val="24"/>
          <w:lang w:eastAsia="en-US"/>
        </w:rPr>
        <w:t>euro</w:t>
      </w:r>
      <w:proofErr w:type="spellEnd"/>
      <w:r w:rsidRPr="00C74C27">
        <w:rPr>
          <w:rFonts w:eastAsia="Calibri" w:cs="Arial"/>
          <w:szCs w:val="24"/>
          <w:lang w:eastAsia="en-US"/>
        </w:rPr>
        <w:t xml:space="preserve"> zonā, kā arī ar iespējamām straujām energoresursu cenu svārstībām un to ierobežoto pieejamību. Riskus Eiropas ekonomikas izaugsmei rada arī centrālo banku uzsāktais procentu likmju paaugstināšanas cikls, lai mazinātu inflācijas pieaugumu, īpaši ņemot vērā to, ka pašreizējās straujās un negaidītās inflācijas cēlonis ir ārpus tiešas ES kontroles. Latvijā dārgāki kredītresursi un jau esošo kredītsaistību apkalpošanas sadārdzināšanās varētu vēl vairāk ierobežot privātā patēriņa, kā arī investīciju attīstību. Ekonomikas izaugsmi negatīvi var ietekmēt arī kavēšanās ES fondu investīciju izmantošanā un ārējās konkurētspējas mazināšanās.</w:t>
      </w:r>
    </w:p>
    <w:p w14:paraId="46FC4662" w14:textId="6ECA4E30" w:rsidR="00C74C27" w:rsidRPr="00C74C27" w:rsidRDefault="00C74C27" w:rsidP="00C74C27">
      <w:pPr>
        <w:ind w:firstLine="567"/>
        <w:rPr>
          <w:rFonts w:eastAsia="Calibri" w:cs="Arial"/>
          <w:szCs w:val="24"/>
          <w:lang w:eastAsia="en-US"/>
        </w:rPr>
      </w:pPr>
      <w:r w:rsidRPr="00C74C27">
        <w:rPr>
          <w:rFonts w:eastAsia="Calibri" w:cs="Arial"/>
          <w:szCs w:val="24"/>
          <w:lang w:eastAsia="en-US"/>
        </w:rPr>
        <w:t xml:space="preserve">Turpretī optimistiskais scenārijs paredz straujāku </w:t>
      </w:r>
      <w:proofErr w:type="spellStart"/>
      <w:r w:rsidRPr="00C74C27">
        <w:rPr>
          <w:rFonts w:eastAsia="Calibri" w:cs="Arial"/>
          <w:i/>
          <w:iCs/>
          <w:szCs w:val="24"/>
          <w:lang w:eastAsia="en-US"/>
        </w:rPr>
        <w:t>euro</w:t>
      </w:r>
      <w:proofErr w:type="spellEnd"/>
      <w:r w:rsidRPr="00C74C27">
        <w:rPr>
          <w:rFonts w:eastAsia="Calibri" w:cs="Arial"/>
          <w:szCs w:val="24"/>
          <w:lang w:eastAsia="en-US"/>
        </w:rPr>
        <w:t xml:space="preserve"> zonas ekonomikas atkopšanos, jo </w:t>
      </w:r>
      <w:proofErr w:type="spellStart"/>
      <w:r w:rsidRPr="00C74C27">
        <w:rPr>
          <w:rFonts w:eastAsia="Calibri" w:cs="Arial"/>
          <w:i/>
          <w:iCs/>
          <w:szCs w:val="24"/>
          <w:lang w:eastAsia="en-US"/>
        </w:rPr>
        <w:t>euro</w:t>
      </w:r>
      <w:proofErr w:type="spellEnd"/>
      <w:r w:rsidRPr="00C74C27">
        <w:rPr>
          <w:rFonts w:eastAsia="Calibri" w:cs="Arial"/>
          <w:szCs w:val="24"/>
          <w:lang w:eastAsia="en-US"/>
        </w:rPr>
        <w:t xml:space="preserve"> zonas pamatinflācija varētu mazināties straujāk un ECB varētu izlemt par bāzes procentu likmes samazinājumu. Investīcijas stimulētu arī straujāka ES finansējuma izmantošana, dodot papildus stimulu jau iezīmētiem projektiem, kurus finansē ES fondu investīcijas 2021. </w:t>
      </w:r>
      <w:r w:rsidRPr="00C74C27">
        <w:rPr>
          <w:rFonts w:eastAsia="Calibri" w:cs="Arial"/>
          <w:szCs w:val="24"/>
          <w:lang w:eastAsia="en-US"/>
        </w:rPr>
        <w:noBreakHyphen/>
        <w:t xml:space="preserve"> 2027. gada plānošanas periodā, it sevišķi ANM īstenošana un </w:t>
      </w:r>
      <w:r w:rsidRPr="00C74C27">
        <w:rPr>
          <w:rFonts w:eastAsia="Calibri" w:cs="Arial"/>
          <w:i/>
          <w:iCs/>
          <w:szCs w:val="24"/>
          <w:lang w:eastAsia="en-US"/>
        </w:rPr>
        <w:t xml:space="preserve">Rail </w:t>
      </w:r>
      <w:proofErr w:type="spellStart"/>
      <w:r w:rsidRPr="00C74C27">
        <w:rPr>
          <w:rFonts w:eastAsia="Calibri" w:cs="Arial"/>
          <w:i/>
          <w:iCs/>
          <w:szCs w:val="24"/>
          <w:lang w:eastAsia="en-US"/>
        </w:rPr>
        <w:t>Baltica</w:t>
      </w:r>
      <w:proofErr w:type="spellEnd"/>
      <w:r w:rsidRPr="00C74C27">
        <w:rPr>
          <w:rFonts w:eastAsia="Calibri" w:cs="Arial"/>
          <w:szCs w:val="24"/>
          <w:lang w:eastAsia="en-US"/>
        </w:rPr>
        <w:t xml:space="preserve"> projekta realizācija. Papildus tam, energoresursu tirgus situācija saglabātos labvēlīga, ES būtu neatkarīgāka no energoresursu importa no politiski nedrošiem reģioniem, kā arī ziema nebūtu vēsāka kā iepriekšējā.</w:t>
      </w:r>
    </w:p>
    <w:p w14:paraId="5724F963" w14:textId="77777777" w:rsidR="00C74C27" w:rsidRPr="00C74C27" w:rsidRDefault="00C74C27" w:rsidP="00C74C27">
      <w:pPr>
        <w:keepNext/>
        <w:keepLines/>
        <w:spacing w:before="240" w:after="240"/>
        <w:ind w:firstLine="0"/>
        <w:jc w:val="center"/>
        <w:outlineLvl w:val="1"/>
        <w:rPr>
          <w:rFonts w:eastAsia="Times New Roman" w:cs="Times New Roman"/>
          <w:b/>
          <w:bCs/>
          <w:color w:val="000000"/>
          <w:sz w:val="36"/>
          <w:szCs w:val="28"/>
        </w:rPr>
      </w:pPr>
      <w:r w:rsidRPr="00C74C27">
        <w:rPr>
          <w:rFonts w:eastAsia="Times New Roman" w:cs="Times New Roman"/>
          <w:b/>
          <w:bCs/>
          <w:color w:val="000000"/>
          <w:sz w:val="36"/>
          <w:szCs w:val="28"/>
        </w:rPr>
        <w:t>1.5. Jutīguma analīze</w:t>
      </w:r>
      <w:bookmarkEnd w:id="43"/>
      <w:bookmarkEnd w:id="44"/>
    </w:p>
    <w:p w14:paraId="4080385C" w14:textId="77777777" w:rsidR="00C74C27" w:rsidRPr="00C74C27" w:rsidRDefault="00C74C27" w:rsidP="00C74C27">
      <w:pPr>
        <w:ind w:firstLine="567"/>
        <w:rPr>
          <w:rFonts w:eastAsia="Calibri" w:cs="Arial"/>
          <w:szCs w:val="24"/>
          <w:lang w:eastAsia="en-US"/>
        </w:rPr>
      </w:pPr>
      <w:bookmarkStart w:id="45" w:name="_Toc126011236"/>
      <w:bookmarkStart w:id="46" w:name="_Toc126044020"/>
      <w:r w:rsidRPr="00C74C27">
        <w:rPr>
          <w:rFonts w:eastAsia="Calibri" w:cs="Arial"/>
          <w:szCs w:val="24"/>
          <w:lang w:eastAsia="en-US"/>
        </w:rPr>
        <w:t>Ņemot vērā iespējamos pozitīvos un negatīvos riskus ekonomikas izaugsmei, FM ir izstrādājusi divus alternatīvus ekonomikas attīstības scenārijus laika posmam no 2023. līdz 2026. gadam, kad realizētos viens vai vairāki no iepriekšminētajiem riskiem. Šajos scenārijos ir modelēta šo risku realizēšanās ietekme uz dažādiem makroekonomiskajiem rādītājiem un budžeta ieņēmumiem.</w:t>
      </w:r>
    </w:p>
    <w:p w14:paraId="11FF02C2" w14:textId="77777777" w:rsidR="00C74C27" w:rsidRPr="00C74C27" w:rsidRDefault="00C74C27" w:rsidP="00C74C27">
      <w:pPr>
        <w:spacing w:before="240" w:after="240"/>
        <w:ind w:firstLine="0"/>
        <w:jc w:val="center"/>
        <w:outlineLvl w:val="2"/>
        <w:rPr>
          <w:rFonts w:eastAsia="Times New Roman" w:cs="Times New Roman"/>
          <w:b/>
          <w:sz w:val="32"/>
          <w:szCs w:val="20"/>
          <w:lang w:eastAsia="en-US"/>
        </w:rPr>
      </w:pPr>
      <w:r w:rsidRPr="00C74C27">
        <w:rPr>
          <w:rFonts w:eastAsia="Times New Roman" w:cs="Times New Roman"/>
          <w:b/>
          <w:sz w:val="32"/>
          <w:szCs w:val="20"/>
          <w:lang w:eastAsia="en-US"/>
        </w:rPr>
        <w:t>1.5.1. Pesimistiskais scenārijs</w:t>
      </w:r>
      <w:bookmarkEnd w:id="45"/>
      <w:bookmarkEnd w:id="46"/>
    </w:p>
    <w:p w14:paraId="7F197E13"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 xml:space="preserve">Pesimistiskā scenārija (skat. 1.7. tabulu) pamatā ir risks, ka ECB turpinās celt bāzes likmi, jo </w:t>
      </w:r>
      <w:proofErr w:type="spellStart"/>
      <w:r w:rsidRPr="00C74C27">
        <w:rPr>
          <w:rFonts w:eastAsia="Calibri" w:cs="Arial"/>
          <w:i/>
          <w:iCs/>
          <w:szCs w:val="24"/>
          <w:lang w:eastAsia="en-US"/>
        </w:rPr>
        <w:t>euro</w:t>
      </w:r>
      <w:proofErr w:type="spellEnd"/>
      <w:r w:rsidRPr="00C74C27">
        <w:rPr>
          <w:rFonts w:eastAsia="Calibri" w:cs="Arial"/>
          <w:szCs w:val="24"/>
          <w:lang w:eastAsia="en-US"/>
        </w:rPr>
        <w:t xml:space="preserve"> zonas pamatinflācija saglabātos virs mērķa līmeņa. Inflācijas noturību papildus veicinātu 2023. gada 4. ceturksnī no jauna pieaugošās energoresursu cenas, paaugstinoties līdz līmenim, kāds piedzīvots iepriekšējās ziemas laikā. Tas palielinātu enerģijas cenas gada beigās un nākamā gada sākumā, līdz ar to inflācija no jauna varētu palielināties. Tomēr netiek paredzēts, ka cenu līmenis pārsniegtu pērn sasniegtos augstumus. Palielinātās ECB bāzes likmes turpinātu ierobežot kreditēšanu un pieprasījumu </w:t>
      </w:r>
      <w:proofErr w:type="spellStart"/>
      <w:r w:rsidRPr="00C74C27">
        <w:rPr>
          <w:rFonts w:eastAsia="Calibri" w:cs="Arial"/>
          <w:i/>
          <w:iCs/>
          <w:szCs w:val="24"/>
          <w:lang w:eastAsia="en-US"/>
        </w:rPr>
        <w:t>euro</w:t>
      </w:r>
      <w:proofErr w:type="spellEnd"/>
      <w:r w:rsidRPr="00C74C27">
        <w:rPr>
          <w:rFonts w:eastAsia="Calibri" w:cs="Arial"/>
          <w:szCs w:val="24"/>
          <w:lang w:eastAsia="en-US"/>
        </w:rPr>
        <w:t xml:space="preserve"> zonā, kas Latvijai  nozīmētu arī vājāku eksporta izaugsmi, proti, vēl vairāk pastiprinot tā samazinājumu. Papildus ģeopolitiskā nenoteiktība, kas būtu viens no iemesliem energoresursu cenu pieaugumam, pasliktinātu investoru un patērētāju noskaņojumu, vēl vairāk bremzējot izaugsmi. Līdz ar to ekonomikas bremzēšanās būtu jūtama 2024. un 2025. gadā.</w:t>
      </w:r>
    </w:p>
    <w:p w14:paraId="1006A88D"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Atbilstoši pesimistiskajam scenārijam 2023. gadā IKP salīdzināmās cenās varētu samazināties par 0,4% un 2024. gadā tikai nenozīmīgi palielināties par 0,3%, kas attiecīgi būtu par 1,4 un 2,2 procentpunktiem mazāk nekā bāzes scenārijā. Savukārt noturīgāka izaugsme atsāktos tikai 2026. gadā.</w:t>
      </w:r>
    </w:p>
    <w:p w14:paraId="6A7CD042"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Energoresursu cenu pieaugums palielinātu inflāciju līdz 12% un 5% attiecīgi 2023. un 2024. gadā. Tomēr nākamajos gados inflācija nesamazinātos līdz bāzes scenārija līmenim.</w:t>
      </w:r>
    </w:p>
    <w:p w14:paraId="514E662B"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lastRenderedPageBreak/>
        <w:t>Augstā inflācija bremzētu privāto patēriņu, kura pieaugums 2023. un 2024. gadā būtu par 0,9 un 2,6 procentpunktiem mazāks nekā bāzes scenārijā, jo augstās inflācijas dēļ samazinātos reālās algas pirktspēja, kā arī valdības atbalsta pasākumi kavētos. Tomēr, ņemot vērā relatīvi saspringto darbaspēka tirgu, riska scenārijs neparedz būtiskas izmaiņas darba tirgū.</w:t>
      </w:r>
    </w:p>
    <w:p w14:paraId="47B25291"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Scenārijs paredz, ka tiktu turpināti arī investīciju projekti, kas tiek finansēti ar ES finanšu atbalstu. Tomēr privāto investīciju pieaugums, galvenokārt ECB bāzes procentu likmes pieauguma dēļ, 2023. un 2024. gadā jūtami sabremzētos – par 2,8 procentpunktiem pret bāzes scenāriju, kā rezultātā bruto kapitāla veidošana attiecīgi pieaugtu par 3,4 un 0,3%. Turklāt 2023. gada relatīvi augstais pieaugums ir tikai, pateicoties uzsākto projektu pabeigšanai un attiecīgi augstajam investīciju līmenim gada sākumā. Investīciju pakāpeniska atkopšanās būtu sagaidāma tikai no 2025. gada, kad ECB būs pārtraukusi bāzes procentu likmju palielināšanas posmu, tām pieaugot par 2%. Sākot ar 2026. gadu, investīciju pieaugums atgrieztos bāzes scenārija apmērā.</w:t>
      </w:r>
    </w:p>
    <w:p w14:paraId="1F166170"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Izaugsmi bremzētu arī ārējā pieprasījuma kritums, kas samazinātu Latvijas eksportu 2023. gadā un 2024. gadā vidēji par 2,4 procentpunktiem. Līdz ar to preču un pakalpojumu eksports 2023. gadā piedzīvotu 2,3% kritumu un 2024. gadā izaugsme būtu tikai 1,2% apmērā, pakāpeniski atgriežoties pie bāzes scenārija izaugsmes tempiem vidējā termiņā.</w:t>
      </w:r>
    </w:p>
    <w:p w14:paraId="38A4DA95" w14:textId="3941FEFF" w:rsidR="00C74C27" w:rsidRPr="00C74C27" w:rsidRDefault="00C74C27" w:rsidP="00C74C27">
      <w:pPr>
        <w:ind w:firstLine="567"/>
        <w:jc w:val="right"/>
        <w:rPr>
          <w:rFonts w:eastAsia="Calibri" w:cs="Times New Roman"/>
          <w:b/>
          <w:i/>
          <w:szCs w:val="24"/>
          <w:lang w:eastAsia="en-US"/>
        </w:rPr>
      </w:pPr>
      <w:r w:rsidRPr="00C74C27">
        <w:rPr>
          <w:rFonts w:eastAsia="Calibri" w:cs="Times New Roman"/>
          <w:b/>
          <w:i/>
          <w:szCs w:val="24"/>
          <w:lang w:eastAsia="en-US"/>
        </w:rPr>
        <w:t>1.</w:t>
      </w:r>
      <w:r w:rsidR="00280666">
        <w:rPr>
          <w:rFonts w:eastAsia="Calibri" w:cs="Times New Roman"/>
          <w:b/>
          <w:i/>
          <w:szCs w:val="24"/>
          <w:lang w:eastAsia="en-US"/>
        </w:rPr>
        <w:t>6</w:t>
      </w:r>
      <w:r w:rsidRPr="00C74C27">
        <w:rPr>
          <w:rFonts w:eastAsia="Calibri" w:cs="Times New Roman"/>
          <w:b/>
          <w:i/>
          <w:szCs w:val="24"/>
          <w:lang w:eastAsia="en-US"/>
        </w:rPr>
        <w:t>. tabula. Pesimistiskais makroekonomisko rādītāju attīstības scenārijs</w:t>
      </w:r>
    </w:p>
    <w:tbl>
      <w:tblPr>
        <w:tblW w:w="5000" w:type="pct"/>
        <w:jc w:val="center"/>
        <w:tblLayout w:type="fixed"/>
        <w:tblLook w:val="04A0" w:firstRow="1" w:lastRow="0" w:firstColumn="1" w:lastColumn="0" w:noHBand="0" w:noVBand="1"/>
      </w:tblPr>
      <w:tblGrid>
        <w:gridCol w:w="3560"/>
        <w:gridCol w:w="1101"/>
        <w:gridCol w:w="1100"/>
        <w:gridCol w:w="1100"/>
        <w:gridCol w:w="1100"/>
        <w:gridCol w:w="1100"/>
      </w:tblGrid>
      <w:tr w:rsidR="00C74C27" w:rsidRPr="00C74C27" w14:paraId="27579424" w14:textId="77777777" w:rsidTr="00C74C27">
        <w:trPr>
          <w:trHeight w:val="300"/>
          <w:jc w:val="center"/>
        </w:trPr>
        <w:tc>
          <w:tcPr>
            <w:tcW w:w="3260" w:type="dxa"/>
            <w:vMerge w:val="restart"/>
            <w:tcBorders>
              <w:top w:val="single" w:sz="4" w:space="0" w:color="auto"/>
              <w:left w:val="single" w:sz="4" w:space="0" w:color="auto"/>
              <w:right w:val="single" w:sz="4" w:space="0" w:color="auto"/>
            </w:tcBorders>
            <w:shd w:val="clear" w:color="auto" w:fill="auto"/>
            <w:noWrap/>
            <w:vAlign w:val="center"/>
            <w:hideMark/>
          </w:tcPr>
          <w:p w14:paraId="27625841" w14:textId="77777777" w:rsidR="00C74C27" w:rsidRPr="00C74C27" w:rsidRDefault="00C74C27" w:rsidP="00C74C27">
            <w:pPr>
              <w:spacing w:after="0"/>
              <w:ind w:firstLine="0"/>
              <w:rPr>
                <w:rFonts w:eastAsia="Calibri" w:cs="Times New Roman"/>
                <w:sz w:val="18"/>
                <w:szCs w:val="18"/>
              </w:rPr>
            </w:pPr>
          </w:p>
        </w:tc>
        <w:tc>
          <w:tcPr>
            <w:tcW w:w="1008" w:type="dxa"/>
            <w:tcBorders>
              <w:top w:val="single" w:sz="4" w:space="0" w:color="auto"/>
              <w:left w:val="nil"/>
              <w:bottom w:val="single" w:sz="4" w:space="0" w:color="auto"/>
              <w:right w:val="single" w:sz="4" w:space="0" w:color="auto"/>
            </w:tcBorders>
            <w:shd w:val="clear" w:color="auto" w:fill="auto"/>
            <w:noWrap/>
            <w:vAlign w:val="center"/>
            <w:hideMark/>
          </w:tcPr>
          <w:p w14:paraId="02E06C17" w14:textId="77777777" w:rsidR="00C74C27" w:rsidRPr="00C74C27" w:rsidRDefault="00C74C27" w:rsidP="00C74C27">
            <w:pPr>
              <w:spacing w:after="0"/>
              <w:ind w:firstLine="0"/>
              <w:jc w:val="center"/>
              <w:rPr>
                <w:rFonts w:eastAsia="Calibri" w:cs="Times New Roman"/>
                <w:b/>
                <w:sz w:val="18"/>
                <w:szCs w:val="18"/>
              </w:rPr>
            </w:pPr>
            <w:r w:rsidRPr="00C74C27">
              <w:rPr>
                <w:rFonts w:eastAsia="Calibri" w:cs="Times New Roman"/>
                <w:b/>
                <w:bCs/>
                <w:sz w:val="20"/>
                <w:szCs w:val="20"/>
              </w:rPr>
              <w:t>2022</w:t>
            </w:r>
          </w:p>
        </w:tc>
        <w:tc>
          <w:tcPr>
            <w:tcW w:w="1007" w:type="dxa"/>
            <w:tcBorders>
              <w:top w:val="single" w:sz="4" w:space="0" w:color="auto"/>
              <w:left w:val="nil"/>
              <w:bottom w:val="single" w:sz="4" w:space="0" w:color="auto"/>
              <w:right w:val="single" w:sz="4" w:space="0" w:color="auto"/>
            </w:tcBorders>
            <w:shd w:val="clear" w:color="auto" w:fill="DEEAF6"/>
            <w:noWrap/>
            <w:vAlign w:val="center"/>
          </w:tcPr>
          <w:p w14:paraId="769F63DA" w14:textId="77777777" w:rsidR="00C74C27" w:rsidRPr="00C74C27" w:rsidRDefault="00C74C27" w:rsidP="00C74C27">
            <w:pPr>
              <w:spacing w:after="0"/>
              <w:ind w:firstLine="0"/>
              <w:jc w:val="center"/>
              <w:rPr>
                <w:rFonts w:eastAsia="Calibri" w:cs="Times New Roman"/>
                <w:b/>
                <w:sz w:val="18"/>
                <w:szCs w:val="18"/>
              </w:rPr>
            </w:pPr>
            <w:r w:rsidRPr="00C74C27">
              <w:rPr>
                <w:rFonts w:eastAsia="Calibri" w:cs="Times New Roman"/>
                <w:b/>
                <w:bCs/>
                <w:sz w:val="20"/>
                <w:szCs w:val="20"/>
              </w:rPr>
              <w:t>2023</w:t>
            </w:r>
          </w:p>
        </w:tc>
        <w:tc>
          <w:tcPr>
            <w:tcW w:w="1007" w:type="dxa"/>
            <w:tcBorders>
              <w:top w:val="single" w:sz="4" w:space="0" w:color="auto"/>
              <w:left w:val="nil"/>
              <w:bottom w:val="single" w:sz="4" w:space="0" w:color="auto"/>
              <w:right w:val="single" w:sz="4" w:space="0" w:color="auto"/>
            </w:tcBorders>
            <w:shd w:val="clear" w:color="auto" w:fill="DEEAF6"/>
            <w:noWrap/>
            <w:vAlign w:val="center"/>
          </w:tcPr>
          <w:p w14:paraId="5BC6968F" w14:textId="77777777" w:rsidR="00C74C27" w:rsidRPr="00C74C27" w:rsidRDefault="00C74C27" w:rsidP="00C74C27">
            <w:pPr>
              <w:spacing w:after="0"/>
              <w:ind w:firstLine="0"/>
              <w:jc w:val="center"/>
              <w:rPr>
                <w:rFonts w:eastAsia="Calibri" w:cs="Times New Roman"/>
                <w:b/>
                <w:sz w:val="18"/>
                <w:szCs w:val="18"/>
              </w:rPr>
            </w:pPr>
            <w:r w:rsidRPr="00C74C27">
              <w:rPr>
                <w:rFonts w:eastAsia="Calibri" w:cs="Times New Roman"/>
                <w:b/>
                <w:bCs/>
                <w:sz w:val="20"/>
                <w:szCs w:val="20"/>
              </w:rPr>
              <w:t>2024</w:t>
            </w:r>
          </w:p>
        </w:tc>
        <w:tc>
          <w:tcPr>
            <w:tcW w:w="1007" w:type="dxa"/>
            <w:tcBorders>
              <w:top w:val="single" w:sz="4" w:space="0" w:color="auto"/>
              <w:left w:val="nil"/>
              <w:bottom w:val="single" w:sz="4" w:space="0" w:color="auto"/>
              <w:right w:val="single" w:sz="4" w:space="0" w:color="auto"/>
            </w:tcBorders>
            <w:shd w:val="clear" w:color="auto" w:fill="DEEAF6"/>
            <w:noWrap/>
            <w:vAlign w:val="center"/>
          </w:tcPr>
          <w:p w14:paraId="6C8AE029" w14:textId="77777777" w:rsidR="00C74C27" w:rsidRPr="00C74C27" w:rsidRDefault="00C74C27" w:rsidP="00C74C27">
            <w:pPr>
              <w:spacing w:after="0"/>
              <w:ind w:firstLine="0"/>
              <w:jc w:val="center"/>
              <w:rPr>
                <w:rFonts w:eastAsia="Calibri" w:cs="Times New Roman"/>
                <w:b/>
                <w:sz w:val="18"/>
                <w:szCs w:val="18"/>
              </w:rPr>
            </w:pPr>
            <w:r w:rsidRPr="00C74C27">
              <w:rPr>
                <w:rFonts w:eastAsia="Calibri" w:cs="Times New Roman"/>
                <w:b/>
                <w:bCs/>
                <w:sz w:val="20"/>
                <w:szCs w:val="20"/>
              </w:rPr>
              <w:t>2025</w:t>
            </w:r>
          </w:p>
        </w:tc>
        <w:tc>
          <w:tcPr>
            <w:tcW w:w="1007" w:type="dxa"/>
            <w:tcBorders>
              <w:top w:val="single" w:sz="4" w:space="0" w:color="auto"/>
              <w:left w:val="nil"/>
              <w:bottom w:val="single" w:sz="4" w:space="0" w:color="auto"/>
              <w:right w:val="single" w:sz="4" w:space="0" w:color="auto"/>
            </w:tcBorders>
            <w:shd w:val="clear" w:color="auto" w:fill="DEEAF6"/>
            <w:noWrap/>
            <w:vAlign w:val="center"/>
          </w:tcPr>
          <w:p w14:paraId="26C67A89" w14:textId="77777777" w:rsidR="00C74C27" w:rsidRPr="00C74C27" w:rsidRDefault="00C74C27" w:rsidP="00C74C27">
            <w:pPr>
              <w:spacing w:after="0"/>
              <w:ind w:firstLine="0"/>
              <w:jc w:val="center"/>
              <w:rPr>
                <w:rFonts w:eastAsia="Calibri" w:cs="Times New Roman"/>
                <w:b/>
                <w:sz w:val="18"/>
                <w:szCs w:val="18"/>
              </w:rPr>
            </w:pPr>
            <w:r w:rsidRPr="00C74C27">
              <w:rPr>
                <w:rFonts w:eastAsia="Calibri" w:cs="Times New Roman"/>
                <w:b/>
                <w:bCs/>
                <w:sz w:val="20"/>
                <w:szCs w:val="20"/>
              </w:rPr>
              <w:t>2026</w:t>
            </w:r>
          </w:p>
        </w:tc>
      </w:tr>
      <w:tr w:rsidR="00C74C27" w:rsidRPr="00C74C27" w14:paraId="09D05E15" w14:textId="77777777" w:rsidTr="00C74C27">
        <w:trPr>
          <w:trHeight w:val="300"/>
          <w:jc w:val="center"/>
        </w:trPr>
        <w:tc>
          <w:tcPr>
            <w:tcW w:w="3260" w:type="dxa"/>
            <w:vMerge/>
            <w:tcBorders>
              <w:left w:val="single" w:sz="4" w:space="0" w:color="auto"/>
              <w:bottom w:val="single" w:sz="4" w:space="0" w:color="auto"/>
              <w:right w:val="single" w:sz="4" w:space="0" w:color="auto"/>
            </w:tcBorders>
            <w:shd w:val="clear" w:color="auto" w:fill="auto"/>
            <w:noWrap/>
            <w:vAlign w:val="center"/>
          </w:tcPr>
          <w:p w14:paraId="65DAEFA9" w14:textId="77777777" w:rsidR="00C74C27" w:rsidRPr="00C74C27" w:rsidRDefault="00C74C27" w:rsidP="00C74C27">
            <w:pPr>
              <w:spacing w:after="0"/>
              <w:ind w:firstLine="0"/>
              <w:rPr>
                <w:rFonts w:eastAsia="Calibri" w:cs="Times New Roman"/>
                <w:sz w:val="18"/>
                <w:szCs w:val="18"/>
              </w:rPr>
            </w:pPr>
          </w:p>
        </w:tc>
        <w:tc>
          <w:tcPr>
            <w:tcW w:w="1008" w:type="dxa"/>
            <w:tcBorders>
              <w:top w:val="single" w:sz="4" w:space="0" w:color="auto"/>
              <w:left w:val="nil"/>
              <w:bottom w:val="single" w:sz="4" w:space="0" w:color="auto"/>
              <w:right w:val="single" w:sz="4" w:space="0" w:color="auto"/>
            </w:tcBorders>
            <w:shd w:val="clear" w:color="auto" w:fill="auto"/>
            <w:noWrap/>
            <w:vAlign w:val="center"/>
          </w:tcPr>
          <w:p w14:paraId="1B29044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fakts</w:t>
            </w:r>
          </w:p>
        </w:tc>
        <w:tc>
          <w:tcPr>
            <w:tcW w:w="4028" w:type="dxa"/>
            <w:gridSpan w:val="4"/>
            <w:tcBorders>
              <w:top w:val="single" w:sz="4" w:space="0" w:color="auto"/>
              <w:left w:val="nil"/>
              <w:bottom w:val="single" w:sz="4" w:space="0" w:color="auto"/>
              <w:right w:val="single" w:sz="4" w:space="0" w:color="auto"/>
            </w:tcBorders>
            <w:shd w:val="clear" w:color="auto" w:fill="DEEAF6"/>
            <w:noWrap/>
            <w:vAlign w:val="center"/>
          </w:tcPr>
          <w:p w14:paraId="0F96087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Prognoze</w:t>
            </w:r>
          </w:p>
        </w:tc>
      </w:tr>
      <w:tr w:rsidR="00C74C27" w:rsidRPr="00C74C27" w14:paraId="653833A5"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19B607B9" w14:textId="77777777" w:rsidR="00C74C27" w:rsidRPr="00C74C27" w:rsidRDefault="00C74C27" w:rsidP="00C74C27">
            <w:pPr>
              <w:spacing w:after="0"/>
              <w:ind w:firstLine="0"/>
              <w:rPr>
                <w:rFonts w:eastAsia="Calibri" w:cs="Times New Roman"/>
                <w:sz w:val="18"/>
                <w:szCs w:val="18"/>
              </w:rPr>
            </w:pPr>
            <w:r w:rsidRPr="00C74C27">
              <w:rPr>
                <w:rFonts w:eastAsia="Calibri" w:cs="Times New Roman"/>
                <w:b/>
                <w:noProof/>
                <w:sz w:val="18"/>
                <w:szCs w:val="18"/>
              </w:rPr>
              <w:t>IKP</w:t>
            </w:r>
            <w:r w:rsidRPr="00C74C27">
              <w:rPr>
                <w:rFonts w:eastAsia="Calibri" w:cs="Times New Roman"/>
                <w:noProof/>
                <w:sz w:val="18"/>
                <w:szCs w:val="18"/>
              </w:rPr>
              <w:t xml:space="preserve"> (milj. </w:t>
            </w:r>
            <w:r w:rsidRPr="00C74C27">
              <w:rPr>
                <w:rFonts w:eastAsia="Calibri" w:cs="Times New Roman"/>
                <w:i/>
                <w:noProof/>
                <w:sz w:val="18"/>
                <w:szCs w:val="18"/>
              </w:rPr>
              <w:t>euro</w:t>
            </w:r>
            <w:r w:rsidRPr="00C74C27">
              <w:rPr>
                <w:rFonts w:eastAsia="Calibri" w:cs="Times New Roman"/>
                <w:noProof/>
                <w:sz w:val="18"/>
                <w:szCs w:val="18"/>
              </w:rPr>
              <w:t>)</w:t>
            </w:r>
          </w:p>
        </w:tc>
        <w:tc>
          <w:tcPr>
            <w:tcW w:w="1008"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7753119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38 870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8D7598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42 921</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891567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45 609</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AAE302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48 057</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177B033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50 815</w:t>
            </w:r>
          </w:p>
        </w:tc>
      </w:tr>
      <w:tr w:rsidR="00C74C27" w:rsidRPr="00C74C27" w14:paraId="62102BF4"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38221DC7"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faktiskajās cenās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0FDD372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16,6</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499C78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10,4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A88899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6,3</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3144AB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C84146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5,7</w:t>
            </w:r>
          </w:p>
        </w:tc>
      </w:tr>
      <w:tr w:rsidR="00C74C27" w:rsidRPr="00C74C27" w14:paraId="687ECCF3"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21731CBD"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salīdzināmās cenās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5822441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59C1B5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0D2071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0,3</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5467BEF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1,8</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B153AD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2,9</w:t>
            </w:r>
          </w:p>
        </w:tc>
      </w:tr>
      <w:tr w:rsidR="00C74C27" w:rsidRPr="00C74C27" w14:paraId="795E9289"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638982BB" w14:textId="77777777" w:rsidR="00C74C27" w:rsidRPr="00C74C27" w:rsidRDefault="00C74C27" w:rsidP="00C74C27">
            <w:pPr>
              <w:spacing w:after="0"/>
              <w:ind w:firstLine="0"/>
              <w:rPr>
                <w:rFonts w:eastAsia="Calibri" w:cs="Times New Roman"/>
                <w:sz w:val="18"/>
                <w:szCs w:val="18"/>
              </w:rPr>
            </w:pPr>
            <w:r w:rsidRPr="00C74C27">
              <w:rPr>
                <w:rFonts w:eastAsia="Calibri" w:cs="Times New Roman"/>
                <w:b/>
                <w:noProof/>
                <w:sz w:val="18"/>
                <w:szCs w:val="18"/>
              </w:rPr>
              <w:t>IKP deflators</w:t>
            </w:r>
            <w:r w:rsidRPr="00C74C27">
              <w:rPr>
                <w:rFonts w:eastAsia="Calibri" w:cs="Times New Roman"/>
                <w:noProof/>
                <w:sz w:val="18"/>
                <w:szCs w:val="18"/>
              </w:rPr>
              <w:t xml:space="preserve"> (gads pret gadu,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2D6934D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12,8</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81C43E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10,9</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F6649D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5,9</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22C85A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3,5</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110B78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2,8</w:t>
            </w:r>
          </w:p>
        </w:tc>
      </w:tr>
      <w:tr w:rsidR="00C74C27" w:rsidRPr="00C74C27" w14:paraId="27E375C1"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3C287B57" w14:textId="77777777" w:rsidR="00C74C27" w:rsidRPr="00C74C27" w:rsidRDefault="00C74C27" w:rsidP="00C74C27">
            <w:pPr>
              <w:spacing w:after="0"/>
              <w:ind w:firstLine="0"/>
              <w:rPr>
                <w:rFonts w:eastAsia="Calibri" w:cs="Times New Roman"/>
                <w:sz w:val="18"/>
                <w:szCs w:val="18"/>
              </w:rPr>
            </w:pPr>
            <w:r w:rsidRPr="00C74C27">
              <w:rPr>
                <w:rFonts w:eastAsia="Calibri" w:cs="Times New Roman"/>
                <w:b/>
                <w:noProof/>
                <w:sz w:val="18"/>
                <w:szCs w:val="18"/>
              </w:rPr>
              <w:t>PCI</w:t>
            </w:r>
            <w:r w:rsidRPr="00C74C27">
              <w:rPr>
                <w:rFonts w:eastAsia="Calibri" w:cs="Times New Roman"/>
                <w:noProof/>
                <w:sz w:val="18"/>
                <w:szCs w:val="18"/>
              </w:rPr>
              <w:t xml:space="preserve"> (gads pret gadu,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78107CB6"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17,3</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B8D569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12,0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683FBE16"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706C4D06"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2,5</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5D3C2C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2,3</w:t>
            </w:r>
          </w:p>
        </w:tc>
      </w:tr>
      <w:tr w:rsidR="00C74C27" w:rsidRPr="00C74C27" w14:paraId="5447B735" w14:textId="77777777" w:rsidTr="00C74C27">
        <w:trPr>
          <w:trHeight w:val="519"/>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5C292875" w14:textId="77777777" w:rsidR="00C74C27" w:rsidRPr="00C74C27" w:rsidRDefault="00C74C27" w:rsidP="00C74C27">
            <w:pPr>
              <w:spacing w:after="0"/>
              <w:ind w:firstLine="0"/>
              <w:jc w:val="left"/>
              <w:rPr>
                <w:rFonts w:eastAsia="Calibri" w:cs="Times New Roman"/>
                <w:sz w:val="18"/>
                <w:szCs w:val="18"/>
              </w:rPr>
            </w:pPr>
            <w:r w:rsidRPr="00C74C27">
              <w:rPr>
                <w:rFonts w:eastAsia="Calibri" w:cs="Times New Roman"/>
                <w:b/>
                <w:noProof/>
                <w:sz w:val="18"/>
                <w:szCs w:val="18"/>
              </w:rPr>
              <w:t xml:space="preserve">Tautsaimniecībā nodarbināto mēn. </w:t>
            </w:r>
            <w:r w:rsidRPr="00C74C27">
              <w:rPr>
                <w:rFonts w:eastAsia="Calibri" w:cs="Times New Roman"/>
                <w:b/>
                <w:noProof/>
                <w:sz w:val="18"/>
                <w:szCs w:val="18"/>
              </w:rPr>
              <w:br/>
              <w:t>vid. bruto darba samaksa</w:t>
            </w:r>
            <w:r w:rsidRPr="00C74C27">
              <w:rPr>
                <w:rFonts w:eastAsia="Calibri" w:cs="Times New Roman"/>
                <w:noProof/>
                <w:sz w:val="18"/>
                <w:szCs w:val="18"/>
              </w:rPr>
              <w:t xml:space="preserve"> (</w:t>
            </w:r>
            <w:r w:rsidRPr="00C74C27">
              <w:rPr>
                <w:rFonts w:eastAsia="Calibri" w:cs="Times New Roman"/>
                <w:i/>
                <w:noProof/>
                <w:sz w:val="18"/>
                <w:szCs w:val="18"/>
              </w:rPr>
              <w:t>euro</w:t>
            </w:r>
            <w:r w:rsidRPr="00C74C27">
              <w:rPr>
                <w:rFonts w:eastAsia="Calibri" w:cs="Times New Roman"/>
                <w:noProof/>
                <w:sz w:val="18"/>
                <w:szCs w:val="18"/>
              </w:rPr>
              <w:t>)</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3201E4F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1 373</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DB90CF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1 510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F32BBD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1 601</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85D00B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1 681</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12F175F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1 765</w:t>
            </w:r>
          </w:p>
        </w:tc>
      </w:tr>
      <w:tr w:rsidR="00C74C27" w:rsidRPr="00C74C27" w14:paraId="526A156A"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5E4C5FB8"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faktiskajās cenās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3300EC2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7,5</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570C45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10,0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12287F6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6ACE87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25FDB3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5,0</w:t>
            </w:r>
          </w:p>
        </w:tc>
      </w:tr>
      <w:tr w:rsidR="00C74C27" w:rsidRPr="00C74C27" w14:paraId="0876AD23"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4AC45913"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salīdzināmās cenās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699A186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-8,4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57A5F8F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-1,8</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154DBAC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62035F5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66CD6B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2,6</w:t>
            </w:r>
          </w:p>
        </w:tc>
      </w:tr>
      <w:tr w:rsidR="00C74C27" w:rsidRPr="00C74C27" w14:paraId="5E350216" w14:textId="77777777" w:rsidTr="00C74C27">
        <w:trPr>
          <w:trHeight w:val="6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4BDCCC17" w14:textId="77777777" w:rsidR="00C74C27" w:rsidRPr="00C74C27" w:rsidRDefault="00C74C27" w:rsidP="00C74C27">
            <w:pPr>
              <w:spacing w:after="0"/>
              <w:ind w:firstLine="0"/>
              <w:jc w:val="left"/>
              <w:rPr>
                <w:rFonts w:eastAsia="Calibri" w:cs="Times New Roman"/>
                <w:sz w:val="18"/>
                <w:szCs w:val="18"/>
              </w:rPr>
            </w:pPr>
            <w:r w:rsidRPr="00C74C27">
              <w:rPr>
                <w:rFonts w:eastAsia="Calibri" w:cs="Times New Roman"/>
                <w:b/>
                <w:noProof/>
                <w:sz w:val="18"/>
                <w:szCs w:val="18"/>
              </w:rPr>
              <w:t>Nodarbinātība</w:t>
            </w:r>
            <w:r w:rsidRPr="00C74C27">
              <w:rPr>
                <w:rFonts w:eastAsia="Calibri" w:cs="Times New Roman"/>
                <w:noProof/>
                <w:sz w:val="18"/>
                <w:szCs w:val="18"/>
              </w:rPr>
              <w:t xml:space="preserve"> (tūkst. iedzīvotāju</w:t>
            </w:r>
            <w:r w:rsidRPr="00C74C27">
              <w:rPr>
                <w:rFonts w:eastAsia="Calibri" w:cs="Times New Roman"/>
                <w:noProof/>
                <w:sz w:val="18"/>
                <w:szCs w:val="18"/>
              </w:rPr>
              <w:br/>
              <w:t>atbilstoši darbaspēka apsekojumiem)</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708E66E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886</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20F3A0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886</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D323E1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886</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B83E10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885</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1D5B9A2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882</w:t>
            </w:r>
          </w:p>
        </w:tc>
      </w:tr>
      <w:tr w:rsidR="00C74C27" w:rsidRPr="00C74C27" w14:paraId="58ECD8F2"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329DE9DF"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6F21EEB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2,6</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3CFF977"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5CA1FE0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D9A59E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-0,1</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578088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-0,4</w:t>
            </w:r>
          </w:p>
        </w:tc>
      </w:tr>
      <w:tr w:rsidR="00C74C27" w:rsidRPr="00C74C27" w14:paraId="422F6CF8" w14:textId="77777777" w:rsidTr="00C74C27">
        <w:trPr>
          <w:trHeight w:val="601"/>
          <w:jc w:val="center"/>
        </w:trPr>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B9FF2" w14:textId="77777777" w:rsidR="00C74C27" w:rsidRPr="00C74C27" w:rsidRDefault="00C74C27" w:rsidP="00C74C27">
            <w:pPr>
              <w:spacing w:after="0"/>
              <w:ind w:firstLine="0"/>
              <w:jc w:val="left"/>
              <w:rPr>
                <w:rFonts w:eastAsia="Calibri" w:cs="Times New Roman"/>
                <w:sz w:val="18"/>
                <w:szCs w:val="18"/>
              </w:rPr>
            </w:pPr>
            <w:r w:rsidRPr="00C74C27">
              <w:rPr>
                <w:rFonts w:eastAsia="Calibri" w:cs="Times New Roman"/>
                <w:b/>
                <w:noProof/>
                <w:sz w:val="18"/>
                <w:szCs w:val="18"/>
              </w:rPr>
              <w:t>Bezdarba līmenis</w:t>
            </w:r>
            <w:r w:rsidRPr="00C74C27">
              <w:rPr>
                <w:rFonts w:eastAsia="Calibri" w:cs="Times New Roman"/>
                <w:noProof/>
                <w:sz w:val="18"/>
                <w:szCs w:val="18"/>
              </w:rPr>
              <w:t xml:space="preserve"> (gada vidējais, </w:t>
            </w:r>
            <w:r w:rsidRPr="00C74C27">
              <w:rPr>
                <w:rFonts w:eastAsia="Calibri" w:cs="Times New Roman"/>
                <w:noProof/>
                <w:sz w:val="18"/>
                <w:szCs w:val="18"/>
              </w:rPr>
              <w:br/>
              <w:t>% no ekon. aktīviem iedzīv.)</w:t>
            </w:r>
          </w:p>
        </w:tc>
        <w:tc>
          <w:tcPr>
            <w:tcW w:w="1008"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1D43CD3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6,9</w:t>
            </w:r>
          </w:p>
        </w:tc>
        <w:tc>
          <w:tcPr>
            <w:tcW w:w="1007" w:type="dxa"/>
            <w:tcBorders>
              <w:top w:val="single" w:sz="4" w:space="0" w:color="auto"/>
              <w:left w:val="nil"/>
              <w:bottom w:val="single" w:sz="4" w:space="0" w:color="auto"/>
              <w:right w:val="single" w:sz="4" w:space="0" w:color="auto"/>
            </w:tcBorders>
            <w:shd w:val="clear" w:color="auto" w:fill="DEEAF6"/>
            <w:noWrap/>
            <w:tcMar>
              <w:right w:w="170" w:type="dxa"/>
            </w:tcMar>
            <w:vAlign w:val="center"/>
          </w:tcPr>
          <w:p w14:paraId="4D23DF8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6,6</w:t>
            </w:r>
          </w:p>
        </w:tc>
        <w:tc>
          <w:tcPr>
            <w:tcW w:w="1007" w:type="dxa"/>
            <w:tcBorders>
              <w:top w:val="single" w:sz="4" w:space="0" w:color="auto"/>
              <w:left w:val="nil"/>
              <w:bottom w:val="single" w:sz="4" w:space="0" w:color="auto"/>
              <w:right w:val="single" w:sz="4" w:space="0" w:color="auto"/>
            </w:tcBorders>
            <w:shd w:val="clear" w:color="auto" w:fill="DEEAF6"/>
            <w:noWrap/>
            <w:tcMar>
              <w:right w:w="170" w:type="dxa"/>
            </w:tcMar>
            <w:vAlign w:val="center"/>
          </w:tcPr>
          <w:p w14:paraId="74438BF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6,9</w:t>
            </w:r>
          </w:p>
        </w:tc>
        <w:tc>
          <w:tcPr>
            <w:tcW w:w="1007" w:type="dxa"/>
            <w:tcBorders>
              <w:top w:val="single" w:sz="4" w:space="0" w:color="auto"/>
              <w:left w:val="nil"/>
              <w:bottom w:val="single" w:sz="4" w:space="0" w:color="auto"/>
              <w:right w:val="single" w:sz="4" w:space="0" w:color="auto"/>
            </w:tcBorders>
            <w:shd w:val="clear" w:color="auto" w:fill="DEEAF6"/>
            <w:noWrap/>
            <w:tcMar>
              <w:right w:w="170" w:type="dxa"/>
            </w:tcMar>
            <w:vAlign w:val="center"/>
          </w:tcPr>
          <w:p w14:paraId="5E5CA27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6,5</w:t>
            </w:r>
          </w:p>
        </w:tc>
        <w:tc>
          <w:tcPr>
            <w:tcW w:w="1007" w:type="dxa"/>
            <w:tcBorders>
              <w:top w:val="single" w:sz="4" w:space="0" w:color="auto"/>
              <w:left w:val="nil"/>
              <w:bottom w:val="single" w:sz="4" w:space="0" w:color="auto"/>
              <w:right w:val="single" w:sz="4" w:space="0" w:color="auto"/>
            </w:tcBorders>
            <w:shd w:val="clear" w:color="auto" w:fill="DEEAF6"/>
            <w:noWrap/>
            <w:tcMar>
              <w:right w:w="170" w:type="dxa"/>
            </w:tcMar>
            <w:vAlign w:val="center"/>
          </w:tcPr>
          <w:p w14:paraId="22D0E00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6,4</w:t>
            </w:r>
          </w:p>
        </w:tc>
      </w:tr>
    </w:tbl>
    <w:p w14:paraId="30744CAC" w14:textId="77777777" w:rsidR="00C74C27" w:rsidRPr="00C74C27" w:rsidRDefault="00C74C27" w:rsidP="00C74C27">
      <w:pPr>
        <w:ind w:firstLine="567"/>
        <w:rPr>
          <w:rFonts w:eastAsia="Calibri" w:cs="Times New Roman"/>
          <w:b/>
          <w:i/>
          <w:szCs w:val="24"/>
          <w:lang w:eastAsia="en-US"/>
        </w:rPr>
      </w:pPr>
    </w:p>
    <w:p w14:paraId="08343F36" w14:textId="77777777" w:rsidR="00C6033D" w:rsidRPr="00FF3DFF" w:rsidRDefault="00C6033D" w:rsidP="00C6033D">
      <w:pPr>
        <w:autoSpaceDE w:val="0"/>
        <w:autoSpaceDN w:val="0"/>
        <w:adjustRightInd w:val="0"/>
        <w:spacing w:before="240" w:after="240"/>
        <w:ind w:firstLine="0"/>
        <w:jc w:val="center"/>
        <w:rPr>
          <w:rFonts w:eastAsia="Times New Roman" w:cs="Times New Roman"/>
          <w:b/>
          <w:color w:val="000000"/>
          <w:sz w:val="28"/>
          <w:szCs w:val="32"/>
        </w:rPr>
      </w:pPr>
      <w:bookmarkStart w:id="47" w:name="_Toc126011237"/>
      <w:bookmarkStart w:id="48" w:name="_Toc126044021"/>
      <w:r w:rsidRPr="00FF3DFF">
        <w:rPr>
          <w:rFonts w:eastAsia="Times New Roman" w:cs="Times New Roman"/>
          <w:b/>
          <w:color w:val="000000"/>
          <w:sz w:val="28"/>
          <w:szCs w:val="32"/>
        </w:rPr>
        <w:t>Ietekme uz vispārējās valdības budžetu un parādu</w:t>
      </w:r>
    </w:p>
    <w:p w14:paraId="5769B8CE" w14:textId="77777777" w:rsidR="00C6033D" w:rsidRPr="00FF3DFF" w:rsidRDefault="00C6033D" w:rsidP="00C6033D">
      <w:pPr>
        <w:autoSpaceDE w:val="0"/>
        <w:autoSpaceDN w:val="0"/>
        <w:adjustRightInd w:val="0"/>
        <w:spacing w:before="120"/>
        <w:rPr>
          <w:rFonts w:eastAsia="Times New Roman" w:cs="Times New Roman"/>
          <w:noProof/>
          <w:szCs w:val="24"/>
        </w:rPr>
      </w:pPr>
      <w:r w:rsidRPr="00FF3DFF">
        <w:rPr>
          <w:rFonts w:eastAsia="Times New Roman" w:cs="Times New Roman"/>
          <w:noProof/>
          <w:szCs w:val="24"/>
        </w:rPr>
        <w:t xml:space="preserve">Īstenojoties pesimistiskajam scenārijam, kopbudžeta nodokļu ieņēmumi un valsts pamatbudžeta nenodokļu ieņēmumi samazinātos par 95,5 milj. </w:t>
      </w:r>
      <w:r w:rsidRPr="00FF3DFF">
        <w:rPr>
          <w:rFonts w:eastAsia="Times New Roman" w:cs="Times New Roman"/>
          <w:i/>
          <w:iCs/>
          <w:noProof/>
          <w:szCs w:val="24"/>
        </w:rPr>
        <w:t>euro</w:t>
      </w:r>
      <w:r w:rsidRPr="00FF3DFF">
        <w:rPr>
          <w:rFonts w:eastAsia="Times New Roman" w:cs="Times New Roman"/>
          <w:noProof/>
          <w:szCs w:val="24"/>
        </w:rPr>
        <w:t xml:space="preserve"> jeb 0,2% no IKP 2023. gadā salīdzinājumā ar bāzes scenāriju. 2024. gādā tie būtu par 166,6 milj. </w:t>
      </w:r>
      <w:r w:rsidRPr="00FF3DFF">
        <w:rPr>
          <w:rFonts w:eastAsia="Times New Roman" w:cs="Times New Roman"/>
          <w:i/>
          <w:iCs/>
          <w:noProof/>
          <w:szCs w:val="24"/>
        </w:rPr>
        <w:t>euro</w:t>
      </w:r>
      <w:r w:rsidRPr="00FF3DFF">
        <w:rPr>
          <w:rFonts w:eastAsia="Times New Roman" w:cs="Times New Roman"/>
          <w:noProof/>
          <w:szCs w:val="24"/>
        </w:rPr>
        <w:t xml:space="preserve"> jeb 0,4% no IKP zemāki, 2025. gadā par 224 milj. </w:t>
      </w:r>
      <w:r w:rsidRPr="00FF3DFF">
        <w:rPr>
          <w:rFonts w:eastAsia="Times New Roman" w:cs="Times New Roman"/>
          <w:i/>
          <w:iCs/>
          <w:noProof/>
          <w:szCs w:val="24"/>
        </w:rPr>
        <w:t>euro</w:t>
      </w:r>
      <w:r w:rsidRPr="00FF3DFF">
        <w:rPr>
          <w:rFonts w:eastAsia="Times New Roman" w:cs="Times New Roman"/>
          <w:noProof/>
          <w:szCs w:val="24"/>
        </w:rPr>
        <w:t xml:space="preserve"> jeb 0,5% no IKP un 2026. gadā par 231,1 milj. </w:t>
      </w:r>
      <w:r w:rsidRPr="00FF3DFF">
        <w:rPr>
          <w:rFonts w:eastAsia="Times New Roman" w:cs="Times New Roman"/>
          <w:i/>
          <w:iCs/>
          <w:noProof/>
          <w:szCs w:val="24"/>
        </w:rPr>
        <w:t>euro</w:t>
      </w:r>
      <w:r w:rsidRPr="00FF3DFF">
        <w:rPr>
          <w:rFonts w:eastAsia="Times New Roman" w:cs="Times New Roman"/>
          <w:noProof/>
          <w:szCs w:val="24"/>
        </w:rPr>
        <w:t xml:space="preserve"> jeb 0,5% no IKP zemāki nekā bāzes scenārijā.</w:t>
      </w:r>
    </w:p>
    <w:p w14:paraId="0DE3ADE6" w14:textId="77777777" w:rsidR="00C6033D" w:rsidRPr="00FF3DFF" w:rsidRDefault="00C6033D" w:rsidP="00C6033D">
      <w:pPr>
        <w:autoSpaceDE w:val="0"/>
        <w:autoSpaceDN w:val="0"/>
        <w:adjustRightInd w:val="0"/>
        <w:spacing w:before="120"/>
        <w:rPr>
          <w:rFonts w:eastAsia="Times New Roman" w:cs="Times New Roman"/>
          <w:noProof/>
          <w:szCs w:val="24"/>
        </w:rPr>
      </w:pPr>
      <w:r w:rsidRPr="00FF3DFF">
        <w:rPr>
          <w:rFonts w:eastAsia="Times New Roman" w:cs="Times New Roman"/>
          <w:noProof/>
          <w:szCs w:val="24"/>
        </w:rPr>
        <w:t xml:space="preserve">Izpildoties pesimistiskajam scenārijam, lielākais samazinājums kopbudžeta ieņēmumos būtu attiecināms uz valsts speciālo budžetu, ņemot vērā ietekmi uz darba tirgu. Pie šāda scenārija, samazinoties nodokļu ieņēmumiem, pasliktinātos arī valsts budžeta finansiālā bilance, kā rezultātā palielinātos kopējā finansēšanas nepieciešamība un attiecīgi arī aizņemšanās apjoms attiecīgajā periodā, salīdzinot ar bāzes scenāriju. Lielāks aizņemšanās </w:t>
      </w:r>
      <w:r w:rsidRPr="00FF3DFF">
        <w:rPr>
          <w:rFonts w:eastAsia="Times New Roman" w:cs="Times New Roman"/>
          <w:noProof/>
          <w:szCs w:val="24"/>
        </w:rPr>
        <w:lastRenderedPageBreak/>
        <w:t xml:space="preserve">apjoms izraisītu palielinājumu procentu izdevumos. Pesimistiskā scenārija gadījumā procentu izdevumi 2024. gadā palielinātos par 3,9 milj. </w:t>
      </w:r>
      <w:r w:rsidRPr="00FF3DFF">
        <w:rPr>
          <w:rFonts w:eastAsia="Times New Roman" w:cs="Times New Roman"/>
          <w:i/>
          <w:noProof/>
          <w:szCs w:val="24"/>
        </w:rPr>
        <w:t>euro</w:t>
      </w:r>
      <w:r w:rsidRPr="00FF3DFF">
        <w:rPr>
          <w:rFonts w:eastAsia="Times New Roman" w:cs="Times New Roman"/>
          <w:noProof/>
          <w:szCs w:val="24"/>
        </w:rPr>
        <w:t xml:space="preserve">, bet 2025. gadā izdevumi būtu par 14,3 milj. </w:t>
      </w:r>
      <w:r w:rsidRPr="00FF3DFF">
        <w:rPr>
          <w:rFonts w:eastAsia="Times New Roman" w:cs="Times New Roman"/>
          <w:i/>
          <w:noProof/>
          <w:szCs w:val="24"/>
        </w:rPr>
        <w:t>euro</w:t>
      </w:r>
      <w:r w:rsidRPr="00FF3DFF">
        <w:rPr>
          <w:rFonts w:eastAsia="Times New Roman" w:cs="Times New Roman"/>
          <w:noProof/>
          <w:szCs w:val="24"/>
        </w:rPr>
        <w:t xml:space="preserve"> lielāki un 2026. gadā par 26,8 milj. </w:t>
      </w:r>
      <w:r w:rsidRPr="00FF3DFF">
        <w:rPr>
          <w:rFonts w:eastAsia="Times New Roman" w:cs="Times New Roman"/>
          <w:i/>
          <w:noProof/>
          <w:szCs w:val="24"/>
        </w:rPr>
        <w:t>euro</w:t>
      </w:r>
      <w:r w:rsidRPr="00FF3DFF">
        <w:rPr>
          <w:rFonts w:eastAsia="Times New Roman" w:cs="Times New Roman"/>
          <w:noProof/>
          <w:szCs w:val="24"/>
        </w:rPr>
        <w:t xml:space="preserve"> lielāki nekā bāzes scenārijā.</w:t>
      </w:r>
    </w:p>
    <w:p w14:paraId="72931C14" w14:textId="77777777" w:rsidR="00C6033D" w:rsidRPr="00FF3DFF" w:rsidRDefault="00C6033D" w:rsidP="00C6033D">
      <w:pPr>
        <w:autoSpaceDE w:val="0"/>
        <w:autoSpaceDN w:val="0"/>
        <w:adjustRightInd w:val="0"/>
        <w:spacing w:before="120"/>
        <w:rPr>
          <w:rFonts w:eastAsia="Times New Roman" w:cs="Times New Roman"/>
          <w:noProof/>
          <w:szCs w:val="24"/>
        </w:rPr>
      </w:pPr>
      <w:r w:rsidRPr="00FF3DFF">
        <w:rPr>
          <w:rFonts w:eastAsia="Times New Roman" w:cs="Times New Roman"/>
          <w:noProof/>
          <w:szCs w:val="24"/>
        </w:rPr>
        <w:t xml:space="preserve">Vispārējās valdības budžeta bilance pesimistiskajā scenārijā 2023. gadā pasliktinātos līdz 3% deficītam no IKP jeb par 115 milj. </w:t>
      </w:r>
      <w:r w:rsidRPr="00FF3DFF">
        <w:rPr>
          <w:rFonts w:eastAsia="Times New Roman" w:cs="Times New Roman"/>
          <w:i/>
          <w:noProof/>
          <w:szCs w:val="24"/>
        </w:rPr>
        <w:t>euro</w:t>
      </w:r>
      <w:r w:rsidRPr="00FF3DFF">
        <w:rPr>
          <w:rFonts w:eastAsia="Times New Roman" w:cs="Times New Roman"/>
          <w:noProof/>
          <w:szCs w:val="24"/>
        </w:rPr>
        <w:t xml:space="preserve">, savukārt 2024., 2025. un 2026. gadā bilance pasliktinātos attiecīgi par 244,3 milj. </w:t>
      </w:r>
      <w:r w:rsidRPr="00FF3DFF">
        <w:rPr>
          <w:rFonts w:eastAsia="Times New Roman" w:cs="Times New Roman"/>
          <w:i/>
          <w:noProof/>
          <w:szCs w:val="24"/>
        </w:rPr>
        <w:t>euro,</w:t>
      </w:r>
      <w:r w:rsidRPr="00FF3DFF">
        <w:rPr>
          <w:rFonts w:eastAsia="Times New Roman" w:cs="Times New Roman"/>
          <w:noProof/>
          <w:szCs w:val="24"/>
        </w:rPr>
        <w:t xml:space="preserve"> 281,8 milj. </w:t>
      </w:r>
      <w:r w:rsidRPr="00FF3DFF">
        <w:rPr>
          <w:rFonts w:eastAsia="Times New Roman" w:cs="Times New Roman"/>
          <w:i/>
          <w:noProof/>
          <w:szCs w:val="24"/>
        </w:rPr>
        <w:t xml:space="preserve">euro </w:t>
      </w:r>
      <w:r w:rsidRPr="00FF3DFF">
        <w:rPr>
          <w:rFonts w:eastAsia="Times New Roman" w:cs="Times New Roman"/>
          <w:iCs/>
          <w:noProof/>
          <w:szCs w:val="24"/>
        </w:rPr>
        <w:t>un</w:t>
      </w:r>
      <w:r w:rsidRPr="00FF3DFF">
        <w:rPr>
          <w:rFonts w:eastAsia="Times New Roman" w:cs="Times New Roman"/>
          <w:i/>
          <w:noProof/>
          <w:szCs w:val="24"/>
        </w:rPr>
        <w:t xml:space="preserve"> </w:t>
      </w:r>
      <w:r w:rsidRPr="00FF3DFF">
        <w:rPr>
          <w:rFonts w:eastAsia="Times New Roman" w:cs="Times New Roman"/>
          <w:noProof/>
          <w:szCs w:val="24"/>
        </w:rPr>
        <w:t xml:space="preserve">259,8 milj. </w:t>
      </w:r>
      <w:r w:rsidRPr="00FF3DFF">
        <w:rPr>
          <w:rFonts w:eastAsia="Times New Roman" w:cs="Times New Roman"/>
          <w:i/>
          <w:noProof/>
          <w:szCs w:val="24"/>
        </w:rPr>
        <w:t>euro</w:t>
      </w:r>
      <w:r w:rsidRPr="00FF3DFF">
        <w:rPr>
          <w:rFonts w:eastAsia="Times New Roman" w:cs="Times New Roman"/>
          <w:iCs/>
          <w:noProof/>
          <w:szCs w:val="24"/>
        </w:rPr>
        <w:t>. V</w:t>
      </w:r>
      <w:r w:rsidRPr="00FF3DFF">
        <w:rPr>
          <w:rFonts w:eastAsia="Times New Roman" w:cs="Times New Roman"/>
          <w:noProof/>
          <w:szCs w:val="24"/>
        </w:rPr>
        <w:t xml:space="preserve">ispārējās valdības budžeta deficīts sasniegtu 3,4% no IKP 2024. gadā, 2,9% no IKP 2025. gadā un 1,4% no IKP 2026. gadā. </w:t>
      </w:r>
    </w:p>
    <w:p w14:paraId="10A92F11" w14:textId="6D9DEAE8" w:rsidR="00C6033D" w:rsidRPr="00FF3DFF" w:rsidRDefault="00C6033D" w:rsidP="00C6033D">
      <w:pPr>
        <w:spacing w:before="240"/>
        <w:ind w:firstLine="0"/>
        <w:jc w:val="right"/>
        <w:rPr>
          <w:rFonts w:eastAsia="Calibri" w:cs="Times New Roman"/>
          <w:b/>
          <w:i/>
          <w:noProof/>
          <w:szCs w:val="24"/>
          <w:lang w:eastAsia="en-US"/>
        </w:rPr>
      </w:pPr>
      <w:r w:rsidRPr="00FF3DFF">
        <w:rPr>
          <w:rFonts w:eastAsia="Calibri" w:cs="Times New Roman"/>
          <w:b/>
          <w:i/>
          <w:szCs w:val="24"/>
          <w:lang w:eastAsia="en-US"/>
        </w:rPr>
        <w:t>1.</w:t>
      </w:r>
      <w:r w:rsidR="00280666">
        <w:rPr>
          <w:rFonts w:eastAsia="Calibri" w:cs="Times New Roman"/>
          <w:b/>
          <w:i/>
          <w:szCs w:val="24"/>
          <w:lang w:eastAsia="en-US"/>
        </w:rPr>
        <w:t>7</w:t>
      </w:r>
      <w:r w:rsidRPr="00FF3DFF">
        <w:rPr>
          <w:rFonts w:eastAsia="Calibri" w:cs="Times New Roman"/>
          <w:b/>
          <w:i/>
          <w:szCs w:val="24"/>
          <w:lang w:eastAsia="en-US"/>
        </w:rPr>
        <w:t xml:space="preserve">. tabula. Pesimistiskā scenārija ietekme uz vispārējās valdības budžetu, </w:t>
      </w:r>
      <w:r w:rsidRPr="00FF3DFF">
        <w:rPr>
          <w:rFonts w:eastAsia="Calibri" w:cs="Times New Roman"/>
          <w:b/>
          <w:i/>
          <w:noProof/>
          <w:szCs w:val="24"/>
          <w:lang w:eastAsia="en-US"/>
        </w:rPr>
        <w:t>milj. euro</w:t>
      </w:r>
    </w:p>
    <w:tbl>
      <w:tblPr>
        <w:tblW w:w="9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2"/>
        <w:gridCol w:w="848"/>
        <w:gridCol w:w="847"/>
        <w:gridCol w:w="848"/>
        <w:gridCol w:w="847"/>
        <w:gridCol w:w="706"/>
        <w:gridCol w:w="706"/>
        <w:gridCol w:w="705"/>
        <w:gridCol w:w="646"/>
      </w:tblGrid>
      <w:tr w:rsidR="00C6033D" w:rsidRPr="00FF3DFF" w14:paraId="7762C594" w14:textId="77777777" w:rsidTr="007B37F8">
        <w:trPr>
          <w:trHeight w:val="257"/>
          <w:tblHeader/>
          <w:jc w:val="center"/>
        </w:trPr>
        <w:tc>
          <w:tcPr>
            <w:tcW w:w="2962" w:type="dxa"/>
            <w:shd w:val="clear" w:color="auto" w:fill="BDD6EE" w:themeFill="accent1" w:themeFillTint="66"/>
            <w:vAlign w:val="center"/>
            <w:hideMark/>
          </w:tcPr>
          <w:p w14:paraId="457F6622" w14:textId="77777777" w:rsidR="00C6033D" w:rsidRPr="00FF3DFF" w:rsidRDefault="00C6033D" w:rsidP="007B37F8">
            <w:pPr>
              <w:spacing w:after="0"/>
              <w:ind w:firstLine="0"/>
              <w:jc w:val="left"/>
              <w:rPr>
                <w:rFonts w:eastAsia="Times New Roman" w:cs="Times New Roman"/>
                <w:sz w:val="18"/>
                <w:szCs w:val="18"/>
              </w:rPr>
            </w:pPr>
          </w:p>
        </w:tc>
        <w:tc>
          <w:tcPr>
            <w:tcW w:w="3390" w:type="dxa"/>
            <w:gridSpan w:val="4"/>
            <w:shd w:val="clear" w:color="auto" w:fill="BDD6EE" w:themeFill="accent1" w:themeFillTint="66"/>
            <w:vAlign w:val="center"/>
          </w:tcPr>
          <w:p w14:paraId="437E00B7"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Pesimistiskais scenārijs</w:t>
            </w:r>
          </w:p>
        </w:tc>
        <w:tc>
          <w:tcPr>
            <w:tcW w:w="2763" w:type="dxa"/>
            <w:gridSpan w:val="4"/>
            <w:shd w:val="clear" w:color="auto" w:fill="BDD6EE" w:themeFill="accent1" w:themeFillTint="66"/>
            <w:vAlign w:val="center"/>
          </w:tcPr>
          <w:p w14:paraId="53EE4891"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Novirze no bāzes scenārija</w:t>
            </w:r>
          </w:p>
        </w:tc>
      </w:tr>
      <w:tr w:rsidR="00C6033D" w:rsidRPr="00FF3DFF" w14:paraId="3F7C236D" w14:textId="77777777" w:rsidTr="007B37F8">
        <w:trPr>
          <w:trHeight w:val="221"/>
          <w:tblHeader/>
          <w:jc w:val="center"/>
        </w:trPr>
        <w:tc>
          <w:tcPr>
            <w:tcW w:w="2962" w:type="dxa"/>
            <w:shd w:val="clear" w:color="auto" w:fill="BDD6EE" w:themeFill="accent1" w:themeFillTint="66"/>
            <w:vAlign w:val="center"/>
            <w:hideMark/>
          </w:tcPr>
          <w:p w14:paraId="2342B5FB" w14:textId="77777777" w:rsidR="00C6033D" w:rsidRPr="00FF3DFF" w:rsidRDefault="00C6033D" w:rsidP="007B37F8">
            <w:pPr>
              <w:spacing w:after="0"/>
              <w:ind w:firstLine="0"/>
              <w:jc w:val="left"/>
              <w:rPr>
                <w:rFonts w:eastAsia="Times New Roman" w:cs="Times New Roman"/>
                <w:sz w:val="18"/>
                <w:szCs w:val="18"/>
              </w:rPr>
            </w:pPr>
          </w:p>
        </w:tc>
        <w:tc>
          <w:tcPr>
            <w:tcW w:w="848" w:type="dxa"/>
            <w:shd w:val="clear" w:color="auto" w:fill="BDD6EE" w:themeFill="accent1" w:themeFillTint="66"/>
            <w:tcMar>
              <w:left w:w="57" w:type="dxa"/>
              <w:right w:w="57" w:type="dxa"/>
            </w:tcMar>
            <w:vAlign w:val="center"/>
          </w:tcPr>
          <w:p w14:paraId="514C115C"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2023</w:t>
            </w:r>
          </w:p>
        </w:tc>
        <w:tc>
          <w:tcPr>
            <w:tcW w:w="847" w:type="dxa"/>
            <w:shd w:val="clear" w:color="auto" w:fill="BDD6EE" w:themeFill="accent1" w:themeFillTint="66"/>
            <w:tcMar>
              <w:left w:w="57" w:type="dxa"/>
              <w:right w:w="57" w:type="dxa"/>
            </w:tcMar>
            <w:vAlign w:val="center"/>
          </w:tcPr>
          <w:p w14:paraId="6E42D295"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2024</w:t>
            </w:r>
          </w:p>
        </w:tc>
        <w:tc>
          <w:tcPr>
            <w:tcW w:w="848" w:type="dxa"/>
            <w:shd w:val="clear" w:color="auto" w:fill="BDD6EE" w:themeFill="accent1" w:themeFillTint="66"/>
            <w:tcMar>
              <w:left w:w="57" w:type="dxa"/>
              <w:right w:w="57" w:type="dxa"/>
            </w:tcMar>
            <w:vAlign w:val="center"/>
          </w:tcPr>
          <w:p w14:paraId="14958801"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2025</w:t>
            </w:r>
          </w:p>
        </w:tc>
        <w:tc>
          <w:tcPr>
            <w:tcW w:w="847" w:type="dxa"/>
            <w:shd w:val="clear" w:color="auto" w:fill="BDD6EE" w:themeFill="accent1" w:themeFillTint="66"/>
            <w:tcMar>
              <w:left w:w="57" w:type="dxa"/>
              <w:right w:w="57" w:type="dxa"/>
            </w:tcMar>
            <w:vAlign w:val="center"/>
          </w:tcPr>
          <w:p w14:paraId="478F5B2A"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2026</w:t>
            </w:r>
          </w:p>
        </w:tc>
        <w:tc>
          <w:tcPr>
            <w:tcW w:w="706" w:type="dxa"/>
            <w:shd w:val="clear" w:color="auto" w:fill="BDD6EE" w:themeFill="accent1" w:themeFillTint="66"/>
            <w:tcMar>
              <w:left w:w="57" w:type="dxa"/>
              <w:right w:w="57" w:type="dxa"/>
            </w:tcMar>
            <w:vAlign w:val="center"/>
            <w:hideMark/>
          </w:tcPr>
          <w:p w14:paraId="61A93B10"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2023</w:t>
            </w:r>
          </w:p>
        </w:tc>
        <w:tc>
          <w:tcPr>
            <w:tcW w:w="706" w:type="dxa"/>
            <w:shd w:val="clear" w:color="auto" w:fill="BDD6EE" w:themeFill="accent1" w:themeFillTint="66"/>
            <w:tcMar>
              <w:left w:w="57" w:type="dxa"/>
              <w:right w:w="57" w:type="dxa"/>
            </w:tcMar>
            <w:vAlign w:val="center"/>
            <w:hideMark/>
          </w:tcPr>
          <w:p w14:paraId="344BC8BA"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2024</w:t>
            </w:r>
          </w:p>
        </w:tc>
        <w:tc>
          <w:tcPr>
            <w:tcW w:w="705" w:type="dxa"/>
            <w:shd w:val="clear" w:color="auto" w:fill="BDD6EE" w:themeFill="accent1" w:themeFillTint="66"/>
            <w:tcMar>
              <w:left w:w="57" w:type="dxa"/>
              <w:right w:w="57" w:type="dxa"/>
            </w:tcMar>
            <w:vAlign w:val="center"/>
          </w:tcPr>
          <w:p w14:paraId="5A606155"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2025</w:t>
            </w:r>
          </w:p>
        </w:tc>
        <w:tc>
          <w:tcPr>
            <w:tcW w:w="646" w:type="dxa"/>
            <w:shd w:val="clear" w:color="auto" w:fill="BDD6EE" w:themeFill="accent1" w:themeFillTint="66"/>
            <w:tcMar>
              <w:left w:w="57" w:type="dxa"/>
              <w:right w:w="57" w:type="dxa"/>
            </w:tcMar>
            <w:vAlign w:val="center"/>
            <w:hideMark/>
          </w:tcPr>
          <w:p w14:paraId="3E82EAF2"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2026</w:t>
            </w:r>
          </w:p>
        </w:tc>
      </w:tr>
      <w:tr w:rsidR="00C6033D" w:rsidRPr="00FF3DFF" w14:paraId="0B1C8D4D" w14:textId="77777777" w:rsidTr="007B37F8">
        <w:trPr>
          <w:trHeight w:val="367"/>
          <w:jc w:val="center"/>
        </w:trPr>
        <w:tc>
          <w:tcPr>
            <w:tcW w:w="2962" w:type="dxa"/>
            <w:shd w:val="clear" w:color="auto" w:fill="auto"/>
            <w:vAlign w:val="center"/>
          </w:tcPr>
          <w:p w14:paraId="1867DA73" w14:textId="77777777" w:rsidR="00C6033D" w:rsidRPr="00FF3DFF" w:rsidRDefault="00C6033D" w:rsidP="007B37F8">
            <w:pPr>
              <w:spacing w:after="0"/>
              <w:ind w:firstLine="0"/>
              <w:jc w:val="left"/>
              <w:rPr>
                <w:rFonts w:eastAsia="Times New Roman" w:cs="Times New Roman"/>
                <w:b/>
                <w:sz w:val="18"/>
                <w:szCs w:val="18"/>
              </w:rPr>
            </w:pPr>
            <w:r w:rsidRPr="00FF3DFF">
              <w:rPr>
                <w:rFonts w:eastAsia="Times New Roman" w:cs="Times New Roman"/>
                <w:b/>
                <w:sz w:val="18"/>
                <w:szCs w:val="18"/>
              </w:rPr>
              <w:t>Vispārējās valdības budžeta bilance</w:t>
            </w:r>
            <w:r w:rsidRPr="00FF3DFF">
              <w:rPr>
                <w:rFonts w:eastAsia="Times New Roman" w:cs="Times New Roman"/>
                <w:b/>
                <w:sz w:val="18"/>
                <w:szCs w:val="18"/>
                <w:vertAlign w:val="superscript"/>
              </w:rPr>
              <w:footnoteReference w:id="3"/>
            </w:r>
            <w:r w:rsidRPr="00FF3DFF">
              <w:rPr>
                <w:rFonts w:eastAsia="Times New Roman" w:cs="Times New Roman"/>
                <w:b/>
                <w:sz w:val="18"/>
                <w:szCs w:val="18"/>
              </w:rPr>
              <w:t>, % no IKP</w:t>
            </w:r>
          </w:p>
        </w:tc>
        <w:tc>
          <w:tcPr>
            <w:tcW w:w="848" w:type="dxa"/>
            <w:shd w:val="clear" w:color="auto" w:fill="auto"/>
            <w:tcMar>
              <w:left w:w="57" w:type="dxa"/>
              <w:right w:w="57" w:type="dxa"/>
            </w:tcMar>
            <w:vAlign w:val="center"/>
          </w:tcPr>
          <w:p w14:paraId="63343D0D"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-3,0</w:t>
            </w:r>
          </w:p>
        </w:tc>
        <w:tc>
          <w:tcPr>
            <w:tcW w:w="847" w:type="dxa"/>
            <w:shd w:val="clear" w:color="auto" w:fill="auto"/>
            <w:tcMar>
              <w:left w:w="57" w:type="dxa"/>
              <w:right w:w="57" w:type="dxa"/>
            </w:tcMar>
            <w:vAlign w:val="center"/>
          </w:tcPr>
          <w:p w14:paraId="6616FC4E"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-3,4</w:t>
            </w:r>
          </w:p>
        </w:tc>
        <w:tc>
          <w:tcPr>
            <w:tcW w:w="848" w:type="dxa"/>
            <w:shd w:val="clear" w:color="auto" w:fill="auto"/>
            <w:tcMar>
              <w:left w:w="57" w:type="dxa"/>
              <w:right w:w="57" w:type="dxa"/>
            </w:tcMar>
            <w:vAlign w:val="center"/>
          </w:tcPr>
          <w:p w14:paraId="1ADA1B59"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-2,9</w:t>
            </w:r>
          </w:p>
        </w:tc>
        <w:tc>
          <w:tcPr>
            <w:tcW w:w="847" w:type="dxa"/>
            <w:shd w:val="clear" w:color="auto" w:fill="auto"/>
            <w:tcMar>
              <w:left w:w="57" w:type="dxa"/>
              <w:right w:w="57" w:type="dxa"/>
            </w:tcMar>
            <w:vAlign w:val="center"/>
          </w:tcPr>
          <w:p w14:paraId="3C57E519"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-1,4</w:t>
            </w:r>
          </w:p>
        </w:tc>
        <w:tc>
          <w:tcPr>
            <w:tcW w:w="706" w:type="dxa"/>
            <w:shd w:val="clear" w:color="auto" w:fill="auto"/>
            <w:tcMar>
              <w:left w:w="57" w:type="dxa"/>
              <w:right w:w="57" w:type="dxa"/>
            </w:tcMar>
            <w:vAlign w:val="center"/>
          </w:tcPr>
          <w:p w14:paraId="12FCB9AA"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-0,2</w:t>
            </w:r>
          </w:p>
        </w:tc>
        <w:tc>
          <w:tcPr>
            <w:tcW w:w="706" w:type="dxa"/>
            <w:shd w:val="clear" w:color="auto" w:fill="auto"/>
            <w:tcMar>
              <w:left w:w="57" w:type="dxa"/>
              <w:right w:w="57" w:type="dxa"/>
            </w:tcMar>
            <w:vAlign w:val="center"/>
          </w:tcPr>
          <w:p w14:paraId="046B7079" w14:textId="77777777" w:rsidR="00C6033D" w:rsidRPr="00FF3DFF" w:rsidRDefault="00C6033D" w:rsidP="007B37F8">
            <w:pPr>
              <w:spacing w:after="0" w:line="259" w:lineRule="auto"/>
              <w:ind w:firstLine="0"/>
              <w:jc w:val="right"/>
              <w:rPr>
                <w:rFonts w:eastAsia="Times New Roman" w:cs="Times New Roman"/>
                <w:b/>
                <w:sz w:val="18"/>
                <w:szCs w:val="18"/>
              </w:rPr>
            </w:pPr>
            <w:r w:rsidRPr="00FF3DFF">
              <w:rPr>
                <w:rFonts w:eastAsia="Times New Roman" w:cs="Times New Roman"/>
                <w:b/>
                <w:sz w:val="18"/>
                <w:szCs w:val="18"/>
              </w:rPr>
              <w:t>-0,4</w:t>
            </w:r>
          </w:p>
        </w:tc>
        <w:tc>
          <w:tcPr>
            <w:tcW w:w="705" w:type="dxa"/>
            <w:shd w:val="clear" w:color="auto" w:fill="auto"/>
            <w:tcMar>
              <w:left w:w="57" w:type="dxa"/>
              <w:right w:w="57" w:type="dxa"/>
            </w:tcMar>
            <w:vAlign w:val="center"/>
          </w:tcPr>
          <w:p w14:paraId="28C690E6" w14:textId="77777777" w:rsidR="00C6033D" w:rsidRPr="00FF3DFF" w:rsidRDefault="00C6033D" w:rsidP="007B37F8">
            <w:pPr>
              <w:spacing w:after="0" w:line="259" w:lineRule="auto"/>
              <w:ind w:firstLine="0"/>
              <w:jc w:val="right"/>
              <w:rPr>
                <w:rFonts w:eastAsia="Times New Roman" w:cs="Times New Roman"/>
                <w:b/>
                <w:sz w:val="18"/>
                <w:szCs w:val="18"/>
              </w:rPr>
            </w:pPr>
            <w:r w:rsidRPr="00FF3DFF">
              <w:rPr>
                <w:rFonts w:eastAsia="Times New Roman" w:cs="Times New Roman"/>
                <w:b/>
                <w:sz w:val="18"/>
                <w:szCs w:val="18"/>
              </w:rPr>
              <w:t>-0,5</w:t>
            </w:r>
          </w:p>
        </w:tc>
        <w:tc>
          <w:tcPr>
            <w:tcW w:w="646" w:type="dxa"/>
            <w:shd w:val="clear" w:color="auto" w:fill="auto"/>
            <w:tcMar>
              <w:left w:w="57" w:type="dxa"/>
              <w:right w:w="57" w:type="dxa"/>
            </w:tcMar>
            <w:vAlign w:val="center"/>
          </w:tcPr>
          <w:p w14:paraId="64B19135" w14:textId="77777777" w:rsidR="00C6033D" w:rsidRPr="00FF3DFF" w:rsidRDefault="00C6033D" w:rsidP="007B37F8">
            <w:pPr>
              <w:spacing w:after="0" w:line="259" w:lineRule="auto"/>
              <w:ind w:firstLine="0"/>
              <w:jc w:val="right"/>
              <w:rPr>
                <w:rFonts w:eastAsia="Times New Roman" w:cs="Times New Roman"/>
                <w:b/>
                <w:sz w:val="18"/>
                <w:szCs w:val="18"/>
              </w:rPr>
            </w:pPr>
            <w:r w:rsidRPr="00FF3DFF">
              <w:rPr>
                <w:rFonts w:eastAsia="Times New Roman" w:cs="Times New Roman"/>
                <w:b/>
                <w:sz w:val="18"/>
                <w:szCs w:val="18"/>
              </w:rPr>
              <w:t>-0,4</w:t>
            </w:r>
          </w:p>
        </w:tc>
      </w:tr>
      <w:tr w:rsidR="00C6033D" w:rsidRPr="00FF3DFF" w14:paraId="2B992350" w14:textId="77777777" w:rsidTr="007B37F8">
        <w:trPr>
          <w:trHeight w:val="186"/>
          <w:jc w:val="center"/>
        </w:trPr>
        <w:tc>
          <w:tcPr>
            <w:tcW w:w="2962" w:type="dxa"/>
            <w:shd w:val="clear" w:color="auto" w:fill="auto"/>
            <w:vAlign w:val="center"/>
          </w:tcPr>
          <w:p w14:paraId="61657DCA" w14:textId="77777777" w:rsidR="00C6033D" w:rsidRPr="00FF3DFF" w:rsidRDefault="00C6033D" w:rsidP="007B37F8">
            <w:pPr>
              <w:spacing w:after="0"/>
              <w:ind w:firstLine="0"/>
              <w:jc w:val="left"/>
              <w:rPr>
                <w:rFonts w:eastAsia="Times New Roman" w:cs="Times New Roman"/>
                <w:sz w:val="18"/>
                <w:szCs w:val="18"/>
              </w:rPr>
            </w:pPr>
            <w:r w:rsidRPr="00FF3DFF">
              <w:rPr>
                <w:rFonts w:eastAsia="Times New Roman" w:cs="Times New Roman"/>
                <w:sz w:val="18"/>
                <w:szCs w:val="18"/>
              </w:rPr>
              <w:t>Vispārējās valdības budžeta bilance</w:t>
            </w:r>
          </w:p>
        </w:tc>
        <w:tc>
          <w:tcPr>
            <w:tcW w:w="848" w:type="dxa"/>
            <w:shd w:val="clear" w:color="auto" w:fill="auto"/>
            <w:tcMar>
              <w:left w:w="57" w:type="dxa"/>
              <w:right w:w="57" w:type="dxa"/>
            </w:tcMar>
            <w:vAlign w:val="center"/>
          </w:tcPr>
          <w:p w14:paraId="0D979EC7" w14:textId="77777777" w:rsidR="00C6033D" w:rsidRPr="00FF3DFF" w:rsidRDefault="00C6033D" w:rsidP="007B37F8">
            <w:pPr>
              <w:spacing w:after="0"/>
              <w:ind w:firstLine="0"/>
              <w:jc w:val="right"/>
              <w:rPr>
                <w:rFonts w:eastAsia="Times New Roman" w:cs="Times New Roman"/>
                <w:sz w:val="18"/>
                <w:szCs w:val="18"/>
              </w:rPr>
            </w:pPr>
            <w:r w:rsidRPr="00FF3DFF">
              <w:rPr>
                <w:rFonts w:eastAsia="Times New Roman" w:cs="Times New Roman"/>
                <w:sz w:val="18"/>
                <w:szCs w:val="18"/>
              </w:rPr>
              <w:t>-1 271,4</w:t>
            </w:r>
          </w:p>
        </w:tc>
        <w:tc>
          <w:tcPr>
            <w:tcW w:w="847" w:type="dxa"/>
            <w:shd w:val="clear" w:color="auto" w:fill="auto"/>
            <w:tcMar>
              <w:left w:w="57" w:type="dxa"/>
              <w:right w:w="57" w:type="dxa"/>
            </w:tcMar>
            <w:vAlign w:val="bottom"/>
          </w:tcPr>
          <w:p w14:paraId="0CB2FD75" w14:textId="77777777" w:rsidR="00C6033D" w:rsidRPr="00FF3DFF" w:rsidRDefault="00C6033D" w:rsidP="007B37F8">
            <w:pPr>
              <w:spacing w:after="0"/>
              <w:ind w:firstLine="0"/>
              <w:jc w:val="right"/>
              <w:rPr>
                <w:rFonts w:eastAsia="Times New Roman" w:cs="Times New Roman"/>
                <w:sz w:val="18"/>
                <w:szCs w:val="18"/>
              </w:rPr>
            </w:pPr>
            <w:r w:rsidRPr="00FF3DFF">
              <w:rPr>
                <w:rFonts w:eastAsia="Times New Roman" w:cs="Times New Roman"/>
                <w:sz w:val="18"/>
                <w:szCs w:val="18"/>
                <w:lang w:eastAsia="en-US"/>
              </w:rPr>
              <w:t>-1 531,2</w:t>
            </w:r>
          </w:p>
        </w:tc>
        <w:tc>
          <w:tcPr>
            <w:tcW w:w="848" w:type="dxa"/>
            <w:shd w:val="clear" w:color="auto" w:fill="auto"/>
            <w:tcMar>
              <w:left w:w="57" w:type="dxa"/>
              <w:right w:w="57" w:type="dxa"/>
            </w:tcMar>
            <w:vAlign w:val="bottom"/>
          </w:tcPr>
          <w:p w14:paraId="49B217B8" w14:textId="77777777" w:rsidR="00C6033D" w:rsidRPr="00FF3DFF" w:rsidRDefault="00C6033D" w:rsidP="007B37F8">
            <w:pPr>
              <w:spacing w:after="0"/>
              <w:ind w:firstLine="0"/>
              <w:jc w:val="right"/>
              <w:rPr>
                <w:rFonts w:eastAsia="Times New Roman" w:cs="Times New Roman"/>
                <w:sz w:val="18"/>
                <w:szCs w:val="18"/>
              </w:rPr>
            </w:pPr>
            <w:r w:rsidRPr="00FF3DFF">
              <w:rPr>
                <w:rFonts w:eastAsia="Times New Roman" w:cs="Times New Roman"/>
                <w:sz w:val="18"/>
                <w:szCs w:val="18"/>
                <w:lang w:eastAsia="en-US"/>
              </w:rPr>
              <w:t>-1 416,7</w:t>
            </w:r>
          </w:p>
        </w:tc>
        <w:tc>
          <w:tcPr>
            <w:tcW w:w="847" w:type="dxa"/>
            <w:shd w:val="clear" w:color="auto" w:fill="auto"/>
            <w:tcMar>
              <w:left w:w="57" w:type="dxa"/>
              <w:right w:w="57" w:type="dxa"/>
            </w:tcMar>
            <w:vAlign w:val="bottom"/>
          </w:tcPr>
          <w:p w14:paraId="5044B9BF" w14:textId="77777777" w:rsidR="00C6033D" w:rsidRPr="00FF3DFF" w:rsidRDefault="00C6033D" w:rsidP="007B37F8">
            <w:pPr>
              <w:spacing w:after="0"/>
              <w:ind w:firstLine="0"/>
              <w:jc w:val="right"/>
              <w:rPr>
                <w:rFonts w:eastAsia="Times New Roman" w:cs="Times New Roman"/>
                <w:sz w:val="18"/>
                <w:szCs w:val="18"/>
              </w:rPr>
            </w:pPr>
            <w:r w:rsidRPr="00FF3DFF">
              <w:rPr>
                <w:rFonts w:eastAsia="Times New Roman" w:cs="Times New Roman"/>
                <w:sz w:val="18"/>
                <w:szCs w:val="18"/>
                <w:lang w:eastAsia="en-US"/>
              </w:rPr>
              <w:t>-726,8</w:t>
            </w:r>
          </w:p>
        </w:tc>
        <w:tc>
          <w:tcPr>
            <w:tcW w:w="706" w:type="dxa"/>
            <w:shd w:val="clear" w:color="auto" w:fill="auto"/>
            <w:tcMar>
              <w:left w:w="57" w:type="dxa"/>
              <w:right w:w="57" w:type="dxa"/>
            </w:tcMar>
            <w:vAlign w:val="center"/>
          </w:tcPr>
          <w:p w14:paraId="7796AE4C" w14:textId="77777777" w:rsidR="00C6033D" w:rsidRPr="00FF3DFF" w:rsidRDefault="00C6033D" w:rsidP="007B37F8">
            <w:pPr>
              <w:spacing w:after="0"/>
              <w:ind w:firstLine="0"/>
              <w:jc w:val="right"/>
              <w:rPr>
                <w:rFonts w:eastAsia="Times New Roman" w:cs="Times New Roman"/>
                <w:sz w:val="18"/>
                <w:szCs w:val="18"/>
              </w:rPr>
            </w:pPr>
            <w:r w:rsidRPr="00FF3DFF">
              <w:rPr>
                <w:rFonts w:eastAsia="Times New Roman" w:cs="Times New Roman"/>
                <w:sz w:val="18"/>
                <w:szCs w:val="18"/>
              </w:rPr>
              <w:t>-115,0</w:t>
            </w:r>
          </w:p>
        </w:tc>
        <w:tc>
          <w:tcPr>
            <w:tcW w:w="706" w:type="dxa"/>
            <w:shd w:val="clear" w:color="auto" w:fill="auto"/>
            <w:tcMar>
              <w:left w:w="57" w:type="dxa"/>
              <w:right w:w="57" w:type="dxa"/>
            </w:tcMar>
            <w:vAlign w:val="center"/>
          </w:tcPr>
          <w:p w14:paraId="6AA9989C"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eastAsia="Times New Roman" w:cs="Times New Roman"/>
                <w:sz w:val="18"/>
                <w:szCs w:val="18"/>
              </w:rPr>
              <w:t>-244,3</w:t>
            </w:r>
          </w:p>
        </w:tc>
        <w:tc>
          <w:tcPr>
            <w:tcW w:w="705" w:type="dxa"/>
            <w:shd w:val="clear" w:color="auto" w:fill="auto"/>
            <w:tcMar>
              <w:left w:w="57" w:type="dxa"/>
              <w:right w:w="57" w:type="dxa"/>
            </w:tcMar>
            <w:vAlign w:val="center"/>
          </w:tcPr>
          <w:p w14:paraId="07509462"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eastAsia="Times New Roman" w:cs="Times New Roman"/>
                <w:sz w:val="18"/>
                <w:szCs w:val="18"/>
              </w:rPr>
              <w:t>-281,8</w:t>
            </w:r>
          </w:p>
        </w:tc>
        <w:tc>
          <w:tcPr>
            <w:tcW w:w="646" w:type="dxa"/>
            <w:shd w:val="clear" w:color="auto" w:fill="auto"/>
            <w:tcMar>
              <w:left w:w="57" w:type="dxa"/>
              <w:right w:w="57" w:type="dxa"/>
            </w:tcMar>
            <w:vAlign w:val="center"/>
          </w:tcPr>
          <w:p w14:paraId="395922CF"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eastAsia="Times New Roman" w:cs="Times New Roman"/>
                <w:sz w:val="18"/>
                <w:szCs w:val="18"/>
              </w:rPr>
              <w:t>-259,8</w:t>
            </w:r>
          </w:p>
        </w:tc>
      </w:tr>
      <w:tr w:rsidR="00C6033D" w:rsidRPr="00FF3DFF" w14:paraId="4B655A28" w14:textId="77777777" w:rsidTr="007B37F8">
        <w:trPr>
          <w:trHeight w:val="231"/>
          <w:jc w:val="center"/>
        </w:trPr>
        <w:tc>
          <w:tcPr>
            <w:tcW w:w="2962" w:type="dxa"/>
            <w:shd w:val="clear" w:color="auto" w:fill="auto"/>
            <w:vAlign w:val="center"/>
          </w:tcPr>
          <w:p w14:paraId="2CEC6BD0" w14:textId="77777777" w:rsidR="00C6033D" w:rsidRPr="00FF3DFF" w:rsidRDefault="00C6033D" w:rsidP="007B37F8">
            <w:pPr>
              <w:spacing w:after="0"/>
              <w:ind w:left="166" w:firstLine="0"/>
              <w:jc w:val="left"/>
              <w:rPr>
                <w:rFonts w:eastAsia="Times New Roman" w:cs="Times New Roman"/>
                <w:color w:val="FF0000"/>
                <w:sz w:val="18"/>
                <w:szCs w:val="18"/>
              </w:rPr>
            </w:pPr>
            <w:r w:rsidRPr="00FF3DFF">
              <w:rPr>
                <w:rFonts w:eastAsia="Times New Roman" w:cs="Times New Roman"/>
                <w:sz w:val="18"/>
                <w:szCs w:val="18"/>
              </w:rPr>
              <w:t>Nodokļu ieņēmumi</w:t>
            </w:r>
          </w:p>
        </w:tc>
        <w:tc>
          <w:tcPr>
            <w:tcW w:w="848" w:type="dxa"/>
            <w:shd w:val="clear" w:color="auto" w:fill="auto"/>
            <w:tcMar>
              <w:left w:w="57" w:type="dxa"/>
              <w:right w:w="57" w:type="dxa"/>
            </w:tcMar>
            <w:vAlign w:val="bottom"/>
          </w:tcPr>
          <w:p w14:paraId="04F0C370"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12 587,2</w:t>
            </w:r>
          </w:p>
        </w:tc>
        <w:tc>
          <w:tcPr>
            <w:tcW w:w="847" w:type="dxa"/>
            <w:shd w:val="clear" w:color="auto" w:fill="auto"/>
            <w:tcMar>
              <w:left w:w="57" w:type="dxa"/>
              <w:right w:w="57" w:type="dxa"/>
            </w:tcMar>
            <w:vAlign w:val="bottom"/>
          </w:tcPr>
          <w:p w14:paraId="23864DFF"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13 638,2</w:t>
            </w:r>
          </w:p>
        </w:tc>
        <w:tc>
          <w:tcPr>
            <w:tcW w:w="848" w:type="dxa"/>
            <w:shd w:val="clear" w:color="auto" w:fill="auto"/>
            <w:tcMar>
              <w:left w:w="57" w:type="dxa"/>
              <w:right w:w="57" w:type="dxa"/>
            </w:tcMar>
            <w:vAlign w:val="bottom"/>
          </w:tcPr>
          <w:p w14:paraId="726AECDA"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14 363,0</w:t>
            </w:r>
          </w:p>
        </w:tc>
        <w:tc>
          <w:tcPr>
            <w:tcW w:w="847" w:type="dxa"/>
            <w:shd w:val="clear" w:color="auto" w:fill="auto"/>
            <w:tcMar>
              <w:left w:w="57" w:type="dxa"/>
              <w:right w:w="57" w:type="dxa"/>
            </w:tcMar>
            <w:vAlign w:val="bottom"/>
          </w:tcPr>
          <w:p w14:paraId="0B0D5066"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15 220,2</w:t>
            </w:r>
          </w:p>
        </w:tc>
        <w:tc>
          <w:tcPr>
            <w:tcW w:w="706" w:type="dxa"/>
            <w:shd w:val="clear" w:color="auto" w:fill="auto"/>
            <w:tcMar>
              <w:left w:w="57" w:type="dxa"/>
              <w:right w:w="57" w:type="dxa"/>
            </w:tcMar>
            <w:vAlign w:val="bottom"/>
          </w:tcPr>
          <w:p w14:paraId="18D20D6F"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-90,9</w:t>
            </w:r>
          </w:p>
        </w:tc>
        <w:tc>
          <w:tcPr>
            <w:tcW w:w="706" w:type="dxa"/>
            <w:shd w:val="clear" w:color="auto" w:fill="auto"/>
            <w:tcMar>
              <w:left w:w="57" w:type="dxa"/>
              <w:right w:w="57" w:type="dxa"/>
            </w:tcMar>
            <w:vAlign w:val="bottom"/>
          </w:tcPr>
          <w:p w14:paraId="4D5A0D87"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-167,8</w:t>
            </w:r>
          </w:p>
        </w:tc>
        <w:tc>
          <w:tcPr>
            <w:tcW w:w="705" w:type="dxa"/>
            <w:shd w:val="clear" w:color="auto" w:fill="auto"/>
            <w:tcMar>
              <w:left w:w="57" w:type="dxa"/>
              <w:right w:w="57" w:type="dxa"/>
            </w:tcMar>
            <w:vAlign w:val="bottom"/>
          </w:tcPr>
          <w:p w14:paraId="12C5C259"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-220,2</w:t>
            </w:r>
          </w:p>
        </w:tc>
        <w:tc>
          <w:tcPr>
            <w:tcW w:w="646" w:type="dxa"/>
            <w:shd w:val="clear" w:color="auto" w:fill="auto"/>
            <w:tcMar>
              <w:left w:w="57" w:type="dxa"/>
              <w:right w:w="57" w:type="dxa"/>
            </w:tcMar>
            <w:vAlign w:val="bottom"/>
          </w:tcPr>
          <w:p w14:paraId="47BD7CB0"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-227,9</w:t>
            </w:r>
          </w:p>
        </w:tc>
      </w:tr>
      <w:tr w:rsidR="00C6033D" w:rsidRPr="00FF3DFF" w14:paraId="401F6021" w14:textId="77777777" w:rsidTr="007B37F8">
        <w:trPr>
          <w:trHeight w:val="135"/>
          <w:jc w:val="center"/>
        </w:trPr>
        <w:tc>
          <w:tcPr>
            <w:tcW w:w="2962" w:type="dxa"/>
            <w:shd w:val="clear" w:color="auto" w:fill="auto"/>
            <w:vAlign w:val="center"/>
          </w:tcPr>
          <w:p w14:paraId="0A4091CB" w14:textId="77777777" w:rsidR="00C6033D" w:rsidRPr="00FF3DFF" w:rsidRDefault="00C6033D" w:rsidP="007B37F8">
            <w:pPr>
              <w:spacing w:after="0"/>
              <w:ind w:left="166" w:firstLine="0"/>
              <w:jc w:val="left"/>
              <w:rPr>
                <w:rFonts w:eastAsia="Times New Roman" w:cs="Times New Roman"/>
                <w:noProof/>
                <w:sz w:val="18"/>
                <w:szCs w:val="18"/>
              </w:rPr>
            </w:pPr>
            <w:r w:rsidRPr="00FF3DFF">
              <w:rPr>
                <w:rFonts w:eastAsia="Times New Roman" w:cs="Times New Roman"/>
                <w:noProof/>
                <w:sz w:val="18"/>
                <w:szCs w:val="18"/>
              </w:rPr>
              <w:t>Nenodokļu ieņēmumi</w:t>
            </w:r>
          </w:p>
        </w:tc>
        <w:tc>
          <w:tcPr>
            <w:tcW w:w="848" w:type="dxa"/>
            <w:shd w:val="clear" w:color="auto" w:fill="auto"/>
            <w:tcMar>
              <w:left w:w="57" w:type="dxa"/>
              <w:right w:w="57" w:type="dxa"/>
            </w:tcMar>
            <w:vAlign w:val="bottom"/>
          </w:tcPr>
          <w:p w14:paraId="6A25C361"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967,8</w:t>
            </w:r>
          </w:p>
        </w:tc>
        <w:tc>
          <w:tcPr>
            <w:tcW w:w="847" w:type="dxa"/>
            <w:shd w:val="clear" w:color="auto" w:fill="auto"/>
            <w:tcMar>
              <w:left w:w="57" w:type="dxa"/>
              <w:right w:w="57" w:type="dxa"/>
            </w:tcMar>
            <w:vAlign w:val="bottom"/>
          </w:tcPr>
          <w:p w14:paraId="45C547A4"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953,6</w:t>
            </w:r>
          </w:p>
        </w:tc>
        <w:tc>
          <w:tcPr>
            <w:tcW w:w="848" w:type="dxa"/>
            <w:shd w:val="clear" w:color="auto" w:fill="auto"/>
            <w:tcMar>
              <w:left w:w="57" w:type="dxa"/>
              <w:right w:w="57" w:type="dxa"/>
            </w:tcMar>
            <w:vAlign w:val="bottom"/>
          </w:tcPr>
          <w:p w14:paraId="3C5A2B88"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749,3</w:t>
            </w:r>
          </w:p>
        </w:tc>
        <w:tc>
          <w:tcPr>
            <w:tcW w:w="847" w:type="dxa"/>
            <w:shd w:val="clear" w:color="auto" w:fill="auto"/>
            <w:tcMar>
              <w:left w:w="57" w:type="dxa"/>
              <w:right w:w="57" w:type="dxa"/>
            </w:tcMar>
            <w:vAlign w:val="bottom"/>
          </w:tcPr>
          <w:p w14:paraId="6A44C8C9"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725,8</w:t>
            </w:r>
          </w:p>
        </w:tc>
        <w:tc>
          <w:tcPr>
            <w:tcW w:w="706" w:type="dxa"/>
            <w:shd w:val="clear" w:color="auto" w:fill="auto"/>
            <w:tcMar>
              <w:left w:w="57" w:type="dxa"/>
              <w:right w:w="57" w:type="dxa"/>
            </w:tcMar>
            <w:vAlign w:val="bottom"/>
          </w:tcPr>
          <w:p w14:paraId="6BD7B2B0"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-4,6</w:t>
            </w:r>
          </w:p>
        </w:tc>
        <w:tc>
          <w:tcPr>
            <w:tcW w:w="706" w:type="dxa"/>
            <w:shd w:val="clear" w:color="auto" w:fill="auto"/>
            <w:tcMar>
              <w:left w:w="57" w:type="dxa"/>
              <w:right w:w="57" w:type="dxa"/>
            </w:tcMar>
            <w:vAlign w:val="bottom"/>
          </w:tcPr>
          <w:p w14:paraId="4CEF0AD0"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1,2</w:t>
            </w:r>
          </w:p>
        </w:tc>
        <w:tc>
          <w:tcPr>
            <w:tcW w:w="705" w:type="dxa"/>
            <w:shd w:val="clear" w:color="auto" w:fill="auto"/>
            <w:tcMar>
              <w:left w:w="57" w:type="dxa"/>
              <w:right w:w="57" w:type="dxa"/>
            </w:tcMar>
            <w:vAlign w:val="bottom"/>
          </w:tcPr>
          <w:p w14:paraId="097EB797"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-3,8</w:t>
            </w:r>
          </w:p>
        </w:tc>
        <w:tc>
          <w:tcPr>
            <w:tcW w:w="646" w:type="dxa"/>
            <w:shd w:val="clear" w:color="auto" w:fill="auto"/>
            <w:tcMar>
              <w:left w:w="57" w:type="dxa"/>
              <w:right w:w="57" w:type="dxa"/>
            </w:tcMar>
            <w:vAlign w:val="bottom"/>
          </w:tcPr>
          <w:p w14:paraId="5D55D027"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-3,2</w:t>
            </w:r>
          </w:p>
        </w:tc>
      </w:tr>
      <w:tr w:rsidR="00C6033D" w:rsidRPr="00FF3DFF" w14:paraId="5F7EBBC7" w14:textId="77777777" w:rsidTr="007B37F8">
        <w:trPr>
          <w:trHeight w:val="135"/>
          <w:jc w:val="center"/>
        </w:trPr>
        <w:tc>
          <w:tcPr>
            <w:tcW w:w="2962" w:type="dxa"/>
            <w:shd w:val="clear" w:color="auto" w:fill="auto"/>
            <w:vAlign w:val="center"/>
          </w:tcPr>
          <w:p w14:paraId="0EB7A46A" w14:textId="77777777" w:rsidR="00C6033D" w:rsidRPr="00FF3DFF" w:rsidRDefault="00C6033D" w:rsidP="007B37F8">
            <w:pPr>
              <w:spacing w:after="0"/>
              <w:ind w:left="166" w:firstLine="0"/>
              <w:jc w:val="left"/>
              <w:rPr>
                <w:rFonts w:eastAsia="Times New Roman" w:cs="Times New Roman"/>
                <w:noProof/>
                <w:sz w:val="18"/>
                <w:szCs w:val="18"/>
              </w:rPr>
            </w:pPr>
            <w:r w:rsidRPr="00FF3DFF">
              <w:rPr>
                <w:rFonts w:eastAsia="Times New Roman" w:cs="Times New Roman"/>
                <w:noProof/>
                <w:sz w:val="18"/>
                <w:szCs w:val="18"/>
              </w:rPr>
              <w:t>Pabalstu izdevumi</w:t>
            </w:r>
          </w:p>
        </w:tc>
        <w:tc>
          <w:tcPr>
            <w:tcW w:w="848" w:type="dxa"/>
            <w:shd w:val="clear" w:color="auto" w:fill="auto"/>
            <w:tcMar>
              <w:left w:w="57" w:type="dxa"/>
              <w:right w:w="57" w:type="dxa"/>
            </w:tcMar>
            <w:vAlign w:val="bottom"/>
          </w:tcPr>
          <w:p w14:paraId="362B227E" w14:textId="77777777" w:rsidR="00C6033D" w:rsidRPr="00FF3DFF" w:rsidRDefault="00C6033D" w:rsidP="007B37F8">
            <w:pPr>
              <w:spacing w:after="0"/>
              <w:ind w:firstLine="0"/>
              <w:jc w:val="right"/>
              <w:rPr>
                <w:rFonts w:cs="Times New Roman"/>
                <w:color w:val="000000"/>
                <w:sz w:val="18"/>
                <w:szCs w:val="18"/>
              </w:rPr>
            </w:pPr>
            <w:r w:rsidRPr="00FF3DFF">
              <w:rPr>
                <w:rFonts w:cs="Times New Roman"/>
                <w:color w:val="000000"/>
                <w:sz w:val="18"/>
                <w:szCs w:val="18"/>
              </w:rPr>
              <w:t>4 848,6</w:t>
            </w:r>
          </w:p>
        </w:tc>
        <w:tc>
          <w:tcPr>
            <w:tcW w:w="847" w:type="dxa"/>
            <w:shd w:val="clear" w:color="auto" w:fill="auto"/>
            <w:tcMar>
              <w:left w:w="57" w:type="dxa"/>
              <w:right w:w="57" w:type="dxa"/>
            </w:tcMar>
            <w:vAlign w:val="bottom"/>
          </w:tcPr>
          <w:p w14:paraId="2FD70727" w14:textId="77777777" w:rsidR="00C6033D" w:rsidRPr="00FF3DFF" w:rsidRDefault="00C6033D" w:rsidP="007B37F8">
            <w:pPr>
              <w:spacing w:after="0"/>
              <w:ind w:firstLine="0"/>
              <w:jc w:val="right"/>
              <w:rPr>
                <w:rFonts w:cs="Times New Roman"/>
                <w:color w:val="000000"/>
                <w:sz w:val="18"/>
                <w:szCs w:val="18"/>
              </w:rPr>
            </w:pPr>
            <w:r w:rsidRPr="00FF3DFF">
              <w:rPr>
                <w:rFonts w:cs="Times New Roman"/>
                <w:color w:val="000000"/>
                <w:sz w:val="18"/>
                <w:szCs w:val="18"/>
              </w:rPr>
              <w:t>5 248,0</w:t>
            </w:r>
          </w:p>
        </w:tc>
        <w:tc>
          <w:tcPr>
            <w:tcW w:w="848" w:type="dxa"/>
            <w:shd w:val="clear" w:color="auto" w:fill="auto"/>
            <w:tcMar>
              <w:left w:w="57" w:type="dxa"/>
              <w:right w:w="57" w:type="dxa"/>
            </w:tcMar>
            <w:vAlign w:val="bottom"/>
          </w:tcPr>
          <w:p w14:paraId="673A32AA" w14:textId="77777777" w:rsidR="00C6033D" w:rsidRPr="00FF3DFF" w:rsidRDefault="00C6033D" w:rsidP="007B37F8">
            <w:pPr>
              <w:spacing w:after="0"/>
              <w:ind w:firstLine="0"/>
              <w:jc w:val="right"/>
              <w:rPr>
                <w:rFonts w:cs="Times New Roman"/>
                <w:color w:val="000000"/>
                <w:sz w:val="18"/>
                <w:szCs w:val="18"/>
              </w:rPr>
            </w:pPr>
            <w:r w:rsidRPr="00FF3DFF">
              <w:rPr>
                <w:rFonts w:cs="Times New Roman"/>
                <w:color w:val="000000"/>
                <w:sz w:val="18"/>
                <w:szCs w:val="18"/>
              </w:rPr>
              <w:t>5 568,6</w:t>
            </w:r>
          </w:p>
        </w:tc>
        <w:tc>
          <w:tcPr>
            <w:tcW w:w="847" w:type="dxa"/>
            <w:shd w:val="clear" w:color="auto" w:fill="auto"/>
            <w:tcMar>
              <w:left w:w="57" w:type="dxa"/>
              <w:right w:w="57" w:type="dxa"/>
            </w:tcMar>
            <w:vAlign w:val="bottom"/>
          </w:tcPr>
          <w:p w14:paraId="3EB6993F" w14:textId="77777777" w:rsidR="00C6033D" w:rsidRPr="00FF3DFF" w:rsidRDefault="00C6033D" w:rsidP="007B37F8">
            <w:pPr>
              <w:spacing w:after="0"/>
              <w:ind w:firstLine="0"/>
              <w:jc w:val="right"/>
              <w:rPr>
                <w:rFonts w:cs="Times New Roman"/>
                <w:color w:val="000000"/>
                <w:sz w:val="18"/>
                <w:szCs w:val="18"/>
              </w:rPr>
            </w:pPr>
            <w:r w:rsidRPr="00FF3DFF">
              <w:rPr>
                <w:rFonts w:cs="Times New Roman"/>
                <w:color w:val="000000"/>
                <w:sz w:val="18"/>
                <w:szCs w:val="18"/>
              </w:rPr>
              <w:t>5 943,2</w:t>
            </w:r>
          </w:p>
        </w:tc>
        <w:tc>
          <w:tcPr>
            <w:tcW w:w="706" w:type="dxa"/>
            <w:shd w:val="clear" w:color="auto" w:fill="auto"/>
            <w:tcMar>
              <w:left w:w="57" w:type="dxa"/>
              <w:right w:w="57" w:type="dxa"/>
            </w:tcMar>
            <w:vAlign w:val="bottom"/>
          </w:tcPr>
          <w:p w14:paraId="7E21D887" w14:textId="77777777" w:rsidR="00C6033D" w:rsidRPr="00FF3DFF" w:rsidRDefault="00C6033D" w:rsidP="007B37F8">
            <w:pPr>
              <w:spacing w:after="0"/>
              <w:ind w:firstLine="0"/>
              <w:jc w:val="right"/>
              <w:rPr>
                <w:rFonts w:cs="Times New Roman"/>
                <w:color w:val="000000"/>
                <w:sz w:val="18"/>
                <w:szCs w:val="18"/>
              </w:rPr>
            </w:pPr>
            <w:r w:rsidRPr="00FF3DFF">
              <w:rPr>
                <w:rFonts w:cs="Times New Roman"/>
                <w:color w:val="000000"/>
                <w:sz w:val="18"/>
                <w:szCs w:val="18"/>
              </w:rPr>
              <w:t>19,5</w:t>
            </w:r>
          </w:p>
        </w:tc>
        <w:tc>
          <w:tcPr>
            <w:tcW w:w="706" w:type="dxa"/>
            <w:shd w:val="clear" w:color="auto" w:fill="auto"/>
            <w:tcMar>
              <w:left w:w="57" w:type="dxa"/>
              <w:right w:w="57" w:type="dxa"/>
            </w:tcMar>
            <w:vAlign w:val="bottom"/>
          </w:tcPr>
          <w:p w14:paraId="737CC0A8" w14:textId="77777777" w:rsidR="00C6033D" w:rsidRPr="00FF3DFF" w:rsidRDefault="00C6033D" w:rsidP="007B37F8">
            <w:pPr>
              <w:spacing w:after="0" w:line="259" w:lineRule="auto"/>
              <w:ind w:firstLine="0"/>
              <w:jc w:val="right"/>
              <w:rPr>
                <w:rFonts w:cs="Times New Roman"/>
                <w:color w:val="000000"/>
                <w:sz w:val="18"/>
                <w:szCs w:val="18"/>
              </w:rPr>
            </w:pPr>
            <w:r w:rsidRPr="00FF3DFF">
              <w:rPr>
                <w:rFonts w:cs="Times New Roman"/>
                <w:color w:val="000000"/>
                <w:sz w:val="18"/>
                <w:szCs w:val="18"/>
              </w:rPr>
              <w:t>73,8</w:t>
            </w:r>
          </w:p>
        </w:tc>
        <w:tc>
          <w:tcPr>
            <w:tcW w:w="705" w:type="dxa"/>
            <w:shd w:val="clear" w:color="auto" w:fill="auto"/>
            <w:tcMar>
              <w:left w:w="57" w:type="dxa"/>
              <w:right w:w="57" w:type="dxa"/>
            </w:tcMar>
            <w:vAlign w:val="bottom"/>
          </w:tcPr>
          <w:p w14:paraId="13F7D290" w14:textId="77777777" w:rsidR="00C6033D" w:rsidRPr="00FF3DFF" w:rsidRDefault="00C6033D" w:rsidP="007B37F8">
            <w:pPr>
              <w:spacing w:after="0" w:line="259" w:lineRule="auto"/>
              <w:ind w:firstLine="0"/>
              <w:jc w:val="right"/>
              <w:rPr>
                <w:rFonts w:cs="Times New Roman"/>
                <w:color w:val="000000"/>
                <w:sz w:val="18"/>
                <w:szCs w:val="18"/>
              </w:rPr>
            </w:pPr>
            <w:r w:rsidRPr="00FF3DFF">
              <w:rPr>
                <w:rFonts w:cs="Times New Roman"/>
                <w:color w:val="000000"/>
                <w:sz w:val="18"/>
                <w:szCs w:val="18"/>
              </w:rPr>
              <w:t>43,5</w:t>
            </w:r>
          </w:p>
        </w:tc>
        <w:tc>
          <w:tcPr>
            <w:tcW w:w="646" w:type="dxa"/>
            <w:shd w:val="clear" w:color="auto" w:fill="auto"/>
            <w:tcMar>
              <w:left w:w="57" w:type="dxa"/>
              <w:right w:w="57" w:type="dxa"/>
            </w:tcMar>
            <w:vAlign w:val="bottom"/>
          </w:tcPr>
          <w:p w14:paraId="25559696" w14:textId="77777777" w:rsidR="00C6033D" w:rsidRPr="00FF3DFF" w:rsidRDefault="00C6033D" w:rsidP="007B37F8">
            <w:pPr>
              <w:spacing w:after="0" w:line="259" w:lineRule="auto"/>
              <w:ind w:firstLine="0"/>
              <w:jc w:val="right"/>
              <w:rPr>
                <w:rFonts w:cs="Times New Roman"/>
                <w:color w:val="000000"/>
                <w:sz w:val="18"/>
                <w:szCs w:val="18"/>
              </w:rPr>
            </w:pPr>
            <w:r w:rsidRPr="00FF3DFF">
              <w:rPr>
                <w:rFonts w:cs="Times New Roman"/>
                <w:color w:val="000000"/>
                <w:sz w:val="18"/>
                <w:szCs w:val="18"/>
              </w:rPr>
              <w:t>2,0</w:t>
            </w:r>
          </w:p>
        </w:tc>
      </w:tr>
      <w:tr w:rsidR="00C6033D" w:rsidRPr="00FF3DFF" w14:paraId="776697D9" w14:textId="77777777" w:rsidTr="007B37F8">
        <w:trPr>
          <w:trHeight w:val="181"/>
          <w:jc w:val="center"/>
        </w:trPr>
        <w:tc>
          <w:tcPr>
            <w:tcW w:w="2962" w:type="dxa"/>
            <w:tcBorders>
              <w:bottom w:val="double" w:sz="4" w:space="0" w:color="auto"/>
            </w:tcBorders>
            <w:shd w:val="clear" w:color="auto" w:fill="auto"/>
            <w:vAlign w:val="center"/>
          </w:tcPr>
          <w:p w14:paraId="1BF69F7B" w14:textId="77777777" w:rsidR="00C6033D" w:rsidRPr="00FF3DFF" w:rsidRDefault="00C6033D" w:rsidP="007B37F8">
            <w:pPr>
              <w:spacing w:after="0"/>
              <w:ind w:left="166" w:firstLine="0"/>
              <w:jc w:val="left"/>
              <w:rPr>
                <w:rFonts w:eastAsia="Times New Roman" w:cs="Times New Roman"/>
                <w:noProof/>
                <w:sz w:val="18"/>
                <w:szCs w:val="18"/>
              </w:rPr>
            </w:pPr>
            <w:r w:rsidRPr="00FF3DFF">
              <w:rPr>
                <w:rFonts w:eastAsia="Times New Roman" w:cs="Times New Roman"/>
                <w:noProof/>
                <w:sz w:val="18"/>
                <w:szCs w:val="18"/>
              </w:rPr>
              <w:t>Procentu izdevumi</w:t>
            </w:r>
          </w:p>
        </w:tc>
        <w:tc>
          <w:tcPr>
            <w:tcW w:w="848" w:type="dxa"/>
            <w:tcBorders>
              <w:bottom w:val="double" w:sz="4" w:space="0" w:color="auto"/>
            </w:tcBorders>
            <w:shd w:val="clear" w:color="auto" w:fill="auto"/>
            <w:tcMar>
              <w:left w:w="57" w:type="dxa"/>
              <w:right w:w="57" w:type="dxa"/>
            </w:tcMar>
            <w:vAlign w:val="bottom"/>
          </w:tcPr>
          <w:p w14:paraId="5F50F185"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233,4</w:t>
            </w:r>
          </w:p>
        </w:tc>
        <w:tc>
          <w:tcPr>
            <w:tcW w:w="847" w:type="dxa"/>
            <w:tcBorders>
              <w:bottom w:val="double" w:sz="4" w:space="0" w:color="auto"/>
            </w:tcBorders>
            <w:shd w:val="clear" w:color="auto" w:fill="auto"/>
            <w:tcMar>
              <w:left w:w="57" w:type="dxa"/>
              <w:right w:w="57" w:type="dxa"/>
            </w:tcMar>
            <w:vAlign w:val="bottom"/>
          </w:tcPr>
          <w:p w14:paraId="3F4E723A"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384,9</w:t>
            </w:r>
          </w:p>
        </w:tc>
        <w:tc>
          <w:tcPr>
            <w:tcW w:w="848" w:type="dxa"/>
            <w:tcBorders>
              <w:bottom w:val="double" w:sz="4" w:space="0" w:color="auto"/>
            </w:tcBorders>
            <w:shd w:val="clear" w:color="auto" w:fill="auto"/>
            <w:tcMar>
              <w:left w:w="57" w:type="dxa"/>
              <w:right w:w="57" w:type="dxa"/>
            </w:tcMar>
            <w:vAlign w:val="bottom"/>
          </w:tcPr>
          <w:p w14:paraId="3F80FF06"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482,0</w:t>
            </w:r>
          </w:p>
        </w:tc>
        <w:tc>
          <w:tcPr>
            <w:tcW w:w="847" w:type="dxa"/>
            <w:tcBorders>
              <w:bottom w:val="double" w:sz="4" w:space="0" w:color="auto"/>
            </w:tcBorders>
            <w:shd w:val="clear" w:color="auto" w:fill="auto"/>
            <w:tcMar>
              <w:left w:w="57" w:type="dxa"/>
              <w:right w:w="57" w:type="dxa"/>
            </w:tcMar>
            <w:vAlign w:val="bottom"/>
          </w:tcPr>
          <w:p w14:paraId="52C46EDB"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535,3</w:t>
            </w:r>
          </w:p>
        </w:tc>
        <w:tc>
          <w:tcPr>
            <w:tcW w:w="706" w:type="dxa"/>
            <w:tcBorders>
              <w:bottom w:val="double" w:sz="4" w:space="0" w:color="auto"/>
            </w:tcBorders>
            <w:shd w:val="clear" w:color="auto" w:fill="auto"/>
            <w:tcMar>
              <w:left w:w="57" w:type="dxa"/>
              <w:right w:w="57" w:type="dxa"/>
            </w:tcMar>
            <w:vAlign w:val="bottom"/>
          </w:tcPr>
          <w:p w14:paraId="54DDB40E"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0,0</w:t>
            </w:r>
          </w:p>
        </w:tc>
        <w:tc>
          <w:tcPr>
            <w:tcW w:w="706" w:type="dxa"/>
            <w:tcBorders>
              <w:bottom w:val="double" w:sz="4" w:space="0" w:color="auto"/>
            </w:tcBorders>
            <w:shd w:val="clear" w:color="auto" w:fill="auto"/>
            <w:tcMar>
              <w:left w:w="57" w:type="dxa"/>
              <w:right w:w="57" w:type="dxa"/>
            </w:tcMar>
            <w:vAlign w:val="bottom"/>
          </w:tcPr>
          <w:p w14:paraId="58515786"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3,9</w:t>
            </w:r>
          </w:p>
        </w:tc>
        <w:tc>
          <w:tcPr>
            <w:tcW w:w="705" w:type="dxa"/>
            <w:tcBorders>
              <w:bottom w:val="double" w:sz="4" w:space="0" w:color="auto"/>
            </w:tcBorders>
            <w:shd w:val="clear" w:color="auto" w:fill="auto"/>
            <w:tcMar>
              <w:left w:w="57" w:type="dxa"/>
              <w:right w:w="57" w:type="dxa"/>
            </w:tcMar>
            <w:vAlign w:val="bottom"/>
          </w:tcPr>
          <w:p w14:paraId="439792BC"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14,3</w:t>
            </w:r>
          </w:p>
        </w:tc>
        <w:tc>
          <w:tcPr>
            <w:tcW w:w="646" w:type="dxa"/>
            <w:tcBorders>
              <w:bottom w:val="double" w:sz="4" w:space="0" w:color="auto"/>
            </w:tcBorders>
            <w:shd w:val="clear" w:color="auto" w:fill="auto"/>
            <w:tcMar>
              <w:left w:w="57" w:type="dxa"/>
              <w:right w:w="57" w:type="dxa"/>
            </w:tcMar>
            <w:vAlign w:val="bottom"/>
          </w:tcPr>
          <w:p w14:paraId="28E51515"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26,8</w:t>
            </w:r>
          </w:p>
        </w:tc>
      </w:tr>
      <w:tr w:rsidR="00C6033D" w:rsidRPr="00FF3DFF" w14:paraId="2825C214" w14:textId="77777777" w:rsidTr="007B37F8">
        <w:trPr>
          <w:trHeight w:val="349"/>
          <w:jc w:val="center"/>
        </w:trPr>
        <w:tc>
          <w:tcPr>
            <w:tcW w:w="2962" w:type="dxa"/>
            <w:tcBorders>
              <w:top w:val="double" w:sz="4" w:space="0" w:color="auto"/>
              <w:left w:val="single" w:sz="4" w:space="0" w:color="auto"/>
            </w:tcBorders>
            <w:shd w:val="clear" w:color="auto" w:fill="auto"/>
            <w:vAlign w:val="center"/>
          </w:tcPr>
          <w:p w14:paraId="35DC5C24" w14:textId="77777777" w:rsidR="00C6033D" w:rsidRPr="00FF3DFF" w:rsidRDefault="00C6033D" w:rsidP="007B37F8">
            <w:pPr>
              <w:spacing w:after="0"/>
              <w:ind w:firstLine="0"/>
              <w:jc w:val="left"/>
              <w:rPr>
                <w:rFonts w:eastAsia="Times New Roman" w:cs="Times New Roman"/>
                <w:noProof/>
                <w:sz w:val="18"/>
                <w:szCs w:val="18"/>
              </w:rPr>
            </w:pPr>
            <w:r w:rsidRPr="00FF3DFF">
              <w:rPr>
                <w:rFonts w:eastAsia="Times New Roman" w:cs="Times New Roman"/>
                <w:noProof/>
                <w:sz w:val="18"/>
                <w:szCs w:val="18"/>
              </w:rPr>
              <w:t xml:space="preserve">   Procentu izdevumi</w:t>
            </w:r>
            <w:r w:rsidRPr="00FF3DFF">
              <w:rPr>
                <w:rFonts w:eastAsia="Times New Roman" w:cs="Times New Roman"/>
                <w:noProof/>
                <w:sz w:val="18"/>
                <w:szCs w:val="18"/>
              </w:rPr>
              <w:br/>
              <w:t xml:space="preserve">  (% likmes paliel. par 1 pp)</w:t>
            </w:r>
          </w:p>
        </w:tc>
        <w:tc>
          <w:tcPr>
            <w:tcW w:w="848" w:type="dxa"/>
            <w:tcBorders>
              <w:top w:val="double" w:sz="4" w:space="0" w:color="auto"/>
            </w:tcBorders>
            <w:shd w:val="clear" w:color="auto" w:fill="auto"/>
            <w:tcMar>
              <w:left w:w="57" w:type="dxa"/>
              <w:right w:w="57" w:type="dxa"/>
            </w:tcMar>
            <w:vAlign w:val="center"/>
          </w:tcPr>
          <w:p w14:paraId="61C791BD"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233,4</w:t>
            </w:r>
          </w:p>
        </w:tc>
        <w:tc>
          <w:tcPr>
            <w:tcW w:w="847" w:type="dxa"/>
            <w:tcBorders>
              <w:top w:val="double" w:sz="4" w:space="0" w:color="auto"/>
            </w:tcBorders>
            <w:shd w:val="clear" w:color="auto" w:fill="auto"/>
            <w:tcMar>
              <w:left w:w="57" w:type="dxa"/>
              <w:right w:w="57" w:type="dxa"/>
            </w:tcMar>
            <w:vAlign w:val="center"/>
          </w:tcPr>
          <w:p w14:paraId="402EF67F"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394,1</w:t>
            </w:r>
          </w:p>
        </w:tc>
        <w:tc>
          <w:tcPr>
            <w:tcW w:w="848" w:type="dxa"/>
            <w:tcBorders>
              <w:top w:val="double" w:sz="4" w:space="0" w:color="auto"/>
            </w:tcBorders>
            <w:shd w:val="clear" w:color="auto" w:fill="auto"/>
            <w:tcMar>
              <w:left w:w="57" w:type="dxa"/>
              <w:right w:w="57" w:type="dxa"/>
            </w:tcMar>
            <w:vAlign w:val="center"/>
          </w:tcPr>
          <w:p w14:paraId="64B3431F"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519,2</w:t>
            </w:r>
          </w:p>
        </w:tc>
        <w:tc>
          <w:tcPr>
            <w:tcW w:w="847" w:type="dxa"/>
            <w:tcBorders>
              <w:top w:val="double" w:sz="4" w:space="0" w:color="auto"/>
            </w:tcBorders>
            <w:shd w:val="clear" w:color="auto" w:fill="auto"/>
            <w:tcMar>
              <w:left w:w="57" w:type="dxa"/>
              <w:right w:w="57" w:type="dxa"/>
            </w:tcMar>
            <w:vAlign w:val="center"/>
          </w:tcPr>
          <w:p w14:paraId="4C22E60F"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603,9</w:t>
            </w:r>
          </w:p>
        </w:tc>
        <w:tc>
          <w:tcPr>
            <w:tcW w:w="706" w:type="dxa"/>
            <w:tcBorders>
              <w:top w:val="double" w:sz="4" w:space="0" w:color="auto"/>
            </w:tcBorders>
            <w:shd w:val="clear" w:color="auto" w:fill="auto"/>
            <w:tcMar>
              <w:left w:w="57" w:type="dxa"/>
              <w:right w:w="57" w:type="dxa"/>
            </w:tcMar>
            <w:vAlign w:val="center"/>
          </w:tcPr>
          <w:p w14:paraId="71E0B991"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0,0</w:t>
            </w:r>
          </w:p>
        </w:tc>
        <w:tc>
          <w:tcPr>
            <w:tcW w:w="706" w:type="dxa"/>
            <w:tcBorders>
              <w:top w:val="double" w:sz="4" w:space="0" w:color="auto"/>
            </w:tcBorders>
            <w:shd w:val="clear" w:color="auto" w:fill="auto"/>
            <w:tcMar>
              <w:left w:w="57" w:type="dxa"/>
              <w:right w:w="57" w:type="dxa"/>
            </w:tcMar>
            <w:vAlign w:val="center"/>
          </w:tcPr>
          <w:p w14:paraId="553BF400"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13,1</w:t>
            </w:r>
          </w:p>
        </w:tc>
        <w:tc>
          <w:tcPr>
            <w:tcW w:w="705" w:type="dxa"/>
            <w:tcBorders>
              <w:top w:val="double" w:sz="4" w:space="0" w:color="auto"/>
            </w:tcBorders>
            <w:shd w:val="clear" w:color="auto" w:fill="auto"/>
            <w:tcMar>
              <w:left w:w="57" w:type="dxa"/>
              <w:right w:w="57" w:type="dxa"/>
            </w:tcMar>
            <w:vAlign w:val="center"/>
          </w:tcPr>
          <w:p w14:paraId="780C7572"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51,5</w:t>
            </w:r>
          </w:p>
        </w:tc>
        <w:tc>
          <w:tcPr>
            <w:tcW w:w="646" w:type="dxa"/>
            <w:tcBorders>
              <w:top w:val="double" w:sz="4" w:space="0" w:color="auto"/>
              <w:right w:val="single" w:sz="4" w:space="0" w:color="auto"/>
            </w:tcBorders>
            <w:shd w:val="clear" w:color="auto" w:fill="auto"/>
            <w:tcMar>
              <w:left w:w="57" w:type="dxa"/>
              <w:right w:w="57" w:type="dxa"/>
            </w:tcMar>
            <w:vAlign w:val="center"/>
          </w:tcPr>
          <w:p w14:paraId="11028144"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95,4</w:t>
            </w:r>
          </w:p>
        </w:tc>
      </w:tr>
      <w:tr w:rsidR="00C6033D" w:rsidRPr="00FF3DFF" w14:paraId="23780B84" w14:textId="77777777" w:rsidTr="007B37F8">
        <w:trPr>
          <w:trHeight w:val="361"/>
          <w:jc w:val="center"/>
        </w:trPr>
        <w:tc>
          <w:tcPr>
            <w:tcW w:w="2962" w:type="dxa"/>
            <w:tcBorders>
              <w:left w:val="single" w:sz="4" w:space="0" w:color="auto"/>
              <w:bottom w:val="double" w:sz="4" w:space="0" w:color="auto"/>
            </w:tcBorders>
            <w:shd w:val="clear" w:color="auto" w:fill="auto"/>
            <w:vAlign w:val="center"/>
          </w:tcPr>
          <w:p w14:paraId="4B9351D5" w14:textId="77777777" w:rsidR="00C6033D" w:rsidRPr="00FF3DFF" w:rsidRDefault="00C6033D" w:rsidP="007B37F8">
            <w:pPr>
              <w:spacing w:after="0"/>
              <w:ind w:firstLine="0"/>
              <w:jc w:val="left"/>
              <w:rPr>
                <w:rFonts w:eastAsia="Calibri" w:cs="Times New Roman"/>
                <w:noProof/>
                <w:sz w:val="18"/>
                <w:szCs w:val="18"/>
                <w:lang w:eastAsia="en-US"/>
              </w:rPr>
            </w:pPr>
            <w:r w:rsidRPr="00FF3DFF">
              <w:rPr>
                <w:rFonts w:eastAsia="Times New Roman" w:cs="Times New Roman"/>
                <w:noProof/>
                <w:sz w:val="18"/>
                <w:szCs w:val="18"/>
              </w:rPr>
              <w:t xml:space="preserve">   Procentu izdevumi</w:t>
            </w:r>
            <w:r w:rsidRPr="00FF3DFF">
              <w:rPr>
                <w:rFonts w:eastAsia="Times New Roman" w:cs="Times New Roman"/>
                <w:noProof/>
                <w:sz w:val="18"/>
                <w:szCs w:val="18"/>
              </w:rPr>
              <w:br/>
              <w:t xml:space="preserve">   (% likmes samaz. par 1 pp)</w:t>
            </w:r>
          </w:p>
        </w:tc>
        <w:tc>
          <w:tcPr>
            <w:tcW w:w="848" w:type="dxa"/>
            <w:tcBorders>
              <w:bottom w:val="double" w:sz="4" w:space="0" w:color="auto"/>
            </w:tcBorders>
            <w:shd w:val="clear" w:color="auto" w:fill="auto"/>
            <w:tcMar>
              <w:left w:w="57" w:type="dxa"/>
              <w:right w:w="57" w:type="dxa"/>
            </w:tcMar>
            <w:vAlign w:val="center"/>
          </w:tcPr>
          <w:p w14:paraId="6DB726AD"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233,4</w:t>
            </w:r>
          </w:p>
        </w:tc>
        <w:tc>
          <w:tcPr>
            <w:tcW w:w="847" w:type="dxa"/>
            <w:tcBorders>
              <w:bottom w:val="double" w:sz="4" w:space="0" w:color="auto"/>
            </w:tcBorders>
            <w:shd w:val="clear" w:color="auto" w:fill="auto"/>
            <w:tcMar>
              <w:left w:w="57" w:type="dxa"/>
              <w:right w:w="57" w:type="dxa"/>
            </w:tcMar>
            <w:vAlign w:val="center"/>
          </w:tcPr>
          <w:p w14:paraId="2653B3EF"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375,7</w:t>
            </w:r>
          </w:p>
        </w:tc>
        <w:tc>
          <w:tcPr>
            <w:tcW w:w="848" w:type="dxa"/>
            <w:tcBorders>
              <w:bottom w:val="double" w:sz="4" w:space="0" w:color="auto"/>
            </w:tcBorders>
            <w:shd w:val="clear" w:color="auto" w:fill="auto"/>
            <w:tcMar>
              <w:left w:w="57" w:type="dxa"/>
              <w:right w:w="57" w:type="dxa"/>
            </w:tcMar>
            <w:vAlign w:val="center"/>
          </w:tcPr>
          <w:p w14:paraId="742A9FAD"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444,8</w:t>
            </w:r>
          </w:p>
        </w:tc>
        <w:tc>
          <w:tcPr>
            <w:tcW w:w="847" w:type="dxa"/>
            <w:tcBorders>
              <w:bottom w:val="double" w:sz="4" w:space="0" w:color="auto"/>
            </w:tcBorders>
            <w:shd w:val="clear" w:color="auto" w:fill="auto"/>
            <w:tcMar>
              <w:left w:w="57" w:type="dxa"/>
              <w:right w:w="57" w:type="dxa"/>
            </w:tcMar>
            <w:vAlign w:val="center"/>
          </w:tcPr>
          <w:p w14:paraId="223CB778"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466,7</w:t>
            </w:r>
          </w:p>
        </w:tc>
        <w:tc>
          <w:tcPr>
            <w:tcW w:w="706" w:type="dxa"/>
            <w:tcBorders>
              <w:bottom w:val="double" w:sz="4" w:space="0" w:color="auto"/>
            </w:tcBorders>
            <w:shd w:val="clear" w:color="auto" w:fill="auto"/>
            <w:tcMar>
              <w:left w:w="57" w:type="dxa"/>
              <w:right w:w="57" w:type="dxa"/>
            </w:tcMar>
            <w:vAlign w:val="center"/>
          </w:tcPr>
          <w:p w14:paraId="0E5747BF" w14:textId="77777777" w:rsidR="00C6033D" w:rsidRPr="00FF3DFF" w:rsidRDefault="00C6033D" w:rsidP="007B37F8">
            <w:pPr>
              <w:spacing w:after="0"/>
              <w:ind w:firstLine="0"/>
              <w:jc w:val="right"/>
              <w:rPr>
                <w:rFonts w:eastAsia="Times New Roman" w:cs="Times New Roman"/>
                <w:color w:val="FF0000"/>
                <w:sz w:val="18"/>
                <w:szCs w:val="18"/>
              </w:rPr>
            </w:pPr>
            <w:r w:rsidRPr="00FF3DFF">
              <w:rPr>
                <w:rFonts w:cs="Times New Roman"/>
                <w:color w:val="000000"/>
                <w:sz w:val="18"/>
                <w:szCs w:val="18"/>
              </w:rPr>
              <w:t>0,0</w:t>
            </w:r>
          </w:p>
        </w:tc>
        <w:tc>
          <w:tcPr>
            <w:tcW w:w="706" w:type="dxa"/>
            <w:tcBorders>
              <w:bottom w:val="double" w:sz="4" w:space="0" w:color="auto"/>
            </w:tcBorders>
            <w:shd w:val="clear" w:color="auto" w:fill="auto"/>
            <w:tcMar>
              <w:left w:w="57" w:type="dxa"/>
              <w:right w:w="57" w:type="dxa"/>
            </w:tcMar>
            <w:vAlign w:val="center"/>
          </w:tcPr>
          <w:p w14:paraId="456812FF"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-5,3</w:t>
            </w:r>
          </w:p>
        </w:tc>
        <w:tc>
          <w:tcPr>
            <w:tcW w:w="705" w:type="dxa"/>
            <w:tcBorders>
              <w:bottom w:val="double" w:sz="4" w:space="0" w:color="auto"/>
            </w:tcBorders>
            <w:shd w:val="clear" w:color="auto" w:fill="auto"/>
            <w:tcMar>
              <w:left w:w="57" w:type="dxa"/>
              <w:right w:w="57" w:type="dxa"/>
            </w:tcMar>
            <w:vAlign w:val="center"/>
          </w:tcPr>
          <w:p w14:paraId="44ADABB6"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-22,9</w:t>
            </w:r>
          </w:p>
        </w:tc>
        <w:tc>
          <w:tcPr>
            <w:tcW w:w="646" w:type="dxa"/>
            <w:tcBorders>
              <w:bottom w:val="double" w:sz="4" w:space="0" w:color="auto"/>
              <w:right w:val="single" w:sz="4" w:space="0" w:color="auto"/>
            </w:tcBorders>
            <w:shd w:val="clear" w:color="auto" w:fill="auto"/>
            <w:tcMar>
              <w:left w:w="57" w:type="dxa"/>
              <w:right w:w="57" w:type="dxa"/>
            </w:tcMar>
            <w:vAlign w:val="center"/>
          </w:tcPr>
          <w:p w14:paraId="55A12E3F" w14:textId="77777777" w:rsidR="00C6033D" w:rsidRPr="00FF3DFF" w:rsidRDefault="00C6033D" w:rsidP="007B37F8">
            <w:pPr>
              <w:spacing w:after="0" w:line="259" w:lineRule="auto"/>
              <w:ind w:firstLine="0"/>
              <w:jc w:val="right"/>
              <w:rPr>
                <w:rFonts w:eastAsia="Times New Roman" w:cs="Times New Roman"/>
                <w:color w:val="FF0000"/>
                <w:sz w:val="18"/>
                <w:szCs w:val="18"/>
              </w:rPr>
            </w:pPr>
            <w:r w:rsidRPr="00FF3DFF">
              <w:rPr>
                <w:rFonts w:cs="Times New Roman"/>
                <w:color w:val="000000"/>
                <w:sz w:val="18"/>
                <w:szCs w:val="18"/>
              </w:rPr>
              <w:t>-41,8</w:t>
            </w:r>
          </w:p>
        </w:tc>
      </w:tr>
      <w:tr w:rsidR="00C6033D" w:rsidRPr="00FF3DFF" w14:paraId="6E722410" w14:textId="77777777" w:rsidTr="007B37F8">
        <w:trPr>
          <w:trHeight w:val="333"/>
          <w:jc w:val="center"/>
        </w:trPr>
        <w:tc>
          <w:tcPr>
            <w:tcW w:w="2962" w:type="dxa"/>
            <w:tcBorders>
              <w:top w:val="double" w:sz="4" w:space="0" w:color="auto"/>
            </w:tcBorders>
            <w:shd w:val="clear" w:color="auto" w:fill="auto"/>
            <w:vAlign w:val="center"/>
          </w:tcPr>
          <w:p w14:paraId="4F5E9E9E" w14:textId="77777777" w:rsidR="00C6033D" w:rsidRPr="00FF3DFF" w:rsidRDefault="00C6033D" w:rsidP="007B37F8">
            <w:pPr>
              <w:spacing w:after="0"/>
              <w:ind w:firstLine="0"/>
              <w:jc w:val="left"/>
              <w:rPr>
                <w:rFonts w:eastAsia="Times New Roman" w:cs="Times New Roman"/>
                <w:b/>
                <w:noProof/>
                <w:sz w:val="18"/>
                <w:szCs w:val="18"/>
              </w:rPr>
            </w:pPr>
            <w:r w:rsidRPr="00FF3DFF">
              <w:rPr>
                <w:rFonts w:eastAsia="Times New Roman" w:cs="Times New Roman"/>
                <w:b/>
                <w:noProof/>
                <w:sz w:val="18"/>
                <w:szCs w:val="18"/>
              </w:rPr>
              <w:t>Vispārējās valdības parāds,</w:t>
            </w:r>
            <w:r w:rsidRPr="00FF3DFF">
              <w:rPr>
                <w:rFonts w:eastAsia="Times New Roman" w:cs="Times New Roman"/>
                <w:b/>
                <w:noProof/>
                <w:sz w:val="18"/>
                <w:szCs w:val="18"/>
              </w:rPr>
              <w:br/>
              <w:t xml:space="preserve">% no IKP </w:t>
            </w:r>
          </w:p>
        </w:tc>
        <w:tc>
          <w:tcPr>
            <w:tcW w:w="848" w:type="dxa"/>
            <w:tcBorders>
              <w:top w:val="double" w:sz="4" w:space="0" w:color="auto"/>
            </w:tcBorders>
            <w:shd w:val="clear" w:color="auto" w:fill="auto"/>
            <w:tcMar>
              <w:left w:w="57" w:type="dxa"/>
              <w:right w:w="57" w:type="dxa"/>
            </w:tcMar>
            <w:vAlign w:val="center"/>
          </w:tcPr>
          <w:p w14:paraId="7BF8012A"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40,4%</w:t>
            </w:r>
          </w:p>
        </w:tc>
        <w:tc>
          <w:tcPr>
            <w:tcW w:w="847" w:type="dxa"/>
            <w:tcBorders>
              <w:top w:val="double" w:sz="4" w:space="0" w:color="auto"/>
            </w:tcBorders>
            <w:shd w:val="clear" w:color="auto" w:fill="auto"/>
            <w:tcMar>
              <w:left w:w="57" w:type="dxa"/>
              <w:right w:w="57" w:type="dxa"/>
            </w:tcMar>
            <w:vAlign w:val="center"/>
          </w:tcPr>
          <w:p w14:paraId="7451AC6E"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41,5%</w:t>
            </w:r>
          </w:p>
        </w:tc>
        <w:tc>
          <w:tcPr>
            <w:tcW w:w="848" w:type="dxa"/>
            <w:tcBorders>
              <w:top w:val="double" w:sz="4" w:space="0" w:color="auto"/>
            </w:tcBorders>
            <w:shd w:val="clear" w:color="auto" w:fill="auto"/>
            <w:tcMar>
              <w:left w:w="57" w:type="dxa"/>
              <w:right w:w="57" w:type="dxa"/>
            </w:tcMar>
            <w:vAlign w:val="center"/>
          </w:tcPr>
          <w:p w14:paraId="7C50E1AE"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42,4%</w:t>
            </w:r>
          </w:p>
        </w:tc>
        <w:tc>
          <w:tcPr>
            <w:tcW w:w="847" w:type="dxa"/>
            <w:tcBorders>
              <w:top w:val="double" w:sz="4" w:space="0" w:color="auto"/>
            </w:tcBorders>
            <w:shd w:val="clear" w:color="auto" w:fill="auto"/>
            <w:tcMar>
              <w:left w:w="57" w:type="dxa"/>
              <w:right w:w="57" w:type="dxa"/>
            </w:tcMar>
            <w:vAlign w:val="center"/>
          </w:tcPr>
          <w:p w14:paraId="45EEDBCD"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42,7%</w:t>
            </w:r>
          </w:p>
        </w:tc>
        <w:tc>
          <w:tcPr>
            <w:tcW w:w="706" w:type="dxa"/>
            <w:tcBorders>
              <w:top w:val="double" w:sz="4" w:space="0" w:color="auto"/>
            </w:tcBorders>
            <w:shd w:val="clear" w:color="auto" w:fill="auto"/>
            <w:tcMar>
              <w:left w:w="57" w:type="dxa"/>
              <w:right w:w="57" w:type="dxa"/>
            </w:tcMar>
            <w:vAlign w:val="center"/>
          </w:tcPr>
          <w:p w14:paraId="77733098"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0,5 pp</w:t>
            </w:r>
          </w:p>
        </w:tc>
        <w:tc>
          <w:tcPr>
            <w:tcW w:w="706" w:type="dxa"/>
            <w:tcBorders>
              <w:top w:val="double" w:sz="4" w:space="0" w:color="auto"/>
            </w:tcBorders>
            <w:shd w:val="clear" w:color="auto" w:fill="auto"/>
            <w:tcMar>
              <w:left w:w="57" w:type="dxa"/>
              <w:right w:w="57" w:type="dxa"/>
            </w:tcMar>
            <w:vAlign w:val="center"/>
          </w:tcPr>
          <w:p w14:paraId="191C315B" w14:textId="77777777" w:rsidR="00C6033D" w:rsidRPr="00FF3DFF" w:rsidRDefault="00C6033D" w:rsidP="007B37F8">
            <w:pPr>
              <w:spacing w:after="0" w:line="259" w:lineRule="auto"/>
              <w:ind w:firstLine="0"/>
              <w:jc w:val="right"/>
              <w:rPr>
                <w:rFonts w:eastAsia="Times New Roman" w:cs="Times New Roman"/>
                <w:b/>
                <w:noProof/>
                <w:sz w:val="18"/>
                <w:szCs w:val="18"/>
              </w:rPr>
            </w:pPr>
            <w:r w:rsidRPr="00FF3DFF">
              <w:rPr>
                <w:rFonts w:eastAsia="Times New Roman" w:cs="Times New Roman"/>
                <w:b/>
                <w:noProof/>
                <w:sz w:val="18"/>
                <w:szCs w:val="18"/>
              </w:rPr>
              <w:t>0,6 pp</w:t>
            </w:r>
          </w:p>
        </w:tc>
        <w:tc>
          <w:tcPr>
            <w:tcW w:w="705" w:type="dxa"/>
            <w:tcBorders>
              <w:top w:val="double" w:sz="4" w:space="0" w:color="auto"/>
            </w:tcBorders>
            <w:shd w:val="clear" w:color="auto" w:fill="auto"/>
            <w:tcMar>
              <w:left w:w="57" w:type="dxa"/>
              <w:right w:w="57" w:type="dxa"/>
            </w:tcMar>
            <w:vAlign w:val="center"/>
          </w:tcPr>
          <w:p w14:paraId="699E2687" w14:textId="77777777" w:rsidR="00C6033D" w:rsidRPr="00FF3DFF" w:rsidRDefault="00C6033D" w:rsidP="007B37F8">
            <w:pPr>
              <w:spacing w:after="0" w:line="259" w:lineRule="auto"/>
              <w:ind w:firstLine="0"/>
              <w:jc w:val="right"/>
              <w:rPr>
                <w:rFonts w:eastAsia="Times New Roman" w:cs="Times New Roman"/>
                <w:b/>
                <w:noProof/>
                <w:sz w:val="18"/>
                <w:szCs w:val="18"/>
              </w:rPr>
            </w:pPr>
            <w:r w:rsidRPr="00FF3DFF">
              <w:rPr>
                <w:rFonts w:eastAsia="Times New Roman" w:cs="Times New Roman"/>
                <w:b/>
                <w:noProof/>
                <w:sz w:val="18"/>
                <w:szCs w:val="18"/>
              </w:rPr>
              <w:t>1,4 pp</w:t>
            </w:r>
          </w:p>
        </w:tc>
        <w:tc>
          <w:tcPr>
            <w:tcW w:w="646" w:type="dxa"/>
            <w:tcBorders>
              <w:top w:val="double" w:sz="4" w:space="0" w:color="auto"/>
            </w:tcBorders>
            <w:shd w:val="clear" w:color="auto" w:fill="auto"/>
            <w:tcMar>
              <w:left w:w="57" w:type="dxa"/>
              <w:right w:w="57" w:type="dxa"/>
            </w:tcMar>
            <w:vAlign w:val="center"/>
          </w:tcPr>
          <w:p w14:paraId="73390B44" w14:textId="77777777" w:rsidR="00C6033D" w:rsidRPr="00FF3DFF" w:rsidRDefault="00C6033D" w:rsidP="007B37F8">
            <w:pPr>
              <w:spacing w:after="0" w:line="259" w:lineRule="auto"/>
              <w:ind w:firstLine="0"/>
              <w:jc w:val="right"/>
              <w:rPr>
                <w:rFonts w:eastAsia="Times New Roman" w:cs="Times New Roman"/>
                <w:b/>
                <w:noProof/>
                <w:sz w:val="18"/>
                <w:szCs w:val="18"/>
              </w:rPr>
            </w:pPr>
            <w:r w:rsidRPr="00FF3DFF">
              <w:rPr>
                <w:rFonts w:eastAsia="Times New Roman" w:cs="Times New Roman"/>
                <w:b/>
                <w:noProof/>
                <w:sz w:val="18"/>
                <w:szCs w:val="18"/>
              </w:rPr>
              <w:t>1,7 pp</w:t>
            </w:r>
          </w:p>
        </w:tc>
      </w:tr>
    </w:tbl>
    <w:p w14:paraId="2BDE7D77" w14:textId="77777777" w:rsidR="00C6033D" w:rsidRPr="00FF3DFF" w:rsidRDefault="00C6033D" w:rsidP="00C6033D">
      <w:pPr>
        <w:autoSpaceDE w:val="0"/>
        <w:autoSpaceDN w:val="0"/>
        <w:adjustRightInd w:val="0"/>
        <w:spacing w:after="0"/>
        <w:rPr>
          <w:rFonts w:eastAsia="Times New Roman" w:cs="Times New Roman"/>
          <w:noProof/>
          <w:color w:val="FF0000"/>
          <w:szCs w:val="24"/>
        </w:rPr>
      </w:pPr>
    </w:p>
    <w:p w14:paraId="0649623D" w14:textId="17CEB105" w:rsidR="00C6033D" w:rsidRDefault="00C6033D" w:rsidP="00FF3DFF">
      <w:pPr>
        <w:autoSpaceDE w:val="0"/>
        <w:autoSpaceDN w:val="0"/>
        <w:adjustRightInd w:val="0"/>
        <w:spacing w:before="120"/>
        <w:rPr>
          <w:rFonts w:eastAsia="Times New Roman" w:cs="Times New Roman"/>
          <w:b/>
          <w:sz w:val="32"/>
          <w:szCs w:val="20"/>
          <w:lang w:eastAsia="en-US"/>
        </w:rPr>
      </w:pPr>
      <w:r w:rsidRPr="00FF3DFF">
        <w:rPr>
          <w:rFonts w:eastAsia="Times New Roman" w:cs="Times New Roman"/>
          <w:noProof/>
          <w:szCs w:val="24"/>
        </w:rPr>
        <w:t xml:space="preserve">Papildus tiek aplūkoti scenāriji, kuros aizņemšanās procentu likmes parāda pārfinansēšanai nosvārstās viena procentpukta robežās – par vienu procentpuktu palielinoties vai konkrētajā apmērā samazinoties. Procentu likmēm par vienu procentpuktu palielinoties, procentu izdevumi 2024. gadā palielinātos par 13,1 milj. </w:t>
      </w:r>
      <w:r w:rsidRPr="00FF3DFF">
        <w:rPr>
          <w:rFonts w:eastAsia="Times New Roman" w:cs="Times New Roman"/>
          <w:i/>
          <w:noProof/>
          <w:szCs w:val="24"/>
        </w:rPr>
        <w:t>euro</w:t>
      </w:r>
      <w:r w:rsidRPr="00FF3DFF">
        <w:rPr>
          <w:rFonts w:eastAsia="Times New Roman" w:cs="Times New Roman"/>
          <w:noProof/>
          <w:szCs w:val="24"/>
        </w:rPr>
        <w:t xml:space="preserve">, bet 2025. gadā izdevumi būtu jau par 51,5 milj. </w:t>
      </w:r>
      <w:r w:rsidRPr="00FF3DFF">
        <w:rPr>
          <w:rFonts w:eastAsia="Times New Roman" w:cs="Times New Roman"/>
          <w:i/>
          <w:noProof/>
          <w:szCs w:val="24"/>
        </w:rPr>
        <w:t>euro</w:t>
      </w:r>
      <w:r w:rsidRPr="00FF3DFF">
        <w:rPr>
          <w:rFonts w:eastAsia="Times New Roman" w:cs="Times New Roman"/>
          <w:noProof/>
          <w:szCs w:val="24"/>
        </w:rPr>
        <w:t xml:space="preserve"> lielāki un 2026. gadā par 95,4 milj. </w:t>
      </w:r>
      <w:r w:rsidRPr="00FF3DFF">
        <w:rPr>
          <w:rFonts w:eastAsia="Times New Roman" w:cs="Times New Roman"/>
          <w:i/>
          <w:noProof/>
          <w:szCs w:val="24"/>
        </w:rPr>
        <w:t>euro</w:t>
      </w:r>
      <w:r w:rsidRPr="00FF3DFF">
        <w:rPr>
          <w:rFonts w:eastAsia="Times New Roman" w:cs="Times New Roman"/>
          <w:noProof/>
          <w:szCs w:val="24"/>
        </w:rPr>
        <w:t xml:space="preserve"> lielāki nekā bāzes scenārijā. Savukārt, procentu likmēm par vienu procentpuktu samazinoties, izdevumi 2024. gadā samazinātos par 5,3 milj. </w:t>
      </w:r>
      <w:r w:rsidRPr="00FF3DFF">
        <w:rPr>
          <w:rFonts w:eastAsia="Times New Roman" w:cs="Times New Roman"/>
          <w:i/>
          <w:noProof/>
          <w:szCs w:val="24"/>
        </w:rPr>
        <w:t>euro</w:t>
      </w:r>
      <w:r w:rsidRPr="00FF3DFF">
        <w:rPr>
          <w:rFonts w:eastAsia="Times New Roman" w:cs="Times New Roman"/>
          <w:noProof/>
          <w:szCs w:val="24"/>
        </w:rPr>
        <w:t xml:space="preserve">, bet 2024. gadā izdevumi būtu par 22,9 milj. </w:t>
      </w:r>
      <w:r w:rsidRPr="00FF3DFF">
        <w:rPr>
          <w:rFonts w:eastAsia="Times New Roman" w:cs="Times New Roman"/>
          <w:i/>
          <w:noProof/>
          <w:szCs w:val="24"/>
        </w:rPr>
        <w:t>euro</w:t>
      </w:r>
      <w:r w:rsidRPr="00FF3DFF">
        <w:rPr>
          <w:rFonts w:eastAsia="Times New Roman" w:cs="Times New Roman"/>
          <w:noProof/>
          <w:szCs w:val="24"/>
        </w:rPr>
        <w:t xml:space="preserve"> mazāki un 2026. gadā par 41,8 milj. </w:t>
      </w:r>
      <w:r w:rsidRPr="00FF3DFF">
        <w:rPr>
          <w:rFonts w:eastAsia="Times New Roman" w:cs="Times New Roman"/>
          <w:i/>
          <w:noProof/>
          <w:szCs w:val="24"/>
        </w:rPr>
        <w:t>euro</w:t>
      </w:r>
      <w:r w:rsidRPr="00FF3DFF">
        <w:rPr>
          <w:rFonts w:eastAsia="Times New Roman" w:cs="Times New Roman"/>
          <w:noProof/>
          <w:szCs w:val="24"/>
        </w:rPr>
        <w:t xml:space="preserve"> mazāki nekā bāzes scenārijā.</w:t>
      </w:r>
    </w:p>
    <w:p w14:paraId="78AE2F82" w14:textId="5DBF1304" w:rsidR="00C74C27" w:rsidRPr="00C74C27" w:rsidRDefault="00C74C27" w:rsidP="00C74C27">
      <w:pPr>
        <w:spacing w:after="240"/>
        <w:ind w:firstLine="0"/>
        <w:jc w:val="center"/>
        <w:outlineLvl w:val="2"/>
        <w:rPr>
          <w:rFonts w:eastAsia="Times New Roman" w:cs="Times New Roman"/>
          <w:b/>
          <w:sz w:val="32"/>
          <w:szCs w:val="20"/>
          <w:lang w:eastAsia="en-US"/>
        </w:rPr>
      </w:pPr>
      <w:r w:rsidRPr="00C74C27">
        <w:rPr>
          <w:rFonts w:eastAsia="Times New Roman" w:cs="Times New Roman"/>
          <w:b/>
          <w:sz w:val="32"/>
          <w:szCs w:val="20"/>
          <w:lang w:eastAsia="en-US"/>
        </w:rPr>
        <w:t>1.5.2. Optimistiskais scenārijs</w:t>
      </w:r>
      <w:bookmarkEnd w:id="47"/>
      <w:bookmarkEnd w:id="48"/>
    </w:p>
    <w:p w14:paraId="4D6183F0"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 xml:space="preserve">Optimistiskajā scenārija iestāšanās varbūtība ir mazāka, nekā pesimistiskajam scenārijam. Šis scenārijs paredz straujāku </w:t>
      </w:r>
      <w:proofErr w:type="spellStart"/>
      <w:r w:rsidRPr="00C74C27">
        <w:rPr>
          <w:rFonts w:eastAsia="Calibri" w:cs="Arial"/>
          <w:i/>
          <w:iCs/>
          <w:szCs w:val="24"/>
          <w:lang w:eastAsia="en-US"/>
        </w:rPr>
        <w:t>euro</w:t>
      </w:r>
      <w:proofErr w:type="spellEnd"/>
      <w:r w:rsidRPr="00C74C27">
        <w:rPr>
          <w:rFonts w:eastAsia="Calibri" w:cs="Arial"/>
          <w:szCs w:val="24"/>
          <w:lang w:eastAsia="en-US"/>
        </w:rPr>
        <w:t xml:space="preserve"> zonas ekonomikas atkopšanos, jo </w:t>
      </w:r>
      <w:proofErr w:type="spellStart"/>
      <w:r w:rsidRPr="00C74C27">
        <w:rPr>
          <w:rFonts w:eastAsia="Calibri" w:cs="Arial"/>
          <w:i/>
          <w:iCs/>
          <w:szCs w:val="24"/>
          <w:lang w:eastAsia="en-US"/>
        </w:rPr>
        <w:t>euro</w:t>
      </w:r>
      <w:proofErr w:type="spellEnd"/>
      <w:r w:rsidRPr="00C74C27">
        <w:rPr>
          <w:rFonts w:eastAsia="Calibri" w:cs="Arial"/>
          <w:szCs w:val="24"/>
          <w:lang w:eastAsia="en-US"/>
        </w:rPr>
        <w:t xml:space="preserve"> zonas pamatinflācija varētu mazināties straujāk un ECB izlemt par bāzes procentu likmes samazinājumu. Papildus tam, energoresursu tirgus situācija saglabātos labvēlīga, ES būtu vairāk neatkarīga no energoresursu importa no politiski nedrošiem reģioniem, kā arī ziema nebūtu vēsāka kā iepriekšējā.</w:t>
      </w:r>
    </w:p>
    <w:p w14:paraId="310F75D1"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Atbilstoši optimistiskajam scenārijam (skat. 1.8. tabulu) 2023. gadā IKP salīdzināmās cenās varētu pieaugt par 1,4% un 2024. gadā un par 3,2% 2025. gadā, kas attiecīgi būtu par 0,5 un 0,7 procentpunktiem vairāk nekā bāzes scenārijā. Turpmākajos gados izaugsme saglabātos bāzes scenārija līmenī. Arī inflācijas dinamika neatšķirtos no bāzes scenārija, jo turpinātos enerģijas tirgus transformācija atbilstoši nospraustajiem plāniem.</w:t>
      </w:r>
    </w:p>
    <w:p w14:paraId="39278E6B" w14:textId="77777777" w:rsidR="00C74C27" w:rsidRPr="00C74C27" w:rsidRDefault="00C74C27" w:rsidP="00C74C27">
      <w:pPr>
        <w:ind w:firstLine="567"/>
        <w:rPr>
          <w:rFonts w:eastAsia="Calibri" w:cs="Arial"/>
          <w:szCs w:val="24"/>
          <w:lang w:eastAsia="en-US"/>
        </w:rPr>
      </w:pPr>
      <w:r w:rsidRPr="00C74C27">
        <w:rPr>
          <w:rFonts w:eastAsia="Calibri" w:cs="Arial"/>
          <w:szCs w:val="24"/>
          <w:lang w:eastAsia="en-US"/>
        </w:rPr>
        <w:t xml:space="preserve">Samazinoties inflācijai un 2024. gadā arī ECB bāzes procentu likmei, straujāks pieaugums būs privātajam patēriņam un investīcijām. Privātais patēriņš 2023. un 2024. gadā </w:t>
      </w:r>
      <w:r w:rsidRPr="00C74C27">
        <w:rPr>
          <w:rFonts w:eastAsia="Calibri" w:cs="Arial"/>
          <w:szCs w:val="24"/>
          <w:lang w:eastAsia="en-US"/>
        </w:rPr>
        <w:lastRenderedPageBreak/>
        <w:t>attiecīgi pieaugtu par 1,3% un 3,1% – par 0,2 un 0,5 procentpunktiem vairāk nekā bāzes scenārijā, savukārt investīcijas palielinātos par 7,4% un 3,9% – par 1,2 un 0,8 procentpunktiem vairāk nekā bāzes scenārijā. Savukārt eksporta pieaugumam būtu neliela ietekme, ņemot vērā, ka ES ekonomika ir iegājusi bremzēšanās fāzē, attiecīgi 2023. un 2024. gadā eksports būtu tikai par 0,1 un 0,4 procentpunktiem straujāks nekā bāzes scenārijā.</w:t>
      </w:r>
    </w:p>
    <w:p w14:paraId="3D8F8141" w14:textId="20612C6E" w:rsidR="00C74C27" w:rsidRPr="00C74C27" w:rsidRDefault="00C74C27" w:rsidP="00C74C27">
      <w:pPr>
        <w:keepNext/>
        <w:spacing w:line="259" w:lineRule="auto"/>
        <w:ind w:firstLine="0"/>
        <w:jc w:val="right"/>
        <w:rPr>
          <w:rFonts w:eastAsia="Calibri" w:cs="Times New Roman"/>
          <w:b/>
          <w:i/>
          <w:szCs w:val="24"/>
          <w:lang w:eastAsia="en-US"/>
        </w:rPr>
      </w:pPr>
      <w:r w:rsidRPr="00C74C27">
        <w:rPr>
          <w:rFonts w:eastAsia="Calibri" w:cs="Times New Roman"/>
          <w:b/>
          <w:i/>
          <w:szCs w:val="24"/>
          <w:lang w:eastAsia="en-US"/>
        </w:rPr>
        <w:t>1.</w:t>
      </w:r>
      <w:r w:rsidR="00280666">
        <w:rPr>
          <w:rFonts w:eastAsia="Calibri" w:cs="Times New Roman"/>
          <w:b/>
          <w:i/>
          <w:szCs w:val="24"/>
          <w:lang w:eastAsia="en-US"/>
        </w:rPr>
        <w:t>8</w:t>
      </w:r>
      <w:r w:rsidRPr="00C74C27">
        <w:rPr>
          <w:rFonts w:eastAsia="Calibri" w:cs="Times New Roman"/>
          <w:b/>
          <w:i/>
          <w:szCs w:val="24"/>
          <w:lang w:eastAsia="en-US"/>
        </w:rPr>
        <w:t>. tabula. Optimistiskais makroekonomisko rādītāju attīstības scenārijs</w:t>
      </w:r>
    </w:p>
    <w:tbl>
      <w:tblPr>
        <w:tblW w:w="5000" w:type="pct"/>
        <w:jc w:val="center"/>
        <w:tblLayout w:type="fixed"/>
        <w:tblLook w:val="04A0" w:firstRow="1" w:lastRow="0" w:firstColumn="1" w:lastColumn="0" w:noHBand="0" w:noVBand="1"/>
      </w:tblPr>
      <w:tblGrid>
        <w:gridCol w:w="3560"/>
        <w:gridCol w:w="1101"/>
        <w:gridCol w:w="1100"/>
        <w:gridCol w:w="1100"/>
        <w:gridCol w:w="1100"/>
        <w:gridCol w:w="1100"/>
      </w:tblGrid>
      <w:tr w:rsidR="00C74C27" w:rsidRPr="00C74C27" w14:paraId="1AF03F92" w14:textId="77777777" w:rsidTr="00C74C27">
        <w:trPr>
          <w:trHeight w:val="300"/>
          <w:jc w:val="center"/>
        </w:trPr>
        <w:tc>
          <w:tcPr>
            <w:tcW w:w="3260" w:type="dxa"/>
            <w:vMerge w:val="restart"/>
            <w:tcBorders>
              <w:top w:val="single" w:sz="4" w:space="0" w:color="auto"/>
              <w:left w:val="single" w:sz="4" w:space="0" w:color="auto"/>
              <w:right w:val="single" w:sz="4" w:space="0" w:color="auto"/>
            </w:tcBorders>
            <w:shd w:val="clear" w:color="auto" w:fill="auto"/>
            <w:noWrap/>
            <w:vAlign w:val="center"/>
            <w:hideMark/>
          </w:tcPr>
          <w:p w14:paraId="455E610C" w14:textId="77777777" w:rsidR="00C74C27" w:rsidRPr="00C74C27" w:rsidRDefault="00C74C27" w:rsidP="00C74C27">
            <w:pPr>
              <w:spacing w:after="0"/>
              <w:ind w:firstLine="0"/>
              <w:rPr>
                <w:rFonts w:eastAsia="Calibri" w:cs="Times New Roman"/>
                <w:sz w:val="18"/>
                <w:szCs w:val="18"/>
              </w:rPr>
            </w:pPr>
          </w:p>
        </w:tc>
        <w:tc>
          <w:tcPr>
            <w:tcW w:w="1008" w:type="dxa"/>
            <w:tcBorders>
              <w:top w:val="single" w:sz="4" w:space="0" w:color="auto"/>
              <w:left w:val="nil"/>
              <w:bottom w:val="single" w:sz="4" w:space="0" w:color="auto"/>
              <w:right w:val="single" w:sz="4" w:space="0" w:color="auto"/>
            </w:tcBorders>
            <w:shd w:val="clear" w:color="auto" w:fill="auto"/>
            <w:noWrap/>
            <w:vAlign w:val="center"/>
            <w:hideMark/>
          </w:tcPr>
          <w:p w14:paraId="50BDD94F" w14:textId="77777777" w:rsidR="00C74C27" w:rsidRPr="00C74C27" w:rsidRDefault="00C74C27" w:rsidP="00C74C27">
            <w:pPr>
              <w:spacing w:after="0"/>
              <w:ind w:firstLine="0"/>
              <w:jc w:val="center"/>
              <w:rPr>
                <w:rFonts w:eastAsia="Calibri" w:cs="Times New Roman"/>
                <w:b/>
                <w:bCs/>
                <w:sz w:val="18"/>
                <w:szCs w:val="18"/>
              </w:rPr>
            </w:pPr>
            <w:r w:rsidRPr="00C74C27">
              <w:rPr>
                <w:rFonts w:eastAsia="Calibri" w:cs="Times New Roman"/>
                <w:b/>
                <w:bCs/>
                <w:sz w:val="20"/>
                <w:szCs w:val="20"/>
              </w:rPr>
              <w:t>2022</w:t>
            </w:r>
          </w:p>
        </w:tc>
        <w:tc>
          <w:tcPr>
            <w:tcW w:w="1007" w:type="dxa"/>
            <w:tcBorders>
              <w:top w:val="single" w:sz="4" w:space="0" w:color="auto"/>
              <w:left w:val="nil"/>
              <w:bottom w:val="single" w:sz="4" w:space="0" w:color="auto"/>
              <w:right w:val="single" w:sz="4" w:space="0" w:color="auto"/>
            </w:tcBorders>
            <w:shd w:val="clear" w:color="auto" w:fill="DEEAF6"/>
            <w:noWrap/>
            <w:vAlign w:val="center"/>
          </w:tcPr>
          <w:p w14:paraId="1E467E46" w14:textId="77777777" w:rsidR="00C74C27" w:rsidRPr="00C74C27" w:rsidRDefault="00C74C27" w:rsidP="00C74C27">
            <w:pPr>
              <w:spacing w:after="0"/>
              <w:ind w:firstLine="0"/>
              <w:jc w:val="center"/>
              <w:rPr>
                <w:rFonts w:eastAsia="Calibri" w:cs="Times New Roman"/>
                <w:b/>
                <w:bCs/>
                <w:sz w:val="18"/>
                <w:szCs w:val="18"/>
              </w:rPr>
            </w:pPr>
            <w:r w:rsidRPr="00C74C27">
              <w:rPr>
                <w:rFonts w:eastAsia="Calibri" w:cs="Times New Roman"/>
                <w:b/>
                <w:bCs/>
                <w:sz w:val="20"/>
                <w:szCs w:val="20"/>
              </w:rPr>
              <w:t>2023</w:t>
            </w:r>
          </w:p>
        </w:tc>
        <w:tc>
          <w:tcPr>
            <w:tcW w:w="1007" w:type="dxa"/>
            <w:tcBorders>
              <w:top w:val="single" w:sz="4" w:space="0" w:color="auto"/>
              <w:left w:val="nil"/>
              <w:bottom w:val="single" w:sz="4" w:space="0" w:color="auto"/>
              <w:right w:val="single" w:sz="4" w:space="0" w:color="auto"/>
            </w:tcBorders>
            <w:shd w:val="clear" w:color="auto" w:fill="DEEAF6"/>
            <w:noWrap/>
            <w:vAlign w:val="center"/>
          </w:tcPr>
          <w:p w14:paraId="1166FD5A" w14:textId="77777777" w:rsidR="00C74C27" w:rsidRPr="00C74C27" w:rsidRDefault="00C74C27" w:rsidP="00C74C27">
            <w:pPr>
              <w:spacing w:after="0"/>
              <w:ind w:firstLine="0"/>
              <w:jc w:val="center"/>
              <w:rPr>
                <w:rFonts w:eastAsia="Calibri" w:cs="Times New Roman"/>
                <w:b/>
                <w:bCs/>
                <w:sz w:val="18"/>
                <w:szCs w:val="18"/>
              </w:rPr>
            </w:pPr>
            <w:r w:rsidRPr="00C74C27">
              <w:rPr>
                <w:rFonts w:eastAsia="Calibri" w:cs="Times New Roman"/>
                <w:b/>
                <w:bCs/>
                <w:sz w:val="20"/>
                <w:szCs w:val="20"/>
              </w:rPr>
              <w:t>2024</w:t>
            </w:r>
          </w:p>
        </w:tc>
        <w:tc>
          <w:tcPr>
            <w:tcW w:w="1007" w:type="dxa"/>
            <w:tcBorders>
              <w:top w:val="single" w:sz="4" w:space="0" w:color="auto"/>
              <w:left w:val="nil"/>
              <w:bottom w:val="single" w:sz="4" w:space="0" w:color="auto"/>
              <w:right w:val="single" w:sz="4" w:space="0" w:color="auto"/>
            </w:tcBorders>
            <w:shd w:val="clear" w:color="auto" w:fill="DEEAF6"/>
            <w:noWrap/>
            <w:vAlign w:val="center"/>
          </w:tcPr>
          <w:p w14:paraId="371228D5" w14:textId="77777777" w:rsidR="00C74C27" w:rsidRPr="00C74C27" w:rsidRDefault="00C74C27" w:rsidP="00C74C27">
            <w:pPr>
              <w:spacing w:after="0"/>
              <w:ind w:firstLine="0"/>
              <w:jc w:val="center"/>
              <w:rPr>
                <w:rFonts w:eastAsia="Calibri" w:cs="Times New Roman"/>
                <w:b/>
                <w:bCs/>
                <w:sz w:val="18"/>
                <w:szCs w:val="18"/>
              </w:rPr>
            </w:pPr>
            <w:r w:rsidRPr="00C74C27">
              <w:rPr>
                <w:rFonts w:eastAsia="Calibri" w:cs="Times New Roman"/>
                <w:b/>
                <w:bCs/>
                <w:sz w:val="20"/>
                <w:szCs w:val="20"/>
              </w:rPr>
              <w:t>2025</w:t>
            </w:r>
          </w:p>
        </w:tc>
        <w:tc>
          <w:tcPr>
            <w:tcW w:w="1007" w:type="dxa"/>
            <w:tcBorders>
              <w:top w:val="single" w:sz="4" w:space="0" w:color="auto"/>
              <w:left w:val="nil"/>
              <w:bottom w:val="single" w:sz="4" w:space="0" w:color="auto"/>
              <w:right w:val="single" w:sz="4" w:space="0" w:color="auto"/>
            </w:tcBorders>
            <w:shd w:val="clear" w:color="auto" w:fill="DEEAF6"/>
            <w:noWrap/>
            <w:vAlign w:val="center"/>
          </w:tcPr>
          <w:p w14:paraId="4EB543A0" w14:textId="77777777" w:rsidR="00C74C27" w:rsidRPr="00C74C27" w:rsidRDefault="00C74C27" w:rsidP="00C74C27">
            <w:pPr>
              <w:spacing w:after="0"/>
              <w:ind w:firstLine="0"/>
              <w:jc w:val="center"/>
              <w:rPr>
                <w:rFonts w:eastAsia="Calibri" w:cs="Times New Roman"/>
                <w:b/>
                <w:bCs/>
                <w:sz w:val="18"/>
                <w:szCs w:val="18"/>
              </w:rPr>
            </w:pPr>
            <w:r w:rsidRPr="00C74C27">
              <w:rPr>
                <w:rFonts w:eastAsia="Calibri" w:cs="Times New Roman"/>
                <w:b/>
                <w:bCs/>
                <w:sz w:val="20"/>
                <w:szCs w:val="20"/>
              </w:rPr>
              <w:t>2026</w:t>
            </w:r>
          </w:p>
        </w:tc>
      </w:tr>
      <w:tr w:rsidR="00C74C27" w:rsidRPr="00C74C27" w14:paraId="60D81DD3" w14:textId="77777777" w:rsidTr="00C74C27">
        <w:trPr>
          <w:trHeight w:val="300"/>
          <w:jc w:val="center"/>
        </w:trPr>
        <w:tc>
          <w:tcPr>
            <w:tcW w:w="3260" w:type="dxa"/>
            <w:vMerge/>
            <w:tcBorders>
              <w:left w:val="single" w:sz="4" w:space="0" w:color="auto"/>
              <w:bottom w:val="single" w:sz="4" w:space="0" w:color="auto"/>
              <w:right w:val="single" w:sz="4" w:space="0" w:color="auto"/>
            </w:tcBorders>
            <w:shd w:val="clear" w:color="auto" w:fill="auto"/>
            <w:noWrap/>
            <w:vAlign w:val="center"/>
          </w:tcPr>
          <w:p w14:paraId="0DC393D7" w14:textId="77777777" w:rsidR="00C74C27" w:rsidRPr="00C74C27" w:rsidRDefault="00C74C27" w:rsidP="00C74C27">
            <w:pPr>
              <w:spacing w:after="0"/>
              <w:ind w:firstLine="0"/>
              <w:rPr>
                <w:rFonts w:eastAsia="Calibri" w:cs="Times New Roman"/>
                <w:sz w:val="18"/>
                <w:szCs w:val="18"/>
              </w:rPr>
            </w:pPr>
          </w:p>
        </w:tc>
        <w:tc>
          <w:tcPr>
            <w:tcW w:w="1008" w:type="dxa"/>
            <w:tcBorders>
              <w:top w:val="single" w:sz="4" w:space="0" w:color="auto"/>
              <w:left w:val="nil"/>
              <w:bottom w:val="single" w:sz="4" w:space="0" w:color="auto"/>
              <w:right w:val="single" w:sz="4" w:space="0" w:color="auto"/>
            </w:tcBorders>
            <w:shd w:val="clear" w:color="auto" w:fill="auto"/>
            <w:noWrap/>
            <w:vAlign w:val="center"/>
          </w:tcPr>
          <w:p w14:paraId="230B63B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fakts</w:t>
            </w:r>
          </w:p>
        </w:tc>
        <w:tc>
          <w:tcPr>
            <w:tcW w:w="4028" w:type="dxa"/>
            <w:gridSpan w:val="4"/>
            <w:tcBorders>
              <w:top w:val="single" w:sz="4" w:space="0" w:color="auto"/>
              <w:left w:val="nil"/>
              <w:bottom w:val="single" w:sz="4" w:space="0" w:color="auto"/>
              <w:right w:val="single" w:sz="4" w:space="0" w:color="auto"/>
            </w:tcBorders>
            <w:shd w:val="clear" w:color="auto" w:fill="DEEAF6"/>
            <w:noWrap/>
            <w:vAlign w:val="center"/>
          </w:tcPr>
          <w:p w14:paraId="06FE323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Prognoze</w:t>
            </w:r>
          </w:p>
        </w:tc>
      </w:tr>
      <w:tr w:rsidR="00C74C27" w:rsidRPr="00C74C27" w14:paraId="4073084D"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5DFCFEF1" w14:textId="7A378368" w:rsidR="00C74C27" w:rsidRPr="00C74C27" w:rsidRDefault="00C55137" w:rsidP="00C74C27">
            <w:pPr>
              <w:spacing w:after="0"/>
              <w:ind w:firstLine="0"/>
              <w:rPr>
                <w:rFonts w:eastAsia="Calibri" w:cs="Times New Roman"/>
                <w:sz w:val="18"/>
                <w:szCs w:val="18"/>
              </w:rPr>
            </w:pPr>
            <w:r>
              <w:rPr>
                <w:rFonts w:eastAsia="Calibri" w:cs="Times New Roman"/>
                <w:b/>
                <w:noProof/>
                <w:sz w:val="18"/>
                <w:szCs w:val="18"/>
              </w:rPr>
              <w:t>IKP</w:t>
            </w:r>
            <w:r w:rsidR="00C74C27" w:rsidRPr="00C74C27">
              <w:rPr>
                <w:rFonts w:eastAsia="Calibri" w:cs="Times New Roman"/>
                <w:noProof/>
                <w:sz w:val="18"/>
                <w:szCs w:val="18"/>
              </w:rPr>
              <w:t xml:space="preserve"> (milj. </w:t>
            </w:r>
            <w:r w:rsidR="00C74C27" w:rsidRPr="00C74C27">
              <w:rPr>
                <w:rFonts w:eastAsia="Calibri" w:cs="Times New Roman"/>
                <w:i/>
                <w:noProof/>
                <w:sz w:val="18"/>
                <w:szCs w:val="18"/>
              </w:rPr>
              <w:t>euro</w:t>
            </w:r>
            <w:r w:rsidR="00C74C27" w:rsidRPr="00C74C27">
              <w:rPr>
                <w:rFonts w:eastAsia="Calibri" w:cs="Times New Roman"/>
                <w:noProof/>
                <w:sz w:val="18"/>
                <w:szCs w:val="18"/>
              </w:rPr>
              <w:t>)</w:t>
            </w:r>
          </w:p>
        </w:tc>
        <w:tc>
          <w:tcPr>
            <w:tcW w:w="1008"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4DCD54D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38 870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593CAE85" w14:textId="77777777" w:rsidR="00C74C27" w:rsidRPr="00C74C27" w:rsidRDefault="00C74C27" w:rsidP="00C74C27">
            <w:pPr>
              <w:spacing w:after="0"/>
              <w:ind w:firstLine="0"/>
              <w:jc w:val="center"/>
              <w:rPr>
                <w:rFonts w:eastAsia="Calibri" w:cs="Times New Roman"/>
                <w:noProof/>
                <w:sz w:val="20"/>
                <w:szCs w:val="20"/>
              </w:rPr>
            </w:pPr>
            <w:r w:rsidRPr="00C74C27">
              <w:rPr>
                <w:rFonts w:eastAsia="Calibri" w:cs="Times New Roman"/>
                <w:noProof/>
                <w:sz w:val="20"/>
                <w:szCs w:val="20"/>
              </w:rPr>
              <w:t>43 404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8000C2C" w14:textId="77777777" w:rsidR="00C74C27" w:rsidRPr="00C74C27" w:rsidRDefault="00C74C27" w:rsidP="00C74C27">
            <w:pPr>
              <w:spacing w:after="0"/>
              <w:ind w:firstLine="0"/>
              <w:jc w:val="center"/>
              <w:rPr>
                <w:rFonts w:eastAsia="Calibri" w:cs="Times New Roman"/>
                <w:noProof/>
                <w:sz w:val="20"/>
                <w:szCs w:val="20"/>
              </w:rPr>
            </w:pPr>
            <w:r w:rsidRPr="00C74C27">
              <w:rPr>
                <w:rFonts w:eastAsia="Calibri" w:cs="Times New Roman"/>
                <w:noProof/>
                <w:sz w:val="20"/>
                <w:szCs w:val="20"/>
              </w:rPr>
              <w:t>46 081</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4DF9E06" w14:textId="77777777" w:rsidR="00C74C27" w:rsidRPr="00C74C27" w:rsidRDefault="00C74C27" w:rsidP="00C74C27">
            <w:pPr>
              <w:spacing w:after="0"/>
              <w:ind w:firstLine="0"/>
              <w:jc w:val="center"/>
              <w:rPr>
                <w:rFonts w:eastAsia="Calibri" w:cs="Times New Roman"/>
                <w:noProof/>
                <w:sz w:val="20"/>
                <w:szCs w:val="20"/>
              </w:rPr>
            </w:pPr>
            <w:r w:rsidRPr="00C74C27">
              <w:rPr>
                <w:rFonts w:eastAsia="Calibri" w:cs="Times New Roman"/>
                <w:noProof/>
                <w:sz w:val="20"/>
                <w:szCs w:val="20"/>
              </w:rPr>
              <w:t>48 920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11BDFBD6" w14:textId="77777777" w:rsidR="00C74C27" w:rsidRPr="00C74C27" w:rsidRDefault="00C74C27" w:rsidP="00C74C27">
            <w:pPr>
              <w:spacing w:after="0"/>
              <w:ind w:firstLine="0"/>
              <w:jc w:val="center"/>
              <w:rPr>
                <w:rFonts w:eastAsia="Calibri" w:cs="Times New Roman"/>
                <w:noProof/>
                <w:sz w:val="20"/>
                <w:szCs w:val="20"/>
              </w:rPr>
            </w:pPr>
            <w:r w:rsidRPr="00C74C27">
              <w:rPr>
                <w:rFonts w:eastAsia="Calibri" w:cs="Times New Roman"/>
                <w:noProof/>
                <w:sz w:val="20"/>
                <w:szCs w:val="20"/>
              </w:rPr>
              <w:t>51 749</w:t>
            </w:r>
          </w:p>
        </w:tc>
      </w:tr>
      <w:tr w:rsidR="00C74C27" w:rsidRPr="00C74C27" w14:paraId="45248577"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1812375C"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faktiskajās cenās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0DE27F8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16,6</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543B70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11,7</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51D1AF4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6,2</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743F37C6"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6,2</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84B8B1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5,8</w:t>
            </w:r>
          </w:p>
        </w:tc>
      </w:tr>
      <w:tr w:rsidR="00C74C27" w:rsidRPr="00C74C27" w14:paraId="6B233755"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25210D55"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salīdzināmās cenās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00094D5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7FE81BA7"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679BFD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3,2</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7C1916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2,9</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7F4887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2,9</w:t>
            </w:r>
          </w:p>
        </w:tc>
      </w:tr>
      <w:tr w:rsidR="00C74C27" w:rsidRPr="00C74C27" w14:paraId="2D2DA37F"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410EA161" w14:textId="77777777" w:rsidR="00C74C27" w:rsidRPr="00C74C27" w:rsidRDefault="00C74C27" w:rsidP="00C74C27">
            <w:pPr>
              <w:spacing w:after="0"/>
              <w:ind w:firstLine="0"/>
              <w:rPr>
                <w:rFonts w:eastAsia="Calibri" w:cs="Times New Roman"/>
                <w:sz w:val="18"/>
                <w:szCs w:val="18"/>
              </w:rPr>
            </w:pPr>
            <w:r w:rsidRPr="00C74C27">
              <w:rPr>
                <w:rFonts w:eastAsia="Calibri" w:cs="Times New Roman"/>
                <w:b/>
                <w:noProof/>
                <w:sz w:val="18"/>
                <w:szCs w:val="18"/>
              </w:rPr>
              <w:t>IKP deflators</w:t>
            </w:r>
            <w:r w:rsidRPr="00C74C27">
              <w:rPr>
                <w:rFonts w:eastAsia="Calibri" w:cs="Times New Roman"/>
                <w:noProof/>
                <w:sz w:val="18"/>
                <w:szCs w:val="18"/>
              </w:rPr>
              <w:t xml:space="preserve"> (gads pret gadu,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6951D67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12,8</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39E417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10,1</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69434E9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2,9</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562A220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3,2</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9689BC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2,8</w:t>
            </w:r>
          </w:p>
        </w:tc>
      </w:tr>
      <w:tr w:rsidR="00C74C27" w:rsidRPr="00C74C27" w14:paraId="4D09235A"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4AE6166E" w14:textId="77777777" w:rsidR="00C74C27" w:rsidRPr="00C74C27" w:rsidRDefault="00C74C27" w:rsidP="00C74C27">
            <w:pPr>
              <w:spacing w:after="0"/>
              <w:ind w:firstLine="0"/>
              <w:rPr>
                <w:rFonts w:eastAsia="Calibri" w:cs="Times New Roman"/>
                <w:sz w:val="18"/>
                <w:szCs w:val="18"/>
              </w:rPr>
            </w:pPr>
            <w:r w:rsidRPr="00C74C27">
              <w:rPr>
                <w:rFonts w:eastAsia="Calibri" w:cs="Times New Roman"/>
                <w:b/>
                <w:noProof/>
                <w:sz w:val="18"/>
                <w:szCs w:val="18"/>
              </w:rPr>
              <w:t>PCI</w:t>
            </w:r>
            <w:r w:rsidRPr="00C74C27">
              <w:rPr>
                <w:rFonts w:eastAsia="Calibri" w:cs="Times New Roman"/>
                <w:noProof/>
                <w:sz w:val="18"/>
                <w:szCs w:val="18"/>
              </w:rPr>
              <w:t xml:space="preserve"> (gads pret gadu,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77F744E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17,3</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641AAAE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10,0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6E1A61A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2,2</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5218E2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2,5</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735633A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2,3</w:t>
            </w:r>
          </w:p>
        </w:tc>
      </w:tr>
      <w:tr w:rsidR="00C74C27" w:rsidRPr="00C74C27" w14:paraId="490C3A1E" w14:textId="77777777" w:rsidTr="00C74C27">
        <w:trPr>
          <w:trHeight w:val="6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729E13D3" w14:textId="77777777" w:rsidR="00C74C27" w:rsidRPr="00C74C27" w:rsidRDefault="00C74C27" w:rsidP="00C74C27">
            <w:pPr>
              <w:spacing w:after="0"/>
              <w:ind w:firstLine="0"/>
              <w:jc w:val="left"/>
              <w:rPr>
                <w:rFonts w:eastAsia="Calibri" w:cs="Times New Roman"/>
                <w:sz w:val="18"/>
                <w:szCs w:val="18"/>
              </w:rPr>
            </w:pPr>
            <w:r w:rsidRPr="00C74C27">
              <w:rPr>
                <w:rFonts w:eastAsia="Calibri" w:cs="Times New Roman"/>
                <w:b/>
                <w:noProof/>
                <w:sz w:val="18"/>
                <w:szCs w:val="18"/>
              </w:rPr>
              <w:t xml:space="preserve">Tautsaimniecībā nodarbināto mēn. </w:t>
            </w:r>
            <w:r w:rsidRPr="00C74C27">
              <w:rPr>
                <w:rFonts w:eastAsia="Calibri" w:cs="Times New Roman"/>
                <w:b/>
                <w:noProof/>
                <w:sz w:val="18"/>
                <w:szCs w:val="18"/>
              </w:rPr>
              <w:br/>
              <w:t>vid. bruto darba samaksa</w:t>
            </w:r>
            <w:r w:rsidRPr="00C74C27">
              <w:rPr>
                <w:rFonts w:eastAsia="Calibri" w:cs="Times New Roman"/>
                <w:noProof/>
                <w:sz w:val="18"/>
                <w:szCs w:val="18"/>
              </w:rPr>
              <w:t xml:space="preserve"> (</w:t>
            </w:r>
            <w:r w:rsidRPr="00C74C27">
              <w:rPr>
                <w:rFonts w:eastAsia="Calibri" w:cs="Times New Roman"/>
                <w:i/>
                <w:noProof/>
                <w:sz w:val="18"/>
                <w:szCs w:val="18"/>
              </w:rPr>
              <w:t>euro</w:t>
            </w:r>
            <w:r w:rsidRPr="00C74C27">
              <w:rPr>
                <w:rFonts w:eastAsia="Calibri" w:cs="Times New Roman"/>
                <w:noProof/>
                <w:sz w:val="18"/>
                <w:szCs w:val="18"/>
              </w:rPr>
              <w:t>)</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356B8794"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1 373</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793D1167"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1 524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6D1980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1 654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1C2F97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1 753</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FE96D2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1 858</w:t>
            </w:r>
          </w:p>
        </w:tc>
      </w:tr>
      <w:tr w:rsidR="00C74C27" w:rsidRPr="00C74C27" w14:paraId="6ECBAFFE"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751E7466"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faktiskajās cenās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2C6475A7"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7,5</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502403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11,0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6267435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8,5</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E8E6E7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931991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6,0</w:t>
            </w:r>
          </w:p>
        </w:tc>
      </w:tr>
      <w:tr w:rsidR="00C74C27" w:rsidRPr="00C74C27" w14:paraId="14AA43D0"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172BA7E6"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salīdzināmās cenās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00D4E984"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-8,4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30F20F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0,9</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76700CB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6,2</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3A529F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3,4</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248246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3,6</w:t>
            </w:r>
          </w:p>
        </w:tc>
      </w:tr>
      <w:tr w:rsidR="00C74C27" w:rsidRPr="00C74C27" w14:paraId="3951F66A" w14:textId="77777777" w:rsidTr="00C74C27">
        <w:trPr>
          <w:trHeight w:val="6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62F850B6" w14:textId="77777777" w:rsidR="00C74C27" w:rsidRPr="00C74C27" w:rsidRDefault="00C74C27" w:rsidP="00C74C27">
            <w:pPr>
              <w:spacing w:after="0"/>
              <w:ind w:firstLine="0"/>
              <w:jc w:val="left"/>
              <w:rPr>
                <w:rFonts w:eastAsia="Calibri" w:cs="Times New Roman"/>
                <w:sz w:val="18"/>
                <w:szCs w:val="18"/>
              </w:rPr>
            </w:pPr>
            <w:r w:rsidRPr="00C74C27">
              <w:rPr>
                <w:rFonts w:eastAsia="Calibri" w:cs="Times New Roman"/>
                <w:b/>
                <w:noProof/>
                <w:sz w:val="18"/>
                <w:szCs w:val="18"/>
              </w:rPr>
              <w:t>Nodarbinātība</w:t>
            </w:r>
            <w:r w:rsidRPr="00C74C27">
              <w:rPr>
                <w:rFonts w:eastAsia="Calibri" w:cs="Times New Roman"/>
                <w:noProof/>
                <w:sz w:val="18"/>
                <w:szCs w:val="18"/>
              </w:rPr>
              <w:t xml:space="preserve"> (tūkst. iedzīvotāju</w:t>
            </w:r>
            <w:r w:rsidRPr="00C74C27">
              <w:rPr>
                <w:rFonts w:eastAsia="Calibri" w:cs="Times New Roman"/>
                <w:noProof/>
                <w:sz w:val="18"/>
                <w:szCs w:val="18"/>
              </w:rPr>
              <w:br/>
              <w:t>atbilstoši darbaspēka apsekojumiem)</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6B3D414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886</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7FD9DC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888</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79BA20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888</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38A4D21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885</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261CC8D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880</w:t>
            </w:r>
          </w:p>
        </w:tc>
      </w:tr>
      <w:tr w:rsidR="00C74C27" w:rsidRPr="00C74C27" w14:paraId="1F703935" w14:textId="77777777" w:rsidTr="00C74C27">
        <w:trPr>
          <w:trHeight w:val="300"/>
          <w:jc w:val="center"/>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18670239" w14:textId="77777777" w:rsidR="00C74C27" w:rsidRPr="00C74C27" w:rsidRDefault="00C74C27" w:rsidP="00C74C27">
            <w:pPr>
              <w:spacing w:after="0"/>
              <w:ind w:left="176" w:firstLine="0"/>
              <w:rPr>
                <w:rFonts w:eastAsia="Calibri" w:cs="Times New Roman"/>
                <w:sz w:val="18"/>
                <w:szCs w:val="18"/>
              </w:rPr>
            </w:pPr>
            <w:r w:rsidRPr="00C74C27">
              <w:rPr>
                <w:rFonts w:eastAsia="Calibri" w:cs="Times New Roman"/>
                <w:noProof/>
                <w:sz w:val="18"/>
                <w:szCs w:val="18"/>
              </w:rPr>
              <w:t>pieaugums (%)</w:t>
            </w:r>
          </w:p>
        </w:tc>
        <w:tc>
          <w:tcPr>
            <w:tcW w:w="1008" w:type="dxa"/>
            <w:tcBorders>
              <w:top w:val="nil"/>
              <w:left w:val="nil"/>
              <w:bottom w:val="single" w:sz="4" w:space="0" w:color="auto"/>
              <w:right w:val="single" w:sz="4" w:space="0" w:color="auto"/>
            </w:tcBorders>
            <w:shd w:val="clear" w:color="auto" w:fill="auto"/>
            <w:noWrap/>
            <w:tcMar>
              <w:right w:w="170" w:type="dxa"/>
            </w:tcMar>
            <w:vAlign w:val="center"/>
          </w:tcPr>
          <w:p w14:paraId="42CD03A6"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2,6</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4E11C0F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0,2</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1A24660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0,0</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016BBB8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-0,3</w:t>
            </w:r>
          </w:p>
        </w:tc>
        <w:tc>
          <w:tcPr>
            <w:tcW w:w="1007" w:type="dxa"/>
            <w:tcBorders>
              <w:top w:val="nil"/>
              <w:left w:val="nil"/>
              <w:bottom w:val="single" w:sz="4" w:space="0" w:color="auto"/>
              <w:right w:val="single" w:sz="4" w:space="0" w:color="auto"/>
            </w:tcBorders>
            <w:shd w:val="clear" w:color="auto" w:fill="DEEAF6"/>
            <w:noWrap/>
            <w:tcMar>
              <w:right w:w="170" w:type="dxa"/>
            </w:tcMar>
            <w:vAlign w:val="center"/>
          </w:tcPr>
          <w:p w14:paraId="1D068D87"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-0,6</w:t>
            </w:r>
          </w:p>
        </w:tc>
      </w:tr>
      <w:tr w:rsidR="00C74C27" w:rsidRPr="00C74C27" w14:paraId="193B87D1" w14:textId="77777777" w:rsidTr="00C74C27">
        <w:trPr>
          <w:trHeight w:val="601"/>
          <w:jc w:val="center"/>
        </w:trPr>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F57F8" w14:textId="77777777" w:rsidR="00C74C27" w:rsidRPr="00C74C27" w:rsidRDefault="00C74C27" w:rsidP="00C74C27">
            <w:pPr>
              <w:spacing w:after="0"/>
              <w:ind w:firstLine="0"/>
              <w:jc w:val="left"/>
              <w:rPr>
                <w:rFonts w:eastAsia="Calibri" w:cs="Times New Roman"/>
                <w:sz w:val="18"/>
                <w:szCs w:val="18"/>
              </w:rPr>
            </w:pPr>
            <w:r w:rsidRPr="00C74C27">
              <w:rPr>
                <w:rFonts w:eastAsia="Calibri" w:cs="Times New Roman"/>
                <w:b/>
                <w:noProof/>
                <w:sz w:val="18"/>
                <w:szCs w:val="18"/>
              </w:rPr>
              <w:t>Bezdarba līmenis</w:t>
            </w:r>
            <w:r w:rsidRPr="00C74C27">
              <w:rPr>
                <w:rFonts w:eastAsia="Calibri" w:cs="Times New Roman"/>
                <w:noProof/>
                <w:sz w:val="18"/>
                <w:szCs w:val="18"/>
              </w:rPr>
              <w:t xml:space="preserve"> (gada vidējais, </w:t>
            </w:r>
            <w:r w:rsidRPr="00C74C27">
              <w:rPr>
                <w:rFonts w:eastAsia="Calibri" w:cs="Times New Roman"/>
                <w:noProof/>
                <w:sz w:val="18"/>
                <w:szCs w:val="18"/>
              </w:rPr>
              <w:br/>
              <w:t>% no ekon. aktīviem iedzīv.)</w:t>
            </w:r>
          </w:p>
        </w:tc>
        <w:tc>
          <w:tcPr>
            <w:tcW w:w="1008"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11EE9FA6"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6,9</w:t>
            </w:r>
          </w:p>
        </w:tc>
        <w:tc>
          <w:tcPr>
            <w:tcW w:w="1007" w:type="dxa"/>
            <w:tcBorders>
              <w:top w:val="single" w:sz="4" w:space="0" w:color="auto"/>
              <w:left w:val="nil"/>
              <w:bottom w:val="single" w:sz="4" w:space="0" w:color="auto"/>
              <w:right w:val="single" w:sz="4" w:space="0" w:color="auto"/>
            </w:tcBorders>
            <w:shd w:val="clear" w:color="auto" w:fill="DEEAF6"/>
            <w:noWrap/>
            <w:tcMar>
              <w:right w:w="170" w:type="dxa"/>
            </w:tcMar>
            <w:vAlign w:val="center"/>
          </w:tcPr>
          <w:p w14:paraId="0A6F574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6,4</w:t>
            </w:r>
          </w:p>
        </w:tc>
        <w:tc>
          <w:tcPr>
            <w:tcW w:w="1007" w:type="dxa"/>
            <w:tcBorders>
              <w:top w:val="single" w:sz="4" w:space="0" w:color="auto"/>
              <w:left w:val="nil"/>
              <w:bottom w:val="single" w:sz="4" w:space="0" w:color="auto"/>
              <w:right w:val="single" w:sz="4" w:space="0" w:color="auto"/>
            </w:tcBorders>
            <w:shd w:val="clear" w:color="auto" w:fill="DEEAF6"/>
            <w:noWrap/>
            <w:tcMar>
              <w:right w:w="170" w:type="dxa"/>
            </w:tcMar>
            <w:vAlign w:val="center"/>
          </w:tcPr>
          <w:p w14:paraId="6C73B77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noProof/>
                <w:sz w:val="20"/>
                <w:szCs w:val="20"/>
              </w:rPr>
              <w:t>6,3</w:t>
            </w:r>
          </w:p>
        </w:tc>
        <w:tc>
          <w:tcPr>
            <w:tcW w:w="1007" w:type="dxa"/>
            <w:tcBorders>
              <w:top w:val="single" w:sz="4" w:space="0" w:color="auto"/>
              <w:left w:val="nil"/>
              <w:bottom w:val="single" w:sz="4" w:space="0" w:color="auto"/>
              <w:right w:val="single" w:sz="4" w:space="0" w:color="auto"/>
            </w:tcBorders>
            <w:shd w:val="clear" w:color="auto" w:fill="DEEAF6"/>
            <w:noWrap/>
            <w:tcMar>
              <w:right w:w="170" w:type="dxa"/>
            </w:tcMar>
            <w:vAlign w:val="center"/>
          </w:tcPr>
          <w:p w14:paraId="2E53083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6,3</w:t>
            </w:r>
          </w:p>
        </w:tc>
        <w:tc>
          <w:tcPr>
            <w:tcW w:w="1007" w:type="dxa"/>
            <w:tcBorders>
              <w:top w:val="single" w:sz="4" w:space="0" w:color="auto"/>
              <w:left w:val="nil"/>
              <w:bottom w:val="single" w:sz="4" w:space="0" w:color="auto"/>
              <w:right w:val="single" w:sz="4" w:space="0" w:color="auto"/>
            </w:tcBorders>
            <w:shd w:val="clear" w:color="auto" w:fill="DEEAF6"/>
            <w:noWrap/>
            <w:tcMar>
              <w:right w:w="170" w:type="dxa"/>
            </w:tcMar>
            <w:vAlign w:val="center"/>
          </w:tcPr>
          <w:p w14:paraId="426E36D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rPr>
              <w:t>6,3</w:t>
            </w:r>
          </w:p>
        </w:tc>
      </w:tr>
    </w:tbl>
    <w:p w14:paraId="1BD61400" w14:textId="77777777" w:rsidR="00C74C27" w:rsidRPr="00C74C27" w:rsidRDefault="00C74C27" w:rsidP="00C74C27">
      <w:pPr>
        <w:keepNext/>
        <w:spacing w:line="259" w:lineRule="auto"/>
        <w:ind w:firstLine="0"/>
        <w:jc w:val="right"/>
        <w:rPr>
          <w:rFonts w:eastAsia="Calibri" w:cs="Times New Roman"/>
          <w:b/>
          <w:i/>
          <w:szCs w:val="24"/>
          <w:lang w:eastAsia="en-US"/>
        </w:rPr>
      </w:pPr>
    </w:p>
    <w:p w14:paraId="043669D7" w14:textId="77777777" w:rsidR="00C6033D" w:rsidRPr="00FF3DFF" w:rsidRDefault="00C6033D" w:rsidP="00C6033D">
      <w:pPr>
        <w:autoSpaceDE w:val="0"/>
        <w:autoSpaceDN w:val="0"/>
        <w:adjustRightInd w:val="0"/>
        <w:spacing w:before="240" w:after="240"/>
        <w:ind w:firstLine="0"/>
        <w:jc w:val="center"/>
        <w:rPr>
          <w:rFonts w:eastAsia="Times New Roman" w:cs="Times New Roman"/>
          <w:b/>
          <w:sz w:val="28"/>
          <w:szCs w:val="28"/>
        </w:rPr>
      </w:pPr>
      <w:bookmarkStart w:id="49" w:name="_Toc126011238"/>
      <w:bookmarkStart w:id="50" w:name="_Toc126044022"/>
      <w:r w:rsidRPr="00FF3DFF">
        <w:rPr>
          <w:rFonts w:eastAsia="Times New Roman" w:cs="Times New Roman"/>
          <w:b/>
          <w:sz w:val="28"/>
          <w:szCs w:val="28"/>
        </w:rPr>
        <w:t>Ietekme uz vispārējās valdības budžetu un parādu</w:t>
      </w:r>
    </w:p>
    <w:p w14:paraId="36870D96" w14:textId="77777777" w:rsidR="00C6033D" w:rsidRPr="00FF3DFF" w:rsidRDefault="00C6033D" w:rsidP="00C6033D">
      <w:pPr>
        <w:autoSpaceDE w:val="0"/>
        <w:autoSpaceDN w:val="0"/>
        <w:adjustRightInd w:val="0"/>
        <w:rPr>
          <w:rFonts w:eastAsia="Times New Roman" w:cs="Times New Roman"/>
          <w:noProof/>
          <w:szCs w:val="28"/>
        </w:rPr>
      </w:pPr>
      <w:r w:rsidRPr="00FF3DFF">
        <w:rPr>
          <w:rFonts w:eastAsia="Times New Roman" w:cs="Times New Roman"/>
          <w:noProof/>
          <w:szCs w:val="28"/>
        </w:rPr>
        <w:t xml:space="preserve">Īstenojoties optimistiskajam scenārijam, kopbudžeta nodokļu ieņēmumi un valsts pamatbudžeta nenodokļu ieņēmumi palielināsies par 38,7 milj. </w:t>
      </w:r>
      <w:r w:rsidRPr="00FF3DFF">
        <w:rPr>
          <w:rFonts w:eastAsia="Times New Roman" w:cs="Times New Roman"/>
          <w:i/>
          <w:noProof/>
          <w:szCs w:val="28"/>
        </w:rPr>
        <w:t>euro</w:t>
      </w:r>
      <w:r w:rsidRPr="00FF3DFF">
        <w:rPr>
          <w:rFonts w:eastAsia="Times New Roman" w:cs="Times New Roman"/>
          <w:noProof/>
          <w:szCs w:val="28"/>
        </w:rPr>
        <w:t xml:space="preserve"> jeb 0,1% no IKP 2023. gadā, salīdzinājumā ar bāzes scenāriju. 2024. tie būtu attiecīgi par 151,3 milj. </w:t>
      </w:r>
      <w:r w:rsidRPr="00FF3DFF">
        <w:rPr>
          <w:rFonts w:eastAsia="Times New Roman" w:cs="Times New Roman"/>
          <w:i/>
          <w:noProof/>
          <w:szCs w:val="28"/>
        </w:rPr>
        <w:t>euro</w:t>
      </w:r>
      <w:r w:rsidRPr="00FF3DFF">
        <w:rPr>
          <w:rFonts w:eastAsia="Times New Roman" w:cs="Times New Roman"/>
          <w:noProof/>
          <w:szCs w:val="28"/>
        </w:rPr>
        <w:t xml:space="preserve"> jeb 0,3% no IKP, 2025. gadā par 242,5 milj. </w:t>
      </w:r>
      <w:r w:rsidRPr="00FF3DFF">
        <w:rPr>
          <w:rFonts w:eastAsia="Times New Roman" w:cs="Times New Roman"/>
          <w:i/>
          <w:noProof/>
          <w:szCs w:val="28"/>
        </w:rPr>
        <w:t>euro</w:t>
      </w:r>
      <w:r w:rsidRPr="00FF3DFF">
        <w:rPr>
          <w:rFonts w:eastAsia="Times New Roman" w:cs="Times New Roman"/>
          <w:noProof/>
          <w:szCs w:val="28"/>
        </w:rPr>
        <w:t xml:space="preserve"> jeb 0,5% no IKP augstāki un 2026. gadā par 348 milj. </w:t>
      </w:r>
      <w:r w:rsidRPr="00FF3DFF">
        <w:rPr>
          <w:rFonts w:eastAsia="Times New Roman" w:cs="Times New Roman"/>
          <w:i/>
          <w:noProof/>
          <w:szCs w:val="28"/>
        </w:rPr>
        <w:t>euro</w:t>
      </w:r>
      <w:r w:rsidRPr="00FF3DFF">
        <w:rPr>
          <w:rFonts w:eastAsia="Times New Roman" w:cs="Times New Roman"/>
          <w:noProof/>
          <w:szCs w:val="28"/>
        </w:rPr>
        <w:t xml:space="preserve"> jeb 0,7% no IKP augstāki nekā bāzes scenārijā.</w:t>
      </w:r>
    </w:p>
    <w:p w14:paraId="7620FAF9" w14:textId="77777777" w:rsidR="00C6033D" w:rsidRPr="00FF3DFF" w:rsidRDefault="00C6033D" w:rsidP="00C6033D">
      <w:pPr>
        <w:autoSpaceDE w:val="0"/>
        <w:autoSpaceDN w:val="0"/>
        <w:adjustRightInd w:val="0"/>
        <w:rPr>
          <w:rFonts w:eastAsia="Times New Roman" w:cs="Times New Roman"/>
          <w:noProof/>
          <w:szCs w:val="28"/>
        </w:rPr>
      </w:pPr>
      <w:r w:rsidRPr="00FF3DFF">
        <w:rPr>
          <w:rFonts w:eastAsia="Times New Roman" w:cs="Times New Roman"/>
          <w:noProof/>
          <w:szCs w:val="28"/>
        </w:rPr>
        <w:t xml:space="preserve">Izpildoties optimistiskajam scenārijam, </w:t>
      </w:r>
      <w:r w:rsidRPr="00FF3DFF">
        <w:rPr>
          <w:rFonts w:eastAsia="Times New Roman" w:cs="Times New Roman"/>
          <w:noProof/>
          <w:szCs w:val="24"/>
        </w:rPr>
        <w:t>lielākais palielinājums kopbudžeta ieņēmumos būtu attiecināms uz valsts speciālo budžetu</w:t>
      </w:r>
      <w:r w:rsidRPr="00FF3DFF">
        <w:rPr>
          <w:rFonts w:eastAsia="Times New Roman" w:cs="Times New Roman"/>
          <w:noProof/>
          <w:szCs w:val="28"/>
        </w:rPr>
        <w:t xml:space="preserve">. </w:t>
      </w:r>
      <w:r w:rsidRPr="00FF3DFF">
        <w:rPr>
          <w:rFonts w:eastAsia="Times New Roman" w:cs="Times New Roman"/>
          <w:szCs w:val="28"/>
        </w:rPr>
        <w:t xml:space="preserve">Pie šāda scenārija, pieaugot nodokļu ieņēmumiem, uzlabotos valsts budžeta finansiālā bilance, kā rezultātā samazinātos kopējā finansēšanas nepieciešamība un attiecīgi arī aizņemšanās apjoms attiecīgajā periodā, salīdzinot ar bāzes scenāriju. Mazāks aizņemšanās apjoms izraisītu nelielu ietaupījumu procentu izdevumos. Optimistiskā scenārija gadījumā procentu izdevumi 2024. gadā samazinātos par 1,6 milj. </w:t>
      </w:r>
      <w:r w:rsidRPr="00FF3DFF">
        <w:rPr>
          <w:rFonts w:eastAsia="Times New Roman" w:cs="Times New Roman"/>
          <w:i/>
          <w:noProof/>
          <w:szCs w:val="28"/>
        </w:rPr>
        <w:t>euro</w:t>
      </w:r>
      <w:r w:rsidRPr="00FF3DFF">
        <w:rPr>
          <w:rFonts w:eastAsia="Times New Roman" w:cs="Times New Roman"/>
          <w:szCs w:val="28"/>
        </w:rPr>
        <w:t>, 2025. gadā izdevumi būtu par 8,8 milj</w:t>
      </w:r>
      <w:r w:rsidRPr="00FF3DFF">
        <w:rPr>
          <w:rFonts w:eastAsia="Times New Roman" w:cs="Times New Roman"/>
          <w:noProof/>
          <w:szCs w:val="28"/>
        </w:rPr>
        <w:t xml:space="preserve">. </w:t>
      </w:r>
      <w:r w:rsidRPr="00FF3DFF">
        <w:rPr>
          <w:rFonts w:eastAsia="Times New Roman" w:cs="Times New Roman"/>
          <w:i/>
          <w:noProof/>
          <w:szCs w:val="28"/>
        </w:rPr>
        <w:t>euro</w:t>
      </w:r>
      <w:r w:rsidRPr="00FF3DFF">
        <w:rPr>
          <w:rFonts w:eastAsia="Times New Roman" w:cs="Times New Roman"/>
          <w:noProof/>
          <w:szCs w:val="28"/>
        </w:rPr>
        <w:t xml:space="preserve"> mazāki un </w:t>
      </w:r>
      <w:r w:rsidRPr="00FF3DFF">
        <w:rPr>
          <w:rFonts w:eastAsia="Times New Roman" w:cs="Times New Roman"/>
          <w:szCs w:val="28"/>
        </w:rPr>
        <w:t>2026. gadā izdevumi būtu par 19,2 milj</w:t>
      </w:r>
      <w:r w:rsidRPr="00FF3DFF">
        <w:rPr>
          <w:rFonts w:eastAsia="Times New Roman" w:cs="Times New Roman"/>
          <w:noProof/>
          <w:szCs w:val="28"/>
        </w:rPr>
        <w:t xml:space="preserve">. </w:t>
      </w:r>
      <w:r w:rsidRPr="00FF3DFF">
        <w:rPr>
          <w:rFonts w:eastAsia="Times New Roman" w:cs="Times New Roman"/>
          <w:i/>
          <w:noProof/>
          <w:szCs w:val="28"/>
        </w:rPr>
        <w:t>euro</w:t>
      </w:r>
      <w:r w:rsidRPr="00FF3DFF">
        <w:rPr>
          <w:rFonts w:eastAsia="Times New Roman" w:cs="Times New Roman"/>
          <w:noProof/>
          <w:szCs w:val="28"/>
        </w:rPr>
        <w:t xml:space="preserve"> mazāki nekā bāzes scenārijā.</w:t>
      </w:r>
    </w:p>
    <w:p w14:paraId="6A49073C" w14:textId="6C989AF5" w:rsidR="00C6033D" w:rsidRPr="00FF3DFF" w:rsidRDefault="00C6033D" w:rsidP="00C6033D">
      <w:pPr>
        <w:keepNext/>
        <w:spacing w:before="240"/>
        <w:ind w:firstLine="0"/>
        <w:jc w:val="right"/>
        <w:rPr>
          <w:rFonts w:eastAsia="Calibri" w:cs="Times New Roman"/>
          <w:b/>
          <w:i/>
          <w:szCs w:val="24"/>
          <w:lang w:eastAsia="en-US"/>
        </w:rPr>
      </w:pPr>
      <w:r w:rsidRPr="00FF3DFF">
        <w:rPr>
          <w:rFonts w:eastAsia="Calibri" w:cs="Times New Roman"/>
          <w:b/>
          <w:i/>
          <w:szCs w:val="24"/>
          <w:lang w:eastAsia="en-US"/>
        </w:rPr>
        <w:t>1.</w:t>
      </w:r>
      <w:r w:rsidR="00280666">
        <w:rPr>
          <w:rFonts w:eastAsia="Calibri" w:cs="Times New Roman"/>
          <w:b/>
          <w:i/>
          <w:szCs w:val="24"/>
          <w:lang w:eastAsia="en-US"/>
        </w:rPr>
        <w:t>9</w:t>
      </w:r>
      <w:r w:rsidRPr="00FF3DFF">
        <w:rPr>
          <w:rFonts w:eastAsia="Calibri" w:cs="Times New Roman"/>
          <w:b/>
          <w:i/>
          <w:szCs w:val="24"/>
          <w:lang w:eastAsia="en-US"/>
        </w:rPr>
        <w:t xml:space="preserve">.tabula. Optimistiskā scenārija ietekme uz vispārējās valdības budžetu, </w:t>
      </w:r>
      <w:r w:rsidRPr="00FF3DFF">
        <w:rPr>
          <w:rFonts w:eastAsia="Calibri" w:cs="Times New Roman"/>
          <w:b/>
          <w:i/>
          <w:noProof/>
          <w:szCs w:val="24"/>
          <w:lang w:eastAsia="en-US"/>
        </w:rPr>
        <w:t>milj. euro</w:t>
      </w:r>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51"/>
        <w:gridCol w:w="850"/>
        <w:gridCol w:w="851"/>
        <w:gridCol w:w="850"/>
        <w:gridCol w:w="709"/>
        <w:gridCol w:w="709"/>
        <w:gridCol w:w="709"/>
        <w:gridCol w:w="730"/>
      </w:tblGrid>
      <w:tr w:rsidR="00C6033D" w:rsidRPr="00FF3DFF" w14:paraId="5DF400D2" w14:textId="77777777" w:rsidTr="007B37F8">
        <w:trPr>
          <w:trHeight w:val="301"/>
          <w:tblHeader/>
          <w:jc w:val="center"/>
        </w:trPr>
        <w:tc>
          <w:tcPr>
            <w:tcW w:w="2830" w:type="dxa"/>
            <w:shd w:val="clear" w:color="auto" w:fill="BDD6EE" w:themeFill="accent1" w:themeFillTint="66"/>
            <w:vAlign w:val="center"/>
            <w:hideMark/>
          </w:tcPr>
          <w:p w14:paraId="0EA76E7A" w14:textId="77777777" w:rsidR="00C6033D" w:rsidRPr="00FF3DFF" w:rsidRDefault="00C6033D" w:rsidP="007B37F8">
            <w:pPr>
              <w:spacing w:after="0"/>
              <w:ind w:firstLine="0"/>
              <w:jc w:val="left"/>
              <w:rPr>
                <w:rFonts w:eastAsia="Times New Roman" w:cs="Times New Roman"/>
                <w:sz w:val="18"/>
                <w:szCs w:val="18"/>
              </w:rPr>
            </w:pPr>
          </w:p>
        </w:tc>
        <w:tc>
          <w:tcPr>
            <w:tcW w:w="3402" w:type="dxa"/>
            <w:gridSpan w:val="4"/>
            <w:shd w:val="clear" w:color="auto" w:fill="BDD6EE" w:themeFill="accent1" w:themeFillTint="66"/>
            <w:vAlign w:val="center"/>
          </w:tcPr>
          <w:p w14:paraId="48460474"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Optimistiskais scenārijs</w:t>
            </w:r>
          </w:p>
        </w:tc>
        <w:tc>
          <w:tcPr>
            <w:tcW w:w="2857" w:type="dxa"/>
            <w:gridSpan w:val="4"/>
            <w:shd w:val="clear" w:color="auto" w:fill="BDD6EE" w:themeFill="accent1" w:themeFillTint="66"/>
            <w:vAlign w:val="center"/>
          </w:tcPr>
          <w:p w14:paraId="4125B094"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Novirze no bāzes scenārija</w:t>
            </w:r>
          </w:p>
        </w:tc>
      </w:tr>
      <w:tr w:rsidR="00C6033D" w:rsidRPr="00FF3DFF" w14:paraId="2C127D43" w14:textId="77777777" w:rsidTr="007B37F8">
        <w:trPr>
          <w:trHeight w:val="185"/>
          <w:jc w:val="center"/>
        </w:trPr>
        <w:tc>
          <w:tcPr>
            <w:tcW w:w="2830" w:type="dxa"/>
            <w:shd w:val="clear" w:color="auto" w:fill="BDD6EE" w:themeFill="accent1" w:themeFillTint="66"/>
            <w:vAlign w:val="center"/>
            <w:hideMark/>
          </w:tcPr>
          <w:p w14:paraId="74D05712" w14:textId="77777777" w:rsidR="00C6033D" w:rsidRPr="00FF3DFF" w:rsidRDefault="00C6033D" w:rsidP="007B37F8">
            <w:pPr>
              <w:spacing w:after="0"/>
              <w:ind w:firstLine="0"/>
              <w:jc w:val="left"/>
              <w:rPr>
                <w:rFonts w:eastAsia="Times New Roman" w:cs="Times New Roman"/>
                <w:sz w:val="18"/>
                <w:szCs w:val="18"/>
              </w:rPr>
            </w:pPr>
          </w:p>
        </w:tc>
        <w:tc>
          <w:tcPr>
            <w:tcW w:w="851" w:type="dxa"/>
            <w:shd w:val="clear" w:color="auto" w:fill="BDD6EE" w:themeFill="accent1" w:themeFillTint="66"/>
            <w:tcMar>
              <w:left w:w="57" w:type="dxa"/>
              <w:right w:w="57" w:type="dxa"/>
            </w:tcMar>
            <w:vAlign w:val="center"/>
          </w:tcPr>
          <w:p w14:paraId="77A9451F"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2023</w:t>
            </w:r>
          </w:p>
        </w:tc>
        <w:tc>
          <w:tcPr>
            <w:tcW w:w="850" w:type="dxa"/>
            <w:shd w:val="clear" w:color="auto" w:fill="BDD6EE" w:themeFill="accent1" w:themeFillTint="66"/>
            <w:tcMar>
              <w:left w:w="57" w:type="dxa"/>
              <w:right w:w="57" w:type="dxa"/>
            </w:tcMar>
            <w:vAlign w:val="center"/>
          </w:tcPr>
          <w:p w14:paraId="33CDB292"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2024</w:t>
            </w:r>
          </w:p>
        </w:tc>
        <w:tc>
          <w:tcPr>
            <w:tcW w:w="851" w:type="dxa"/>
            <w:shd w:val="clear" w:color="auto" w:fill="BDD6EE" w:themeFill="accent1" w:themeFillTint="66"/>
            <w:tcMar>
              <w:left w:w="57" w:type="dxa"/>
              <w:right w:w="57" w:type="dxa"/>
            </w:tcMar>
            <w:vAlign w:val="center"/>
          </w:tcPr>
          <w:p w14:paraId="75484BB3"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2025</w:t>
            </w:r>
          </w:p>
        </w:tc>
        <w:tc>
          <w:tcPr>
            <w:tcW w:w="850" w:type="dxa"/>
            <w:shd w:val="clear" w:color="auto" w:fill="BDD6EE" w:themeFill="accent1" w:themeFillTint="66"/>
            <w:tcMar>
              <w:left w:w="57" w:type="dxa"/>
              <w:right w:w="57" w:type="dxa"/>
            </w:tcMar>
            <w:vAlign w:val="center"/>
          </w:tcPr>
          <w:p w14:paraId="718D08DC"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2026</w:t>
            </w:r>
          </w:p>
        </w:tc>
        <w:tc>
          <w:tcPr>
            <w:tcW w:w="709" w:type="dxa"/>
            <w:shd w:val="clear" w:color="auto" w:fill="BDD6EE" w:themeFill="accent1" w:themeFillTint="66"/>
            <w:tcMar>
              <w:left w:w="57" w:type="dxa"/>
              <w:right w:w="57" w:type="dxa"/>
            </w:tcMar>
            <w:vAlign w:val="center"/>
            <w:hideMark/>
          </w:tcPr>
          <w:p w14:paraId="4A99E36C"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2023</w:t>
            </w:r>
          </w:p>
        </w:tc>
        <w:tc>
          <w:tcPr>
            <w:tcW w:w="709" w:type="dxa"/>
            <w:shd w:val="clear" w:color="auto" w:fill="BDD6EE" w:themeFill="accent1" w:themeFillTint="66"/>
            <w:tcMar>
              <w:left w:w="57" w:type="dxa"/>
              <w:right w:w="57" w:type="dxa"/>
            </w:tcMar>
            <w:vAlign w:val="center"/>
            <w:hideMark/>
          </w:tcPr>
          <w:p w14:paraId="0CB677AF"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2024</w:t>
            </w:r>
          </w:p>
        </w:tc>
        <w:tc>
          <w:tcPr>
            <w:tcW w:w="709" w:type="dxa"/>
            <w:shd w:val="clear" w:color="auto" w:fill="BDD6EE" w:themeFill="accent1" w:themeFillTint="66"/>
            <w:tcMar>
              <w:left w:w="57" w:type="dxa"/>
              <w:right w:w="57" w:type="dxa"/>
            </w:tcMar>
            <w:vAlign w:val="center"/>
          </w:tcPr>
          <w:p w14:paraId="4F1A390F"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2025</w:t>
            </w:r>
          </w:p>
        </w:tc>
        <w:tc>
          <w:tcPr>
            <w:tcW w:w="730" w:type="dxa"/>
            <w:shd w:val="clear" w:color="auto" w:fill="BDD6EE" w:themeFill="accent1" w:themeFillTint="66"/>
            <w:tcMar>
              <w:left w:w="57" w:type="dxa"/>
              <w:right w:w="57" w:type="dxa"/>
            </w:tcMar>
            <w:vAlign w:val="center"/>
            <w:hideMark/>
          </w:tcPr>
          <w:p w14:paraId="3C0BCF0A" w14:textId="77777777" w:rsidR="00C6033D" w:rsidRPr="00FF3DFF" w:rsidRDefault="00C6033D" w:rsidP="007B37F8">
            <w:pPr>
              <w:spacing w:after="0"/>
              <w:ind w:firstLine="0"/>
              <w:jc w:val="center"/>
              <w:rPr>
                <w:rFonts w:eastAsia="Times New Roman" w:cs="Times New Roman"/>
                <w:b/>
                <w:sz w:val="18"/>
                <w:szCs w:val="18"/>
              </w:rPr>
            </w:pPr>
            <w:r w:rsidRPr="00FF3DFF">
              <w:rPr>
                <w:rFonts w:eastAsia="Times New Roman" w:cs="Times New Roman"/>
                <w:b/>
                <w:sz w:val="18"/>
                <w:szCs w:val="18"/>
              </w:rPr>
              <w:t>2026</w:t>
            </w:r>
          </w:p>
        </w:tc>
      </w:tr>
      <w:tr w:rsidR="00C6033D" w:rsidRPr="00FF3DFF" w14:paraId="63570696" w14:textId="77777777" w:rsidTr="007B37F8">
        <w:trPr>
          <w:trHeight w:val="306"/>
          <w:jc w:val="center"/>
        </w:trPr>
        <w:tc>
          <w:tcPr>
            <w:tcW w:w="2830" w:type="dxa"/>
            <w:shd w:val="clear" w:color="auto" w:fill="auto"/>
            <w:vAlign w:val="center"/>
          </w:tcPr>
          <w:p w14:paraId="5C5C49E1" w14:textId="77777777" w:rsidR="00C6033D" w:rsidRPr="00FF3DFF" w:rsidRDefault="00C6033D" w:rsidP="007B37F8">
            <w:pPr>
              <w:spacing w:after="0"/>
              <w:ind w:firstLine="0"/>
              <w:jc w:val="left"/>
              <w:rPr>
                <w:rFonts w:eastAsia="Times New Roman" w:cs="Times New Roman"/>
                <w:b/>
                <w:sz w:val="18"/>
                <w:szCs w:val="18"/>
              </w:rPr>
            </w:pPr>
            <w:r w:rsidRPr="00FF3DFF">
              <w:rPr>
                <w:rFonts w:eastAsia="Times New Roman" w:cs="Times New Roman"/>
                <w:b/>
                <w:sz w:val="18"/>
                <w:szCs w:val="18"/>
              </w:rPr>
              <w:t>Vispārējās valdības budžeta bilance</w:t>
            </w:r>
            <w:r w:rsidRPr="00FF3DFF">
              <w:rPr>
                <w:rFonts w:eastAsia="Times New Roman" w:cs="Times New Roman"/>
                <w:b/>
                <w:sz w:val="18"/>
                <w:szCs w:val="18"/>
                <w:vertAlign w:val="superscript"/>
              </w:rPr>
              <w:footnoteReference w:id="4"/>
            </w:r>
            <w:r w:rsidRPr="00FF3DFF">
              <w:rPr>
                <w:rFonts w:eastAsia="Times New Roman" w:cs="Times New Roman"/>
                <w:b/>
                <w:sz w:val="18"/>
                <w:szCs w:val="18"/>
              </w:rPr>
              <w:t>, % no IKP</w:t>
            </w:r>
          </w:p>
        </w:tc>
        <w:tc>
          <w:tcPr>
            <w:tcW w:w="851" w:type="dxa"/>
            <w:shd w:val="clear" w:color="auto" w:fill="auto"/>
            <w:tcMar>
              <w:left w:w="57" w:type="dxa"/>
              <w:right w:w="57" w:type="dxa"/>
            </w:tcMar>
            <w:vAlign w:val="center"/>
          </w:tcPr>
          <w:p w14:paraId="5B8B3512"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-2,6</w:t>
            </w:r>
          </w:p>
        </w:tc>
        <w:tc>
          <w:tcPr>
            <w:tcW w:w="850" w:type="dxa"/>
            <w:shd w:val="clear" w:color="auto" w:fill="auto"/>
            <w:tcMar>
              <w:left w:w="57" w:type="dxa"/>
              <w:right w:w="57" w:type="dxa"/>
            </w:tcMar>
            <w:vAlign w:val="center"/>
          </w:tcPr>
          <w:p w14:paraId="067FE8CE"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-2,4</w:t>
            </w:r>
          </w:p>
        </w:tc>
        <w:tc>
          <w:tcPr>
            <w:tcW w:w="851" w:type="dxa"/>
            <w:shd w:val="clear" w:color="auto" w:fill="auto"/>
            <w:tcMar>
              <w:left w:w="57" w:type="dxa"/>
              <w:right w:w="57" w:type="dxa"/>
            </w:tcMar>
            <w:vAlign w:val="center"/>
          </w:tcPr>
          <w:p w14:paraId="7412E493"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-1,8</w:t>
            </w:r>
          </w:p>
        </w:tc>
        <w:tc>
          <w:tcPr>
            <w:tcW w:w="850" w:type="dxa"/>
            <w:shd w:val="clear" w:color="auto" w:fill="auto"/>
            <w:tcMar>
              <w:left w:w="57" w:type="dxa"/>
              <w:right w:w="57" w:type="dxa"/>
            </w:tcMar>
            <w:vAlign w:val="center"/>
          </w:tcPr>
          <w:p w14:paraId="13D7CF05"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-0,3</w:t>
            </w:r>
          </w:p>
        </w:tc>
        <w:tc>
          <w:tcPr>
            <w:tcW w:w="709" w:type="dxa"/>
            <w:shd w:val="clear" w:color="auto" w:fill="auto"/>
            <w:tcMar>
              <w:left w:w="57" w:type="dxa"/>
              <w:right w:w="57" w:type="dxa"/>
            </w:tcMar>
            <w:vAlign w:val="center"/>
          </w:tcPr>
          <w:p w14:paraId="592DB0C8" w14:textId="77777777" w:rsidR="00C6033D" w:rsidRPr="00FF3DFF" w:rsidRDefault="00C6033D" w:rsidP="007B37F8">
            <w:pPr>
              <w:spacing w:after="0"/>
              <w:ind w:firstLine="0"/>
              <w:jc w:val="right"/>
              <w:rPr>
                <w:rFonts w:eastAsia="Times New Roman" w:cs="Times New Roman"/>
                <w:b/>
                <w:sz w:val="18"/>
                <w:szCs w:val="18"/>
              </w:rPr>
            </w:pPr>
            <w:r w:rsidRPr="00FF3DFF">
              <w:rPr>
                <w:rFonts w:eastAsia="Times New Roman" w:cs="Times New Roman"/>
                <w:b/>
                <w:sz w:val="18"/>
                <w:szCs w:val="18"/>
              </w:rPr>
              <w:t>0,1</w:t>
            </w:r>
          </w:p>
        </w:tc>
        <w:tc>
          <w:tcPr>
            <w:tcW w:w="709" w:type="dxa"/>
            <w:shd w:val="clear" w:color="auto" w:fill="auto"/>
            <w:tcMar>
              <w:left w:w="57" w:type="dxa"/>
              <w:right w:w="57" w:type="dxa"/>
            </w:tcMar>
            <w:vAlign w:val="center"/>
          </w:tcPr>
          <w:p w14:paraId="48E3CAD0" w14:textId="77777777" w:rsidR="00C6033D" w:rsidRPr="00FF3DFF" w:rsidRDefault="00C6033D" w:rsidP="007B37F8">
            <w:pPr>
              <w:spacing w:after="0" w:line="259" w:lineRule="auto"/>
              <w:ind w:firstLine="0"/>
              <w:jc w:val="right"/>
              <w:rPr>
                <w:rFonts w:eastAsia="Times New Roman" w:cs="Times New Roman"/>
                <w:b/>
                <w:sz w:val="18"/>
                <w:szCs w:val="18"/>
              </w:rPr>
            </w:pPr>
            <w:r w:rsidRPr="00FF3DFF">
              <w:rPr>
                <w:rFonts w:eastAsia="Times New Roman" w:cs="Times New Roman"/>
                <w:b/>
                <w:sz w:val="18"/>
                <w:szCs w:val="18"/>
              </w:rPr>
              <w:t>0,3</w:t>
            </w:r>
          </w:p>
        </w:tc>
        <w:tc>
          <w:tcPr>
            <w:tcW w:w="709" w:type="dxa"/>
            <w:shd w:val="clear" w:color="auto" w:fill="auto"/>
            <w:tcMar>
              <w:left w:w="57" w:type="dxa"/>
              <w:right w:w="57" w:type="dxa"/>
            </w:tcMar>
            <w:vAlign w:val="center"/>
          </w:tcPr>
          <w:p w14:paraId="65E86574" w14:textId="77777777" w:rsidR="00C6033D" w:rsidRPr="00FF3DFF" w:rsidRDefault="00C6033D" w:rsidP="007B37F8">
            <w:pPr>
              <w:spacing w:after="0" w:line="259" w:lineRule="auto"/>
              <w:ind w:firstLine="0"/>
              <w:jc w:val="right"/>
              <w:rPr>
                <w:rFonts w:eastAsia="Times New Roman" w:cs="Times New Roman"/>
                <w:b/>
                <w:sz w:val="18"/>
                <w:szCs w:val="18"/>
              </w:rPr>
            </w:pPr>
            <w:r w:rsidRPr="00FF3DFF">
              <w:rPr>
                <w:rFonts w:eastAsia="Times New Roman" w:cs="Times New Roman"/>
                <w:b/>
                <w:sz w:val="18"/>
                <w:szCs w:val="18"/>
              </w:rPr>
              <w:t>0,4</w:t>
            </w:r>
          </w:p>
        </w:tc>
        <w:tc>
          <w:tcPr>
            <w:tcW w:w="730" w:type="dxa"/>
            <w:shd w:val="clear" w:color="auto" w:fill="auto"/>
            <w:tcMar>
              <w:left w:w="57" w:type="dxa"/>
              <w:right w:w="57" w:type="dxa"/>
            </w:tcMar>
            <w:vAlign w:val="center"/>
          </w:tcPr>
          <w:p w14:paraId="1F88EF74" w14:textId="77777777" w:rsidR="00C6033D" w:rsidRPr="00FF3DFF" w:rsidRDefault="00C6033D" w:rsidP="007B37F8">
            <w:pPr>
              <w:spacing w:after="0" w:line="259" w:lineRule="auto"/>
              <w:ind w:firstLine="0"/>
              <w:jc w:val="right"/>
              <w:rPr>
                <w:rFonts w:eastAsia="Times New Roman" w:cs="Times New Roman"/>
                <w:b/>
                <w:sz w:val="18"/>
                <w:szCs w:val="18"/>
              </w:rPr>
            </w:pPr>
            <w:r w:rsidRPr="00FF3DFF">
              <w:rPr>
                <w:rFonts w:eastAsia="Times New Roman" w:cs="Times New Roman"/>
                <w:b/>
                <w:sz w:val="18"/>
                <w:szCs w:val="18"/>
              </w:rPr>
              <w:t>0,5</w:t>
            </w:r>
          </w:p>
        </w:tc>
      </w:tr>
      <w:tr w:rsidR="00C6033D" w:rsidRPr="00FF3DFF" w14:paraId="51C08142" w14:textId="77777777" w:rsidTr="007B37F8">
        <w:trPr>
          <w:trHeight w:val="201"/>
          <w:jc w:val="center"/>
        </w:trPr>
        <w:tc>
          <w:tcPr>
            <w:tcW w:w="2830" w:type="dxa"/>
            <w:shd w:val="clear" w:color="auto" w:fill="auto"/>
            <w:vAlign w:val="center"/>
          </w:tcPr>
          <w:p w14:paraId="1CA49358" w14:textId="77777777" w:rsidR="00C6033D" w:rsidRPr="00FF3DFF" w:rsidRDefault="00C6033D" w:rsidP="007B37F8">
            <w:pPr>
              <w:spacing w:after="0"/>
              <w:ind w:firstLine="0"/>
              <w:jc w:val="left"/>
              <w:rPr>
                <w:rFonts w:eastAsia="Times New Roman" w:cs="Times New Roman"/>
                <w:sz w:val="18"/>
                <w:szCs w:val="18"/>
              </w:rPr>
            </w:pPr>
            <w:r w:rsidRPr="00FF3DFF">
              <w:rPr>
                <w:rFonts w:eastAsia="Times New Roman" w:cs="Times New Roman"/>
                <w:sz w:val="18"/>
                <w:szCs w:val="18"/>
              </w:rPr>
              <w:t>Vispārējās valdības budžeta bilance</w:t>
            </w:r>
          </w:p>
        </w:tc>
        <w:tc>
          <w:tcPr>
            <w:tcW w:w="851" w:type="dxa"/>
            <w:shd w:val="clear" w:color="auto" w:fill="auto"/>
            <w:tcMar>
              <w:left w:w="57" w:type="dxa"/>
              <w:right w:w="57" w:type="dxa"/>
            </w:tcMar>
            <w:vAlign w:val="bottom"/>
          </w:tcPr>
          <w:p w14:paraId="70B54B31"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-1 115,3</w:t>
            </w:r>
          </w:p>
        </w:tc>
        <w:tc>
          <w:tcPr>
            <w:tcW w:w="850" w:type="dxa"/>
            <w:shd w:val="clear" w:color="auto" w:fill="auto"/>
            <w:tcMar>
              <w:left w:w="57" w:type="dxa"/>
              <w:right w:w="57" w:type="dxa"/>
            </w:tcMar>
            <w:vAlign w:val="bottom"/>
          </w:tcPr>
          <w:p w14:paraId="761287CA"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-1 128,6</w:t>
            </w:r>
          </w:p>
        </w:tc>
        <w:tc>
          <w:tcPr>
            <w:tcW w:w="851" w:type="dxa"/>
            <w:shd w:val="clear" w:color="auto" w:fill="auto"/>
            <w:tcMar>
              <w:left w:w="57" w:type="dxa"/>
              <w:right w:w="57" w:type="dxa"/>
            </w:tcMar>
            <w:vAlign w:val="bottom"/>
          </w:tcPr>
          <w:p w14:paraId="3FF04D4A"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-897,6</w:t>
            </w:r>
          </w:p>
        </w:tc>
        <w:tc>
          <w:tcPr>
            <w:tcW w:w="850" w:type="dxa"/>
            <w:shd w:val="clear" w:color="auto" w:fill="auto"/>
            <w:tcMar>
              <w:left w:w="57" w:type="dxa"/>
              <w:right w:w="57" w:type="dxa"/>
            </w:tcMar>
            <w:vAlign w:val="bottom"/>
          </w:tcPr>
          <w:p w14:paraId="00D1E1EF"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-150,4</w:t>
            </w:r>
          </w:p>
        </w:tc>
        <w:tc>
          <w:tcPr>
            <w:tcW w:w="709" w:type="dxa"/>
            <w:shd w:val="clear" w:color="auto" w:fill="auto"/>
            <w:tcMar>
              <w:left w:w="57" w:type="dxa"/>
              <w:right w:w="57" w:type="dxa"/>
            </w:tcMar>
            <w:vAlign w:val="bottom"/>
          </w:tcPr>
          <w:p w14:paraId="0ED53D55"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41,1</w:t>
            </w:r>
          </w:p>
        </w:tc>
        <w:tc>
          <w:tcPr>
            <w:tcW w:w="709" w:type="dxa"/>
            <w:shd w:val="clear" w:color="auto" w:fill="auto"/>
            <w:tcMar>
              <w:left w:w="57" w:type="dxa"/>
              <w:right w:w="57" w:type="dxa"/>
            </w:tcMar>
            <w:vAlign w:val="bottom"/>
          </w:tcPr>
          <w:p w14:paraId="259E9F80"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158,3</w:t>
            </w:r>
          </w:p>
        </w:tc>
        <w:tc>
          <w:tcPr>
            <w:tcW w:w="709" w:type="dxa"/>
            <w:shd w:val="clear" w:color="auto" w:fill="auto"/>
            <w:tcMar>
              <w:left w:w="57" w:type="dxa"/>
              <w:right w:w="57" w:type="dxa"/>
            </w:tcMar>
            <w:vAlign w:val="bottom"/>
          </w:tcPr>
          <w:p w14:paraId="5159CAA0"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237,3</w:t>
            </w:r>
          </w:p>
        </w:tc>
        <w:tc>
          <w:tcPr>
            <w:tcW w:w="730" w:type="dxa"/>
            <w:shd w:val="clear" w:color="auto" w:fill="auto"/>
            <w:tcMar>
              <w:left w:w="57" w:type="dxa"/>
              <w:right w:w="57" w:type="dxa"/>
            </w:tcMar>
            <w:vAlign w:val="bottom"/>
          </w:tcPr>
          <w:p w14:paraId="7CBF4B81"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316,5</w:t>
            </w:r>
          </w:p>
        </w:tc>
      </w:tr>
      <w:tr w:rsidR="00C6033D" w:rsidRPr="00FF3DFF" w14:paraId="4B1F75BB" w14:textId="77777777" w:rsidTr="007B37F8">
        <w:trPr>
          <w:trHeight w:val="247"/>
          <w:jc w:val="center"/>
        </w:trPr>
        <w:tc>
          <w:tcPr>
            <w:tcW w:w="2830" w:type="dxa"/>
            <w:shd w:val="clear" w:color="auto" w:fill="auto"/>
            <w:vAlign w:val="center"/>
          </w:tcPr>
          <w:p w14:paraId="612BA24F" w14:textId="77777777" w:rsidR="00C6033D" w:rsidRPr="00FF3DFF" w:rsidRDefault="00C6033D" w:rsidP="007B37F8">
            <w:pPr>
              <w:spacing w:after="0"/>
              <w:ind w:left="166" w:firstLine="0"/>
              <w:jc w:val="left"/>
              <w:rPr>
                <w:rFonts w:eastAsia="Times New Roman" w:cs="Times New Roman"/>
                <w:sz w:val="18"/>
                <w:szCs w:val="18"/>
              </w:rPr>
            </w:pPr>
            <w:r w:rsidRPr="00FF3DFF">
              <w:rPr>
                <w:rFonts w:eastAsia="Times New Roman" w:cs="Times New Roman"/>
                <w:sz w:val="18"/>
                <w:szCs w:val="18"/>
              </w:rPr>
              <w:lastRenderedPageBreak/>
              <w:t>Nodokļu ieņēmumi</w:t>
            </w:r>
          </w:p>
        </w:tc>
        <w:tc>
          <w:tcPr>
            <w:tcW w:w="851" w:type="dxa"/>
            <w:shd w:val="clear" w:color="auto" w:fill="auto"/>
            <w:tcMar>
              <w:left w:w="57" w:type="dxa"/>
              <w:right w:w="57" w:type="dxa"/>
            </w:tcMar>
            <w:vAlign w:val="bottom"/>
          </w:tcPr>
          <w:p w14:paraId="61FE88AA"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12 711,8</w:t>
            </w:r>
          </w:p>
        </w:tc>
        <w:tc>
          <w:tcPr>
            <w:tcW w:w="850" w:type="dxa"/>
            <w:shd w:val="clear" w:color="auto" w:fill="auto"/>
            <w:tcMar>
              <w:left w:w="57" w:type="dxa"/>
              <w:right w:w="57" w:type="dxa"/>
            </w:tcMar>
            <w:vAlign w:val="bottom"/>
          </w:tcPr>
          <w:p w14:paraId="7CCDC509"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13 949,3</w:t>
            </w:r>
          </w:p>
        </w:tc>
        <w:tc>
          <w:tcPr>
            <w:tcW w:w="851" w:type="dxa"/>
            <w:shd w:val="clear" w:color="auto" w:fill="auto"/>
            <w:tcMar>
              <w:left w:w="57" w:type="dxa"/>
              <w:right w:w="57" w:type="dxa"/>
            </w:tcMar>
            <w:vAlign w:val="bottom"/>
          </w:tcPr>
          <w:p w14:paraId="7D0CDDF5"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14 817,9</w:t>
            </w:r>
          </w:p>
        </w:tc>
        <w:tc>
          <w:tcPr>
            <w:tcW w:w="850" w:type="dxa"/>
            <w:shd w:val="clear" w:color="auto" w:fill="auto"/>
            <w:tcMar>
              <w:left w:w="57" w:type="dxa"/>
              <w:right w:w="57" w:type="dxa"/>
            </w:tcMar>
            <w:vAlign w:val="bottom"/>
          </w:tcPr>
          <w:p w14:paraId="71ABEB39"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15 789,5</w:t>
            </w:r>
          </w:p>
        </w:tc>
        <w:tc>
          <w:tcPr>
            <w:tcW w:w="709" w:type="dxa"/>
            <w:shd w:val="clear" w:color="auto" w:fill="auto"/>
            <w:tcMar>
              <w:left w:w="57" w:type="dxa"/>
              <w:right w:w="57" w:type="dxa"/>
            </w:tcMar>
            <w:vAlign w:val="bottom"/>
          </w:tcPr>
          <w:p w14:paraId="6B6BE736"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33,7</w:t>
            </w:r>
          </w:p>
        </w:tc>
        <w:tc>
          <w:tcPr>
            <w:tcW w:w="709" w:type="dxa"/>
            <w:shd w:val="clear" w:color="auto" w:fill="auto"/>
            <w:tcMar>
              <w:left w:w="57" w:type="dxa"/>
              <w:right w:w="57" w:type="dxa"/>
            </w:tcMar>
            <w:vAlign w:val="bottom"/>
          </w:tcPr>
          <w:p w14:paraId="2591E60D"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143,4</w:t>
            </w:r>
          </w:p>
        </w:tc>
        <w:tc>
          <w:tcPr>
            <w:tcW w:w="709" w:type="dxa"/>
            <w:shd w:val="clear" w:color="auto" w:fill="auto"/>
            <w:tcMar>
              <w:left w:w="57" w:type="dxa"/>
              <w:right w:w="57" w:type="dxa"/>
            </w:tcMar>
            <w:vAlign w:val="bottom"/>
          </w:tcPr>
          <w:p w14:paraId="693335B2"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234,7</w:t>
            </w:r>
          </w:p>
        </w:tc>
        <w:tc>
          <w:tcPr>
            <w:tcW w:w="730" w:type="dxa"/>
            <w:shd w:val="clear" w:color="auto" w:fill="auto"/>
            <w:tcMar>
              <w:left w:w="57" w:type="dxa"/>
              <w:right w:w="57" w:type="dxa"/>
            </w:tcMar>
            <w:vAlign w:val="bottom"/>
          </w:tcPr>
          <w:p w14:paraId="6C9FD79C"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341,5</w:t>
            </w:r>
          </w:p>
        </w:tc>
      </w:tr>
      <w:tr w:rsidR="00C6033D" w:rsidRPr="00FF3DFF" w14:paraId="5B792B41" w14:textId="77777777" w:rsidTr="007B37F8">
        <w:trPr>
          <w:trHeight w:val="137"/>
          <w:jc w:val="center"/>
        </w:trPr>
        <w:tc>
          <w:tcPr>
            <w:tcW w:w="2830" w:type="dxa"/>
            <w:shd w:val="clear" w:color="auto" w:fill="auto"/>
            <w:vAlign w:val="center"/>
          </w:tcPr>
          <w:p w14:paraId="10F45CBB" w14:textId="77777777" w:rsidR="00C6033D" w:rsidRPr="00FF3DFF" w:rsidRDefault="00C6033D" w:rsidP="007B37F8">
            <w:pPr>
              <w:spacing w:after="0"/>
              <w:ind w:left="166" w:firstLine="0"/>
              <w:jc w:val="left"/>
              <w:rPr>
                <w:rFonts w:eastAsia="Times New Roman" w:cs="Times New Roman"/>
                <w:noProof/>
                <w:sz w:val="18"/>
                <w:szCs w:val="18"/>
              </w:rPr>
            </w:pPr>
            <w:r w:rsidRPr="00FF3DFF">
              <w:rPr>
                <w:rFonts w:eastAsia="Times New Roman" w:cs="Times New Roman"/>
                <w:noProof/>
                <w:sz w:val="18"/>
                <w:szCs w:val="18"/>
              </w:rPr>
              <w:t>Nenodokļu ieņēmumi</w:t>
            </w:r>
          </w:p>
        </w:tc>
        <w:tc>
          <w:tcPr>
            <w:tcW w:w="851" w:type="dxa"/>
            <w:shd w:val="clear" w:color="auto" w:fill="auto"/>
            <w:tcMar>
              <w:left w:w="57" w:type="dxa"/>
              <w:right w:w="57" w:type="dxa"/>
            </w:tcMar>
            <w:vAlign w:val="bottom"/>
          </w:tcPr>
          <w:p w14:paraId="09962497"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977,2</w:t>
            </w:r>
          </w:p>
        </w:tc>
        <w:tc>
          <w:tcPr>
            <w:tcW w:w="850" w:type="dxa"/>
            <w:shd w:val="clear" w:color="auto" w:fill="auto"/>
            <w:tcMar>
              <w:left w:w="57" w:type="dxa"/>
              <w:right w:w="57" w:type="dxa"/>
            </w:tcMar>
            <w:vAlign w:val="bottom"/>
          </w:tcPr>
          <w:p w14:paraId="6006603D"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960,4</w:t>
            </w:r>
          </w:p>
        </w:tc>
        <w:tc>
          <w:tcPr>
            <w:tcW w:w="851" w:type="dxa"/>
            <w:shd w:val="clear" w:color="auto" w:fill="auto"/>
            <w:tcMar>
              <w:left w:w="57" w:type="dxa"/>
              <w:right w:w="57" w:type="dxa"/>
            </w:tcMar>
            <w:vAlign w:val="bottom"/>
          </w:tcPr>
          <w:p w14:paraId="6FA6E484"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760,9</w:t>
            </w:r>
          </w:p>
        </w:tc>
        <w:tc>
          <w:tcPr>
            <w:tcW w:w="850" w:type="dxa"/>
            <w:shd w:val="clear" w:color="auto" w:fill="auto"/>
            <w:tcMar>
              <w:left w:w="57" w:type="dxa"/>
              <w:right w:w="57" w:type="dxa"/>
            </w:tcMar>
            <w:vAlign w:val="bottom"/>
          </w:tcPr>
          <w:p w14:paraId="70998C6B"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735,6</w:t>
            </w:r>
          </w:p>
        </w:tc>
        <w:tc>
          <w:tcPr>
            <w:tcW w:w="709" w:type="dxa"/>
            <w:shd w:val="clear" w:color="auto" w:fill="auto"/>
            <w:tcMar>
              <w:left w:w="57" w:type="dxa"/>
              <w:right w:w="57" w:type="dxa"/>
            </w:tcMar>
            <w:vAlign w:val="bottom"/>
          </w:tcPr>
          <w:p w14:paraId="4DACD770"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4,9</w:t>
            </w:r>
          </w:p>
        </w:tc>
        <w:tc>
          <w:tcPr>
            <w:tcW w:w="709" w:type="dxa"/>
            <w:shd w:val="clear" w:color="auto" w:fill="auto"/>
            <w:tcMar>
              <w:left w:w="57" w:type="dxa"/>
              <w:right w:w="57" w:type="dxa"/>
            </w:tcMar>
            <w:vAlign w:val="bottom"/>
          </w:tcPr>
          <w:p w14:paraId="7AD1B32F"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7,9</w:t>
            </w:r>
          </w:p>
        </w:tc>
        <w:tc>
          <w:tcPr>
            <w:tcW w:w="709" w:type="dxa"/>
            <w:shd w:val="clear" w:color="auto" w:fill="auto"/>
            <w:tcMar>
              <w:left w:w="57" w:type="dxa"/>
              <w:right w:w="57" w:type="dxa"/>
            </w:tcMar>
            <w:vAlign w:val="bottom"/>
          </w:tcPr>
          <w:p w14:paraId="59D4078F"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7,8</w:t>
            </w:r>
          </w:p>
        </w:tc>
        <w:tc>
          <w:tcPr>
            <w:tcW w:w="730" w:type="dxa"/>
            <w:shd w:val="clear" w:color="auto" w:fill="auto"/>
            <w:tcMar>
              <w:left w:w="57" w:type="dxa"/>
              <w:right w:w="57" w:type="dxa"/>
            </w:tcMar>
            <w:vAlign w:val="bottom"/>
          </w:tcPr>
          <w:p w14:paraId="3632F1F6"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6,6</w:t>
            </w:r>
          </w:p>
        </w:tc>
      </w:tr>
      <w:tr w:rsidR="00C6033D" w:rsidRPr="00FF3DFF" w14:paraId="61CBCC87" w14:textId="77777777" w:rsidTr="007B37F8">
        <w:trPr>
          <w:trHeight w:val="137"/>
          <w:jc w:val="center"/>
        </w:trPr>
        <w:tc>
          <w:tcPr>
            <w:tcW w:w="2830" w:type="dxa"/>
            <w:shd w:val="clear" w:color="auto" w:fill="auto"/>
            <w:vAlign w:val="center"/>
          </w:tcPr>
          <w:p w14:paraId="527D41FE" w14:textId="77777777" w:rsidR="00C6033D" w:rsidRPr="00FF3DFF" w:rsidRDefault="00C6033D" w:rsidP="007B37F8">
            <w:pPr>
              <w:spacing w:after="0"/>
              <w:ind w:left="166" w:firstLine="0"/>
              <w:jc w:val="left"/>
              <w:rPr>
                <w:rFonts w:eastAsia="Times New Roman" w:cs="Times New Roman"/>
                <w:noProof/>
                <w:sz w:val="18"/>
                <w:szCs w:val="18"/>
              </w:rPr>
            </w:pPr>
            <w:r w:rsidRPr="00FF3DFF">
              <w:rPr>
                <w:rFonts w:eastAsia="Times New Roman" w:cs="Times New Roman"/>
                <w:noProof/>
                <w:sz w:val="18"/>
                <w:szCs w:val="18"/>
              </w:rPr>
              <w:t>Pabalstu izdevumi</w:t>
            </w:r>
          </w:p>
        </w:tc>
        <w:tc>
          <w:tcPr>
            <w:tcW w:w="851" w:type="dxa"/>
            <w:shd w:val="clear" w:color="auto" w:fill="auto"/>
            <w:tcMar>
              <w:left w:w="57" w:type="dxa"/>
              <w:right w:w="57" w:type="dxa"/>
            </w:tcMar>
            <w:vAlign w:val="bottom"/>
          </w:tcPr>
          <w:p w14:paraId="2A597DE6" w14:textId="77777777" w:rsidR="00C6033D" w:rsidRPr="00FF3DFF" w:rsidRDefault="00C6033D" w:rsidP="007B37F8">
            <w:pPr>
              <w:spacing w:after="0"/>
              <w:ind w:firstLine="0"/>
              <w:jc w:val="right"/>
              <w:rPr>
                <w:rFonts w:eastAsia="Times New Roman" w:cs="Times New Roman"/>
                <w:sz w:val="18"/>
                <w:szCs w:val="18"/>
                <w:lang w:eastAsia="en-US"/>
              </w:rPr>
            </w:pPr>
            <w:r w:rsidRPr="00FF3DFF">
              <w:rPr>
                <w:rFonts w:cs="Times New Roman"/>
                <w:sz w:val="18"/>
                <w:szCs w:val="18"/>
              </w:rPr>
              <w:t>4 826,5</w:t>
            </w:r>
          </w:p>
        </w:tc>
        <w:tc>
          <w:tcPr>
            <w:tcW w:w="850" w:type="dxa"/>
            <w:shd w:val="clear" w:color="auto" w:fill="auto"/>
            <w:tcMar>
              <w:left w:w="57" w:type="dxa"/>
              <w:right w:w="57" w:type="dxa"/>
            </w:tcMar>
            <w:vAlign w:val="bottom"/>
          </w:tcPr>
          <w:p w14:paraId="463FA51D" w14:textId="77777777" w:rsidR="00C6033D" w:rsidRPr="00FF3DFF" w:rsidRDefault="00C6033D" w:rsidP="007B37F8">
            <w:pPr>
              <w:spacing w:after="0"/>
              <w:ind w:firstLine="0"/>
              <w:jc w:val="right"/>
              <w:rPr>
                <w:rFonts w:eastAsia="Times New Roman" w:cs="Times New Roman"/>
                <w:sz w:val="18"/>
                <w:szCs w:val="18"/>
                <w:lang w:eastAsia="en-US"/>
              </w:rPr>
            </w:pPr>
            <w:r w:rsidRPr="00FF3DFF">
              <w:rPr>
                <w:rFonts w:cs="Times New Roman"/>
                <w:sz w:val="18"/>
                <w:szCs w:val="18"/>
              </w:rPr>
              <w:t>5 168,7</w:t>
            </w:r>
          </w:p>
        </w:tc>
        <w:tc>
          <w:tcPr>
            <w:tcW w:w="851" w:type="dxa"/>
            <w:shd w:val="clear" w:color="auto" w:fill="auto"/>
            <w:tcMar>
              <w:left w:w="57" w:type="dxa"/>
              <w:right w:w="57" w:type="dxa"/>
            </w:tcMar>
            <w:vAlign w:val="bottom"/>
          </w:tcPr>
          <w:p w14:paraId="12AE2B18" w14:textId="77777777" w:rsidR="00C6033D" w:rsidRPr="00FF3DFF" w:rsidRDefault="00C6033D" w:rsidP="007B37F8">
            <w:pPr>
              <w:spacing w:after="0"/>
              <w:ind w:firstLine="0"/>
              <w:jc w:val="right"/>
              <w:rPr>
                <w:rFonts w:eastAsia="Times New Roman" w:cs="Times New Roman"/>
                <w:sz w:val="18"/>
                <w:szCs w:val="18"/>
                <w:lang w:eastAsia="en-US"/>
              </w:rPr>
            </w:pPr>
            <w:r w:rsidRPr="00FF3DFF">
              <w:rPr>
                <w:rFonts w:cs="Times New Roman"/>
                <w:sz w:val="18"/>
                <w:szCs w:val="18"/>
              </w:rPr>
              <w:t>5 539,1</w:t>
            </w:r>
          </w:p>
        </w:tc>
        <w:tc>
          <w:tcPr>
            <w:tcW w:w="850" w:type="dxa"/>
            <w:shd w:val="clear" w:color="auto" w:fill="auto"/>
            <w:tcMar>
              <w:left w:w="57" w:type="dxa"/>
              <w:right w:w="57" w:type="dxa"/>
            </w:tcMar>
            <w:vAlign w:val="bottom"/>
          </w:tcPr>
          <w:p w14:paraId="3EB7FE3A" w14:textId="77777777" w:rsidR="00C6033D" w:rsidRPr="00FF3DFF" w:rsidRDefault="00C6033D" w:rsidP="007B37F8">
            <w:pPr>
              <w:spacing w:after="0"/>
              <w:ind w:firstLine="0"/>
              <w:jc w:val="right"/>
              <w:rPr>
                <w:rFonts w:eastAsia="Times New Roman" w:cs="Times New Roman"/>
                <w:sz w:val="18"/>
                <w:szCs w:val="18"/>
                <w:lang w:eastAsia="en-US"/>
              </w:rPr>
            </w:pPr>
            <w:r w:rsidRPr="00FF3DFF">
              <w:rPr>
                <w:rFonts w:cs="Times New Roman"/>
                <w:sz w:val="18"/>
                <w:szCs w:val="18"/>
              </w:rPr>
              <w:t>5 991,9</w:t>
            </w:r>
          </w:p>
        </w:tc>
        <w:tc>
          <w:tcPr>
            <w:tcW w:w="709" w:type="dxa"/>
            <w:shd w:val="clear" w:color="auto" w:fill="auto"/>
            <w:tcMar>
              <w:left w:w="57" w:type="dxa"/>
              <w:right w:w="57" w:type="dxa"/>
            </w:tcMar>
            <w:vAlign w:val="bottom"/>
          </w:tcPr>
          <w:p w14:paraId="33A0CDFD"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-2,6</w:t>
            </w:r>
          </w:p>
        </w:tc>
        <w:tc>
          <w:tcPr>
            <w:tcW w:w="709" w:type="dxa"/>
            <w:shd w:val="clear" w:color="auto" w:fill="auto"/>
            <w:tcMar>
              <w:left w:w="57" w:type="dxa"/>
              <w:right w:w="57" w:type="dxa"/>
            </w:tcMar>
            <w:vAlign w:val="bottom"/>
          </w:tcPr>
          <w:p w14:paraId="3B0B315C"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-5,4</w:t>
            </w:r>
          </w:p>
        </w:tc>
        <w:tc>
          <w:tcPr>
            <w:tcW w:w="709" w:type="dxa"/>
            <w:shd w:val="clear" w:color="auto" w:fill="auto"/>
            <w:tcMar>
              <w:left w:w="57" w:type="dxa"/>
              <w:right w:w="57" w:type="dxa"/>
            </w:tcMar>
            <w:vAlign w:val="bottom"/>
          </w:tcPr>
          <w:p w14:paraId="37717715"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14,0</w:t>
            </w:r>
          </w:p>
        </w:tc>
        <w:tc>
          <w:tcPr>
            <w:tcW w:w="730" w:type="dxa"/>
            <w:shd w:val="clear" w:color="auto" w:fill="auto"/>
            <w:tcMar>
              <w:left w:w="57" w:type="dxa"/>
              <w:right w:w="57" w:type="dxa"/>
            </w:tcMar>
            <w:vAlign w:val="bottom"/>
          </w:tcPr>
          <w:p w14:paraId="16F2203F"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50,7</w:t>
            </w:r>
          </w:p>
        </w:tc>
      </w:tr>
      <w:tr w:rsidR="00C6033D" w:rsidRPr="00FF3DFF" w14:paraId="2E48A20F" w14:textId="77777777" w:rsidTr="007B37F8">
        <w:trPr>
          <w:trHeight w:val="239"/>
          <w:jc w:val="center"/>
        </w:trPr>
        <w:tc>
          <w:tcPr>
            <w:tcW w:w="2830" w:type="dxa"/>
            <w:tcBorders>
              <w:bottom w:val="double" w:sz="4" w:space="0" w:color="auto"/>
            </w:tcBorders>
            <w:shd w:val="clear" w:color="auto" w:fill="auto"/>
            <w:vAlign w:val="center"/>
          </w:tcPr>
          <w:p w14:paraId="6272475C" w14:textId="77777777" w:rsidR="00C6033D" w:rsidRPr="00FF3DFF" w:rsidRDefault="00C6033D" w:rsidP="007B37F8">
            <w:pPr>
              <w:spacing w:after="0"/>
              <w:ind w:left="166" w:firstLine="0"/>
              <w:jc w:val="left"/>
              <w:rPr>
                <w:rFonts w:eastAsia="Times New Roman" w:cs="Times New Roman"/>
                <w:noProof/>
                <w:sz w:val="18"/>
                <w:szCs w:val="18"/>
              </w:rPr>
            </w:pPr>
            <w:r w:rsidRPr="00FF3DFF">
              <w:rPr>
                <w:rFonts w:eastAsia="Times New Roman" w:cs="Times New Roman"/>
                <w:noProof/>
                <w:sz w:val="18"/>
                <w:szCs w:val="18"/>
              </w:rPr>
              <w:t>Procentu izdevumi</w:t>
            </w:r>
          </w:p>
        </w:tc>
        <w:tc>
          <w:tcPr>
            <w:tcW w:w="851" w:type="dxa"/>
            <w:tcBorders>
              <w:bottom w:val="double" w:sz="4" w:space="0" w:color="auto"/>
            </w:tcBorders>
            <w:shd w:val="clear" w:color="auto" w:fill="auto"/>
            <w:tcMar>
              <w:left w:w="57" w:type="dxa"/>
              <w:right w:w="57" w:type="dxa"/>
            </w:tcMar>
            <w:vAlign w:val="bottom"/>
          </w:tcPr>
          <w:p w14:paraId="552878FA"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233,4</w:t>
            </w:r>
          </w:p>
        </w:tc>
        <w:tc>
          <w:tcPr>
            <w:tcW w:w="850" w:type="dxa"/>
            <w:tcBorders>
              <w:bottom w:val="double" w:sz="4" w:space="0" w:color="auto"/>
            </w:tcBorders>
            <w:shd w:val="clear" w:color="auto" w:fill="auto"/>
            <w:tcMar>
              <w:left w:w="57" w:type="dxa"/>
              <w:right w:w="57" w:type="dxa"/>
            </w:tcMar>
            <w:vAlign w:val="bottom"/>
          </w:tcPr>
          <w:p w14:paraId="0CB5DF86"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379,5</w:t>
            </w:r>
          </w:p>
        </w:tc>
        <w:tc>
          <w:tcPr>
            <w:tcW w:w="851" w:type="dxa"/>
            <w:tcBorders>
              <w:bottom w:val="double" w:sz="4" w:space="0" w:color="auto"/>
            </w:tcBorders>
            <w:shd w:val="clear" w:color="auto" w:fill="auto"/>
            <w:tcMar>
              <w:left w:w="57" w:type="dxa"/>
              <w:right w:w="57" w:type="dxa"/>
            </w:tcMar>
            <w:vAlign w:val="bottom"/>
          </w:tcPr>
          <w:p w14:paraId="384CBCD8"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458,9</w:t>
            </w:r>
          </w:p>
        </w:tc>
        <w:tc>
          <w:tcPr>
            <w:tcW w:w="850" w:type="dxa"/>
            <w:tcBorders>
              <w:bottom w:val="double" w:sz="4" w:space="0" w:color="auto"/>
            </w:tcBorders>
            <w:shd w:val="clear" w:color="auto" w:fill="auto"/>
            <w:tcMar>
              <w:left w:w="57" w:type="dxa"/>
              <w:right w:w="57" w:type="dxa"/>
            </w:tcMar>
            <w:vAlign w:val="bottom"/>
          </w:tcPr>
          <w:p w14:paraId="72F587E7"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489,3</w:t>
            </w:r>
          </w:p>
        </w:tc>
        <w:tc>
          <w:tcPr>
            <w:tcW w:w="709" w:type="dxa"/>
            <w:tcBorders>
              <w:bottom w:val="double" w:sz="4" w:space="0" w:color="auto"/>
            </w:tcBorders>
            <w:shd w:val="clear" w:color="auto" w:fill="auto"/>
            <w:tcMar>
              <w:left w:w="57" w:type="dxa"/>
              <w:right w:w="57" w:type="dxa"/>
            </w:tcMar>
            <w:vAlign w:val="bottom"/>
          </w:tcPr>
          <w:p w14:paraId="506B962A"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0,0</w:t>
            </w:r>
          </w:p>
        </w:tc>
        <w:tc>
          <w:tcPr>
            <w:tcW w:w="709" w:type="dxa"/>
            <w:tcBorders>
              <w:bottom w:val="double" w:sz="4" w:space="0" w:color="auto"/>
            </w:tcBorders>
            <w:shd w:val="clear" w:color="auto" w:fill="auto"/>
            <w:tcMar>
              <w:left w:w="57" w:type="dxa"/>
              <w:right w:w="57" w:type="dxa"/>
            </w:tcMar>
            <w:vAlign w:val="bottom"/>
          </w:tcPr>
          <w:p w14:paraId="4A6C9CCD"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-1,6</w:t>
            </w:r>
          </w:p>
        </w:tc>
        <w:tc>
          <w:tcPr>
            <w:tcW w:w="709" w:type="dxa"/>
            <w:tcBorders>
              <w:bottom w:val="double" w:sz="4" w:space="0" w:color="auto"/>
            </w:tcBorders>
            <w:shd w:val="clear" w:color="auto" w:fill="auto"/>
            <w:tcMar>
              <w:left w:w="57" w:type="dxa"/>
              <w:right w:w="57" w:type="dxa"/>
            </w:tcMar>
            <w:vAlign w:val="bottom"/>
          </w:tcPr>
          <w:p w14:paraId="43C8529E"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-8,8</w:t>
            </w:r>
          </w:p>
        </w:tc>
        <w:tc>
          <w:tcPr>
            <w:tcW w:w="730" w:type="dxa"/>
            <w:tcBorders>
              <w:bottom w:val="double" w:sz="4" w:space="0" w:color="auto"/>
            </w:tcBorders>
            <w:shd w:val="clear" w:color="auto" w:fill="auto"/>
            <w:tcMar>
              <w:left w:w="57" w:type="dxa"/>
              <w:right w:w="57" w:type="dxa"/>
            </w:tcMar>
            <w:vAlign w:val="bottom"/>
          </w:tcPr>
          <w:p w14:paraId="771651AF"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-19,2</w:t>
            </w:r>
          </w:p>
        </w:tc>
      </w:tr>
      <w:tr w:rsidR="00C6033D" w:rsidRPr="00FF3DFF" w14:paraId="33BEB335" w14:textId="77777777" w:rsidTr="007B37F8">
        <w:trPr>
          <w:trHeight w:val="351"/>
          <w:jc w:val="center"/>
        </w:trPr>
        <w:tc>
          <w:tcPr>
            <w:tcW w:w="2830" w:type="dxa"/>
            <w:tcBorders>
              <w:top w:val="double" w:sz="4" w:space="0" w:color="auto"/>
              <w:left w:val="single" w:sz="4" w:space="0" w:color="auto"/>
            </w:tcBorders>
            <w:shd w:val="clear" w:color="auto" w:fill="auto"/>
            <w:vAlign w:val="center"/>
          </w:tcPr>
          <w:p w14:paraId="337DDA1D" w14:textId="77777777" w:rsidR="00C6033D" w:rsidRPr="00FF3DFF" w:rsidRDefault="00C6033D" w:rsidP="007B37F8">
            <w:pPr>
              <w:spacing w:after="0"/>
              <w:ind w:firstLine="0"/>
              <w:jc w:val="left"/>
              <w:rPr>
                <w:rFonts w:eastAsia="Times New Roman" w:cs="Times New Roman"/>
                <w:noProof/>
                <w:sz w:val="18"/>
                <w:szCs w:val="18"/>
              </w:rPr>
            </w:pPr>
            <w:r w:rsidRPr="00FF3DFF">
              <w:rPr>
                <w:rFonts w:eastAsia="Times New Roman" w:cs="Times New Roman"/>
                <w:noProof/>
                <w:sz w:val="18"/>
                <w:szCs w:val="18"/>
              </w:rPr>
              <w:t xml:space="preserve">   Procentu izdevumi</w:t>
            </w:r>
            <w:r w:rsidRPr="00FF3DFF">
              <w:rPr>
                <w:rFonts w:eastAsia="Times New Roman" w:cs="Times New Roman"/>
                <w:noProof/>
                <w:sz w:val="18"/>
                <w:szCs w:val="18"/>
              </w:rPr>
              <w:br/>
              <w:t xml:space="preserve">  (% likmes paliel. par 1 pp)</w:t>
            </w:r>
          </w:p>
        </w:tc>
        <w:tc>
          <w:tcPr>
            <w:tcW w:w="851" w:type="dxa"/>
            <w:tcBorders>
              <w:top w:val="double" w:sz="4" w:space="0" w:color="auto"/>
            </w:tcBorders>
            <w:shd w:val="clear" w:color="auto" w:fill="auto"/>
            <w:tcMar>
              <w:left w:w="57" w:type="dxa"/>
              <w:right w:w="57" w:type="dxa"/>
            </w:tcMar>
            <w:vAlign w:val="center"/>
          </w:tcPr>
          <w:p w14:paraId="7E255B01"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233,4</w:t>
            </w:r>
          </w:p>
        </w:tc>
        <w:tc>
          <w:tcPr>
            <w:tcW w:w="850" w:type="dxa"/>
            <w:tcBorders>
              <w:top w:val="double" w:sz="4" w:space="0" w:color="auto"/>
            </w:tcBorders>
            <w:shd w:val="clear" w:color="auto" w:fill="auto"/>
            <w:tcMar>
              <w:left w:w="57" w:type="dxa"/>
              <w:right w:w="57" w:type="dxa"/>
            </w:tcMar>
            <w:vAlign w:val="center"/>
          </w:tcPr>
          <w:p w14:paraId="7A2138B6"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387,3</w:t>
            </w:r>
          </w:p>
        </w:tc>
        <w:tc>
          <w:tcPr>
            <w:tcW w:w="851" w:type="dxa"/>
            <w:tcBorders>
              <w:top w:val="double" w:sz="4" w:space="0" w:color="auto"/>
            </w:tcBorders>
            <w:shd w:val="clear" w:color="auto" w:fill="auto"/>
            <w:tcMar>
              <w:left w:w="57" w:type="dxa"/>
              <w:right w:w="57" w:type="dxa"/>
            </w:tcMar>
            <w:vAlign w:val="center"/>
          </w:tcPr>
          <w:p w14:paraId="678987FD"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491,3</w:t>
            </w:r>
          </w:p>
        </w:tc>
        <w:tc>
          <w:tcPr>
            <w:tcW w:w="850" w:type="dxa"/>
            <w:tcBorders>
              <w:top w:val="double" w:sz="4" w:space="0" w:color="auto"/>
            </w:tcBorders>
            <w:shd w:val="clear" w:color="auto" w:fill="auto"/>
            <w:tcMar>
              <w:left w:w="57" w:type="dxa"/>
              <w:right w:w="57" w:type="dxa"/>
            </w:tcMar>
            <w:vAlign w:val="center"/>
          </w:tcPr>
          <w:p w14:paraId="2232E814"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548,7</w:t>
            </w:r>
          </w:p>
        </w:tc>
        <w:tc>
          <w:tcPr>
            <w:tcW w:w="709" w:type="dxa"/>
            <w:tcBorders>
              <w:top w:val="double" w:sz="4" w:space="0" w:color="auto"/>
            </w:tcBorders>
            <w:shd w:val="clear" w:color="auto" w:fill="auto"/>
            <w:tcMar>
              <w:left w:w="57" w:type="dxa"/>
              <w:right w:w="57" w:type="dxa"/>
            </w:tcMar>
            <w:vAlign w:val="center"/>
          </w:tcPr>
          <w:p w14:paraId="15FE01B6"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0,0</w:t>
            </w:r>
          </w:p>
        </w:tc>
        <w:tc>
          <w:tcPr>
            <w:tcW w:w="709" w:type="dxa"/>
            <w:tcBorders>
              <w:top w:val="double" w:sz="4" w:space="0" w:color="auto"/>
            </w:tcBorders>
            <w:shd w:val="clear" w:color="auto" w:fill="auto"/>
            <w:tcMar>
              <w:left w:w="57" w:type="dxa"/>
              <w:right w:w="57" w:type="dxa"/>
            </w:tcMar>
            <w:vAlign w:val="center"/>
          </w:tcPr>
          <w:p w14:paraId="4C9470AB"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6,3</w:t>
            </w:r>
          </w:p>
        </w:tc>
        <w:tc>
          <w:tcPr>
            <w:tcW w:w="709" w:type="dxa"/>
            <w:tcBorders>
              <w:top w:val="double" w:sz="4" w:space="0" w:color="auto"/>
            </w:tcBorders>
            <w:shd w:val="clear" w:color="auto" w:fill="auto"/>
            <w:tcMar>
              <w:left w:w="57" w:type="dxa"/>
              <w:right w:w="57" w:type="dxa"/>
            </w:tcMar>
            <w:vAlign w:val="center"/>
          </w:tcPr>
          <w:p w14:paraId="75B329E2"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23,6</w:t>
            </w:r>
          </w:p>
        </w:tc>
        <w:tc>
          <w:tcPr>
            <w:tcW w:w="730" w:type="dxa"/>
            <w:tcBorders>
              <w:top w:val="double" w:sz="4" w:space="0" w:color="auto"/>
              <w:right w:val="single" w:sz="4" w:space="0" w:color="auto"/>
            </w:tcBorders>
            <w:shd w:val="clear" w:color="auto" w:fill="auto"/>
            <w:tcMar>
              <w:left w:w="57" w:type="dxa"/>
              <w:right w:w="57" w:type="dxa"/>
            </w:tcMar>
            <w:vAlign w:val="center"/>
          </w:tcPr>
          <w:p w14:paraId="755AB42A"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40,2</w:t>
            </w:r>
          </w:p>
        </w:tc>
      </w:tr>
      <w:tr w:rsidR="00C6033D" w:rsidRPr="00FF3DFF" w14:paraId="656E332C" w14:textId="77777777" w:rsidTr="007B37F8">
        <w:trPr>
          <w:trHeight w:val="348"/>
          <w:jc w:val="center"/>
        </w:trPr>
        <w:tc>
          <w:tcPr>
            <w:tcW w:w="2830" w:type="dxa"/>
            <w:tcBorders>
              <w:left w:val="single" w:sz="4" w:space="0" w:color="auto"/>
              <w:bottom w:val="double" w:sz="4" w:space="0" w:color="auto"/>
            </w:tcBorders>
            <w:shd w:val="clear" w:color="auto" w:fill="auto"/>
            <w:vAlign w:val="center"/>
          </w:tcPr>
          <w:p w14:paraId="35EDCD26" w14:textId="77777777" w:rsidR="00C6033D" w:rsidRPr="00FF3DFF" w:rsidRDefault="00C6033D" w:rsidP="007B37F8">
            <w:pPr>
              <w:spacing w:after="0"/>
              <w:ind w:firstLine="0"/>
              <w:jc w:val="left"/>
              <w:rPr>
                <w:rFonts w:eastAsia="Calibri" w:cs="Times New Roman"/>
                <w:noProof/>
                <w:sz w:val="18"/>
                <w:szCs w:val="18"/>
                <w:lang w:eastAsia="en-US"/>
              </w:rPr>
            </w:pPr>
            <w:r w:rsidRPr="00FF3DFF">
              <w:rPr>
                <w:rFonts w:eastAsia="Times New Roman" w:cs="Times New Roman"/>
                <w:noProof/>
                <w:sz w:val="18"/>
                <w:szCs w:val="18"/>
              </w:rPr>
              <w:t xml:space="preserve">   Procentu izdevumi</w:t>
            </w:r>
            <w:r w:rsidRPr="00FF3DFF">
              <w:rPr>
                <w:rFonts w:eastAsia="Times New Roman" w:cs="Times New Roman"/>
                <w:noProof/>
                <w:sz w:val="18"/>
                <w:szCs w:val="18"/>
              </w:rPr>
              <w:br/>
              <w:t xml:space="preserve">   (% likmes samaz. par 1 pp)</w:t>
            </w:r>
          </w:p>
        </w:tc>
        <w:tc>
          <w:tcPr>
            <w:tcW w:w="851" w:type="dxa"/>
            <w:tcBorders>
              <w:bottom w:val="double" w:sz="4" w:space="0" w:color="auto"/>
            </w:tcBorders>
            <w:shd w:val="clear" w:color="auto" w:fill="auto"/>
            <w:tcMar>
              <w:left w:w="57" w:type="dxa"/>
              <w:right w:w="57" w:type="dxa"/>
            </w:tcMar>
            <w:vAlign w:val="center"/>
          </w:tcPr>
          <w:p w14:paraId="7EE3FCEC"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233,4</w:t>
            </w:r>
          </w:p>
        </w:tc>
        <w:tc>
          <w:tcPr>
            <w:tcW w:w="850" w:type="dxa"/>
            <w:tcBorders>
              <w:bottom w:val="double" w:sz="4" w:space="0" w:color="auto"/>
            </w:tcBorders>
            <w:shd w:val="clear" w:color="auto" w:fill="auto"/>
            <w:tcMar>
              <w:left w:w="57" w:type="dxa"/>
              <w:right w:w="57" w:type="dxa"/>
            </w:tcMar>
            <w:vAlign w:val="center"/>
          </w:tcPr>
          <w:p w14:paraId="0B6AECF0"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371,7</w:t>
            </w:r>
          </w:p>
        </w:tc>
        <w:tc>
          <w:tcPr>
            <w:tcW w:w="851" w:type="dxa"/>
            <w:tcBorders>
              <w:bottom w:val="double" w:sz="4" w:space="0" w:color="auto"/>
            </w:tcBorders>
            <w:shd w:val="clear" w:color="auto" w:fill="auto"/>
            <w:tcMar>
              <w:left w:w="57" w:type="dxa"/>
              <w:right w:w="57" w:type="dxa"/>
            </w:tcMar>
            <w:vAlign w:val="center"/>
          </w:tcPr>
          <w:p w14:paraId="201068C3"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426,5</w:t>
            </w:r>
          </w:p>
        </w:tc>
        <w:tc>
          <w:tcPr>
            <w:tcW w:w="850" w:type="dxa"/>
            <w:tcBorders>
              <w:bottom w:val="double" w:sz="4" w:space="0" w:color="auto"/>
            </w:tcBorders>
            <w:shd w:val="clear" w:color="auto" w:fill="auto"/>
            <w:tcMar>
              <w:left w:w="57" w:type="dxa"/>
              <w:right w:w="57" w:type="dxa"/>
            </w:tcMar>
            <w:vAlign w:val="center"/>
          </w:tcPr>
          <w:p w14:paraId="308FD5CF"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429,9</w:t>
            </w:r>
          </w:p>
        </w:tc>
        <w:tc>
          <w:tcPr>
            <w:tcW w:w="709" w:type="dxa"/>
            <w:tcBorders>
              <w:bottom w:val="double" w:sz="4" w:space="0" w:color="auto"/>
            </w:tcBorders>
            <w:shd w:val="clear" w:color="auto" w:fill="auto"/>
            <w:tcMar>
              <w:left w:w="57" w:type="dxa"/>
              <w:right w:w="57" w:type="dxa"/>
            </w:tcMar>
            <w:vAlign w:val="center"/>
          </w:tcPr>
          <w:p w14:paraId="190A3F4B" w14:textId="77777777" w:rsidR="00C6033D" w:rsidRPr="00FF3DFF" w:rsidRDefault="00C6033D" w:rsidP="007B37F8">
            <w:pPr>
              <w:spacing w:after="0"/>
              <w:ind w:firstLine="0"/>
              <w:jc w:val="right"/>
              <w:rPr>
                <w:rFonts w:eastAsia="Times New Roman" w:cs="Times New Roman"/>
                <w:sz w:val="18"/>
                <w:szCs w:val="18"/>
              </w:rPr>
            </w:pPr>
            <w:r w:rsidRPr="00FF3DFF">
              <w:rPr>
                <w:rFonts w:cs="Times New Roman"/>
                <w:sz w:val="18"/>
                <w:szCs w:val="18"/>
              </w:rPr>
              <w:t>0,0</w:t>
            </w:r>
          </w:p>
        </w:tc>
        <w:tc>
          <w:tcPr>
            <w:tcW w:w="709" w:type="dxa"/>
            <w:tcBorders>
              <w:bottom w:val="double" w:sz="4" w:space="0" w:color="auto"/>
            </w:tcBorders>
            <w:shd w:val="clear" w:color="auto" w:fill="auto"/>
            <w:tcMar>
              <w:left w:w="57" w:type="dxa"/>
              <w:right w:w="57" w:type="dxa"/>
            </w:tcMar>
            <w:vAlign w:val="center"/>
          </w:tcPr>
          <w:p w14:paraId="392AD299"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-9,4</w:t>
            </w:r>
          </w:p>
        </w:tc>
        <w:tc>
          <w:tcPr>
            <w:tcW w:w="709" w:type="dxa"/>
            <w:tcBorders>
              <w:bottom w:val="double" w:sz="4" w:space="0" w:color="auto"/>
            </w:tcBorders>
            <w:shd w:val="clear" w:color="auto" w:fill="auto"/>
            <w:tcMar>
              <w:left w:w="57" w:type="dxa"/>
              <w:right w:w="57" w:type="dxa"/>
            </w:tcMar>
            <w:vAlign w:val="center"/>
          </w:tcPr>
          <w:p w14:paraId="3ADE13D2"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-41,2</w:t>
            </w:r>
          </w:p>
        </w:tc>
        <w:tc>
          <w:tcPr>
            <w:tcW w:w="730" w:type="dxa"/>
            <w:tcBorders>
              <w:bottom w:val="double" w:sz="4" w:space="0" w:color="auto"/>
              <w:right w:val="single" w:sz="4" w:space="0" w:color="auto"/>
            </w:tcBorders>
            <w:shd w:val="clear" w:color="auto" w:fill="auto"/>
            <w:tcMar>
              <w:left w:w="57" w:type="dxa"/>
              <w:right w:w="57" w:type="dxa"/>
            </w:tcMar>
            <w:vAlign w:val="center"/>
          </w:tcPr>
          <w:p w14:paraId="74AB29C4" w14:textId="77777777" w:rsidR="00C6033D" w:rsidRPr="00FF3DFF" w:rsidRDefault="00C6033D" w:rsidP="007B37F8">
            <w:pPr>
              <w:spacing w:after="0" w:line="259" w:lineRule="auto"/>
              <w:ind w:firstLine="0"/>
              <w:jc w:val="right"/>
              <w:rPr>
                <w:rFonts w:eastAsia="Times New Roman" w:cs="Times New Roman"/>
                <w:sz w:val="18"/>
                <w:szCs w:val="18"/>
              </w:rPr>
            </w:pPr>
            <w:r w:rsidRPr="00FF3DFF">
              <w:rPr>
                <w:rFonts w:cs="Times New Roman"/>
                <w:sz w:val="18"/>
                <w:szCs w:val="18"/>
              </w:rPr>
              <w:t>-78,6</w:t>
            </w:r>
          </w:p>
        </w:tc>
      </w:tr>
      <w:tr w:rsidR="00C6033D" w:rsidRPr="00FF3DFF" w14:paraId="0345E68F" w14:textId="77777777" w:rsidTr="007B37F8">
        <w:trPr>
          <w:trHeight w:val="335"/>
          <w:jc w:val="center"/>
        </w:trPr>
        <w:tc>
          <w:tcPr>
            <w:tcW w:w="2830" w:type="dxa"/>
            <w:tcBorders>
              <w:top w:val="double" w:sz="4" w:space="0" w:color="auto"/>
            </w:tcBorders>
            <w:shd w:val="clear" w:color="auto" w:fill="auto"/>
            <w:vAlign w:val="center"/>
          </w:tcPr>
          <w:p w14:paraId="4FADF946" w14:textId="77777777" w:rsidR="00C6033D" w:rsidRPr="00FF3DFF" w:rsidRDefault="00C6033D" w:rsidP="007B37F8">
            <w:pPr>
              <w:spacing w:after="0"/>
              <w:ind w:firstLine="0"/>
              <w:jc w:val="left"/>
              <w:rPr>
                <w:rFonts w:eastAsia="Times New Roman" w:cs="Times New Roman"/>
                <w:b/>
                <w:noProof/>
                <w:sz w:val="18"/>
                <w:szCs w:val="18"/>
              </w:rPr>
            </w:pPr>
            <w:r w:rsidRPr="00FF3DFF">
              <w:rPr>
                <w:rFonts w:eastAsia="Times New Roman" w:cs="Times New Roman"/>
                <w:b/>
                <w:noProof/>
                <w:sz w:val="18"/>
                <w:szCs w:val="18"/>
              </w:rPr>
              <w:t>Vispārējās valdības parāds,</w:t>
            </w:r>
            <w:r w:rsidRPr="00FF3DFF">
              <w:rPr>
                <w:rFonts w:eastAsia="Times New Roman" w:cs="Times New Roman"/>
                <w:b/>
                <w:noProof/>
                <w:sz w:val="18"/>
                <w:szCs w:val="18"/>
              </w:rPr>
              <w:br/>
              <w:t>% no IKP</w:t>
            </w:r>
          </w:p>
        </w:tc>
        <w:tc>
          <w:tcPr>
            <w:tcW w:w="851" w:type="dxa"/>
            <w:tcBorders>
              <w:top w:val="double" w:sz="4" w:space="0" w:color="auto"/>
            </w:tcBorders>
            <w:shd w:val="clear" w:color="auto" w:fill="auto"/>
            <w:tcMar>
              <w:left w:w="57" w:type="dxa"/>
              <w:right w:w="57" w:type="dxa"/>
            </w:tcMar>
            <w:vAlign w:val="center"/>
          </w:tcPr>
          <w:p w14:paraId="6040C78C"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39,6%</w:t>
            </w:r>
          </w:p>
        </w:tc>
        <w:tc>
          <w:tcPr>
            <w:tcW w:w="850" w:type="dxa"/>
            <w:tcBorders>
              <w:top w:val="double" w:sz="4" w:space="0" w:color="auto"/>
            </w:tcBorders>
            <w:shd w:val="clear" w:color="auto" w:fill="auto"/>
            <w:tcMar>
              <w:left w:w="57" w:type="dxa"/>
              <w:right w:w="57" w:type="dxa"/>
            </w:tcMar>
            <w:vAlign w:val="center"/>
          </w:tcPr>
          <w:p w14:paraId="30342CE3"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40,1%</w:t>
            </w:r>
          </w:p>
        </w:tc>
        <w:tc>
          <w:tcPr>
            <w:tcW w:w="851" w:type="dxa"/>
            <w:tcBorders>
              <w:top w:val="double" w:sz="4" w:space="0" w:color="auto"/>
            </w:tcBorders>
            <w:shd w:val="clear" w:color="auto" w:fill="auto"/>
            <w:tcMar>
              <w:left w:w="57" w:type="dxa"/>
              <w:right w:w="57" w:type="dxa"/>
            </w:tcMar>
            <w:vAlign w:val="center"/>
          </w:tcPr>
          <w:p w14:paraId="5CAAD0F0"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39,8%</w:t>
            </w:r>
          </w:p>
        </w:tc>
        <w:tc>
          <w:tcPr>
            <w:tcW w:w="850" w:type="dxa"/>
            <w:tcBorders>
              <w:top w:val="double" w:sz="4" w:space="0" w:color="auto"/>
            </w:tcBorders>
            <w:shd w:val="clear" w:color="auto" w:fill="auto"/>
            <w:tcMar>
              <w:left w:w="57" w:type="dxa"/>
              <w:right w:w="57" w:type="dxa"/>
            </w:tcMar>
            <w:vAlign w:val="center"/>
          </w:tcPr>
          <w:p w14:paraId="201E642D"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39,2%</w:t>
            </w:r>
          </w:p>
        </w:tc>
        <w:tc>
          <w:tcPr>
            <w:tcW w:w="709" w:type="dxa"/>
            <w:tcBorders>
              <w:top w:val="double" w:sz="4" w:space="0" w:color="auto"/>
            </w:tcBorders>
            <w:shd w:val="clear" w:color="auto" w:fill="auto"/>
            <w:tcMar>
              <w:left w:w="57" w:type="dxa"/>
              <w:right w:w="57" w:type="dxa"/>
            </w:tcMar>
            <w:vAlign w:val="center"/>
          </w:tcPr>
          <w:p w14:paraId="48F5D5C8" w14:textId="77777777" w:rsidR="00C6033D" w:rsidRPr="00FF3DFF" w:rsidRDefault="00C6033D" w:rsidP="007B37F8">
            <w:pPr>
              <w:spacing w:after="0"/>
              <w:ind w:firstLine="0"/>
              <w:jc w:val="right"/>
              <w:rPr>
                <w:rFonts w:eastAsia="Times New Roman" w:cs="Times New Roman"/>
                <w:b/>
                <w:noProof/>
                <w:sz w:val="18"/>
                <w:szCs w:val="18"/>
              </w:rPr>
            </w:pPr>
            <w:r w:rsidRPr="00FF3DFF">
              <w:rPr>
                <w:rFonts w:eastAsia="Times New Roman" w:cs="Times New Roman"/>
                <w:b/>
                <w:noProof/>
                <w:sz w:val="18"/>
                <w:szCs w:val="18"/>
              </w:rPr>
              <w:t>-0,3 pp</w:t>
            </w:r>
          </w:p>
        </w:tc>
        <w:tc>
          <w:tcPr>
            <w:tcW w:w="709" w:type="dxa"/>
            <w:tcBorders>
              <w:top w:val="double" w:sz="4" w:space="0" w:color="auto"/>
            </w:tcBorders>
            <w:shd w:val="clear" w:color="auto" w:fill="auto"/>
            <w:tcMar>
              <w:left w:w="57" w:type="dxa"/>
              <w:right w:w="57" w:type="dxa"/>
            </w:tcMar>
            <w:vAlign w:val="center"/>
          </w:tcPr>
          <w:p w14:paraId="1A1745C8" w14:textId="77777777" w:rsidR="00C6033D" w:rsidRPr="00FF3DFF" w:rsidRDefault="00C6033D" w:rsidP="007B37F8">
            <w:pPr>
              <w:spacing w:after="0" w:line="259" w:lineRule="auto"/>
              <w:ind w:firstLine="0"/>
              <w:jc w:val="right"/>
              <w:rPr>
                <w:rFonts w:eastAsia="Times New Roman" w:cs="Times New Roman"/>
                <w:b/>
                <w:noProof/>
                <w:sz w:val="18"/>
                <w:szCs w:val="18"/>
              </w:rPr>
            </w:pPr>
            <w:r w:rsidRPr="00FF3DFF">
              <w:rPr>
                <w:rFonts w:eastAsia="Times New Roman" w:cs="Times New Roman"/>
                <w:b/>
                <w:noProof/>
                <w:sz w:val="18"/>
                <w:szCs w:val="18"/>
              </w:rPr>
              <w:t>-0,9 pp</w:t>
            </w:r>
          </w:p>
        </w:tc>
        <w:tc>
          <w:tcPr>
            <w:tcW w:w="709" w:type="dxa"/>
            <w:tcBorders>
              <w:top w:val="double" w:sz="4" w:space="0" w:color="auto"/>
            </w:tcBorders>
            <w:shd w:val="clear" w:color="auto" w:fill="auto"/>
            <w:tcMar>
              <w:left w:w="57" w:type="dxa"/>
              <w:right w:w="57" w:type="dxa"/>
            </w:tcMar>
            <w:vAlign w:val="center"/>
          </w:tcPr>
          <w:p w14:paraId="09DCC142" w14:textId="77777777" w:rsidR="00C6033D" w:rsidRPr="00FF3DFF" w:rsidRDefault="00C6033D" w:rsidP="007B37F8">
            <w:pPr>
              <w:spacing w:after="0" w:line="259" w:lineRule="auto"/>
              <w:ind w:firstLine="0"/>
              <w:jc w:val="right"/>
              <w:rPr>
                <w:rFonts w:eastAsia="Times New Roman" w:cs="Times New Roman"/>
                <w:b/>
                <w:noProof/>
                <w:sz w:val="18"/>
                <w:szCs w:val="18"/>
              </w:rPr>
            </w:pPr>
            <w:r w:rsidRPr="00FF3DFF">
              <w:rPr>
                <w:rFonts w:eastAsia="Times New Roman" w:cs="Times New Roman"/>
                <w:b/>
                <w:noProof/>
                <w:sz w:val="18"/>
                <w:szCs w:val="18"/>
              </w:rPr>
              <w:t>-1,3 pp</w:t>
            </w:r>
          </w:p>
        </w:tc>
        <w:tc>
          <w:tcPr>
            <w:tcW w:w="730" w:type="dxa"/>
            <w:tcBorders>
              <w:top w:val="double" w:sz="4" w:space="0" w:color="auto"/>
            </w:tcBorders>
            <w:shd w:val="clear" w:color="auto" w:fill="auto"/>
            <w:tcMar>
              <w:left w:w="57" w:type="dxa"/>
              <w:right w:w="57" w:type="dxa"/>
            </w:tcMar>
            <w:vAlign w:val="center"/>
          </w:tcPr>
          <w:p w14:paraId="74EEABE8" w14:textId="77777777" w:rsidR="00C6033D" w:rsidRPr="00FF3DFF" w:rsidRDefault="00C6033D" w:rsidP="007B37F8">
            <w:pPr>
              <w:spacing w:after="0" w:line="259" w:lineRule="auto"/>
              <w:ind w:firstLine="0"/>
              <w:jc w:val="right"/>
              <w:rPr>
                <w:rFonts w:eastAsia="Times New Roman" w:cs="Times New Roman"/>
                <w:b/>
                <w:noProof/>
                <w:sz w:val="18"/>
                <w:szCs w:val="18"/>
              </w:rPr>
            </w:pPr>
            <w:r w:rsidRPr="00FF3DFF">
              <w:rPr>
                <w:rFonts w:eastAsia="Times New Roman" w:cs="Times New Roman"/>
                <w:b/>
                <w:noProof/>
                <w:sz w:val="18"/>
                <w:szCs w:val="18"/>
              </w:rPr>
              <w:t>-1,7 pp</w:t>
            </w:r>
          </w:p>
        </w:tc>
      </w:tr>
    </w:tbl>
    <w:p w14:paraId="2BAAB86B" w14:textId="77777777" w:rsidR="00C6033D" w:rsidRPr="00FF3DFF" w:rsidRDefault="00C6033D" w:rsidP="00C6033D">
      <w:pPr>
        <w:autoSpaceDE w:val="0"/>
        <w:autoSpaceDN w:val="0"/>
        <w:adjustRightInd w:val="0"/>
        <w:spacing w:after="0"/>
        <w:rPr>
          <w:rFonts w:eastAsia="Times New Roman" w:cs="Times New Roman"/>
          <w:szCs w:val="24"/>
        </w:rPr>
      </w:pPr>
    </w:p>
    <w:p w14:paraId="4F71AAC1" w14:textId="77777777" w:rsidR="00C6033D" w:rsidRPr="00FF3DFF" w:rsidRDefault="00C6033D" w:rsidP="00C6033D">
      <w:pPr>
        <w:autoSpaceDE w:val="0"/>
        <w:autoSpaceDN w:val="0"/>
        <w:adjustRightInd w:val="0"/>
        <w:rPr>
          <w:rFonts w:eastAsia="Times New Roman" w:cs="Times New Roman"/>
          <w:noProof/>
          <w:szCs w:val="24"/>
        </w:rPr>
      </w:pPr>
      <w:r w:rsidRPr="00FF3DFF">
        <w:rPr>
          <w:rFonts w:eastAsia="Times New Roman" w:cs="Times New Roman"/>
          <w:noProof/>
          <w:szCs w:val="24"/>
        </w:rPr>
        <w:t xml:space="preserve">Vispārējās valdības budžeta bilance optimistiskajā scenārijā uzlabotos no 2,7% deficīta bāzes scenārijā uz 2,6% deficītu no IKP 2023. gadā jeb par 41,1 milj. </w:t>
      </w:r>
      <w:r w:rsidRPr="00FF3DFF">
        <w:rPr>
          <w:rFonts w:eastAsia="Times New Roman" w:cs="Times New Roman"/>
          <w:i/>
          <w:noProof/>
          <w:szCs w:val="24"/>
        </w:rPr>
        <w:t>euro</w:t>
      </w:r>
      <w:r w:rsidRPr="00FF3DFF">
        <w:rPr>
          <w:rFonts w:eastAsia="Times New Roman" w:cs="Times New Roman"/>
          <w:noProof/>
          <w:szCs w:val="24"/>
        </w:rPr>
        <w:t xml:space="preserve">. 2024. un 2025. gadā bilance uzlabotos attiecīgi par 158,3 milj. </w:t>
      </w:r>
      <w:r w:rsidRPr="00FF3DFF">
        <w:rPr>
          <w:rFonts w:eastAsia="Times New Roman" w:cs="Times New Roman"/>
          <w:i/>
          <w:noProof/>
          <w:szCs w:val="24"/>
        </w:rPr>
        <w:t>euro</w:t>
      </w:r>
      <w:r w:rsidRPr="00FF3DFF">
        <w:rPr>
          <w:rFonts w:eastAsia="Times New Roman" w:cs="Times New Roman"/>
          <w:noProof/>
          <w:szCs w:val="24"/>
        </w:rPr>
        <w:t xml:space="preserve"> un 237,3 milj. </w:t>
      </w:r>
      <w:r w:rsidRPr="00FF3DFF">
        <w:rPr>
          <w:rFonts w:eastAsia="Times New Roman" w:cs="Times New Roman"/>
          <w:i/>
          <w:noProof/>
          <w:szCs w:val="24"/>
        </w:rPr>
        <w:t>euro</w:t>
      </w:r>
      <w:r w:rsidRPr="00FF3DFF">
        <w:rPr>
          <w:rFonts w:eastAsia="Times New Roman" w:cs="Times New Roman"/>
          <w:noProof/>
          <w:szCs w:val="24"/>
        </w:rPr>
        <w:t xml:space="preserve">, bet 2026. gadā par 316,5 milj. </w:t>
      </w:r>
      <w:r w:rsidRPr="00FF3DFF">
        <w:rPr>
          <w:rFonts w:eastAsia="Times New Roman" w:cs="Times New Roman"/>
          <w:i/>
          <w:noProof/>
          <w:szCs w:val="24"/>
        </w:rPr>
        <w:t>euro.</w:t>
      </w:r>
      <w:r w:rsidRPr="00FF3DFF">
        <w:rPr>
          <w:rFonts w:eastAsia="Times New Roman" w:cs="Times New Roman"/>
          <w:noProof/>
          <w:szCs w:val="24"/>
        </w:rPr>
        <w:t xml:space="preserve"> Tādējādi vispārējās valdības budžetā 2024. gadā būtu deficīts 2,4% no IKP, 2025. gadā budžets būtu ar 1,8% no IKP deficītu, bet 2026. gadā ar 0,3% no IKP deficītu. </w:t>
      </w:r>
    </w:p>
    <w:p w14:paraId="04D6E1A3" w14:textId="382C6D0D" w:rsidR="00C6033D" w:rsidRPr="00FF3DFF" w:rsidRDefault="00C6033D" w:rsidP="00FF3DFF">
      <w:pPr>
        <w:autoSpaceDE w:val="0"/>
        <w:autoSpaceDN w:val="0"/>
        <w:adjustRightInd w:val="0"/>
        <w:spacing w:after="240"/>
        <w:rPr>
          <w:rFonts w:eastAsia="Times New Roman" w:cs="Times New Roman"/>
          <w:noProof/>
          <w:szCs w:val="24"/>
        </w:rPr>
      </w:pPr>
      <w:r w:rsidRPr="00FF3DFF">
        <w:rPr>
          <w:rFonts w:eastAsia="Times New Roman" w:cs="Times New Roman"/>
          <w:noProof/>
          <w:szCs w:val="24"/>
        </w:rPr>
        <w:t xml:space="preserve">Papildus tiek aplūkoti scenāriji, kuros aizņemšanās procentu likmes parāda pārfinansēšanai nosvārstās viena procentpunkta robežās – par vienu procentpunktu palielinoties vai konkrētajā apmērā samazinoties. Procentu likmēm par vienu procentpunktu palielinoties, procentu izdevumi 2024. gadā pieaugtu par 6,3 milj. </w:t>
      </w:r>
      <w:r w:rsidRPr="00FF3DFF">
        <w:rPr>
          <w:rFonts w:eastAsia="Times New Roman" w:cs="Times New Roman"/>
          <w:i/>
          <w:noProof/>
          <w:szCs w:val="24"/>
        </w:rPr>
        <w:t>euro</w:t>
      </w:r>
      <w:r w:rsidRPr="00FF3DFF">
        <w:rPr>
          <w:rFonts w:eastAsia="Times New Roman" w:cs="Times New Roman"/>
          <w:noProof/>
          <w:szCs w:val="24"/>
        </w:rPr>
        <w:t xml:space="preserve">, 2025. gadā par 23,6 milj. </w:t>
      </w:r>
      <w:r w:rsidRPr="00FF3DFF">
        <w:rPr>
          <w:rFonts w:eastAsia="Times New Roman" w:cs="Times New Roman"/>
          <w:i/>
          <w:noProof/>
          <w:szCs w:val="24"/>
        </w:rPr>
        <w:t>euro</w:t>
      </w:r>
      <w:r w:rsidRPr="00FF3DFF">
        <w:rPr>
          <w:rFonts w:eastAsia="Times New Roman" w:cs="Times New Roman"/>
          <w:noProof/>
          <w:szCs w:val="24"/>
        </w:rPr>
        <w:t xml:space="preserve">, bet 2026. gadā par 40,2 milj. </w:t>
      </w:r>
      <w:r w:rsidRPr="00FF3DFF">
        <w:rPr>
          <w:rFonts w:eastAsia="Times New Roman" w:cs="Times New Roman"/>
          <w:i/>
          <w:noProof/>
          <w:szCs w:val="24"/>
        </w:rPr>
        <w:t>euro</w:t>
      </w:r>
      <w:r w:rsidRPr="00FF3DFF">
        <w:rPr>
          <w:rFonts w:eastAsia="Times New Roman" w:cs="Times New Roman"/>
          <w:noProof/>
          <w:szCs w:val="24"/>
        </w:rPr>
        <w:t xml:space="preserve"> salīdzinājumā ar bāzes scenāriju. Savukārt procentu likmei par vienu procentpunktu samazinoties, izdevumi 2024. gadā samazinātos par 9,4 milj. </w:t>
      </w:r>
      <w:r w:rsidRPr="00FF3DFF">
        <w:rPr>
          <w:rFonts w:eastAsia="Times New Roman" w:cs="Times New Roman"/>
          <w:i/>
          <w:noProof/>
          <w:szCs w:val="24"/>
        </w:rPr>
        <w:t>euro</w:t>
      </w:r>
      <w:r w:rsidRPr="00FF3DFF">
        <w:rPr>
          <w:rFonts w:eastAsia="Times New Roman" w:cs="Times New Roman"/>
          <w:noProof/>
          <w:szCs w:val="24"/>
        </w:rPr>
        <w:t xml:space="preserve">, 2025. gadā par 41,2 milj. </w:t>
      </w:r>
      <w:r w:rsidRPr="00FF3DFF">
        <w:rPr>
          <w:rFonts w:eastAsia="Times New Roman" w:cs="Times New Roman"/>
          <w:i/>
          <w:noProof/>
          <w:szCs w:val="24"/>
        </w:rPr>
        <w:t>euro</w:t>
      </w:r>
      <w:r w:rsidRPr="00FF3DFF">
        <w:rPr>
          <w:rFonts w:eastAsia="Times New Roman" w:cs="Times New Roman"/>
          <w:noProof/>
          <w:szCs w:val="24"/>
        </w:rPr>
        <w:t xml:space="preserve"> un 2026. gadā par 78,6 milj. </w:t>
      </w:r>
      <w:r w:rsidRPr="00FF3DFF">
        <w:rPr>
          <w:rFonts w:eastAsia="Times New Roman" w:cs="Times New Roman"/>
          <w:i/>
          <w:noProof/>
          <w:szCs w:val="24"/>
        </w:rPr>
        <w:t>euro</w:t>
      </w:r>
      <w:r w:rsidRPr="00FF3DFF">
        <w:rPr>
          <w:rFonts w:eastAsia="Times New Roman" w:cs="Times New Roman"/>
          <w:noProof/>
          <w:szCs w:val="24"/>
        </w:rPr>
        <w:t xml:space="preserve"> pret bāzes scenārijā prognozēto.</w:t>
      </w:r>
    </w:p>
    <w:p w14:paraId="7ECA0AE1" w14:textId="4B9DEE97" w:rsidR="00C74C27" w:rsidRPr="00C74C27" w:rsidRDefault="00C74C27" w:rsidP="00C74C27">
      <w:pPr>
        <w:keepNext/>
        <w:keepLines/>
        <w:spacing w:before="240" w:after="240"/>
        <w:ind w:firstLine="0"/>
        <w:jc w:val="center"/>
        <w:outlineLvl w:val="1"/>
        <w:rPr>
          <w:rFonts w:eastAsia="Times New Roman" w:cs="Times New Roman"/>
          <w:b/>
          <w:bCs/>
          <w:color w:val="000000"/>
          <w:sz w:val="36"/>
          <w:szCs w:val="28"/>
        </w:rPr>
      </w:pPr>
      <w:r w:rsidRPr="00C74C27">
        <w:rPr>
          <w:rFonts w:eastAsia="Times New Roman" w:cs="Times New Roman"/>
          <w:b/>
          <w:bCs/>
          <w:color w:val="000000"/>
          <w:sz w:val="36"/>
          <w:szCs w:val="28"/>
        </w:rPr>
        <w:t xml:space="preserve">1.6. Iepriekšējo makroekonomisko prognožu </w:t>
      </w:r>
      <w:proofErr w:type="spellStart"/>
      <w:r w:rsidRPr="00C74C27">
        <w:rPr>
          <w:rFonts w:eastAsia="Times New Roman" w:cs="Times New Roman"/>
          <w:b/>
          <w:bCs/>
          <w:color w:val="000000"/>
          <w:sz w:val="36"/>
          <w:szCs w:val="28"/>
        </w:rPr>
        <w:t>izvērtējums</w:t>
      </w:r>
      <w:bookmarkEnd w:id="49"/>
      <w:bookmarkEnd w:id="50"/>
      <w:proofErr w:type="spellEnd"/>
    </w:p>
    <w:p w14:paraId="28105380" w14:textId="2E0AEF93" w:rsidR="00C74C27" w:rsidRPr="00C74C27" w:rsidRDefault="00C74C27" w:rsidP="00C74C27">
      <w:pPr>
        <w:rPr>
          <w:rFonts w:eastAsia="Calibri" w:cs="Arial"/>
          <w:szCs w:val="24"/>
          <w:lang w:eastAsia="en-US"/>
        </w:rPr>
      </w:pPr>
      <w:r w:rsidRPr="00C74C27">
        <w:rPr>
          <w:rFonts w:eastAsia="Calibri" w:cs="Arial"/>
          <w:lang w:eastAsia="en-US"/>
        </w:rPr>
        <w:t xml:space="preserve">FM makroekonomiskās prognozes 2024. gada budžeta vajadzībām tika izstrādātas 2023. gada jūnijā, balstoties uz pēdējiem uz to brīdi pieejamajiem datiem un augstas nenoteiktības apstākļos, īpaši ņemot vērā ģeopolitiskās spriedzes situāciju, kā arī nenoteiktību, ko radīja ECB bāzes procentu likmes palielināšana. Jāatzīmē, ka līdzīgi – ar augstu nenoteiktību – bija arī iepriekšējo gadu triju budžetu prognozēšanas periodi – no 2019. līdz 2023. gadam. Tāpēc </w:t>
      </w:r>
      <w:r w:rsidRPr="00C74C27">
        <w:rPr>
          <w:rFonts w:eastAsia="Calibri" w:cs="Arial"/>
          <w:szCs w:val="24"/>
          <w:lang w:eastAsia="en-US"/>
        </w:rPr>
        <w:t xml:space="preserve">prognozes tika balstītas uz iespējami piesardzīgiem pieņēmumiem, ļaujot veidot arī piesardzīgu fiskālo politiku. Šī stratēģija bija veiksmīga, jo pēdējo piecu gadu laikā FM prognozes ir ļoti precīzi atspoguļojušas ekonomiskās tendences, un tajās nav novērotas sistemātiskas kļūdas, </w:t>
      </w:r>
      <w:r w:rsidR="00B43E35">
        <w:rPr>
          <w:rFonts w:eastAsia="Calibri" w:cs="Arial"/>
          <w:szCs w:val="24"/>
          <w:lang w:eastAsia="en-US"/>
        </w:rPr>
        <w:t>tādēļ var uzskatīt</w:t>
      </w:r>
      <w:r w:rsidRPr="00C74C27">
        <w:rPr>
          <w:rFonts w:eastAsia="Calibri" w:cs="Arial"/>
          <w:szCs w:val="24"/>
          <w:lang w:eastAsia="en-US"/>
        </w:rPr>
        <w:t>, ka prognozēšanas process kopumā ir bijis veiksmīgs.</w:t>
      </w:r>
    </w:p>
    <w:p w14:paraId="15600F6C" w14:textId="77777777" w:rsidR="00C74C27" w:rsidRPr="00C74C27" w:rsidRDefault="00C74C27" w:rsidP="00C74C27">
      <w:pPr>
        <w:spacing w:after="0"/>
        <w:ind w:firstLine="0"/>
        <w:jc w:val="center"/>
        <w:rPr>
          <w:rFonts w:eastAsia="Times New Roman" w:cs="Arial"/>
          <w:b/>
          <w:i/>
          <w:sz w:val="4"/>
          <w:szCs w:val="4"/>
          <w:lang w:eastAsia="en-US"/>
        </w:rPr>
      </w:pPr>
      <w:r w:rsidRPr="00C74C27">
        <w:rPr>
          <w:rFonts w:eastAsia="Calibri" w:cs="Arial"/>
          <w:noProof/>
          <w:szCs w:val="24"/>
          <w:lang w:eastAsia="en-US"/>
        </w:rPr>
        <w:lastRenderedPageBreak/>
        <w:drawing>
          <wp:inline distT="0" distB="0" distL="0" distR="0" wp14:anchorId="1194D7BA" wp14:editId="19EEA8FC">
            <wp:extent cx="5175250" cy="2927350"/>
            <wp:effectExtent l="0" t="0" r="6350" b="6350"/>
            <wp:docPr id="17" name="Chart 17">
              <a:extLst xmlns:a="http://schemas.openxmlformats.org/drawingml/2006/main">
                <a:ext uri="{FF2B5EF4-FFF2-40B4-BE49-F238E27FC236}">
                  <a16:creationId xmlns:a16="http://schemas.microsoft.com/office/drawing/2014/main" id="{BA824A3D-19E0-4410-84F5-86ACB2B473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C74C27">
        <w:rPr>
          <w:rFonts w:eastAsia="Calibri" w:cs="Arial"/>
          <w:sz w:val="28"/>
          <w:szCs w:val="28"/>
          <w:lang w:eastAsia="en-US"/>
        </w:rPr>
        <w:br/>
      </w:r>
    </w:p>
    <w:p w14:paraId="213C655F" w14:textId="0D3B5FD4" w:rsidR="00C74C27" w:rsidRPr="00C74C27" w:rsidRDefault="00C74C27" w:rsidP="00C74C27">
      <w:pPr>
        <w:spacing w:before="120" w:after="0"/>
        <w:ind w:firstLine="0"/>
        <w:jc w:val="center"/>
        <w:rPr>
          <w:rFonts w:eastAsia="Times New Roman" w:cs="Arial"/>
          <w:b/>
          <w:i/>
          <w:szCs w:val="24"/>
          <w:lang w:eastAsia="en-US"/>
        </w:rPr>
      </w:pPr>
      <w:r w:rsidRPr="00C74C27">
        <w:rPr>
          <w:rFonts w:eastAsia="Times New Roman" w:cs="Arial"/>
          <w:b/>
          <w:i/>
          <w:szCs w:val="24"/>
          <w:lang w:eastAsia="en-US"/>
        </w:rPr>
        <w:t>1.2</w:t>
      </w:r>
      <w:r w:rsidR="00C6033D">
        <w:rPr>
          <w:rFonts w:eastAsia="Times New Roman" w:cs="Arial"/>
          <w:b/>
          <w:i/>
          <w:szCs w:val="24"/>
          <w:lang w:eastAsia="en-US"/>
        </w:rPr>
        <w:t>6</w:t>
      </w:r>
      <w:r w:rsidRPr="00C74C27">
        <w:rPr>
          <w:rFonts w:eastAsia="Times New Roman" w:cs="Arial"/>
          <w:b/>
          <w:i/>
          <w:szCs w:val="24"/>
          <w:lang w:eastAsia="en-US"/>
        </w:rPr>
        <w:t>. att. IKP vidēja termiņa prognozes un faktiskā izpilde, salīdzināmās cenās, 2007=100</w:t>
      </w:r>
    </w:p>
    <w:p w14:paraId="3FBDB0C0" w14:textId="09A17837" w:rsidR="00C6033D" w:rsidRDefault="00C74C27" w:rsidP="00915CB6">
      <w:pPr>
        <w:spacing w:before="120"/>
        <w:rPr>
          <w:rFonts w:eastAsia="Calibri" w:cs="Arial"/>
          <w:szCs w:val="24"/>
          <w:lang w:eastAsia="en-US"/>
        </w:rPr>
      </w:pPr>
      <w:r w:rsidRPr="00C74C27">
        <w:rPr>
          <w:rFonts w:eastAsia="Calibri" w:cs="Arial"/>
          <w:szCs w:val="24"/>
          <w:lang w:eastAsia="en-US"/>
        </w:rPr>
        <w:t>IKP pieauguma prognožu kļūda piecos pēdējos gados bija gan pozitīvā, gan negatīvā virzienā vidēji 1 procentpunkta amplitūdā, neiekļaujot 2020. gadu, kad kļūda negatīvā virzienā bija lielāka, kas bija saistīts ar ļoti piesardzīgiem pieņēmumiem par Covid</w:t>
      </w:r>
      <w:r w:rsidRPr="00C74C27">
        <w:rPr>
          <w:rFonts w:eastAsia="Calibri" w:cs="Arial"/>
          <w:szCs w:val="24"/>
          <w:lang w:eastAsia="en-US"/>
        </w:rPr>
        <w:noBreakHyphen/>
        <w:t>19 ietekmes apmēriem uz ekonomiku. Savukārt kļūda pozitīvā virzienā pārsvarā ir saistīta ar netipisku ekonomikas sabremzēšanos, piemēram, kā tas notika 2019. gadā. Tāpat arī starptautisko institūciju prognožu kļūdas pēdējos piecos gados bija tajā pašā virzienā un kopumā bija lielākas (skat. 1.9. tabulu). Jāatzīmē, ka minētās novirzes ir pirms CSP publicētām revīzijām, kas tiek publicētas ar divu gadu novēlošanos, saņemot pilno nacionālo kontu datus, un CSP revīziju apmērs ir bijis vidēji 1,6 procentpunkti.</w:t>
      </w:r>
    </w:p>
    <w:p w14:paraId="5C0CF198" w14:textId="77777777" w:rsidR="00915CB6" w:rsidRPr="00C74C27" w:rsidRDefault="00915CB6" w:rsidP="00915CB6">
      <w:pPr>
        <w:spacing w:before="120"/>
        <w:rPr>
          <w:rFonts w:eastAsia="Calibri" w:cs="Arial"/>
          <w:szCs w:val="24"/>
          <w:lang w:eastAsia="en-US"/>
        </w:rPr>
      </w:pPr>
    </w:p>
    <w:p w14:paraId="01C1A9ED" w14:textId="54DC9C3F" w:rsidR="00C74C27" w:rsidRPr="00C74C27" w:rsidRDefault="00C74C27" w:rsidP="00C74C27">
      <w:pPr>
        <w:spacing w:before="120"/>
        <w:ind w:firstLine="0"/>
        <w:jc w:val="right"/>
        <w:rPr>
          <w:rFonts w:eastAsia="Calibri" w:cs="Arial"/>
          <w:b/>
          <w:i/>
          <w:szCs w:val="24"/>
          <w:lang w:eastAsia="en-US"/>
        </w:rPr>
      </w:pPr>
      <w:r w:rsidRPr="00C74C27">
        <w:rPr>
          <w:rFonts w:eastAsia="Calibri" w:cs="Arial"/>
          <w:b/>
          <w:i/>
          <w:szCs w:val="24"/>
          <w:lang w:eastAsia="en-US"/>
        </w:rPr>
        <w:t>1.</w:t>
      </w:r>
      <w:r w:rsidR="00C6033D">
        <w:rPr>
          <w:rFonts w:eastAsia="Calibri" w:cs="Arial"/>
          <w:b/>
          <w:i/>
          <w:szCs w:val="24"/>
          <w:lang w:eastAsia="en-US"/>
        </w:rPr>
        <w:t>1</w:t>
      </w:r>
      <w:r w:rsidR="00280666">
        <w:rPr>
          <w:rFonts w:eastAsia="Calibri" w:cs="Arial"/>
          <w:b/>
          <w:i/>
          <w:szCs w:val="24"/>
          <w:lang w:eastAsia="en-US"/>
        </w:rPr>
        <w:t>0</w:t>
      </w:r>
      <w:r w:rsidRPr="00C74C27">
        <w:rPr>
          <w:rFonts w:eastAsia="Calibri" w:cs="Arial"/>
          <w:b/>
          <w:i/>
          <w:szCs w:val="24"/>
          <w:lang w:eastAsia="en-US"/>
        </w:rPr>
        <w:t>. tabula. FM un starptautisko finanšu institūciju IKP pieauguma salīdzināmajās cenās (%) prognožu salīdzinājums</w:t>
      </w:r>
      <w:r w:rsidRPr="00C74C27">
        <w:rPr>
          <w:rFonts w:eastAsia="Calibri" w:cs="Arial"/>
          <w:b/>
          <w:i/>
          <w:szCs w:val="24"/>
          <w:vertAlign w:val="superscript"/>
          <w:lang w:eastAsia="en-US"/>
        </w:rPr>
        <w:footnoteReference w:id="5"/>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772"/>
        <w:gridCol w:w="663"/>
        <w:gridCol w:w="662"/>
        <w:gridCol w:w="664"/>
        <w:gridCol w:w="663"/>
        <w:gridCol w:w="664"/>
        <w:gridCol w:w="663"/>
        <w:gridCol w:w="664"/>
        <w:gridCol w:w="663"/>
        <w:gridCol w:w="664"/>
        <w:gridCol w:w="664"/>
        <w:gridCol w:w="657"/>
      </w:tblGrid>
      <w:tr w:rsidR="00C74C27" w:rsidRPr="00C74C27" w14:paraId="1CB72A4C" w14:textId="77777777" w:rsidTr="00915CB6">
        <w:trPr>
          <w:trHeight w:val="300"/>
          <w:tblHeader/>
          <w:jc w:val="center"/>
        </w:trPr>
        <w:tc>
          <w:tcPr>
            <w:tcW w:w="1622" w:type="dxa"/>
            <w:shd w:val="clear" w:color="auto" w:fill="auto"/>
            <w:noWrap/>
            <w:hideMark/>
          </w:tcPr>
          <w:p w14:paraId="7DA09288" w14:textId="77777777" w:rsidR="00C74C27" w:rsidRPr="00C74C27" w:rsidRDefault="00C74C27" w:rsidP="00C74C27">
            <w:pPr>
              <w:spacing w:before="120" w:after="0"/>
              <w:ind w:firstLine="0"/>
              <w:rPr>
                <w:rFonts w:eastAsia="Calibri" w:cs="Times New Roman"/>
                <w:b/>
                <w:sz w:val="20"/>
                <w:szCs w:val="20"/>
              </w:rPr>
            </w:pPr>
            <w:r w:rsidRPr="00C74C27">
              <w:rPr>
                <w:rFonts w:eastAsia="Calibri" w:cs="Times New Roman"/>
                <w:b/>
                <w:sz w:val="20"/>
                <w:szCs w:val="20"/>
              </w:rPr>
              <w:t> </w:t>
            </w:r>
          </w:p>
        </w:tc>
        <w:tc>
          <w:tcPr>
            <w:tcW w:w="607" w:type="dxa"/>
            <w:shd w:val="clear" w:color="auto" w:fill="auto"/>
            <w:noWrap/>
            <w:tcMar>
              <w:right w:w="113" w:type="dxa"/>
            </w:tcMar>
            <w:vAlign w:val="center"/>
            <w:hideMark/>
          </w:tcPr>
          <w:p w14:paraId="14225669"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2013</w:t>
            </w:r>
          </w:p>
        </w:tc>
        <w:tc>
          <w:tcPr>
            <w:tcW w:w="606" w:type="dxa"/>
            <w:shd w:val="clear" w:color="auto" w:fill="auto"/>
            <w:noWrap/>
            <w:tcMar>
              <w:right w:w="113" w:type="dxa"/>
            </w:tcMar>
            <w:vAlign w:val="center"/>
            <w:hideMark/>
          </w:tcPr>
          <w:p w14:paraId="0459AD06"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2014</w:t>
            </w:r>
          </w:p>
        </w:tc>
        <w:tc>
          <w:tcPr>
            <w:tcW w:w="608" w:type="dxa"/>
            <w:shd w:val="clear" w:color="auto" w:fill="auto"/>
            <w:noWrap/>
            <w:tcMar>
              <w:right w:w="113" w:type="dxa"/>
            </w:tcMar>
            <w:vAlign w:val="center"/>
            <w:hideMark/>
          </w:tcPr>
          <w:p w14:paraId="7F4F7F77"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2015</w:t>
            </w:r>
          </w:p>
        </w:tc>
        <w:tc>
          <w:tcPr>
            <w:tcW w:w="607" w:type="dxa"/>
            <w:shd w:val="clear" w:color="auto" w:fill="auto"/>
            <w:tcMar>
              <w:right w:w="113" w:type="dxa"/>
            </w:tcMar>
            <w:vAlign w:val="center"/>
            <w:hideMark/>
          </w:tcPr>
          <w:p w14:paraId="27D9F297"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2016</w:t>
            </w:r>
          </w:p>
        </w:tc>
        <w:tc>
          <w:tcPr>
            <w:tcW w:w="608" w:type="dxa"/>
            <w:shd w:val="clear" w:color="auto" w:fill="auto"/>
            <w:tcMar>
              <w:right w:w="113" w:type="dxa"/>
            </w:tcMar>
            <w:vAlign w:val="center"/>
            <w:hideMark/>
          </w:tcPr>
          <w:p w14:paraId="6F3C5628"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2017</w:t>
            </w:r>
          </w:p>
        </w:tc>
        <w:tc>
          <w:tcPr>
            <w:tcW w:w="607" w:type="dxa"/>
            <w:shd w:val="clear" w:color="auto" w:fill="auto"/>
            <w:noWrap/>
            <w:tcMar>
              <w:right w:w="113" w:type="dxa"/>
            </w:tcMar>
            <w:vAlign w:val="center"/>
            <w:hideMark/>
          </w:tcPr>
          <w:p w14:paraId="78C22B6C"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2018</w:t>
            </w:r>
          </w:p>
        </w:tc>
        <w:tc>
          <w:tcPr>
            <w:tcW w:w="608" w:type="dxa"/>
            <w:shd w:val="clear" w:color="auto" w:fill="auto"/>
            <w:tcMar>
              <w:right w:w="113" w:type="dxa"/>
            </w:tcMar>
            <w:vAlign w:val="center"/>
            <w:hideMark/>
          </w:tcPr>
          <w:p w14:paraId="4C08C7D8"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2019</w:t>
            </w:r>
          </w:p>
        </w:tc>
        <w:tc>
          <w:tcPr>
            <w:tcW w:w="607" w:type="dxa"/>
            <w:shd w:val="clear" w:color="auto" w:fill="auto"/>
            <w:noWrap/>
            <w:tcMar>
              <w:right w:w="113" w:type="dxa"/>
            </w:tcMar>
            <w:vAlign w:val="center"/>
            <w:hideMark/>
          </w:tcPr>
          <w:p w14:paraId="07E77BD2"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2020</w:t>
            </w:r>
          </w:p>
        </w:tc>
        <w:tc>
          <w:tcPr>
            <w:tcW w:w="608" w:type="dxa"/>
            <w:shd w:val="clear" w:color="auto" w:fill="auto"/>
            <w:tcMar>
              <w:right w:w="113" w:type="dxa"/>
            </w:tcMar>
            <w:vAlign w:val="center"/>
            <w:hideMark/>
          </w:tcPr>
          <w:p w14:paraId="5685CC4D"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2021</w:t>
            </w:r>
          </w:p>
        </w:tc>
        <w:tc>
          <w:tcPr>
            <w:tcW w:w="608" w:type="dxa"/>
            <w:shd w:val="clear" w:color="auto" w:fill="auto"/>
            <w:noWrap/>
            <w:tcMar>
              <w:right w:w="113" w:type="dxa"/>
            </w:tcMar>
            <w:vAlign w:val="center"/>
            <w:hideMark/>
          </w:tcPr>
          <w:p w14:paraId="65FB9BD5"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2022</w:t>
            </w:r>
          </w:p>
        </w:tc>
        <w:tc>
          <w:tcPr>
            <w:tcW w:w="602" w:type="dxa"/>
            <w:vAlign w:val="center"/>
          </w:tcPr>
          <w:p w14:paraId="00962FDF" w14:textId="77777777" w:rsidR="00C74C27" w:rsidRPr="00C74C27" w:rsidRDefault="00C74C27" w:rsidP="00C74C27">
            <w:pPr>
              <w:spacing w:after="0"/>
              <w:ind w:firstLine="0"/>
              <w:jc w:val="center"/>
              <w:rPr>
                <w:rFonts w:eastAsia="Calibri" w:cs="Times New Roman"/>
                <w:b/>
                <w:bCs/>
                <w:sz w:val="20"/>
                <w:szCs w:val="20"/>
              </w:rPr>
            </w:pPr>
            <w:r w:rsidRPr="00C74C27">
              <w:rPr>
                <w:rFonts w:eastAsia="Calibri" w:cs="Times New Roman"/>
                <w:b/>
                <w:bCs/>
                <w:sz w:val="20"/>
                <w:szCs w:val="20"/>
                <w:lang w:eastAsia="en-US"/>
              </w:rPr>
              <w:t>2023</w:t>
            </w:r>
          </w:p>
        </w:tc>
      </w:tr>
      <w:tr w:rsidR="00C74C27" w:rsidRPr="00C74C27" w14:paraId="52620FD8" w14:textId="77777777" w:rsidTr="0049639B">
        <w:trPr>
          <w:trHeight w:val="300"/>
          <w:jc w:val="center"/>
        </w:trPr>
        <w:tc>
          <w:tcPr>
            <w:tcW w:w="1622" w:type="dxa"/>
            <w:shd w:val="clear" w:color="auto" w:fill="auto"/>
            <w:noWrap/>
            <w:vAlign w:val="center"/>
            <w:hideMark/>
          </w:tcPr>
          <w:p w14:paraId="39DE6680"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FM</w:t>
            </w:r>
          </w:p>
        </w:tc>
        <w:tc>
          <w:tcPr>
            <w:tcW w:w="607" w:type="dxa"/>
            <w:shd w:val="clear" w:color="auto" w:fill="auto"/>
            <w:noWrap/>
            <w:tcMar>
              <w:right w:w="113" w:type="dxa"/>
            </w:tcMar>
            <w:vAlign w:val="center"/>
            <w:hideMark/>
          </w:tcPr>
          <w:p w14:paraId="240F0705"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3,7</w:t>
            </w:r>
          </w:p>
        </w:tc>
        <w:tc>
          <w:tcPr>
            <w:tcW w:w="606" w:type="dxa"/>
            <w:shd w:val="clear" w:color="auto" w:fill="auto"/>
            <w:noWrap/>
            <w:tcMar>
              <w:right w:w="113" w:type="dxa"/>
            </w:tcMar>
            <w:vAlign w:val="center"/>
            <w:hideMark/>
          </w:tcPr>
          <w:p w14:paraId="6F8D03C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4,2</w:t>
            </w:r>
          </w:p>
        </w:tc>
        <w:tc>
          <w:tcPr>
            <w:tcW w:w="608" w:type="dxa"/>
            <w:shd w:val="clear" w:color="auto" w:fill="auto"/>
            <w:noWrap/>
            <w:tcMar>
              <w:right w:w="113" w:type="dxa"/>
            </w:tcMar>
            <w:vAlign w:val="center"/>
            <w:hideMark/>
          </w:tcPr>
          <w:p w14:paraId="0FD62B7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2,8</w:t>
            </w:r>
          </w:p>
        </w:tc>
        <w:tc>
          <w:tcPr>
            <w:tcW w:w="607" w:type="dxa"/>
            <w:shd w:val="clear" w:color="auto" w:fill="auto"/>
            <w:tcMar>
              <w:right w:w="113" w:type="dxa"/>
            </w:tcMar>
            <w:vAlign w:val="center"/>
            <w:hideMark/>
          </w:tcPr>
          <w:p w14:paraId="264EC6DB"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2,5</w:t>
            </w:r>
          </w:p>
        </w:tc>
        <w:tc>
          <w:tcPr>
            <w:tcW w:w="608" w:type="dxa"/>
            <w:shd w:val="clear" w:color="auto" w:fill="auto"/>
            <w:tcMar>
              <w:right w:w="113" w:type="dxa"/>
            </w:tcMar>
            <w:vAlign w:val="center"/>
            <w:hideMark/>
          </w:tcPr>
          <w:p w14:paraId="372F89B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3,7</w:t>
            </w:r>
          </w:p>
        </w:tc>
        <w:tc>
          <w:tcPr>
            <w:tcW w:w="607" w:type="dxa"/>
            <w:shd w:val="clear" w:color="auto" w:fill="auto"/>
            <w:noWrap/>
            <w:tcMar>
              <w:right w:w="113" w:type="dxa"/>
            </w:tcMar>
            <w:vAlign w:val="center"/>
            <w:hideMark/>
          </w:tcPr>
          <w:p w14:paraId="35C3EAC2"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3,4</w:t>
            </w:r>
          </w:p>
        </w:tc>
        <w:tc>
          <w:tcPr>
            <w:tcW w:w="608" w:type="dxa"/>
            <w:shd w:val="clear" w:color="auto" w:fill="auto"/>
            <w:noWrap/>
            <w:tcMar>
              <w:right w:w="113" w:type="dxa"/>
            </w:tcMar>
            <w:vAlign w:val="center"/>
            <w:hideMark/>
          </w:tcPr>
          <w:p w14:paraId="3811D8D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3,0</w:t>
            </w:r>
          </w:p>
        </w:tc>
        <w:tc>
          <w:tcPr>
            <w:tcW w:w="607" w:type="dxa"/>
            <w:shd w:val="clear" w:color="auto" w:fill="auto"/>
            <w:noWrap/>
            <w:tcMar>
              <w:right w:w="113" w:type="dxa"/>
            </w:tcMar>
            <w:vAlign w:val="center"/>
            <w:hideMark/>
          </w:tcPr>
          <w:p w14:paraId="1FB77037"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2,8</w:t>
            </w:r>
          </w:p>
        </w:tc>
        <w:tc>
          <w:tcPr>
            <w:tcW w:w="608" w:type="dxa"/>
            <w:shd w:val="clear" w:color="auto" w:fill="auto"/>
            <w:noWrap/>
            <w:tcMar>
              <w:right w:w="113" w:type="dxa"/>
            </w:tcMar>
            <w:vAlign w:val="center"/>
            <w:hideMark/>
          </w:tcPr>
          <w:p w14:paraId="5B58C0D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5,1</w:t>
            </w:r>
          </w:p>
        </w:tc>
        <w:tc>
          <w:tcPr>
            <w:tcW w:w="608" w:type="dxa"/>
            <w:shd w:val="clear" w:color="auto" w:fill="auto"/>
            <w:noWrap/>
            <w:tcMar>
              <w:right w:w="113" w:type="dxa"/>
            </w:tcMar>
            <w:vAlign w:val="center"/>
            <w:hideMark/>
          </w:tcPr>
          <w:p w14:paraId="76EB40F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5,0</w:t>
            </w:r>
          </w:p>
        </w:tc>
        <w:tc>
          <w:tcPr>
            <w:tcW w:w="602" w:type="dxa"/>
            <w:vAlign w:val="center"/>
          </w:tcPr>
          <w:p w14:paraId="3A2902E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1,0</w:t>
            </w:r>
          </w:p>
        </w:tc>
      </w:tr>
      <w:tr w:rsidR="00C74C27" w:rsidRPr="00C74C27" w14:paraId="518BBBC5" w14:textId="77777777" w:rsidTr="0049639B">
        <w:trPr>
          <w:trHeight w:val="300"/>
          <w:jc w:val="center"/>
        </w:trPr>
        <w:tc>
          <w:tcPr>
            <w:tcW w:w="1622" w:type="dxa"/>
            <w:shd w:val="clear" w:color="auto" w:fill="auto"/>
            <w:noWrap/>
            <w:vAlign w:val="center"/>
            <w:hideMark/>
          </w:tcPr>
          <w:p w14:paraId="1706B1D4"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EK</w:t>
            </w:r>
          </w:p>
        </w:tc>
        <w:tc>
          <w:tcPr>
            <w:tcW w:w="607" w:type="dxa"/>
            <w:shd w:val="clear" w:color="auto" w:fill="auto"/>
            <w:noWrap/>
            <w:tcMar>
              <w:right w:w="113" w:type="dxa"/>
            </w:tcMar>
            <w:vAlign w:val="center"/>
            <w:hideMark/>
          </w:tcPr>
          <w:p w14:paraId="76E0DC1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3,6</w:t>
            </w:r>
          </w:p>
        </w:tc>
        <w:tc>
          <w:tcPr>
            <w:tcW w:w="606" w:type="dxa"/>
            <w:shd w:val="clear" w:color="auto" w:fill="auto"/>
            <w:noWrap/>
            <w:tcMar>
              <w:right w:w="113" w:type="dxa"/>
            </w:tcMar>
            <w:vAlign w:val="center"/>
            <w:hideMark/>
          </w:tcPr>
          <w:p w14:paraId="2B695D64"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4,0</w:t>
            </w:r>
          </w:p>
        </w:tc>
        <w:tc>
          <w:tcPr>
            <w:tcW w:w="608" w:type="dxa"/>
            <w:shd w:val="clear" w:color="auto" w:fill="auto"/>
            <w:noWrap/>
            <w:tcMar>
              <w:right w:w="113" w:type="dxa"/>
            </w:tcMar>
            <w:vAlign w:val="center"/>
            <w:hideMark/>
          </w:tcPr>
          <w:p w14:paraId="04308DC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2,9</w:t>
            </w:r>
          </w:p>
        </w:tc>
        <w:tc>
          <w:tcPr>
            <w:tcW w:w="607" w:type="dxa"/>
            <w:shd w:val="clear" w:color="auto" w:fill="auto"/>
            <w:tcMar>
              <w:right w:w="113" w:type="dxa"/>
            </w:tcMar>
            <w:vAlign w:val="center"/>
            <w:hideMark/>
          </w:tcPr>
          <w:p w14:paraId="55BC244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2,8</w:t>
            </w:r>
          </w:p>
        </w:tc>
        <w:tc>
          <w:tcPr>
            <w:tcW w:w="608" w:type="dxa"/>
            <w:shd w:val="clear" w:color="auto" w:fill="auto"/>
            <w:tcMar>
              <w:right w:w="113" w:type="dxa"/>
            </w:tcMar>
            <w:vAlign w:val="center"/>
            <w:hideMark/>
          </w:tcPr>
          <w:p w14:paraId="2DC94E0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3,2</w:t>
            </w:r>
          </w:p>
        </w:tc>
        <w:tc>
          <w:tcPr>
            <w:tcW w:w="607" w:type="dxa"/>
            <w:shd w:val="clear" w:color="auto" w:fill="auto"/>
            <w:tcMar>
              <w:right w:w="113" w:type="dxa"/>
            </w:tcMar>
            <w:vAlign w:val="center"/>
            <w:hideMark/>
          </w:tcPr>
          <w:p w14:paraId="1EC24067"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3,5</w:t>
            </w:r>
          </w:p>
        </w:tc>
        <w:tc>
          <w:tcPr>
            <w:tcW w:w="608" w:type="dxa"/>
            <w:shd w:val="clear" w:color="auto" w:fill="auto"/>
            <w:tcMar>
              <w:right w:w="113" w:type="dxa"/>
            </w:tcMar>
            <w:vAlign w:val="center"/>
            <w:hideMark/>
          </w:tcPr>
          <w:p w14:paraId="1D2D603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3,2</w:t>
            </w:r>
          </w:p>
        </w:tc>
        <w:tc>
          <w:tcPr>
            <w:tcW w:w="607" w:type="dxa"/>
            <w:shd w:val="clear" w:color="auto" w:fill="auto"/>
            <w:tcMar>
              <w:right w:w="113" w:type="dxa"/>
            </w:tcMar>
            <w:vAlign w:val="center"/>
            <w:hideMark/>
          </w:tcPr>
          <w:p w14:paraId="70D04184"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2,8</w:t>
            </w:r>
          </w:p>
        </w:tc>
        <w:tc>
          <w:tcPr>
            <w:tcW w:w="608" w:type="dxa"/>
            <w:shd w:val="clear" w:color="auto" w:fill="auto"/>
            <w:tcMar>
              <w:right w:w="113" w:type="dxa"/>
            </w:tcMar>
            <w:vAlign w:val="center"/>
            <w:hideMark/>
          </w:tcPr>
          <w:p w14:paraId="006E5F9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6,4</w:t>
            </w:r>
          </w:p>
        </w:tc>
        <w:tc>
          <w:tcPr>
            <w:tcW w:w="608" w:type="dxa"/>
            <w:shd w:val="clear" w:color="auto" w:fill="auto"/>
            <w:tcMar>
              <w:right w:w="113" w:type="dxa"/>
            </w:tcMar>
            <w:vAlign w:val="center"/>
            <w:hideMark/>
          </w:tcPr>
          <w:p w14:paraId="2556CAD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6,0</w:t>
            </w:r>
          </w:p>
        </w:tc>
        <w:tc>
          <w:tcPr>
            <w:tcW w:w="602" w:type="dxa"/>
            <w:vAlign w:val="center"/>
          </w:tcPr>
          <w:p w14:paraId="0DB0C53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-0,3</w:t>
            </w:r>
          </w:p>
        </w:tc>
      </w:tr>
      <w:tr w:rsidR="00C74C27" w:rsidRPr="00C74C27" w14:paraId="27A49055" w14:textId="77777777" w:rsidTr="0049639B">
        <w:trPr>
          <w:trHeight w:val="300"/>
          <w:jc w:val="center"/>
        </w:trPr>
        <w:tc>
          <w:tcPr>
            <w:tcW w:w="1622" w:type="dxa"/>
            <w:shd w:val="clear" w:color="auto" w:fill="auto"/>
            <w:noWrap/>
            <w:vAlign w:val="center"/>
            <w:hideMark/>
          </w:tcPr>
          <w:p w14:paraId="78AF4766"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SVF</w:t>
            </w:r>
          </w:p>
        </w:tc>
        <w:tc>
          <w:tcPr>
            <w:tcW w:w="607" w:type="dxa"/>
            <w:shd w:val="clear" w:color="auto" w:fill="auto"/>
            <w:noWrap/>
            <w:tcMar>
              <w:right w:w="113" w:type="dxa"/>
            </w:tcMar>
            <w:vAlign w:val="center"/>
            <w:hideMark/>
          </w:tcPr>
          <w:p w14:paraId="7752F981"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3,5</w:t>
            </w:r>
          </w:p>
        </w:tc>
        <w:tc>
          <w:tcPr>
            <w:tcW w:w="606" w:type="dxa"/>
            <w:shd w:val="clear" w:color="auto" w:fill="auto"/>
            <w:noWrap/>
            <w:tcMar>
              <w:right w:w="113" w:type="dxa"/>
            </w:tcMar>
            <w:vAlign w:val="center"/>
            <w:hideMark/>
          </w:tcPr>
          <w:p w14:paraId="453AC7F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4,2</w:t>
            </w:r>
          </w:p>
        </w:tc>
        <w:tc>
          <w:tcPr>
            <w:tcW w:w="608" w:type="dxa"/>
            <w:shd w:val="clear" w:color="auto" w:fill="auto"/>
            <w:noWrap/>
            <w:tcMar>
              <w:right w:w="113" w:type="dxa"/>
            </w:tcMar>
            <w:vAlign w:val="center"/>
            <w:hideMark/>
          </w:tcPr>
          <w:p w14:paraId="7B16438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3,2</w:t>
            </w:r>
          </w:p>
        </w:tc>
        <w:tc>
          <w:tcPr>
            <w:tcW w:w="607" w:type="dxa"/>
            <w:shd w:val="clear" w:color="auto" w:fill="auto"/>
            <w:tcMar>
              <w:right w:w="113" w:type="dxa"/>
            </w:tcMar>
            <w:vAlign w:val="center"/>
            <w:hideMark/>
          </w:tcPr>
          <w:p w14:paraId="202A0C2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3,2</w:t>
            </w:r>
          </w:p>
        </w:tc>
        <w:tc>
          <w:tcPr>
            <w:tcW w:w="608" w:type="dxa"/>
            <w:shd w:val="clear" w:color="auto" w:fill="auto"/>
            <w:tcMar>
              <w:right w:w="113" w:type="dxa"/>
            </w:tcMar>
            <w:vAlign w:val="center"/>
            <w:hideMark/>
          </w:tcPr>
          <w:p w14:paraId="08211A4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3,0</w:t>
            </w:r>
          </w:p>
        </w:tc>
        <w:tc>
          <w:tcPr>
            <w:tcW w:w="607" w:type="dxa"/>
            <w:shd w:val="clear" w:color="auto" w:fill="auto"/>
            <w:tcMar>
              <w:right w:w="113" w:type="dxa"/>
            </w:tcMar>
            <w:vAlign w:val="center"/>
            <w:hideMark/>
          </w:tcPr>
          <w:p w14:paraId="78FA9F30"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3,3</w:t>
            </w:r>
          </w:p>
        </w:tc>
        <w:tc>
          <w:tcPr>
            <w:tcW w:w="608" w:type="dxa"/>
            <w:shd w:val="clear" w:color="auto" w:fill="auto"/>
            <w:tcMar>
              <w:right w:w="113" w:type="dxa"/>
            </w:tcMar>
            <w:vAlign w:val="center"/>
            <w:hideMark/>
          </w:tcPr>
          <w:p w14:paraId="41B9DC83"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3,3</w:t>
            </w:r>
          </w:p>
        </w:tc>
        <w:tc>
          <w:tcPr>
            <w:tcW w:w="607" w:type="dxa"/>
            <w:shd w:val="clear" w:color="auto" w:fill="auto"/>
            <w:tcMar>
              <w:right w:w="113" w:type="dxa"/>
            </w:tcMar>
            <w:vAlign w:val="center"/>
            <w:hideMark/>
          </w:tcPr>
          <w:p w14:paraId="124D72F9"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3,1</w:t>
            </w:r>
          </w:p>
        </w:tc>
        <w:tc>
          <w:tcPr>
            <w:tcW w:w="608" w:type="dxa"/>
            <w:shd w:val="clear" w:color="auto" w:fill="auto"/>
            <w:tcMar>
              <w:right w:w="113" w:type="dxa"/>
            </w:tcMar>
            <w:vAlign w:val="center"/>
            <w:hideMark/>
          </w:tcPr>
          <w:p w14:paraId="404064B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8,3</w:t>
            </w:r>
          </w:p>
        </w:tc>
        <w:tc>
          <w:tcPr>
            <w:tcW w:w="608" w:type="dxa"/>
            <w:shd w:val="clear" w:color="auto" w:fill="auto"/>
            <w:tcMar>
              <w:right w:w="113" w:type="dxa"/>
            </w:tcMar>
            <w:vAlign w:val="center"/>
            <w:hideMark/>
          </w:tcPr>
          <w:p w14:paraId="0164AB6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5,2</w:t>
            </w:r>
          </w:p>
        </w:tc>
        <w:tc>
          <w:tcPr>
            <w:tcW w:w="602" w:type="dxa"/>
            <w:vAlign w:val="center"/>
          </w:tcPr>
          <w:p w14:paraId="0E106FFA"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1,6</w:t>
            </w:r>
          </w:p>
        </w:tc>
      </w:tr>
      <w:tr w:rsidR="00C74C27" w:rsidRPr="00C74C27" w14:paraId="74C3FABA" w14:textId="77777777" w:rsidTr="0049639B">
        <w:trPr>
          <w:trHeight w:val="300"/>
          <w:jc w:val="center"/>
        </w:trPr>
        <w:tc>
          <w:tcPr>
            <w:tcW w:w="1622" w:type="dxa"/>
            <w:shd w:val="clear" w:color="auto" w:fill="auto"/>
            <w:noWrap/>
            <w:vAlign w:val="center"/>
            <w:hideMark/>
          </w:tcPr>
          <w:p w14:paraId="6F41C8EE"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OECD</w:t>
            </w:r>
          </w:p>
        </w:tc>
        <w:tc>
          <w:tcPr>
            <w:tcW w:w="607" w:type="dxa"/>
            <w:shd w:val="clear" w:color="auto" w:fill="auto"/>
            <w:noWrap/>
            <w:tcMar>
              <w:right w:w="113" w:type="dxa"/>
            </w:tcMar>
            <w:vAlign w:val="center"/>
            <w:hideMark/>
          </w:tcPr>
          <w:p w14:paraId="49C655EC" w14:textId="77777777" w:rsidR="00C74C27" w:rsidRPr="00C74C27" w:rsidRDefault="00C74C27" w:rsidP="00C74C27">
            <w:pPr>
              <w:spacing w:after="0"/>
              <w:ind w:firstLine="0"/>
              <w:jc w:val="center"/>
              <w:rPr>
                <w:rFonts w:eastAsia="Calibri" w:cs="Times New Roman"/>
                <w:sz w:val="20"/>
                <w:szCs w:val="20"/>
              </w:rPr>
            </w:pPr>
          </w:p>
        </w:tc>
        <w:tc>
          <w:tcPr>
            <w:tcW w:w="606" w:type="dxa"/>
            <w:shd w:val="clear" w:color="auto" w:fill="auto"/>
            <w:noWrap/>
            <w:tcMar>
              <w:right w:w="113" w:type="dxa"/>
            </w:tcMar>
            <w:vAlign w:val="center"/>
            <w:hideMark/>
          </w:tcPr>
          <w:p w14:paraId="58DB1FEA" w14:textId="77777777" w:rsidR="00C74C27" w:rsidRPr="00C74C27" w:rsidRDefault="00C74C27" w:rsidP="00C74C27">
            <w:pPr>
              <w:spacing w:after="0"/>
              <w:ind w:firstLine="0"/>
              <w:jc w:val="center"/>
              <w:rPr>
                <w:rFonts w:eastAsia="Calibri" w:cs="Times New Roman"/>
                <w:sz w:val="20"/>
                <w:szCs w:val="20"/>
              </w:rPr>
            </w:pPr>
          </w:p>
        </w:tc>
        <w:tc>
          <w:tcPr>
            <w:tcW w:w="608" w:type="dxa"/>
            <w:shd w:val="clear" w:color="auto" w:fill="auto"/>
            <w:noWrap/>
            <w:tcMar>
              <w:right w:w="113" w:type="dxa"/>
            </w:tcMar>
            <w:vAlign w:val="center"/>
            <w:hideMark/>
          </w:tcPr>
          <w:p w14:paraId="69644466"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3,2</w:t>
            </w:r>
          </w:p>
        </w:tc>
        <w:tc>
          <w:tcPr>
            <w:tcW w:w="607" w:type="dxa"/>
            <w:shd w:val="clear" w:color="auto" w:fill="auto"/>
            <w:tcMar>
              <w:right w:w="113" w:type="dxa"/>
            </w:tcMar>
            <w:vAlign w:val="center"/>
            <w:hideMark/>
          </w:tcPr>
          <w:p w14:paraId="46A0E894"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3,6</w:t>
            </w:r>
          </w:p>
        </w:tc>
        <w:tc>
          <w:tcPr>
            <w:tcW w:w="608" w:type="dxa"/>
            <w:shd w:val="clear" w:color="auto" w:fill="auto"/>
            <w:tcMar>
              <w:right w:w="113" w:type="dxa"/>
            </w:tcMar>
            <w:vAlign w:val="center"/>
            <w:hideMark/>
          </w:tcPr>
          <w:p w14:paraId="26074258"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3,5</w:t>
            </w:r>
          </w:p>
        </w:tc>
        <w:tc>
          <w:tcPr>
            <w:tcW w:w="607" w:type="dxa"/>
            <w:shd w:val="clear" w:color="auto" w:fill="auto"/>
            <w:tcMar>
              <w:right w:w="113" w:type="dxa"/>
            </w:tcMar>
            <w:vAlign w:val="center"/>
            <w:hideMark/>
          </w:tcPr>
          <w:p w14:paraId="7F88F5D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3,5</w:t>
            </w:r>
          </w:p>
        </w:tc>
        <w:tc>
          <w:tcPr>
            <w:tcW w:w="608" w:type="dxa"/>
            <w:shd w:val="clear" w:color="auto" w:fill="auto"/>
            <w:tcMar>
              <w:right w:w="113" w:type="dxa"/>
            </w:tcMar>
            <w:vAlign w:val="center"/>
            <w:hideMark/>
          </w:tcPr>
          <w:p w14:paraId="444D45ED"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3,6</w:t>
            </w:r>
          </w:p>
        </w:tc>
        <w:tc>
          <w:tcPr>
            <w:tcW w:w="607" w:type="dxa"/>
            <w:shd w:val="clear" w:color="auto" w:fill="auto"/>
            <w:tcMar>
              <w:right w:w="113" w:type="dxa"/>
            </w:tcMar>
            <w:vAlign w:val="center"/>
            <w:hideMark/>
          </w:tcPr>
          <w:p w14:paraId="63806DB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2,7</w:t>
            </w:r>
          </w:p>
        </w:tc>
        <w:tc>
          <w:tcPr>
            <w:tcW w:w="608" w:type="dxa"/>
            <w:shd w:val="clear" w:color="auto" w:fill="auto"/>
            <w:tcMar>
              <w:right w:w="113" w:type="dxa"/>
            </w:tcMar>
            <w:vAlign w:val="center"/>
            <w:hideMark/>
          </w:tcPr>
          <w:p w14:paraId="50FEC0EE"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6,4</w:t>
            </w:r>
          </w:p>
        </w:tc>
        <w:tc>
          <w:tcPr>
            <w:tcW w:w="608" w:type="dxa"/>
            <w:shd w:val="clear" w:color="auto" w:fill="auto"/>
            <w:tcMar>
              <w:right w:w="113" w:type="dxa"/>
            </w:tcMar>
            <w:vAlign w:val="center"/>
            <w:hideMark/>
          </w:tcPr>
          <w:p w14:paraId="583C390F"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5,6</w:t>
            </w:r>
          </w:p>
        </w:tc>
        <w:tc>
          <w:tcPr>
            <w:tcW w:w="602" w:type="dxa"/>
            <w:vAlign w:val="center"/>
          </w:tcPr>
          <w:p w14:paraId="1965E30C" w14:textId="77777777" w:rsidR="00C74C27" w:rsidRPr="00C74C27" w:rsidRDefault="00C74C27" w:rsidP="00C74C27">
            <w:pPr>
              <w:spacing w:after="0"/>
              <w:ind w:firstLine="0"/>
              <w:jc w:val="center"/>
              <w:rPr>
                <w:rFonts w:eastAsia="Calibri" w:cs="Times New Roman"/>
                <w:sz w:val="20"/>
                <w:szCs w:val="20"/>
              </w:rPr>
            </w:pPr>
            <w:r w:rsidRPr="00C74C27">
              <w:rPr>
                <w:rFonts w:eastAsia="Calibri" w:cs="Times New Roman"/>
                <w:sz w:val="20"/>
                <w:szCs w:val="20"/>
                <w:lang w:eastAsia="en-US"/>
              </w:rPr>
              <w:t>-0,2</w:t>
            </w:r>
          </w:p>
        </w:tc>
      </w:tr>
      <w:tr w:rsidR="00C74C27" w:rsidRPr="00C74C27" w14:paraId="71AC1E6C" w14:textId="77777777" w:rsidTr="0049639B">
        <w:trPr>
          <w:trHeight w:val="300"/>
          <w:jc w:val="center"/>
        </w:trPr>
        <w:tc>
          <w:tcPr>
            <w:tcW w:w="1622" w:type="dxa"/>
            <w:shd w:val="clear" w:color="auto" w:fill="auto"/>
            <w:noWrap/>
            <w:vAlign w:val="center"/>
          </w:tcPr>
          <w:p w14:paraId="1D76BAB1" w14:textId="77777777" w:rsidR="00C74C27" w:rsidRPr="00C74C27" w:rsidRDefault="00C74C27" w:rsidP="00C74C27">
            <w:pPr>
              <w:spacing w:after="0"/>
              <w:ind w:firstLine="0"/>
              <w:jc w:val="left"/>
              <w:rPr>
                <w:rFonts w:eastAsia="Calibri" w:cs="Times New Roman"/>
                <w:sz w:val="20"/>
                <w:szCs w:val="20"/>
              </w:rPr>
            </w:pPr>
            <w:r w:rsidRPr="00C74C27">
              <w:rPr>
                <w:rFonts w:eastAsia="Calibri" w:cs="Times New Roman"/>
                <w:sz w:val="20"/>
                <w:szCs w:val="20"/>
              </w:rPr>
              <w:t xml:space="preserve">IKP fakts pēc </w:t>
            </w:r>
            <w:r w:rsidRPr="00C74C27">
              <w:rPr>
                <w:rFonts w:eastAsia="Calibri" w:cs="Times New Roman"/>
                <w:sz w:val="20"/>
                <w:szCs w:val="20"/>
              </w:rPr>
              <w:br/>
              <w:t>CSP datu revīzijas 29.09.2023</w:t>
            </w:r>
          </w:p>
        </w:tc>
        <w:tc>
          <w:tcPr>
            <w:tcW w:w="607" w:type="dxa"/>
            <w:shd w:val="clear" w:color="auto" w:fill="auto"/>
            <w:noWrap/>
            <w:tcMar>
              <w:right w:w="113" w:type="dxa"/>
            </w:tcMar>
            <w:vAlign w:val="center"/>
          </w:tcPr>
          <w:p w14:paraId="6EE4DB5C"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2,0</w:t>
            </w:r>
          </w:p>
        </w:tc>
        <w:tc>
          <w:tcPr>
            <w:tcW w:w="606" w:type="dxa"/>
            <w:shd w:val="clear" w:color="auto" w:fill="auto"/>
            <w:noWrap/>
            <w:tcMar>
              <w:right w:w="113" w:type="dxa"/>
            </w:tcMar>
            <w:vAlign w:val="center"/>
          </w:tcPr>
          <w:p w14:paraId="5CC04810"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1,9</w:t>
            </w:r>
          </w:p>
        </w:tc>
        <w:tc>
          <w:tcPr>
            <w:tcW w:w="608" w:type="dxa"/>
            <w:shd w:val="clear" w:color="auto" w:fill="auto"/>
            <w:noWrap/>
            <w:tcMar>
              <w:right w:w="113" w:type="dxa"/>
            </w:tcMar>
            <w:vAlign w:val="center"/>
          </w:tcPr>
          <w:p w14:paraId="57998087"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3,9</w:t>
            </w:r>
          </w:p>
        </w:tc>
        <w:tc>
          <w:tcPr>
            <w:tcW w:w="607" w:type="dxa"/>
            <w:shd w:val="clear" w:color="auto" w:fill="auto"/>
            <w:noWrap/>
            <w:tcMar>
              <w:right w:w="113" w:type="dxa"/>
            </w:tcMar>
            <w:vAlign w:val="center"/>
          </w:tcPr>
          <w:p w14:paraId="36E49868"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2,4</w:t>
            </w:r>
          </w:p>
        </w:tc>
        <w:tc>
          <w:tcPr>
            <w:tcW w:w="608" w:type="dxa"/>
            <w:shd w:val="clear" w:color="auto" w:fill="auto"/>
            <w:noWrap/>
            <w:tcMar>
              <w:right w:w="113" w:type="dxa"/>
            </w:tcMar>
            <w:vAlign w:val="center"/>
          </w:tcPr>
          <w:p w14:paraId="7AB78DB1"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3,3</w:t>
            </w:r>
          </w:p>
        </w:tc>
        <w:tc>
          <w:tcPr>
            <w:tcW w:w="607" w:type="dxa"/>
            <w:shd w:val="clear" w:color="auto" w:fill="auto"/>
            <w:noWrap/>
            <w:tcMar>
              <w:right w:w="113" w:type="dxa"/>
            </w:tcMar>
            <w:vAlign w:val="center"/>
          </w:tcPr>
          <w:p w14:paraId="6EC3BD2E"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4,0</w:t>
            </w:r>
          </w:p>
        </w:tc>
        <w:tc>
          <w:tcPr>
            <w:tcW w:w="608" w:type="dxa"/>
            <w:shd w:val="clear" w:color="auto" w:fill="auto"/>
            <w:noWrap/>
            <w:tcMar>
              <w:right w:w="113" w:type="dxa"/>
            </w:tcMar>
            <w:vAlign w:val="center"/>
          </w:tcPr>
          <w:p w14:paraId="663D6D8B"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0,6</w:t>
            </w:r>
          </w:p>
        </w:tc>
        <w:tc>
          <w:tcPr>
            <w:tcW w:w="607" w:type="dxa"/>
            <w:shd w:val="clear" w:color="auto" w:fill="auto"/>
            <w:noWrap/>
            <w:tcMar>
              <w:right w:w="113" w:type="dxa"/>
            </w:tcMar>
            <w:vAlign w:val="center"/>
          </w:tcPr>
          <w:p w14:paraId="5DA0539F"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-3,5</w:t>
            </w:r>
          </w:p>
        </w:tc>
        <w:tc>
          <w:tcPr>
            <w:tcW w:w="608" w:type="dxa"/>
            <w:shd w:val="clear" w:color="auto" w:fill="auto"/>
            <w:noWrap/>
            <w:tcMar>
              <w:right w:w="113" w:type="dxa"/>
            </w:tcMar>
            <w:vAlign w:val="center"/>
          </w:tcPr>
          <w:p w14:paraId="6AB4EAB4"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6,7</w:t>
            </w:r>
          </w:p>
        </w:tc>
        <w:tc>
          <w:tcPr>
            <w:tcW w:w="608" w:type="dxa"/>
            <w:shd w:val="clear" w:color="auto" w:fill="auto"/>
            <w:noWrap/>
            <w:tcMar>
              <w:right w:w="113" w:type="dxa"/>
            </w:tcMar>
            <w:vAlign w:val="center"/>
          </w:tcPr>
          <w:p w14:paraId="399CE377" w14:textId="77777777" w:rsidR="00C74C27" w:rsidRPr="00C74C27" w:rsidRDefault="00C74C27" w:rsidP="00C74C27">
            <w:pPr>
              <w:spacing w:after="0"/>
              <w:ind w:firstLine="0"/>
              <w:jc w:val="center"/>
              <w:rPr>
                <w:rFonts w:eastAsia="Calibri" w:cs="Times New Roman"/>
                <w:sz w:val="20"/>
                <w:szCs w:val="20"/>
                <w:lang w:eastAsia="en-US"/>
              </w:rPr>
            </w:pPr>
            <w:r w:rsidRPr="00C74C27">
              <w:rPr>
                <w:rFonts w:eastAsia="Calibri" w:cs="Times New Roman"/>
                <w:sz w:val="20"/>
                <w:szCs w:val="20"/>
                <w:lang w:eastAsia="en-US"/>
              </w:rPr>
              <w:t>3,4</w:t>
            </w:r>
          </w:p>
        </w:tc>
        <w:tc>
          <w:tcPr>
            <w:tcW w:w="602" w:type="dxa"/>
            <w:vAlign w:val="center"/>
          </w:tcPr>
          <w:p w14:paraId="52CF3188" w14:textId="77777777" w:rsidR="00C74C27" w:rsidRPr="00C74C27" w:rsidRDefault="00C74C27" w:rsidP="00C74C27">
            <w:pPr>
              <w:spacing w:after="0"/>
              <w:ind w:firstLine="0"/>
              <w:jc w:val="center"/>
              <w:rPr>
                <w:rFonts w:eastAsia="Calibri" w:cs="Times New Roman"/>
                <w:sz w:val="20"/>
                <w:szCs w:val="20"/>
              </w:rPr>
            </w:pPr>
          </w:p>
        </w:tc>
      </w:tr>
    </w:tbl>
    <w:p w14:paraId="73180446" w14:textId="77777777" w:rsidR="00C74C27" w:rsidRPr="00C74C27" w:rsidRDefault="00C74C27" w:rsidP="00C74C27">
      <w:pPr>
        <w:spacing w:after="0"/>
        <w:rPr>
          <w:rFonts w:eastAsia="Calibri" w:cs="Arial"/>
          <w:szCs w:val="24"/>
          <w:lang w:eastAsia="en-US"/>
        </w:rPr>
      </w:pPr>
    </w:p>
    <w:p w14:paraId="7B68F91F" w14:textId="77777777" w:rsidR="00C74C27" w:rsidRPr="00C74C27" w:rsidRDefault="00C74C27" w:rsidP="00C74C27">
      <w:pPr>
        <w:rPr>
          <w:rFonts w:eastAsia="Calibri" w:cs="Arial"/>
          <w:szCs w:val="24"/>
          <w:lang w:eastAsia="en-US"/>
        </w:rPr>
      </w:pPr>
      <w:r w:rsidRPr="00C74C27">
        <w:rPr>
          <w:rFonts w:eastAsia="Calibri" w:cs="Arial"/>
          <w:szCs w:val="24"/>
          <w:lang w:eastAsia="en-US"/>
        </w:rPr>
        <w:t>Sagaidāms, ka nākamie gadi varētu būt ar relatīvi lielu prognožu novirzi no faktiskajiem datiem, ņemot vērā lielo nenoteiktību, kādu rada ģeopolitiskā situācija un ar to saistītās tirdzniecības barjeras, kā arī ES ekonomikas reakciju uz ECB bāzes procentu likmes izmaiņām.</w:t>
      </w:r>
    </w:p>
    <w:p w14:paraId="052A18AB" w14:textId="77777777" w:rsidR="00C74C27" w:rsidRPr="00C74C27" w:rsidRDefault="00C74C27" w:rsidP="00C74C27">
      <w:pPr>
        <w:rPr>
          <w:rFonts w:eastAsia="Calibri" w:cs="Arial"/>
          <w:szCs w:val="24"/>
          <w:lang w:eastAsia="en-US"/>
        </w:rPr>
      </w:pPr>
      <w:r w:rsidRPr="00C74C27">
        <w:rPr>
          <w:rFonts w:eastAsia="Calibri" w:cs="Arial"/>
          <w:szCs w:val="24"/>
          <w:lang w:eastAsia="en-US"/>
        </w:rPr>
        <w:lastRenderedPageBreak/>
        <w:t>Pēdējos piecos gados būtiskākā ietekme uz prognožu novirzi ir krājumu izmaiņām, kas ir neprognozējamas. Īpaši liels to devums IKP izaugsmē bija 2021. gadā jeb 4,3 procentpunkti (sk. 1.26. attēlu). CSP krājumu izmaiņās iekļauj ekonomiskajai darbībai nepieciešamos uzkrājumus, kā arī statistisko novirzi, kas rodas no IKP kontu balansēšanas no ražošanas un izlietojuma puses. Tieši statistiskā novirze ir galvenais nezināmais, kas ietekmē prognozes un kuru nav iespējams racionāli prognozēt. Tāpēc prognozēs tiek pieņemts, ka tai nav ietekmes uz IKP pieauguma tempiem, kas ir arī vispārpieņemta prognozēšanas prakse.</w:t>
      </w:r>
    </w:p>
    <w:p w14:paraId="3B011C15" w14:textId="77777777" w:rsidR="00C74C27" w:rsidRPr="00C74C27" w:rsidRDefault="00C74C27" w:rsidP="00C74C27">
      <w:pPr>
        <w:spacing w:before="240"/>
        <w:ind w:firstLine="0"/>
        <w:jc w:val="center"/>
        <w:rPr>
          <w:rFonts w:eastAsia="Times New Roman" w:cs="Arial"/>
          <w:b/>
          <w:i/>
          <w:szCs w:val="24"/>
          <w:lang w:eastAsia="en-US"/>
        </w:rPr>
      </w:pPr>
      <w:r w:rsidRPr="00C74C27">
        <w:rPr>
          <w:rFonts w:eastAsia="Calibri" w:cs="Arial"/>
          <w:noProof/>
          <w:sz w:val="18"/>
          <w:szCs w:val="18"/>
          <w:lang w:eastAsia="en-US"/>
        </w:rPr>
        <w:drawing>
          <wp:inline distT="0" distB="0" distL="0" distR="0" wp14:anchorId="1AF0549C" wp14:editId="10EA93BB">
            <wp:extent cx="5202936" cy="2514600"/>
            <wp:effectExtent l="0" t="0" r="0" b="0"/>
            <wp:docPr id="22" name="Chart 22">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49F21CE" w14:textId="26D8DE2D" w:rsidR="00C74C27" w:rsidRPr="00C74C27" w:rsidRDefault="00C74C27" w:rsidP="00C74C27">
      <w:pPr>
        <w:spacing w:after="0"/>
        <w:ind w:firstLine="0"/>
        <w:jc w:val="center"/>
        <w:rPr>
          <w:rFonts w:eastAsia="Times New Roman" w:cs="Arial"/>
          <w:b/>
          <w:i/>
          <w:szCs w:val="24"/>
          <w:lang w:eastAsia="en-US"/>
        </w:rPr>
      </w:pPr>
      <w:r w:rsidRPr="00C74C27">
        <w:rPr>
          <w:rFonts w:eastAsia="Times New Roman" w:cs="Arial"/>
          <w:b/>
          <w:i/>
          <w:szCs w:val="24"/>
          <w:lang w:eastAsia="en-US"/>
        </w:rPr>
        <w:t>1.2</w:t>
      </w:r>
      <w:r w:rsidR="00C6033D">
        <w:rPr>
          <w:rFonts w:eastAsia="Times New Roman" w:cs="Arial"/>
          <w:b/>
          <w:i/>
          <w:szCs w:val="24"/>
          <w:lang w:eastAsia="en-US"/>
        </w:rPr>
        <w:t>7</w:t>
      </w:r>
      <w:r w:rsidRPr="00C74C27">
        <w:rPr>
          <w:rFonts w:eastAsia="Times New Roman" w:cs="Arial"/>
          <w:b/>
          <w:i/>
          <w:szCs w:val="24"/>
          <w:lang w:eastAsia="en-US"/>
        </w:rPr>
        <w:t>. att. IKP salīdzināmās cenās faktiskā izaugsmes un attiecīgā gada gadskārtējā valsts budžeta likumā iekļautās IKP izaugsmes prognozes starpība pa IKP komponentēm, procentpunkti</w:t>
      </w:r>
    </w:p>
    <w:p w14:paraId="57E09CF3" w14:textId="77777777" w:rsidR="00C74C27" w:rsidRPr="00C74C27" w:rsidRDefault="00C74C27" w:rsidP="00C74C27">
      <w:pPr>
        <w:spacing w:before="120"/>
        <w:rPr>
          <w:rFonts w:eastAsia="Calibri" w:cs="Arial"/>
          <w:szCs w:val="24"/>
          <w:lang w:eastAsia="en-US"/>
        </w:rPr>
      </w:pPr>
      <w:r w:rsidRPr="00C74C27">
        <w:rPr>
          <w:rFonts w:eastAsia="Calibri" w:cs="Arial"/>
          <w:szCs w:val="24"/>
          <w:lang w:eastAsia="en-US"/>
        </w:rPr>
        <w:t>Tā kā krājumu izmaiņas ir saistītas ar starpproduktu, tad tām ir ietekme uz importu, tāpēc šī novirze atbilstoši FM makroekonomiskajam modelim atspoguļojas neto eksportā un investīcijās bruto pamatkapitālā. Pēdējais ir saistīts ar to, ka saņemot detalizētāku informāciju, CSP daļu no krājumiem pārkvalificē uz investīcijām bruto pamatkapitālā.</w:t>
      </w:r>
    </w:p>
    <w:p w14:paraId="42690732" w14:textId="665BDAA3" w:rsidR="00C3141A" w:rsidRPr="0038459F" w:rsidRDefault="00117F48" w:rsidP="00117F48">
      <w:pPr>
        <w:spacing w:after="0"/>
        <w:ind w:firstLine="0"/>
        <w:jc w:val="left"/>
        <w:rPr>
          <w:rFonts w:eastAsia="Calibri" w:cs="Arial"/>
          <w:szCs w:val="24"/>
          <w:highlight w:val="lightGray"/>
          <w:lang w:eastAsia="en-US"/>
        </w:rPr>
      </w:pPr>
      <w:r w:rsidRPr="0038459F">
        <w:rPr>
          <w:rFonts w:eastAsia="Calibri" w:cs="Arial"/>
          <w:szCs w:val="24"/>
          <w:highlight w:val="lightGray"/>
          <w:lang w:eastAsia="en-US"/>
        </w:rPr>
        <w:br w:type="page"/>
      </w:r>
    </w:p>
    <w:p w14:paraId="469F5C92" w14:textId="1315D383" w:rsidR="00FB5161" w:rsidRPr="00B871CC" w:rsidRDefault="000548A5" w:rsidP="00B82877">
      <w:pPr>
        <w:pStyle w:val="H1"/>
        <w:numPr>
          <w:ilvl w:val="0"/>
          <w:numId w:val="41"/>
        </w:numPr>
      </w:pPr>
      <w:bookmarkStart w:id="51" w:name="_Toc126236642"/>
      <w:r w:rsidRPr="00B871CC">
        <w:lastRenderedPageBreak/>
        <w:t>Fiskālā politika</w:t>
      </w:r>
      <w:bookmarkEnd w:id="51"/>
    </w:p>
    <w:p w14:paraId="51CB5533" w14:textId="76002ED2" w:rsidR="00557435" w:rsidRPr="00803A5A" w:rsidRDefault="00557435" w:rsidP="003C02EC">
      <w:pPr>
        <w:rPr>
          <w:rFonts w:eastAsia="Times New Roman" w:cs="Times New Roman"/>
          <w:szCs w:val="24"/>
        </w:rPr>
      </w:pPr>
      <w:r w:rsidRPr="00803A5A">
        <w:rPr>
          <w:rFonts w:eastAsia="Times New Roman" w:cs="Times New Roman"/>
          <w:szCs w:val="24"/>
        </w:rPr>
        <w:t>Likumprojekts “Par valsts budžetu 202</w:t>
      </w:r>
      <w:r w:rsidR="008E7B76" w:rsidRPr="00803A5A">
        <w:rPr>
          <w:rFonts w:eastAsia="Times New Roman" w:cs="Times New Roman"/>
          <w:szCs w:val="24"/>
        </w:rPr>
        <w:t>4</w:t>
      </w:r>
      <w:r w:rsidRPr="00803A5A">
        <w:rPr>
          <w:rFonts w:eastAsia="Times New Roman" w:cs="Times New Roman"/>
          <w:szCs w:val="24"/>
        </w:rPr>
        <w:t>.</w:t>
      </w:r>
      <w:r w:rsidR="003C02EC" w:rsidRPr="00803A5A">
        <w:rPr>
          <w:rFonts w:eastAsia="Times New Roman" w:cs="Times New Roman"/>
          <w:szCs w:val="24"/>
        </w:rPr>
        <w:t xml:space="preserve"> </w:t>
      </w:r>
      <w:r w:rsidRPr="00803A5A">
        <w:rPr>
          <w:rFonts w:eastAsia="Times New Roman" w:cs="Times New Roman"/>
          <w:szCs w:val="24"/>
        </w:rPr>
        <w:t>gadam un budžeta ietvaru 202</w:t>
      </w:r>
      <w:r w:rsidR="008E7B76" w:rsidRPr="00803A5A">
        <w:rPr>
          <w:rFonts w:eastAsia="Times New Roman" w:cs="Times New Roman"/>
          <w:szCs w:val="24"/>
        </w:rPr>
        <w:t>4</w:t>
      </w:r>
      <w:r w:rsidRPr="00803A5A">
        <w:rPr>
          <w:rFonts w:eastAsia="Times New Roman" w:cs="Times New Roman"/>
          <w:szCs w:val="24"/>
        </w:rPr>
        <w:t>., 202</w:t>
      </w:r>
      <w:r w:rsidR="008E7B76" w:rsidRPr="00803A5A">
        <w:rPr>
          <w:rFonts w:eastAsia="Times New Roman" w:cs="Times New Roman"/>
          <w:szCs w:val="24"/>
        </w:rPr>
        <w:t>5</w:t>
      </w:r>
      <w:r w:rsidRPr="00803A5A">
        <w:rPr>
          <w:rFonts w:eastAsia="Times New Roman" w:cs="Times New Roman"/>
          <w:szCs w:val="24"/>
        </w:rPr>
        <w:t>. un 202</w:t>
      </w:r>
      <w:r w:rsidR="008E7B76" w:rsidRPr="00803A5A">
        <w:rPr>
          <w:rFonts w:eastAsia="Times New Roman" w:cs="Times New Roman"/>
          <w:szCs w:val="24"/>
        </w:rPr>
        <w:t>6</w:t>
      </w:r>
      <w:r w:rsidRPr="00803A5A">
        <w:rPr>
          <w:rFonts w:eastAsia="Times New Roman" w:cs="Times New Roman"/>
          <w:szCs w:val="24"/>
        </w:rPr>
        <w:t>.</w:t>
      </w:r>
      <w:r w:rsidR="003C02EC" w:rsidRPr="00803A5A">
        <w:rPr>
          <w:rFonts w:eastAsia="Times New Roman" w:cs="Times New Roman"/>
          <w:szCs w:val="24"/>
        </w:rPr>
        <w:t xml:space="preserve"> </w:t>
      </w:r>
      <w:r w:rsidRPr="00803A5A">
        <w:rPr>
          <w:rFonts w:eastAsia="Times New Roman" w:cs="Times New Roman"/>
          <w:szCs w:val="24"/>
        </w:rPr>
        <w:t>gad</w:t>
      </w:r>
      <w:r w:rsidR="00FB434A" w:rsidRPr="00803A5A">
        <w:rPr>
          <w:rFonts w:eastAsia="Times New Roman" w:cs="Times New Roman"/>
          <w:szCs w:val="24"/>
        </w:rPr>
        <w:t>am</w:t>
      </w:r>
      <w:r w:rsidRPr="00803A5A">
        <w:rPr>
          <w:rFonts w:eastAsia="Times New Roman" w:cs="Times New Roman"/>
          <w:szCs w:val="24"/>
        </w:rPr>
        <w:t xml:space="preserve">” tiek sagatavots laikā, kad Eiropā </w:t>
      </w:r>
      <w:r w:rsidR="008E7B76" w:rsidRPr="00803A5A">
        <w:rPr>
          <w:rFonts w:eastAsia="Times New Roman" w:cs="Times New Roman"/>
          <w:szCs w:val="24"/>
        </w:rPr>
        <w:t xml:space="preserve">joprojām </w:t>
      </w:r>
      <w:r w:rsidRPr="00803A5A">
        <w:rPr>
          <w:rFonts w:eastAsia="Times New Roman" w:cs="Times New Roman"/>
          <w:szCs w:val="24"/>
        </w:rPr>
        <w:t xml:space="preserve">notiek karš. </w:t>
      </w:r>
      <w:r w:rsidR="008E7B76" w:rsidRPr="00803A5A">
        <w:rPr>
          <w:rFonts w:eastAsia="Times New Roman" w:cs="Times New Roman"/>
          <w:szCs w:val="24"/>
        </w:rPr>
        <w:t>La</w:t>
      </w:r>
      <w:r w:rsidR="00C16983" w:rsidRPr="00803A5A">
        <w:rPr>
          <w:rFonts w:eastAsia="Times New Roman" w:cs="Times New Roman"/>
          <w:szCs w:val="24"/>
        </w:rPr>
        <w:t>i gan kara ietekmē pieaugušās energoresursu cenas ir stabilizējušās un La</w:t>
      </w:r>
      <w:r w:rsidR="008E7B76" w:rsidRPr="00803A5A">
        <w:rPr>
          <w:rFonts w:eastAsia="Times New Roman" w:cs="Times New Roman"/>
          <w:szCs w:val="24"/>
        </w:rPr>
        <w:t xml:space="preserve">tvijas ekonomika </w:t>
      </w:r>
      <w:r w:rsidR="00C16983" w:rsidRPr="00803A5A">
        <w:rPr>
          <w:rFonts w:eastAsia="Times New Roman" w:cs="Times New Roman"/>
          <w:szCs w:val="24"/>
        </w:rPr>
        <w:t xml:space="preserve">spēj samērā veiksmīgi pielāgoties izaicinājumiem, kas rodas kara ietekmē, tomēr </w:t>
      </w:r>
      <w:r w:rsidR="002E04FC">
        <w:rPr>
          <w:rFonts w:eastAsia="Times New Roman" w:cs="Times New Roman"/>
          <w:szCs w:val="24"/>
        </w:rPr>
        <w:t>augstas</w:t>
      </w:r>
      <w:r w:rsidR="002E04FC" w:rsidRPr="00803A5A">
        <w:rPr>
          <w:rFonts w:eastAsia="Times New Roman" w:cs="Times New Roman"/>
          <w:szCs w:val="24"/>
        </w:rPr>
        <w:t xml:space="preserve"> </w:t>
      </w:r>
      <w:r w:rsidR="00803A5A" w:rsidRPr="00803A5A">
        <w:rPr>
          <w:rFonts w:eastAsia="Times New Roman" w:cs="Times New Roman"/>
          <w:szCs w:val="24"/>
        </w:rPr>
        <w:t xml:space="preserve">inflācijas un joprojām pieaugošo procentu likmju </w:t>
      </w:r>
      <w:r w:rsidR="00C16983" w:rsidRPr="00803A5A">
        <w:rPr>
          <w:rFonts w:eastAsia="Times New Roman" w:cs="Times New Roman"/>
          <w:szCs w:val="24"/>
        </w:rPr>
        <w:t xml:space="preserve">negatīvā ietekme būs jūtama </w:t>
      </w:r>
      <w:r w:rsidR="00803A5A" w:rsidRPr="00803A5A">
        <w:rPr>
          <w:rFonts w:eastAsia="Times New Roman" w:cs="Times New Roman"/>
          <w:szCs w:val="24"/>
        </w:rPr>
        <w:t xml:space="preserve">vidējā termiņā ne tikai publiskajās finansēs, bet arī </w:t>
      </w:r>
      <w:r w:rsidRPr="00803A5A">
        <w:rPr>
          <w:rFonts w:eastAsia="Times New Roman" w:cs="Times New Roman"/>
          <w:szCs w:val="24"/>
        </w:rPr>
        <w:t>Latvijas ekonom</w:t>
      </w:r>
      <w:r w:rsidR="00803A5A" w:rsidRPr="00803A5A">
        <w:rPr>
          <w:rFonts w:eastAsia="Times New Roman" w:cs="Times New Roman"/>
          <w:szCs w:val="24"/>
        </w:rPr>
        <w:t xml:space="preserve">ikā kopumā. </w:t>
      </w:r>
    </w:p>
    <w:p w14:paraId="00907121" w14:textId="28C44103" w:rsidR="00557435" w:rsidRPr="00560877" w:rsidRDefault="00557435" w:rsidP="00560877">
      <w:pPr>
        <w:rPr>
          <w:rFonts w:eastAsia="Times New Roman" w:cs="Times New Roman"/>
          <w:szCs w:val="24"/>
        </w:rPr>
      </w:pPr>
      <w:bookmarkStart w:id="52" w:name="_Hlk148513566"/>
      <w:r w:rsidRPr="009B40B1">
        <w:rPr>
          <w:rFonts w:eastAsia="Times New Roman" w:cs="Times New Roman"/>
          <w:szCs w:val="24"/>
        </w:rPr>
        <w:t>Augstā inflācija</w:t>
      </w:r>
      <w:r w:rsidR="009B40B1">
        <w:rPr>
          <w:rFonts w:eastAsia="Times New Roman" w:cs="Times New Roman"/>
          <w:szCs w:val="24"/>
        </w:rPr>
        <w:t xml:space="preserve"> </w:t>
      </w:r>
      <w:r w:rsidR="009B40B1" w:rsidRPr="009B40B1">
        <w:rPr>
          <w:rFonts w:eastAsia="Times New Roman" w:cs="Times New Roman"/>
          <w:szCs w:val="24"/>
        </w:rPr>
        <w:t>un energoresursu cen</w:t>
      </w:r>
      <w:r w:rsidR="00D37818">
        <w:rPr>
          <w:rFonts w:eastAsia="Times New Roman" w:cs="Times New Roman"/>
          <w:szCs w:val="24"/>
        </w:rPr>
        <w:t>u</w:t>
      </w:r>
      <w:r w:rsidR="009B40B1" w:rsidRPr="009B40B1">
        <w:rPr>
          <w:rFonts w:eastAsia="Times New Roman" w:cs="Times New Roman"/>
          <w:szCs w:val="24"/>
        </w:rPr>
        <w:t xml:space="preserve"> stabilizēšanās</w:t>
      </w:r>
      <w:r w:rsidRPr="009B40B1">
        <w:rPr>
          <w:rFonts w:eastAsia="Times New Roman" w:cs="Times New Roman"/>
          <w:szCs w:val="24"/>
        </w:rPr>
        <w:t xml:space="preserve"> </w:t>
      </w:r>
      <w:r w:rsidR="009B40B1" w:rsidRPr="009B40B1">
        <w:rPr>
          <w:rFonts w:eastAsia="Times New Roman" w:cs="Times New Roman"/>
          <w:szCs w:val="24"/>
        </w:rPr>
        <w:t xml:space="preserve">kalpo par pamatu fiskālās politikas </w:t>
      </w:r>
      <w:r w:rsidR="00560877">
        <w:rPr>
          <w:rFonts w:eastAsia="Times New Roman" w:cs="Times New Roman"/>
          <w:szCs w:val="24"/>
        </w:rPr>
        <w:t>kursa pielāgošanai piesardzības virzienā</w:t>
      </w:r>
      <w:r w:rsidR="009B40B1">
        <w:rPr>
          <w:rFonts w:eastAsia="Times New Roman" w:cs="Times New Roman"/>
          <w:szCs w:val="24"/>
        </w:rPr>
        <w:t xml:space="preserve">, </w:t>
      </w:r>
      <w:r w:rsidR="00560877">
        <w:rPr>
          <w:rFonts w:eastAsia="Times New Roman" w:cs="Times New Roman"/>
          <w:szCs w:val="24"/>
        </w:rPr>
        <w:t xml:space="preserve">t.sk. </w:t>
      </w:r>
      <w:r w:rsidR="009B40B1">
        <w:rPr>
          <w:rFonts w:eastAsia="Times New Roman" w:cs="Times New Roman"/>
          <w:szCs w:val="24"/>
        </w:rPr>
        <w:t>atceļot energo</w:t>
      </w:r>
      <w:r w:rsidR="00560877">
        <w:rPr>
          <w:rFonts w:eastAsia="Times New Roman" w:cs="Times New Roman"/>
          <w:szCs w:val="24"/>
        </w:rPr>
        <w:t xml:space="preserve">resursu </w:t>
      </w:r>
      <w:r w:rsidR="009B40B1">
        <w:rPr>
          <w:rFonts w:eastAsia="Times New Roman" w:cs="Times New Roman"/>
          <w:szCs w:val="24"/>
        </w:rPr>
        <w:t>cenu pieauguma kompensēšanai ieviestos atbalsta pasākumus</w:t>
      </w:r>
      <w:r w:rsidR="004E0188">
        <w:rPr>
          <w:rFonts w:eastAsia="Times New Roman" w:cs="Times New Roman"/>
          <w:szCs w:val="24"/>
        </w:rPr>
        <w:t>, tādējādi atbalstot monetārās politikas centienus stabilizēt cenu pieaugumu</w:t>
      </w:r>
      <w:r w:rsidR="009B40B1" w:rsidRPr="009B40B1">
        <w:rPr>
          <w:rFonts w:eastAsia="Times New Roman" w:cs="Times New Roman"/>
          <w:szCs w:val="24"/>
        </w:rPr>
        <w:t xml:space="preserve">. </w:t>
      </w:r>
      <w:bookmarkEnd w:id="52"/>
      <w:r w:rsidR="009B40B1" w:rsidRPr="009B40B1">
        <w:rPr>
          <w:rFonts w:eastAsia="Times New Roman" w:cs="Times New Roman"/>
          <w:szCs w:val="24"/>
        </w:rPr>
        <w:t xml:space="preserve"> </w:t>
      </w:r>
      <w:r w:rsidR="00560877">
        <w:rPr>
          <w:rFonts w:eastAsia="Times New Roman" w:cs="Times New Roman"/>
          <w:szCs w:val="24"/>
        </w:rPr>
        <w:t>EK</w:t>
      </w:r>
      <w:r w:rsidR="009B40B1" w:rsidRPr="00560877">
        <w:rPr>
          <w:rFonts w:eastAsia="Times New Roman" w:cs="Times New Roman"/>
          <w:szCs w:val="24"/>
        </w:rPr>
        <w:t xml:space="preserve"> </w:t>
      </w:r>
      <w:r w:rsidR="00560877" w:rsidRPr="00560877">
        <w:rPr>
          <w:rFonts w:eastAsia="Times New Roman" w:cs="Times New Roman"/>
          <w:szCs w:val="24"/>
        </w:rPr>
        <w:t>2023.</w:t>
      </w:r>
      <w:r w:rsidR="009B40B1" w:rsidRPr="00560877">
        <w:rPr>
          <w:rFonts w:eastAsia="Times New Roman" w:cs="Times New Roman"/>
          <w:szCs w:val="24"/>
        </w:rPr>
        <w:t xml:space="preserve"> gada 8.</w:t>
      </w:r>
      <w:r w:rsidR="002E04FC">
        <w:rPr>
          <w:rFonts w:eastAsia="Times New Roman" w:cs="Times New Roman"/>
          <w:szCs w:val="24"/>
        </w:rPr>
        <w:t xml:space="preserve"> </w:t>
      </w:r>
      <w:r w:rsidR="009B40B1" w:rsidRPr="00560877">
        <w:rPr>
          <w:rFonts w:eastAsia="Times New Roman" w:cs="Times New Roman"/>
          <w:szCs w:val="24"/>
        </w:rPr>
        <w:t>martā Fiskālās politikas vadlīnijās 2024. gadam</w:t>
      </w:r>
      <w:r w:rsidR="009B40B1" w:rsidRPr="00560877">
        <w:rPr>
          <w:rFonts w:eastAsia="Times New Roman" w:cs="Times New Roman"/>
          <w:szCs w:val="24"/>
          <w:vertAlign w:val="superscript"/>
        </w:rPr>
        <w:footnoteReference w:id="6"/>
      </w:r>
      <w:r w:rsidR="009B40B1" w:rsidRPr="00560877">
        <w:rPr>
          <w:rFonts w:eastAsia="Times New Roman" w:cs="Times New Roman"/>
          <w:szCs w:val="24"/>
        </w:rPr>
        <w:t xml:space="preserve"> paziņoja par vispārējās izņēmuma klauzulas darbības pārtraukšanu sākot ar 2024.</w:t>
      </w:r>
      <w:r w:rsidR="002E04FC">
        <w:rPr>
          <w:rFonts w:eastAsia="Times New Roman" w:cs="Times New Roman"/>
          <w:szCs w:val="24"/>
        </w:rPr>
        <w:t xml:space="preserve"> </w:t>
      </w:r>
      <w:r w:rsidR="009B40B1" w:rsidRPr="00560877">
        <w:rPr>
          <w:rFonts w:eastAsia="Times New Roman" w:cs="Times New Roman"/>
          <w:szCs w:val="24"/>
        </w:rPr>
        <w:t>gadu un to, ka 2024. gada pavasarī ierosinās Padomei sākt pārmērīga budžeta deficīta novēršanas procedūru, pamatojoties uz 2023. gada rezultātiem, saskaņā ar spēkā esošajiem</w:t>
      </w:r>
      <w:r w:rsidR="004E0188">
        <w:rPr>
          <w:rFonts w:eastAsia="Times New Roman" w:cs="Times New Roman"/>
          <w:szCs w:val="24"/>
        </w:rPr>
        <w:t xml:space="preserve"> ES</w:t>
      </w:r>
      <w:r w:rsidR="009B40B1" w:rsidRPr="00560877">
        <w:rPr>
          <w:rFonts w:eastAsia="Times New Roman" w:cs="Times New Roman"/>
          <w:szCs w:val="24"/>
        </w:rPr>
        <w:t xml:space="preserve"> tiesību aktiem.</w:t>
      </w:r>
      <w:r w:rsidR="00560877">
        <w:rPr>
          <w:rFonts w:eastAsia="Times New Roman" w:cs="Times New Roman"/>
          <w:szCs w:val="24"/>
        </w:rPr>
        <w:t xml:space="preserve"> </w:t>
      </w:r>
      <w:r w:rsidR="00506EB9">
        <w:rPr>
          <w:rFonts w:eastAsia="Times New Roman" w:cs="Times New Roman"/>
          <w:szCs w:val="24"/>
        </w:rPr>
        <w:t>F</w:t>
      </w:r>
      <w:r w:rsidR="00506EB9" w:rsidRPr="00506EB9">
        <w:rPr>
          <w:rFonts w:eastAsia="Times New Roman" w:cs="Times New Roman"/>
          <w:szCs w:val="24"/>
        </w:rPr>
        <w:t>iskālās politikas vadlīnijas 2024. gadam</w:t>
      </w:r>
      <w:r w:rsidR="00506EB9">
        <w:rPr>
          <w:rFonts w:eastAsia="Times New Roman" w:cs="Times New Roman"/>
          <w:szCs w:val="24"/>
        </w:rPr>
        <w:t xml:space="preserve"> noteica</w:t>
      </w:r>
      <w:r w:rsidR="00506EB9" w:rsidRPr="00506EB9">
        <w:rPr>
          <w:rFonts w:eastAsia="Times New Roman" w:cs="Times New Roman"/>
          <w:szCs w:val="24"/>
        </w:rPr>
        <w:t xml:space="preserve"> elastīgu pieeju </w:t>
      </w:r>
      <w:r w:rsidR="00506EB9">
        <w:rPr>
          <w:rFonts w:eastAsia="Times New Roman" w:cs="Times New Roman"/>
          <w:szCs w:val="24"/>
        </w:rPr>
        <w:t>SIP</w:t>
      </w:r>
      <w:r w:rsidR="00506EB9" w:rsidRPr="00506EB9">
        <w:rPr>
          <w:rFonts w:eastAsia="Times New Roman" w:cs="Times New Roman"/>
          <w:szCs w:val="24"/>
        </w:rPr>
        <w:t xml:space="preserve"> nosacījumu piemērošanai, paredzot, ka galvenais fiskālo nosacījumu atbilstības rādītājs būs atbilstība Stabilitātes programmas fiskālai trajektorijai</w:t>
      </w:r>
      <w:r w:rsidR="00506EB9">
        <w:rPr>
          <w:rFonts w:eastAsia="Times New Roman" w:cs="Times New Roman"/>
          <w:szCs w:val="24"/>
        </w:rPr>
        <w:t xml:space="preserve">. </w:t>
      </w:r>
      <w:r w:rsidR="00560877" w:rsidRPr="00560877">
        <w:rPr>
          <w:rFonts w:eastAsia="Times New Roman" w:cs="Times New Roman"/>
          <w:szCs w:val="24"/>
        </w:rPr>
        <w:t xml:space="preserve">2023. gada 14. jūlijā </w:t>
      </w:r>
      <w:r w:rsidR="00560877">
        <w:rPr>
          <w:rFonts w:eastAsia="Times New Roman" w:cs="Times New Roman"/>
          <w:szCs w:val="24"/>
        </w:rPr>
        <w:t xml:space="preserve">ir apstiprinātas </w:t>
      </w:r>
      <w:r w:rsidR="00560877" w:rsidRPr="00560877">
        <w:rPr>
          <w:rFonts w:eastAsia="Times New Roman" w:cs="Times New Roman"/>
          <w:szCs w:val="24"/>
        </w:rPr>
        <w:t>Padomes ES dalībvalstīm specifisk</w:t>
      </w:r>
      <w:r w:rsidR="00560877">
        <w:rPr>
          <w:rFonts w:eastAsia="Times New Roman" w:cs="Times New Roman"/>
          <w:szCs w:val="24"/>
        </w:rPr>
        <w:t>ās</w:t>
      </w:r>
      <w:r w:rsidR="00560877" w:rsidRPr="00560877">
        <w:rPr>
          <w:rFonts w:eastAsia="Times New Roman" w:cs="Times New Roman"/>
          <w:szCs w:val="24"/>
        </w:rPr>
        <w:t xml:space="preserve"> rekomendācij</w:t>
      </w:r>
      <w:r w:rsidR="00560877">
        <w:rPr>
          <w:rFonts w:eastAsia="Times New Roman" w:cs="Times New Roman"/>
          <w:szCs w:val="24"/>
        </w:rPr>
        <w:t>as</w:t>
      </w:r>
      <w:r w:rsidR="004E0188">
        <w:rPr>
          <w:rFonts w:eastAsia="Times New Roman" w:cs="Times New Roman"/>
          <w:szCs w:val="24"/>
        </w:rPr>
        <w:t xml:space="preserve">, </w:t>
      </w:r>
      <w:r w:rsidR="00560877" w:rsidRPr="00560877">
        <w:rPr>
          <w:rFonts w:eastAsia="Times New Roman" w:cs="Times New Roman"/>
          <w:szCs w:val="24"/>
        </w:rPr>
        <w:t>kurās ir integrēta fiskālā komponente.</w:t>
      </w:r>
      <w:r w:rsidR="00560877">
        <w:rPr>
          <w:rFonts w:eastAsia="Times New Roman" w:cs="Times New Roman"/>
          <w:szCs w:val="24"/>
        </w:rPr>
        <w:t xml:space="preserve"> </w:t>
      </w:r>
      <w:bookmarkStart w:id="53" w:name="_Hlk148513700"/>
      <w:r w:rsidRPr="004E0188">
        <w:rPr>
          <w:rFonts w:eastAsia="Times New Roman" w:cs="Times New Roman"/>
          <w:szCs w:val="24"/>
        </w:rPr>
        <w:t>Saskaņā ar rekomendāciju Latvijai</w:t>
      </w:r>
      <w:r w:rsidR="008F4EAC">
        <w:rPr>
          <w:rStyle w:val="FootnoteReference"/>
          <w:rFonts w:eastAsia="Times New Roman" w:cs="Times New Roman"/>
          <w:szCs w:val="24"/>
        </w:rPr>
        <w:footnoteReference w:id="7"/>
      </w:r>
      <w:r w:rsidRPr="004E0188">
        <w:rPr>
          <w:rFonts w:eastAsia="Times New Roman" w:cs="Times New Roman"/>
          <w:szCs w:val="24"/>
        </w:rPr>
        <w:t xml:space="preserve"> 202</w:t>
      </w:r>
      <w:r w:rsidR="00560877" w:rsidRPr="004E0188">
        <w:rPr>
          <w:rFonts w:eastAsia="Times New Roman" w:cs="Times New Roman"/>
          <w:szCs w:val="24"/>
        </w:rPr>
        <w:t>4</w:t>
      </w:r>
      <w:r w:rsidRPr="004E0188">
        <w:rPr>
          <w:rFonts w:eastAsia="Times New Roman" w:cs="Times New Roman"/>
          <w:szCs w:val="24"/>
        </w:rPr>
        <w:t xml:space="preserve">. gadā ir jānodrošina </w:t>
      </w:r>
      <w:r w:rsidR="00560877" w:rsidRPr="004E0188">
        <w:rPr>
          <w:rFonts w:eastAsia="Times New Roman" w:cs="Times New Roman"/>
          <w:szCs w:val="24"/>
        </w:rPr>
        <w:t>piesardzīga fiskālā politika, ierobežojot valsts finansēto neto primāro izdevumu nominālo pieaugumu</w:t>
      </w:r>
      <w:r w:rsidR="008F4EAC">
        <w:rPr>
          <w:rFonts w:eastAsia="Times New Roman" w:cs="Times New Roman"/>
          <w:szCs w:val="24"/>
        </w:rPr>
        <w:t xml:space="preserve"> tādā apmērā, lai tas atbilstu </w:t>
      </w:r>
      <w:r w:rsidR="008F4EAC" w:rsidRPr="008F4EAC">
        <w:rPr>
          <w:rFonts w:eastAsia="Times New Roman" w:cs="Times New Roman"/>
          <w:szCs w:val="24"/>
        </w:rPr>
        <w:t>ikgadējam strukturālās budžeta bilances uzlabojumam vismaz 0,5 % apmērā no IKP 2024. gadā</w:t>
      </w:r>
      <w:r w:rsidRPr="004E0188">
        <w:rPr>
          <w:rFonts w:eastAsia="Times New Roman" w:cs="Times New Roman"/>
          <w:szCs w:val="24"/>
        </w:rPr>
        <w:t>.</w:t>
      </w:r>
      <w:bookmarkEnd w:id="53"/>
    </w:p>
    <w:p w14:paraId="035C780E" w14:textId="274D09FF" w:rsidR="00557435" w:rsidRPr="00265993" w:rsidRDefault="00C332E1" w:rsidP="003C02EC">
      <w:pPr>
        <w:rPr>
          <w:rFonts w:eastAsia="Times New Roman" w:cs="Times New Roman"/>
          <w:szCs w:val="24"/>
        </w:rPr>
      </w:pPr>
      <w:bookmarkStart w:id="54" w:name="_Hlk148513748"/>
      <w:r>
        <w:rPr>
          <w:rFonts w:eastAsia="Times New Roman" w:cs="Times New Roman"/>
          <w:szCs w:val="24"/>
        </w:rPr>
        <w:t>Ņemot vērā paredzēto ES fiskālo noteikumu piemērošanas atjaunošanu sākot ar 2024. gadu, pasākum</w:t>
      </w:r>
      <w:r w:rsidR="000D2CDD">
        <w:rPr>
          <w:rFonts w:eastAsia="Times New Roman" w:cs="Times New Roman"/>
          <w:szCs w:val="24"/>
        </w:rPr>
        <w:t>u</w:t>
      </w:r>
      <w:r>
        <w:rPr>
          <w:rFonts w:eastAsia="Times New Roman" w:cs="Times New Roman"/>
          <w:szCs w:val="24"/>
        </w:rPr>
        <w:t>, kas saskaņā ar Fiskālās politikas stratēģiju</w:t>
      </w:r>
      <w:r>
        <w:rPr>
          <w:rStyle w:val="FootnoteReference"/>
          <w:rFonts w:eastAsia="Times New Roman" w:cs="Times New Roman"/>
          <w:szCs w:val="24"/>
        </w:rPr>
        <w:footnoteReference w:id="8"/>
      </w:r>
      <w:r>
        <w:rPr>
          <w:rFonts w:eastAsia="Times New Roman" w:cs="Times New Roman"/>
          <w:szCs w:val="24"/>
        </w:rPr>
        <w:t xml:space="preserve"> tiek uzskatīti par vienreizējiem, finansēšana uz deficīta bez ierobežojuma nav pieļaujama.  </w:t>
      </w:r>
      <w:r w:rsidR="00557435" w:rsidRPr="004E0188">
        <w:rPr>
          <w:rFonts w:eastAsia="Times New Roman" w:cs="Times New Roman"/>
          <w:szCs w:val="24"/>
        </w:rPr>
        <w:t>Faktiski tas nozīmē, ka 202</w:t>
      </w:r>
      <w:r w:rsidR="004E0188" w:rsidRPr="004E0188">
        <w:rPr>
          <w:rFonts w:eastAsia="Times New Roman" w:cs="Times New Roman"/>
          <w:szCs w:val="24"/>
        </w:rPr>
        <w:t>4</w:t>
      </w:r>
      <w:r w:rsidR="00895D9B" w:rsidRPr="004E0188">
        <w:rPr>
          <w:rFonts w:eastAsia="Times New Roman" w:cs="Times New Roman"/>
          <w:szCs w:val="24"/>
        </w:rPr>
        <w:t>.</w:t>
      </w:r>
      <w:r w:rsidR="00477AED">
        <w:rPr>
          <w:rFonts w:eastAsia="Times New Roman" w:cs="Times New Roman"/>
          <w:szCs w:val="24"/>
        </w:rPr>
        <w:t xml:space="preserve"> – </w:t>
      </w:r>
      <w:r w:rsidR="00557435" w:rsidRPr="004E0188">
        <w:rPr>
          <w:rFonts w:eastAsia="Times New Roman" w:cs="Times New Roman"/>
          <w:szCs w:val="24"/>
        </w:rPr>
        <w:t>202</w:t>
      </w:r>
      <w:r w:rsidR="004E0188" w:rsidRPr="004E0188">
        <w:rPr>
          <w:rFonts w:eastAsia="Times New Roman" w:cs="Times New Roman"/>
          <w:szCs w:val="24"/>
        </w:rPr>
        <w:t>6</w:t>
      </w:r>
      <w:r w:rsidR="00895D9B" w:rsidRPr="004E0188">
        <w:rPr>
          <w:rFonts w:eastAsia="Times New Roman" w:cs="Times New Roman"/>
          <w:szCs w:val="24"/>
        </w:rPr>
        <w:t>.</w:t>
      </w:r>
      <w:r w:rsidR="00557435" w:rsidRPr="004E0188">
        <w:rPr>
          <w:rFonts w:eastAsia="Times New Roman" w:cs="Times New Roman"/>
          <w:szCs w:val="24"/>
        </w:rPr>
        <w:t xml:space="preserve"> </w:t>
      </w:r>
      <w:r w:rsidR="00895D9B" w:rsidRPr="004E0188">
        <w:rPr>
          <w:rFonts w:eastAsia="Times New Roman" w:cs="Times New Roman"/>
          <w:szCs w:val="24"/>
        </w:rPr>
        <w:t xml:space="preserve">gadu </w:t>
      </w:r>
      <w:r w:rsidR="00557435" w:rsidRPr="004E0188">
        <w:rPr>
          <w:rFonts w:eastAsia="Times New Roman" w:cs="Times New Roman"/>
          <w:szCs w:val="24"/>
        </w:rPr>
        <w:t xml:space="preserve">periodā </w:t>
      </w:r>
      <w:r w:rsidR="004E0188">
        <w:rPr>
          <w:rFonts w:eastAsia="Times New Roman" w:cs="Times New Roman"/>
          <w:szCs w:val="24"/>
        </w:rPr>
        <w:t xml:space="preserve">visi </w:t>
      </w:r>
      <w:r w:rsidR="00557435" w:rsidRPr="004E0188">
        <w:rPr>
          <w:rFonts w:eastAsia="Times New Roman" w:cs="Times New Roman"/>
          <w:szCs w:val="24"/>
        </w:rPr>
        <w:t>izdevum</w:t>
      </w:r>
      <w:r w:rsidR="00895D9B" w:rsidRPr="004E0188">
        <w:rPr>
          <w:rFonts w:eastAsia="Times New Roman" w:cs="Times New Roman"/>
          <w:szCs w:val="24"/>
        </w:rPr>
        <w:t>i</w:t>
      </w:r>
      <w:r w:rsidR="004E0188">
        <w:rPr>
          <w:rFonts w:eastAsia="Times New Roman" w:cs="Times New Roman"/>
          <w:szCs w:val="24"/>
        </w:rPr>
        <w:t xml:space="preserve">, t.sk. </w:t>
      </w:r>
      <w:r>
        <w:rPr>
          <w:rFonts w:eastAsia="Times New Roman" w:cs="Times New Roman"/>
          <w:szCs w:val="24"/>
        </w:rPr>
        <w:t>vienreizējie</w:t>
      </w:r>
      <w:r w:rsidR="00884209">
        <w:rPr>
          <w:rFonts w:eastAsia="Times New Roman" w:cs="Times New Roman"/>
          <w:szCs w:val="24"/>
        </w:rPr>
        <w:t>,</w:t>
      </w:r>
      <w:r w:rsidR="00895D9B" w:rsidRPr="004E0188">
        <w:rPr>
          <w:rFonts w:eastAsia="Times New Roman" w:cs="Times New Roman"/>
          <w:szCs w:val="24"/>
        </w:rPr>
        <w:t xml:space="preserve"> </w:t>
      </w:r>
      <w:r w:rsidR="00557435" w:rsidRPr="004E0188">
        <w:rPr>
          <w:rFonts w:eastAsia="Times New Roman" w:cs="Times New Roman"/>
          <w:szCs w:val="24"/>
        </w:rPr>
        <w:t>ir jāfinansē fiskālās disciplīnas noteikumu ietvaros</w:t>
      </w:r>
      <w:r>
        <w:rPr>
          <w:rFonts w:eastAsia="Times New Roman" w:cs="Times New Roman"/>
          <w:szCs w:val="24"/>
        </w:rPr>
        <w:t xml:space="preserve">, proti, tādā apmērā, lai nepieļautu vispārējās valdības budžeta deficīta 3% robežvērtības pārsniegumu. </w:t>
      </w:r>
      <w:r w:rsidR="000D2CDD">
        <w:rPr>
          <w:rFonts w:eastAsia="Times New Roman" w:cs="Times New Roman"/>
          <w:szCs w:val="24"/>
        </w:rPr>
        <w:t xml:space="preserve">Vienlaicīgi netiek atcelts </w:t>
      </w:r>
      <w:r w:rsidR="00265993">
        <w:rPr>
          <w:rFonts w:eastAsia="Times New Roman" w:cs="Times New Roman"/>
          <w:szCs w:val="24"/>
        </w:rPr>
        <w:t>pieminēt</w:t>
      </w:r>
      <w:r w:rsidR="000D2CDD">
        <w:rPr>
          <w:rFonts w:eastAsia="Times New Roman" w:cs="Times New Roman"/>
          <w:szCs w:val="24"/>
        </w:rPr>
        <w:t>ās</w:t>
      </w:r>
      <w:r w:rsidR="00265993">
        <w:rPr>
          <w:rFonts w:eastAsia="Times New Roman" w:cs="Times New Roman"/>
          <w:szCs w:val="24"/>
        </w:rPr>
        <w:t xml:space="preserve"> </w:t>
      </w:r>
      <w:r w:rsidR="000D2CDD">
        <w:rPr>
          <w:rFonts w:eastAsia="Times New Roman" w:cs="Times New Roman"/>
          <w:szCs w:val="24"/>
        </w:rPr>
        <w:t>F</w:t>
      </w:r>
      <w:r w:rsidR="00265993" w:rsidRPr="00265993">
        <w:rPr>
          <w:rFonts w:eastAsia="Times New Roman" w:cs="Times New Roman"/>
          <w:szCs w:val="24"/>
        </w:rPr>
        <w:t>iskālās politikas stratēģij</w:t>
      </w:r>
      <w:r w:rsidR="000D2CDD">
        <w:rPr>
          <w:rFonts w:eastAsia="Times New Roman" w:cs="Times New Roman"/>
          <w:szCs w:val="24"/>
        </w:rPr>
        <w:t>as</w:t>
      </w:r>
      <w:r w:rsidR="00265993" w:rsidRPr="00265993">
        <w:rPr>
          <w:rFonts w:eastAsia="Times New Roman" w:cs="Times New Roman"/>
          <w:szCs w:val="24"/>
        </w:rPr>
        <w:t xml:space="preserve"> </w:t>
      </w:r>
      <w:r w:rsidR="000D2CDD">
        <w:rPr>
          <w:rFonts w:eastAsia="Times New Roman" w:cs="Times New Roman"/>
          <w:szCs w:val="24"/>
        </w:rPr>
        <w:t xml:space="preserve">pamatprincips, ka vienreizējie pasākumi </w:t>
      </w:r>
      <w:r w:rsidR="00265993" w:rsidRPr="00265993">
        <w:rPr>
          <w:rFonts w:eastAsia="Times New Roman" w:cs="Times New Roman"/>
          <w:szCs w:val="24"/>
        </w:rPr>
        <w:t>tiek izslēgti no vispārējās valdības budžeta strukturālās bilances mērķa</w:t>
      </w:r>
      <w:r w:rsidR="000D2CDD">
        <w:rPr>
          <w:rFonts w:eastAsia="Times New Roman" w:cs="Times New Roman"/>
          <w:szCs w:val="24"/>
        </w:rPr>
        <w:t>.</w:t>
      </w:r>
      <w:r w:rsidR="00265993" w:rsidRPr="00265993">
        <w:rPr>
          <w:rFonts w:eastAsia="Times New Roman" w:cs="Times New Roman"/>
          <w:szCs w:val="24"/>
        </w:rPr>
        <w:t xml:space="preserve"> </w:t>
      </w:r>
      <w:r w:rsidR="00AB2589" w:rsidRPr="00A645C2">
        <w:rPr>
          <w:rFonts w:eastAsia="Times New Roman" w:cs="Times New Roman"/>
          <w:szCs w:val="24"/>
        </w:rPr>
        <w:t>Likumā</w:t>
      </w:r>
      <w:r w:rsidR="00557435" w:rsidRPr="00A645C2">
        <w:rPr>
          <w:rFonts w:eastAsia="Times New Roman" w:cs="Times New Roman"/>
          <w:szCs w:val="24"/>
        </w:rPr>
        <w:t xml:space="preserve"> </w:t>
      </w:r>
      <w:r w:rsidR="00065178" w:rsidRPr="00A645C2">
        <w:rPr>
          <w:rFonts w:eastAsia="Times New Roman" w:cs="Times New Roman"/>
          <w:szCs w:val="24"/>
        </w:rPr>
        <w:t>“Par valsts budžetu 202</w:t>
      </w:r>
      <w:r w:rsidRPr="00A645C2">
        <w:rPr>
          <w:rFonts w:eastAsia="Times New Roman" w:cs="Times New Roman"/>
          <w:szCs w:val="24"/>
        </w:rPr>
        <w:t>4</w:t>
      </w:r>
      <w:r w:rsidR="00065178" w:rsidRPr="00A645C2">
        <w:rPr>
          <w:rFonts w:eastAsia="Times New Roman" w:cs="Times New Roman"/>
          <w:szCs w:val="24"/>
        </w:rPr>
        <w:t>.</w:t>
      </w:r>
      <w:r w:rsidR="003C02EC" w:rsidRPr="00A645C2">
        <w:rPr>
          <w:rFonts w:eastAsia="Times New Roman" w:cs="Times New Roman"/>
          <w:szCs w:val="24"/>
        </w:rPr>
        <w:t xml:space="preserve"> </w:t>
      </w:r>
      <w:r w:rsidR="00065178" w:rsidRPr="00A645C2">
        <w:rPr>
          <w:rFonts w:eastAsia="Times New Roman" w:cs="Times New Roman"/>
          <w:szCs w:val="24"/>
        </w:rPr>
        <w:t>gadam un budžeta ietvaru 202</w:t>
      </w:r>
      <w:r w:rsidRPr="00A645C2">
        <w:rPr>
          <w:rFonts w:eastAsia="Times New Roman" w:cs="Times New Roman"/>
          <w:szCs w:val="24"/>
        </w:rPr>
        <w:t>4</w:t>
      </w:r>
      <w:r w:rsidR="00065178" w:rsidRPr="00A645C2">
        <w:rPr>
          <w:rFonts w:eastAsia="Times New Roman" w:cs="Times New Roman"/>
          <w:szCs w:val="24"/>
        </w:rPr>
        <w:t>., 202</w:t>
      </w:r>
      <w:r w:rsidRPr="00A645C2">
        <w:rPr>
          <w:rFonts w:eastAsia="Times New Roman" w:cs="Times New Roman"/>
          <w:szCs w:val="24"/>
        </w:rPr>
        <w:t>5</w:t>
      </w:r>
      <w:r w:rsidR="00065178" w:rsidRPr="00A645C2">
        <w:rPr>
          <w:rFonts w:eastAsia="Times New Roman" w:cs="Times New Roman"/>
          <w:szCs w:val="24"/>
        </w:rPr>
        <w:t>. un 202</w:t>
      </w:r>
      <w:r w:rsidRPr="00A645C2">
        <w:rPr>
          <w:rFonts w:eastAsia="Times New Roman" w:cs="Times New Roman"/>
          <w:szCs w:val="24"/>
        </w:rPr>
        <w:t>6</w:t>
      </w:r>
      <w:r w:rsidR="00065178" w:rsidRPr="00A645C2">
        <w:rPr>
          <w:rFonts w:eastAsia="Times New Roman" w:cs="Times New Roman"/>
          <w:szCs w:val="24"/>
        </w:rPr>
        <w:t>.</w:t>
      </w:r>
      <w:r w:rsidR="003C02EC" w:rsidRPr="00A645C2">
        <w:rPr>
          <w:rFonts w:eastAsia="Times New Roman" w:cs="Times New Roman"/>
          <w:szCs w:val="24"/>
        </w:rPr>
        <w:t xml:space="preserve"> </w:t>
      </w:r>
      <w:r w:rsidR="00065178" w:rsidRPr="00A645C2">
        <w:rPr>
          <w:rFonts w:eastAsia="Times New Roman" w:cs="Times New Roman"/>
          <w:szCs w:val="24"/>
        </w:rPr>
        <w:t>gad</w:t>
      </w:r>
      <w:r w:rsidR="00FB434A" w:rsidRPr="00A645C2">
        <w:rPr>
          <w:rFonts w:eastAsia="Times New Roman" w:cs="Times New Roman"/>
          <w:szCs w:val="24"/>
        </w:rPr>
        <w:t>am</w:t>
      </w:r>
      <w:r w:rsidR="00065178" w:rsidRPr="00A645C2">
        <w:rPr>
          <w:rFonts w:eastAsia="Times New Roman" w:cs="Times New Roman"/>
          <w:szCs w:val="24"/>
        </w:rPr>
        <w:t xml:space="preserve">” </w:t>
      </w:r>
      <w:r w:rsidR="00A66400" w:rsidRPr="00A645C2">
        <w:rPr>
          <w:rFonts w:eastAsia="Times New Roman" w:cs="Times New Roman"/>
          <w:szCs w:val="24"/>
        </w:rPr>
        <w:t xml:space="preserve">paliek </w:t>
      </w:r>
      <w:r w:rsidR="00AB2589" w:rsidRPr="00A645C2">
        <w:rPr>
          <w:rFonts w:eastAsia="Times New Roman" w:cs="Times New Roman"/>
          <w:szCs w:val="24"/>
        </w:rPr>
        <w:t xml:space="preserve">iepriekšējā </w:t>
      </w:r>
      <w:r w:rsidR="00477AED" w:rsidRPr="00A645C2">
        <w:rPr>
          <w:rFonts w:eastAsia="Times New Roman" w:cs="Times New Roman"/>
          <w:szCs w:val="24"/>
        </w:rPr>
        <w:t xml:space="preserve">budžeta </w:t>
      </w:r>
      <w:r w:rsidR="00AB2589" w:rsidRPr="00A645C2">
        <w:rPr>
          <w:rFonts w:eastAsia="Times New Roman" w:cs="Times New Roman"/>
          <w:szCs w:val="24"/>
        </w:rPr>
        <w:t>likumā noteikt</w:t>
      </w:r>
      <w:r w:rsidR="00A66400" w:rsidRPr="00A645C2">
        <w:rPr>
          <w:rFonts w:eastAsia="Times New Roman" w:cs="Times New Roman"/>
          <w:szCs w:val="24"/>
        </w:rPr>
        <w:t>ais</w:t>
      </w:r>
      <w:r w:rsidRPr="00A645C2">
        <w:rPr>
          <w:rFonts w:eastAsia="Times New Roman" w:cs="Times New Roman"/>
          <w:szCs w:val="24"/>
        </w:rPr>
        <w:t xml:space="preserve"> vienreizējo pasākumu</w:t>
      </w:r>
      <w:r w:rsidR="00265993" w:rsidRPr="00A645C2">
        <w:rPr>
          <w:rFonts w:eastAsia="Times New Roman" w:cs="Times New Roman"/>
          <w:szCs w:val="24"/>
        </w:rPr>
        <w:t xml:space="preserve"> tvērums</w:t>
      </w:r>
      <w:bookmarkEnd w:id="54"/>
      <w:r w:rsidR="000D2CDD" w:rsidRPr="00A645C2">
        <w:rPr>
          <w:rFonts w:eastAsia="Times New Roman" w:cs="Times New Roman"/>
          <w:szCs w:val="24"/>
        </w:rPr>
        <w:t>:</w:t>
      </w:r>
      <w:r w:rsidR="00265993">
        <w:rPr>
          <w:rFonts w:eastAsia="Times New Roman" w:cs="Times New Roman"/>
          <w:szCs w:val="24"/>
        </w:rPr>
        <w:t xml:space="preserve"> </w:t>
      </w:r>
    </w:p>
    <w:p w14:paraId="0D765FB2" w14:textId="262FD501" w:rsidR="00557435" w:rsidRPr="00DF0C48" w:rsidRDefault="00557435" w:rsidP="00FB434A">
      <w:pPr>
        <w:rPr>
          <w:rFonts w:eastAsia="Times New Roman" w:cs="Times New Roman"/>
          <w:szCs w:val="24"/>
        </w:rPr>
      </w:pPr>
      <w:r w:rsidRPr="00DF0C48">
        <w:rPr>
          <w:rFonts w:eastAsia="Times New Roman" w:cs="Times New Roman"/>
          <w:szCs w:val="24"/>
        </w:rPr>
        <w:t>1) vienreizējie izdevumi, kas saistīti ar Covid-19 pandēmijas negatīvo seku mazināšanu;</w:t>
      </w:r>
    </w:p>
    <w:p w14:paraId="1141E265" w14:textId="140B48A1" w:rsidR="00557435" w:rsidRPr="00043D08" w:rsidRDefault="00557435" w:rsidP="00FB434A">
      <w:pPr>
        <w:rPr>
          <w:rFonts w:eastAsia="Times New Roman" w:cs="Times New Roman"/>
          <w:szCs w:val="24"/>
        </w:rPr>
      </w:pPr>
      <w:r w:rsidRPr="00043D08">
        <w:rPr>
          <w:rFonts w:eastAsia="Times New Roman" w:cs="Times New Roman"/>
          <w:szCs w:val="24"/>
        </w:rPr>
        <w:t>2) vienreizējie izdevumi valsts aizsardzībai un iekšējai drošībai:</w:t>
      </w:r>
    </w:p>
    <w:p w14:paraId="2796EF0C" w14:textId="16CB818B" w:rsidR="00557435" w:rsidRPr="00043D08" w:rsidRDefault="00065178" w:rsidP="00436747">
      <w:pPr>
        <w:pStyle w:val="ListParagraph"/>
        <w:numPr>
          <w:ilvl w:val="0"/>
          <w:numId w:val="13"/>
        </w:numPr>
        <w:ind w:left="1418" w:hanging="425"/>
        <w:rPr>
          <w:rFonts w:eastAsia="Times New Roman" w:cs="Times New Roman"/>
          <w:szCs w:val="24"/>
        </w:rPr>
      </w:pPr>
      <w:r w:rsidRPr="00043D08">
        <w:rPr>
          <w:rFonts w:eastAsia="Times New Roman" w:cs="Times New Roman"/>
          <w:szCs w:val="24"/>
        </w:rPr>
        <w:t>i</w:t>
      </w:r>
      <w:r w:rsidR="00557435" w:rsidRPr="00043D08">
        <w:rPr>
          <w:rFonts w:eastAsia="Times New Roman" w:cs="Times New Roman"/>
          <w:szCs w:val="24"/>
        </w:rPr>
        <w:t xml:space="preserve">nvestīcijām </w:t>
      </w:r>
      <w:r w:rsidR="00B62456" w:rsidRPr="00043D08">
        <w:rPr>
          <w:rFonts w:eastAsia="Times New Roman" w:cs="Times New Roman"/>
          <w:szCs w:val="24"/>
        </w:rPr>
        <w:t>valsts sabiedrības ar ierobežotu atbildību</w:t>
      </w:r>
      <w:r w:rsidR="00557435" w:rsidRPr="00043D08">
        <w:rPr>
          <w:rFonts w:eastAsia="Times New Roman" w:cs="Times New Roman"/>
          <w:szCs w:val="24"/>
        </w:rPr>
        <w:t xml:space="preserve"> “Latvijas </w:t>
      </w:r>
      <w:r w:rsidR="00B62456" w:rsidRPr="00043D08">
        <w:rPr>
          <w:rFonts w:eastAsia="Times New Roman" w:cs="Times New Roman"/>
          <w:szCs w:val="24"/>
        </w:rPr>
        <w:t>T</w:t>
      </w:r>
      <w:r w:rsidR="00557435" w:rsidRPr="00043D08">
        <w:rPr>
          <w:rFonts w:eastAsia="Times New Roman" w:cs="Times New Roman"/>
          <w:szCs w:val="24"/>
        </w:rPr>
        <w:t xml:space="preserve">elevīzija” darbības nepārtrauktības nodrošināšanai </w:t>
      </w:r>
      <w:r w:rsidR="00B62456" w:rsidRPr="00043D08">
        <w:rPr>
          <w:rFonts w:eastAsia="Times New Roman" w:cs="Times New Roman"/>
          <w:szCs w:val="24"/>
        </w:rPr>
        <w:t xml:space="preserve">valsts </w:t>
      </w:r>
      <w:r w:rsidR="00557435" w:rsidRPr="00043D08">
        <w:rPr>
          <w:rFonts w:eastAsia="Times New Roman" w:cs="Times New Roman"/>
          <w:szCs w:val="24"/>
        </w:rPr>
        <w:t>ārējā apdraudējuma gadījumā;</w:t>
      </w:r>
    </w:p>
    <w:p w14:paraId="645D553B" w14:textId="542364DE" w:rsidR="00557435" w:rsidRPr="00043D08" w:rsidRDefault="00065178" w:rsidP="00436747">
      <w:pPr>
        <w:pStyle w:val="ListParagraph"/>
        <w:numPr>
          <w:ilvl w:val="0"/>
          <w:numId w:val="13"/>
        </w:numPr>
        <w:ind w:left="1418" w:hanging="425"/>
        <w:rPr>
          <w:rFonts w:eastAsia="Times New Roman" w:cs="Times New Roman"/>
          <w:szCs w:val="24"/>
        </w:rPr>
      </w:pPr>
      <w:r w:rsidRPr="00043D08">
        <w:rPr>
          <w:rFonts w:eastAsia="Times New Roman" w:cs="Times New Roman"/>
          <w:szCs w:val="24"/>
        </w:rPr>
        <w:t>v</w:t>
      </w:r>
      <w:r w:rsidR="00557435" w:rsidRPr="00043D08">
        <w:rPr>
          <w:rFonts w:eastAsia="Times New Roman" w:cs="Times New Roman"/>
          <w:szCs w:val="24"/>
        </w:rPr>
        <w:t xml:space="preserve">alsts </w:t>
      </w:r>
      <w:r w:rsidR="00043D08" w:rsidRPr="00A645C2">
        <w:rPr>
          <w:rFonts w:eastAsia="Times New Roman" w:cs="Times New Roman"/>
          <w:szCs w:val="24"/>
        </w:rPr>
        <w:t>ārējās</w:t>
      </w:r>
      <w:r w:rsidR="00043D08" w:rsidRPr="00DF0C48">
        <w:rPr>
          <w:rFonts w:eastAsia="Times New Roman" w:cs="Times New Roman"/>
          <w:szCs w:val="24"/>
        </w:rPr>
        <w:t xml:space="preserve"> </w:t>
      </w:r>
      <w:r w:rsidR="00557435" w:rsidRPr="00DF0C48">
        <w:rPr>
          <w:rFonts w:eastAsia="Times New Roman" w:cs="Times New Roman"/>
          <w:szCs w:val="24"/>
        </w:rPr>
        <w:t>ro</w:t>
      </w:r>
      <w:r w:rsidR="00557435" w:rsidRPr="00043D08">
        <w:rPr>
          <w:rFonts w:eastAsia="Times New Roman" w:cs="Times New Roman"/>
          <w:szCs w:val="24"/>
        </w:rPr>
        <w:t>bežas infrastruktūras izveidei</w:t>
      </w:r>
      <w:r w:rsidR="009B7D3F">
        <w:rPr>
          <w:rFonts w:eastAsia="Times New Roman" w:cs="Times New Roman"/>
          <w:szCs w:val="24"/>
        </w:rPr>
        <w:t xml:space="preserve"> un nostiprināšanai</w:t>
      </w:r>
      <w:r w:rsidR="00557435" w:rsidRPr="00043D08">
        <w:rPr>
          <w:rFonts w:eastAsia="Times New Roman" w:cs="Times New Roman"/>
          <w:szCs w:val="24"/>
        </w:rPr>
        <w:t xml:space="preserve"> un investīcijām valsts drošības iestāžu stiprināšanā;</w:t>
      </w:r>
    </w:p>
    <w:p w14:paraId="6B9BA946" w14:textId="183569FF" w:rsidR="00557435" w:rsidRPr="00043D08" w:rsidRDefault="005C2FAE" w:rsidP="00436747">
      <w:pPr>
        <w:pStyle w:val="ListParagraph"/>
        <w:numPr>
          <w:ilvl w:val="0"/>
          <w:numId w:val="13"/>
        </w:numPr>
        <w:ind w:left="1418" w:hanging="425"/>
        <w:rPr>
          <w:rFonts w:eastAsia="Times New Roman" w:cs="Times New Roman"/>
          <w:szCs w:val="24"/>
        </w:rPr>
      </w:pPr>
      <w:r w:rsidRPr="00043D08">
        <w:rPr>
          <w:rFonts w:eastAsia="Times New Roman" w:cs="Times New Roman"/>
          <w:szCs w:val="24"/>
        </w:rPr>
        <w:t>valsts aizsardzības spēju stiprināšanai</w:t>
      </w:r>
      <w:r w:rsidR="00557435" w:rsidRPr="00043D08">
        <w:rPr>
          <w:rFonts w:eastAsia="Times New Roman" w:cs="Times New Roman"/>
          <w:szCs w:val="24"/>
        </w:rPr>
        <w:t>;</w:t>
      </w:r>
    </w:p>
    <w:p w14:paraId="4DB9D166" w14:textId="57BF67AC" w:rsidR="00557435" w:rsidRPr="00043D08" w:rsidRDefault="00065178" w:rsidP="00436747">
      <w:pPr>
        <w:pStyle w:val="ListParagraph"/>
        <w:numPr>
          <w:ilvl w:val="0"/>
          <w:numId w:val="13"/>
        </w:numPr>
        <w:ind w:left="1418" w:hanging="425"/>
        <w:rPr>
          <w:rFonts w:eastAsia="Times New Roman" w:cs="Times New Roman"/>
          <w:szCs w:val="24"/>
        </w:rPr>
      </w:pPr>
      <w:r w:rsidRPr="00043D08">
        <w:rPr>
          <w:rFonts w:eastAsia="Times New Roman" w:cs="Times New Roman"/>
          <w:szCs w:val="24"/>
        </w:rPr>
        <w:t>s</w:t>
      </w:r>
      <w:r w:rsidR="00557435" w:rsidRPr="00043D08">
        <w:rPr>
          <w:rFonts w:eastAsia="Times New Roman" w:cs="Times New Roman"/>
          <w:szCs w:val="24"/>
        </w:rPr>
        <w:t>peciālo ugunsdzēsības un glābšanas transportlīdzekļu iegādei;</w:t>
      </w:r>
    </w:p>
    <w:p w14:paraId="6CA31057" w14:textId="2C221838" w:rsidR="00557435" w:rsidRPr="00043D08" w:rsidRDefault="00065178" w:rsidP="00436747">
      <w:pPr>
        <w:pStyle w:val="ListParagraph"/>
        <w:numPr>
          <w:ilvl w:val="0"/>
          <w:numId w:val="13"/>
        </w:numPr>
        <w:ind w:left="1418" w:hanging="425"/>
        <w:rPr>
          <w:rFonts w:eastAsia="Times New Roman" w:cs="Times New Roman"/>
          <w:szCs w:val="24"/>
        </w:rPr>
      </w:pPr>
      <w:r w:rsidRPr="00043D08">
        <w:rPr>
          <w:rFonts w:eastAsia="Times New Roman" w:cs="Times New Roman"/>
          <w:szCs w:val="24"/>
        </w:rPr>
        <w:t xml:space="preserve">Valsts ugunsdzēsības un glābšanas dienesta </w:t>
      </w:r>
      <w:r w:rsidR="00557435" w:rsidRPr="00043D08">
        <w:rPr>
          <w:rFonts w:eastAsia="Times New Roman" w:cs="Times New Roman"/>
          <w:szCs w:val="24"/>
        </w:rPr>
        <w:t>depo - katastrofu pārvaldības centru izbūvei;</w:t>
      </w:r>
    </w:p>
    <w:p w14:paraId="46B6D516" w14:textId="3FCCF29F" w:rsidR="00557435" w:rsidRPr="00043D08" w:rsidRDefault="00065178" w:rsidP="00436747">
      <w:pPr>
        <w:pStyle w:val="ListParagraph"/>
        <w:numPr>
          <w:ilvl w:val="0"/>
          <w:numId w:val="13"/>
        </w:numPr>
        <w:ind w:left="1418" w:hanging="425"/>
        <w:rPr>
          <w:rFonts w:eastAsia="Times New Roman" w:cs="Times New Roman"/>
          <w:szCs w:val="24"/>
        </w:rPr>
      </w:pPr>
      <w:r w:rsidRPr="00043D08">
        <w:rPr>
          <w:rFonts w:eastAsia="Times New Roman" w:cs="Times New Roman"/>
          <w:szCs w:val="24"/>
        </w:rPr>
        <w:lastRenderedPageBreak/>
        <w:t>i</w:t>
      </w:r>
      <w:r w:rsidR="00557435" w:rsidRPr="00043D08">
        <w:rPr>
          <w:rFonts w:eastAsia="Times New Roman" w:cs="Times New Roman"/>
          <w:szCs w:val="24"/>
        </w:rPr>
        <w:t>edzīvotāju nodrošināšanai ar pirmās nepieciešamības rūpniecības precēm valsts apdraudējum</w:t>
      </w:r>
      <w:r w:rsidR="00B62456" w:rsidRPr="00043D08">
        <w:rPr>
          <w:rFonts w:eastAsia="Times New Roman" w:cs="Times New Roman"/>
          <w:szCs w:val="24"/>
        </w:rPr>
        <w:t>a</w:t>
      </w:r>
      <w:r w:rsidR="00557435" w:rsidRPr="00043D08">
        <w:rPr>
          <w:rFonts w:eastAsia="Times New Roman" w:cs="Times New Roman"/>
          <w:szCs w:val="24"/>
        </w:rPr>
        <w:t xml:space="preserve"> gadījumā;</w:t>
      </w:r>
    </w:p>
    <w:p w14:paraId="6F199404" w14:textId="69CF46C6" w:rsidR="00557435" w:rsidRPr="00043D08" w:rsidRDefault="00065178" w:rsidP="00436747">
      <w:pPr>
        <w:pStyle w:val="ListParagraph"/>
        <w:numPr>
          <w:ilvl w:val="0"/>
          <w:numId w:val="13"/>
        </w:numPr>
        <w:ind w:left="1418" w:hanging="425"/>
        <w:rPr>
          <w:rFonts w:eastAsia="Times New Roman" w:cs="Times New Roman"/>
          <w:szCs w:val="24"/>
        </w:rPr>
      </w:pPr>
      <w:proofErr w:type="spellStart"/>
      <w:r w:rsidRPr="00043D08">
        <w:rPr>
          <w:rFonts w:eastAsia="Times New Roman" w:cs="Times New Roman"/>
          <w:szCs w:val="24"/>
        </w:rPr>
        <w:t>k</w:t>
      </w:r>
      <w:r w:rsidR="00557435" w:rsidRPr="00043D08">
        <w:rPr>
          <w:rFonts w:eastAsia="Times New Roman" w:cs="Times New Roman"/>
          <w:szCs w:val="24"/>
        </w:rPr>
        <w:t>iberdrošības</w:t>
      </w:r>
      <w:proofErr w:type="spellEnd"/>
      <w:r w:rsidR="00557435" w:rsidRPr="00043D08">
        <w:rPr>
          <w:rFonts w:eastAsia="Times New Roman" w:cs="Times New Roman"/>
          <w:szCs w:val="24"/>
        </w:rPr>
        <w:t xml:space="preserve"> stiprināšanai;</w:t>
      </w:r>
    </w:p>
    <w:p w14:paraId="4350544A" w14:textId="4AD6017C" w:rsidR="00557435" w:rsidRPr="00043D08" w:rsidRDefault="00557435" w:rsidP="00436747">
      <w:pPr>
        <w:pStyle w:val="ListParagraph"/>
        <w:numPr>
          <w:ilvl w:val="0"/>
          <w:numId w:val="13"/>
        </w:numPr>
        <w:ind w:left="1418" w:hanging="425"/>
        <w:rPr>
          <w:rFonts w:eastAsia="Times New Roman" w:cs="Times New Roman"/>
          <w:szCs w:val="24"/>
        </w:rPr>
      </w:pPr>
      <w:r w:rsidRPr="00043D08">
        <w:rPr>
          <w:rFonts w:eastAsia="Times New Roman" w:cs="Times New Roman"/>
          <w:szCs w:val="24"/>
        </w:rPr>
        <w:t>Valsts policijas Rīgas reģiona pārvaldes struktūrvienību nodrošināšanai ar atbilstošām telpām</w:t>
      </w:r>
      <w:r w:rsidR="00FB434A" w:rsidRPr="00043D08">
        <w:rPr>
          <w:rFonts w:eastAsia="Times New Roman" w:cs="Times New Roman"/>
          <w:szCs w:val="24"/>
        </w:rPr>
        <w:t>;</w:t>
      </w:r>
      <w:r w:rsidRPr="00043D08">
        <w:rPr>
          <w:rFonts w:eastAsia="Times New Roman" w:cs="Times New Roman"/>
          <w:szCs w:val="24"/>
        </w:rPr>
        <w:t xml:space="preserve">  </w:t>
      </w:r>
    </w:p>
    <w:p w14:paraId="7BBE7804" w14:textId="0FEE03FC" w:rsidR="00557435" w:rsidRPr="00043D08" w:rsidRDefault="00557435" w:rsidP="00FB434A">
      <w:pPr>
        <w:rPr>
          <w:rFonts w:eastAsia="Times New Roman" w:cs="Times New Roman"/>
          <w:szCs w:val="24"/>
        </w:rPr>
      </w:pPr>
      <w:r w:rsidRPr="00043D08">
        <w:rPr>
          <w:rFonts w:eastAsia="Times New Roman" w:cs="Times New Roman"/>
          <w:szCs w:val="24"/>
        </w:rPr>
        <w:t>3) vienreizējie izdevumi enerģijas cenu būtiskā pieauguma kompensācijai;</w:t>
      </w:r>
    </w:p>
    <w:p w14:paraId="550F2930" w14:textId="391B9691" w:rsidR="00557435" w:rsidRPr="00043D08" w:rsidRDefault="00557435" w:rsidP="00FB434A">
      <w:pPr>
        <w:rPr>
          <w:rFonts w:eastAsia="Times New Roman" w:cs="Times New Roman"/>
          <w:szCs w:val="24"/>
        </w:rPr>
      </w:pPr>
      <w:r w:rsidRPr="00043D08">
        <w:rPr>
          <w:rFonts w:eastAsia="Times New Roman" w:cs="Times New Roman"/>
          <w:szCs w:val="24"/>
        </w:rPr>
        <w:t>4) vienreizējie izdevumi Ukrainas civiliedzīvotāju atbalstam Latvijā;</w:t>
      </w:r>
    </w:p>
    <w:p w14:paraId="41ABFA78" w14:textId="5C5FCC7C" w:rsidR="00557435" w:rsidRPr="00043D08" w:rsidRDefault="00557435" w:rsidP="00FB434A">
      <w:pPr>
        <w:rPr>
          <w:rFonts w:eastAsia="Times New Roman" w:cs="Times New Roman"/>
          <w:szCs w:val="24"/>
        </w:rPr>
      </w:pPr>
      <w:r w:rsidRPr="00043D08">
        <w:rPr>
          <w:rFonts w:eastAsia="Times New Roman" w:cs="Times New Roman"/>
          <w:szCs w:val="24"/>
        </w:rPr>
        <w:t>5) vienreizēji izdevumi Ukrainas atbalstam;</w:t>
      </w:r>
    </w:p>
    <w:p w14:paraId="7DB493E0" w14:textId="3426A51F" w:rsidR="00557435" w:rsidRPr="00043D08" w:rsidRDefault="00557435" w:rsidP="00436747">
      <w:pPr>
        <w:ind w:left="993" w:hanging="273"/>
        <w:rPr>
          <w:rFonts w:eastAsia="Times New Roman" w:cs="Times New Roman"/>
          <w:szCs w:val="24"/>
        </w:rPr>
      </w:pPr>
      <w:r w:rsidRPr="00043D08">
        <w:rPr>
          <w:rFonts w:eastAsia="Times New Roman" w:cs="Times New Roman"/>
          <w:szCs w:val="24"/>
        </w:rPr>
        <w:t xml:space="preserve">6) valsts aizsardzības bāzes izdevumu pieaugums pret iepriekšējo gadu 100% apmērā. Pirmajā gadā pēc pieauguma 80% apmērā, otrajā gadā pēc pieauguma 60% apmērā, trešajā gadā pēc pieauguma 40% apmērā un ceturtajā gadā pēc pieauguma 20% apmērā. </w:t>
      </w:r>
    </w:p>
    <w:p w14:paraId="57ECEA3F" w14:textId="72CDBB5D" w:rsidR="008F4EAC" w:rsidRPr="00C00C97" w:rsidRDefault="008F4EAC" w:rsidP="008F4EAC">
      <w:pPr>
        <w:ind w:firstLine="709"/>
        <w:rPr>
          <w:rFonts w:eastAsia="Calibri" w:cs="Times New Roman"/>
          <w:color w:val="000000"/>
        </w:rPr>
      </w:pPr>
      <w:r>
        <w:rPr>
          <w:rFonts w:eastAsia="Calibri" w:cs="Times New Roman"/>
          <w:color w:val="000000"/>
        </w:rPr>
        <w:t xml:space="preserve">Likumprojekta </w:t>
      </w:r>
      <w:r w:rsidRPr="00803A5A">
        <w:rPr>
          <w:rFonts w:eastAsia="Times New Roman" w:cs="Times New Roman"/>
          <w:szCs w:val="24"/>
        </w:rPr>
        <w:t>“Par valsts budžetu 2024. gadam un budžeta ietvaru 2024., 2025. un 2026. gadam”</w:t>
      </w:r>
      <w:r>
        <w:rPr>
          <w:rFonts w:eastAsia="Calibri" w:cs="Times New Roman"/>
          <w:color w:val="000000"/>
        </w:rPr>
        <w:t xml:space="preserve"> sagatavošanā tiek ņemta vērā </w:t>
      </w:r>
      <w:r w:rsidR="00282CB3" w:rsidRPr="00C00C97">
        <w:rPr>
          <w:rFonts w:eastAsia="Calibri" w:cs="Times New Roman"/>
          <w:color w:val="000000"/>
        </w:rPr>
        <w:t>2</w:t>
      </w:r>
      <w:r w:rsidRPr="00C00C97">
        <w:rPr>
          <w:rFonts w:eastAsia="Calibri" w:cs="Times New Roman"/>
          <w:color w:val="000000"/>
        </w:rPr>
        <w:t xml:space="preserve">.1. tabulā norādītā vienreizējo pasākumu fiskālā ietekme. </w:t>
      </w:r>
    </w:p>
    <w:p w14:paraId="36E35139" w14:textId="189DA62A" w:rsidR="008F4EAC" w:rsidRPr="006A1FC0" w:rsidRDefault="00282CB3" w:rsidP="008F4EAC">
      <w:pPr>
        <w:spacing w:before="240"/>
        <w:ind w:firstLine="0"/>
        <w:jc w:val="right"/>
        <w:rPr>
          <w:rFonts w:eastAsia="Calibri" w:cs="Times New Roman"/>
          <w:b/>
          <w:bCs/>
          <w:color w:val="000000"/>
        </w:rPr>
      </w:pPr>
      <w:r w:rsidRPr="00C00C97">
        <w:rPr>
          <w:rFonts w:eastAsia="Calibri" w:cs="Times New Roman"/>
          <w:b/>
          <w:bCs/>
          <w:color w:val="000000"/>
        </w:rPr>
        <w:t>2</w:t>
      </w:r>
      <w:r w:rsidR="008F4EAC" w:rsidRPr="00C00C97">
        <w:rPr>
          <w:rFonts w:eastAsia="Calibri" w:cs="Times New Roman"/>
          <w:b/>
          <w:bCs/>
          <w:color w:val="000000"/>
        </w:rPr>
        <w:t>.1. tabula. Vienreizē</w:t>
      </w:r>
      <w:r w:rsidR="00074630" w:rsidRPr="00C00C97">
        <w:rPr>
          <w:rFonts w:eastAsia="Calibri" w:cs="Times New Roman"/>
          <w:b/>
          <w:bCs/>
          <w:color w:val="000000"/>
        </w:rPr>
        <w:t>jo</w:t>
      </w:r>
      <w:r w:rsidR="008F4EAC" w:rsidRPr="00C00C97">
        <w:rPr>
          <w:rFonts w:eastAsia="Calibri" w:cs="Times New Roman"/>
          <w:b/>
          <w:bCs/>
          <w:color w:val="000000"/>
        </w:rPr>
        <w:t xml:space="preserve"> pasākum</w:t>
      </w:r>
      <w:r w:rsidR="00074630" w:rsidRPr="00C00C97">
        <w:rPr>
          <w:rFonts w:eastAsia="Calibri" w:cs="Times New Roman"/>
          <w:b/>
          <w:bCs/>
          <w:color w:val="000000"/>
        </w:rPr>
        <w:t>u</w:t>
      </w:r>
      <w:r w:rsidR="008F4EAC" w:rsidRPr="00C00C97">
        <w:rPr>
          <w:rFonts w:eastAsia="Calibri" w:cs="Times New Roman"/>
          <w:b/>
          <w:bCs/>
          <w:color w:val="000000"/>
        </w:rPr>
        <w:t xml:space="preserve"> (</w:t>
      </w:r>
      <w:proofErr w:type="spellStart"/>
      <w:r w:rsidR="008F4EAC" w:rsidRPr="00C00C97">
        <w:rPr>
          <w:rFonts w:eastAsia="Calibri" w:cs="Times New Roman"/>
          <w:b/>
          <w:bCs/>
          <w:i/>
          <w:iCs/>
          <w:color w:val="000000"/>
        </w:rPr>
        <w:t>one-off</w:t>
      </w:r>
      <w:proofErr w:type="spellEnd"/>
      <w:r w:rsidR="008F4EAC" w:rsidRPr="00C00C97">
        <w:rPr>
          <w:rFonts w:eastAsia="Calibri" w:cs="Times New Roman"/>
          <w:b/>
          <w:bCs/>
          <w:color w:val="000000"/>
        </w:rPr>
        <w:t>)</w:t>
      </w:r>
      <w:r w:rsidR="00074630" w:rsidRPr="00C00C97">
        <w:rPr>
          <w:rFonts w:eastAsia="Calibri" w:cs="Times New Roman"/>
          <w:b/>
          <w:bCs/>
          <w:color w:val="000000"/>
        </w:rPr>
        <w:t xml:space="preserve"> fiskālā ietekme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985"/>
        <w:gridCol w:w="984"/>
        <w:gridCol w:w="1002"/>
        <w:gridCol w:w="984"/>
        <w:gridCol w:w="984"/>
        <w:gridCol w:w="984"/>
        <w:gridCol w:w="985"/>
      </w:tblGrid>
      <w:tr w:rsidR="008F4EAC" w:rsidRPr="0066793B" w14:paraId="07F191EA" w14:textId="77777777" w:rsidTr="00E62B76">
        <w:trPr>
          <w:trHeight w:val="312"/>
          <w:jc w:val="center"/>
        </w:trPr>
        <w:tc>
          <w:tcPr>
            <w:tcW w:w="2684" w:type="dxa"/>
            <w:shd w:val="clear" w:color="auto" w:fill="9CC2E5" w:themeFill="accent1" w:themeFillTint="99"/>
            <w:noWrap/>
            <w:vAlign w:val="center"/>
            <w:hideMark/>
          </w:tcPr>
          <w:p w14:paraId="49AFC57B" w14:textId="77777777" w:rsidR="008F4EAC" w:rsidRPr="00F831E6" w:rsidRDefault="008F4EAC" w:rsidP="0010263E">
            <w:pPr>
              <w:ind w:firstLine="0"/>
              <w:jc w:val="center"/>
              <w:rPr>
                <w:rFonts w:eastAsia="Times New Roman" w:cs="Times New Roman"/>
                <w:color w:val="000000"/>
                <w:sz w:val="18"/>
                <w:szCs w:val="18"/>
              </w:rPr>
            </w:pPr>
          </w:p>
        </w:tc>
        <w:tc>
          <w:tcPr>
            <w:tcW w:w="985" w:type="dxa"/>
            <w:shd w:val="clear" w:color="auto" w:fill="9CC2E5" w:themeFill="accent1" w:themeFillTint="99"/>
            <w:noWrap/>
            <w:vAlign w:val="center"/>
            <w:hideMark/>
          </w:tcPr>
          <w:p w14:paraId="7737EE5A" w14:textId="77777777" w:rsidR="008F4EAC" w:rsidRPr="00E62B76" w:rsidRDefault="008F4EAC" w:rsidP="0010263E">
            <w:pPr>
              <w:ind w:firstLine="0"/>
              <w:jc w:val="center"/>
              <w:rPr>
                <w:rFonts w:eastAsia="Times New Roman" w:cs="Times New Roman"/>
                <w:b/>
                <w:bCs/>
                <w:color w:val="000000"/>
                <w:sz w:val="20"/>
                <w:szCs w:val="20"/>
              </w:rPr>
            </w:pPr>
            <w:r w:rsidRPr="00E62B76">
              <w:rPr>
                <w:rFonts w:eastAsia="Times New Roman" w:cs="Times New Roman"/>
                <w:b/>
                <w:bCs/>
                <w:color w:val="000000"/>
                <w:sz w:val="20"/>
                <w:szCs w:val="20"/>
              </w:rPr>
              <w:t>2020</w:t>
            </w:r>
          </w:p>
        </w:tc>
        <w:tc>
          <w:tcPr>
            <w:tcW w:w="984" w:type="dxa"/>
            <w:shd w:val="clear" w:color="auto" w:fill="9CC2E5" w:themeFill="accent1" w:themeFillTint="99"/>
            <w:noWrap/>
            <w:vAlign w:val="center"/>
            <w:hideMark/>
          </w:tcPr>
          <w:p w14:paraId="37BFD766" w14:textId="77777777" w:rsidR="008F4EAC" w:rsidRPr="00E62B76" w:rsidRDefault="008F4EAC" w:rsidP="0010263E">
            <w:pPr>
              <w:ind w:firstLine="0"/>
              <w:jc w:val="center"/>
              <w:rPr>
                <w:rFonts w:eastAsia="Times New Roman" w:cs="Times New Roman"/>
                <w:b/>
                <w:bCs/>
                <w:color w:val="000000"/>
                <w:sz w:val="20"/>
                <w:szCs w:val="20"/>
              </w:rPr>
            </w:pPr>
            <w:r w:rsidRPr="00E62B76">
              <w:rPr>
                <w:rFonts w:eastAsia="Times New Roman" w:cs="Times New Roman"/>
                <w:b/>
                <w:bCs/>
                <w:color w:val="000000"/>
                <w:sz w:val="20"/>
                <w:szCs w:val="20"/>
              </w:rPr>
              <w:t>2021</w:t>
            </w:r>
          </w:p>
        </w:tc>
        <w:tc>
          <w:tcPr>
            <w:tcW w:w="1002" w:type="dxa"/>
            <w:shd w:val="clear" w:color="auto" w:fill="9CC2E5" w:themeFill="accent1" w:themeFillTint="99"/>
            <w:noWrap/>
            <w:vAlign w:val="center"/>
            <w:hideMark/>
          </w:tcPr>
          <w:p w14:paraId="55B742B0" w14:textId="77777777" w:rsidR="008F4EAC" w:rsidRPr="00E62B76" w:rsidRDefault="008F4EAC" w:rsidP="0010263E">
            <w:pPr>
              <w:ind w:firstLine="0"/>
              <w:jc w:val="center"/>
              <w:rPr>
                <w:rFonts w:eastAsia="Times New Roman" w:cs="Times New Roman"/>
                <w:b/>
                <w:bCs/>
                <w:color w:val="000000"/>
                <w:sz w:val="20"/>
                <w:szCs w:val="20"/>
              </w:rPr>
            </w:pPr>
            <w:r w:rsidRPr="00E62B76">
              <w:rPr>
                <w:rFonts w:eastAsia="Times New Roman" w:cs="Times New Roman"/>
                <w:b/>
                <w:bCs/>
                <w:color w:val="000000"/>
                <w:sz w:val="20"/>
                <w:szCs w:val="20"/>
              </w:rPr>
              <w:t>2022</w:t>
            </w:r>
          </w:p>
        </w:tc>
        <w:tc>
          <w:tcPr>
            <w:tcW w:w="984" w:type="dxa"/>
            <w:shd w:val="clear" w:color="auto" w:fill="9CC2E5" w:themeFill="accent1" w:themeFillTint="99"/>
            <w:noWrap/>
            <w:vAlign w:val="center"/>
            <w:hideMark/>
          </w:tcPr>
          <w:p w14:paraId="72864395" w14:textId="77777777" w:rsidR="008F4EAC" w:rsidRPr="00E62B76" w:rsidRDefault="008F4EAC" w:rsidP="0010263E">
            <w:pPr>
              <w:ind w:firstLine="0"/>
              <w:jc w:val="center"/>
              <w:rPr>
                <w:rFonts w:eastAsia="Times New Roman" w:cs="Times New Roman"/>
                <w:b/>
                <w:bCs/>
                <w:color w:val="000000"/>
                <w:sz w:val="20"/>
                <w:szCs w:val="20"/>
              </w:rPr>
            </w:pPr>
            <w:r w:rsidRPr="00E62B76">
              <w:rPr>
                <w:rFonts w:eastAsia="Times New Roman" w:cs="Times New Roman"/>
                <w:b/>
                <w:bCs/>
                <w:color w:val="000000"/>
                <w:sz w:val="20"/>
                <w:szCs w:val="20"/>
              </w:rPr>
              <w:t>2023</w:t>
            </w:r>
          </w:p>
        </w:tc>
        <w:tc>
          <w:tcPr>
            <w:tcW w:w="984" w:type="dxa"/>
            <w:shd w:val="clear" w:color="auto" w:fill="9CC2E5" w:themeFill="accent1" w:themeFillTint="99"/>
            <w:noWrap/>
            <w:vAlign w:val="center"/>
            <w:hideMark/>
          </w:tcPr>
          <w:p w14:paraId="23DBAFAE" w14:textId="77777777" w:rsidR="008F4EAC" w:rsidRPr="00E62B76" w:rsidRDefault="008F4EAC" w:rsidP="0010263E">
            <w:pPr>
              <w:ind w:firstLine="0"/>
              <w:jc w:val="center"/>
              <w:rPr>
                <w:rFonts w:eastAsia="Times New Roman" w:cs="Times New Roman"/>
                <w:b/>
                <w:bCs/>
                <w:color w:val="000000"/>
                <w:sz w:val="20"/>
                <w:szCs w:val="20"/>
              </w:rPr>
            </w:pPr>
            <w:r w:rsidRPr="00E62B76">
              <w:rPr>
                <w:rFonts w:eastAsia="Times New Roman" w:cs="Times New Roman"/>
                <w:b/>
                <w:bCs/>
                <w:color w:val="000000"/>
                <w:sz w:val="20"/>
                <w:szCs w:val="20"/>
              </w:rPr>
              <w:t>2024</w:t>
            </w:r>
          </w:p>
        </w:tc>
        <w:tc>
          <w:tcPr>
            <w:tcW w:w="984" w:type="dxa"/>
            <w:shd w:val="clear" w:color="auto" w:fill="9CC2E5" w:themeFill="accent1" w:themeFillTint="99"/>
            <w:noWrap/>
            <w:vAlign w:val="center"/>
            <w:hideMark/>
          </w:tcPr>
          <w:p w14:paraId="3DEF6620" w14:textId="77777777" w:rsidR="008F4EAC" w:rsidRPr="00E62B76" w:rsidRDefault="008F4EAC" w:rsidP="0010263E">
            <w:pPr>
              <w:ind w:firstLine="0"/>
              <w:jc w:val="center"/>
              <w:rPr>
                <w:rFonts w:eastAsia="Times New Roman" w:cs="Times New Roman"/>
                <w:b/>
                <w:bCs/>
                <w:color w:val="000000"/>
                <w:sz w:val="20"/>
                <w:szCs w:val="20"/>
              </w:rPr>
            </w:pPr>
            <w:r w:rsidRPr="00E62B76">
              <w:rPr>
                <w:rFonts w:eastAsia="Times New Roman" w:cs="Times New Roman"/>
                <w:b/>
                <w:bCs/>
                <w:color w:val="000000"/>
                <w:sz w:val="20"/>
                <w:szCs w:val="20"/>
              </w:rPr>
              <w:t>2025</w:t>
            </w:r>
          </w:p>
        </w:tc>
        <w:tc>
          <w:tcPr>
            <w:tcW w:w="985" w:type="dxa"/>
            <w:shd w:val="clear" w:color="auto" w:fill="9CC2E5" w:themeFill="accent1" w:themeFillTint="99"/>
            <w:vAlign w:val="center"/>
          </w:tcPr>
          <w:p w14:paraId="242DB125" w14:textId="77777777" w:rsidR="008F4EAC" w:rsidRPr="00E62B76" w:rsidRDefault="008F4EAC" w:rsidP="0010263E">
            <w:pPr>
              <w:ind w:firstLine="0"/>
              <w:jc w:val="center"/>
              <w:rPr>
                <w:rFonts w:eastAsia="Times New Roman" w:cs="Times New Roman"/>
                <w:b/>
                <w:bCs/>
                <w:color w:val="000000"/>
                <w:sz w:val="20"/>
                <w:szCs w:val="20"/>
              </w:rPr>
            </w:pPr>
            <w:r w:rsidRPr="00E62B76">
              <w:rPr>
                <w:rFonts w:eastAsia="Times New Roman" w:cs="Times New Roman"/>
                <w:b/>
                <w:bCs/>
                <w:color w:val="000000"/>
                <w:sz w:val="20"/>
                <w:szCs w:val="20"/>
              </w:rPr>
              <w:t>2026</w:t>
            </w:r>
          </w:p>
        </w:tc>
      </w:tr>
      <w:tr w:rsidR="00E62B76" w:rsidRPr="0066793B" w14:paraId="63727E58" w14:textId="77777777" w:rsidTr="00273357">
        <w:trPr>
          <w:trHeight w:val="312"/>
          <w:jc w:val="center"/>
        </w:trPr>
        <w:tc>
          <w:tcPr>
            <w:tcW w:w="2684" w:type="dxa"/>
            <w:shd w:val="clear" w:color="auto" w:fill="auto"/>
            <w:noWrap/>
            <w:vAlign w:val="center"/>
            <w:hideMark/>
          </w:tcPr>
          <w:p w14:paraId="59777DB2" w14:textId="77777777" w:rsidR="00E62B76" w:rsidRPr="00F831E6" w:rsidRDefault="00E62B76" w:rsidP="00273357">
            <w:pPr>
              <w:spacing w:after="0"/>
              <w:ind w:firstLine="0"/>
              <w:jc w:val="left"/>
              <w:rPr>
                <w:rFonts w:eastAsia="Times New Roman" w:cs="Times New Roman"/>
                <w:color w:val="000000"/>
                <w:sz w:val="18"/>
                <w:szCs w:val="18"/>
              </w:rPr>
            </w:pPr>
            <w:r w:rsidRPr="00F831E6">
              <w:rPr>
                <w:rFonts w:eastAsia="Times New Roman" w:cs="Times New Roman"/>
                <w:color w:val="000000"/>
                <w:sz w:val="18"/>
                <w:szCs w:val="18"/>
              </w:rPr>
              <w:t xml:space="preserve">IKP </w:t>
            </w:r>
            <w:r w:rsidRPr="0066793B">
              <w:rPr>
                <w:rFonts w:eastAsia="Times New Roman" w:cs="Times New Roman"/>
                <w:color w:val="000000"/>
                <w:sz w:val="18"/>
                <w:szCs w:val="18"/>
              </w:rPr>
              <w:t xml:space="preserve">(milj. </w:t>
            </w:r>
            <w:proofErr w:type="spellStart"/>
            <w:r w:rsidRPr="0066793B">
              <w:rPr>
                <w:rFonts w:eastAsia="Times New Roman" w:cs="Times New Roman"/>
                <w:i/>
                <w:iCs/>
                <w:color w:val="000000"/>
                <w:sz w:val="18"/>
                <w:szCs w:val="18"/>
              </w:rPr>
              <w:t>euro</w:t>
            </w:r>
            <w:proofErr w:type="spellEnd"/>
            <w:r w:rsidRPr="0066793B">
              <w:rPr>
                <w:rFonts w:eastAsia="Times New Roman" w:cs="Times New Roman"/>
                <w:color w:val="000000"/>
                <w:sz w:val="18"/>
                <w:szCs w:val="18"/>
              </w:rPr>
              <w:t>)</w:t>
            </w:r>
          </w:p>
        </w:tc>
        <w:tc>
          <w:tcPr>
            <w:tcW w:w="985" w:type="dxa"/>
            <w:shd w:val="clear" w:color="auto" w:fill="auto"/>
            <w:noWrap/>
            <w:vAlign w:val="center"/>
            <w:hideMark/>
          </w:tcPr>
          <w:p w14:paraId="581DFEA3" w14:textId="555E45E4" w:rsidR="00E62B76" w:rsidRPr="00E62B76" w:rsidRDefault="00E62B76" w:rsidP="00273357">
            <w:pPr>
              <w:spacing w:after="0"/>
              <w:ind w:firstLine="0"/>
              <w:jc w:val="center"/>
              <w:rPr>
                <w:rFonts w:eastAsia="Times New Roman" w:cs="Times New Roman"/>
                <w:color w:val="000000"/>
                <w:sz w:val="20"/>
                <w:szCs w:val="20"/>
                <w:highlight w:val="yellow"/>
              </w:rPr>
            </w:pPr>
            <w:r>
              <w:rPr>
                <w:b/>
                <w:bCs/>
                <w:sz w:val="20"/>
                <w:szCs w:val="20"/>
              </w:rPr>
              <w:t>30 109</w:t>
            </w:r>
          </w:p>
        </w:tc>
        <w:tc>
          <w:tcPr>
            <w:tcW w:w="984" w:type="dxa"/>
            <w:shd w:val="clear" w:color="auto" w:fill="auto"/>
            <w:noWrap/>
            <w:vAlign w:val="center"/>
            <w:hideMark/>
          </w:tcPr>
          <w:p w14:paraId="11BE9F6A" w14:textId="10917541" w:rsidR="00E62B76" w:rsidRPr="00E62B76" w:rsidRDefault="00E62B76" w:rsidP="00273357">
            <w:pPr>
              <w:spacing w:after="0"/>
              <w:ind w:firstLine="0"/>
              <w:jc w:val="center"/>
              <w:rPr>
                <w:rFonts w:eastAsia="Times New Roman" w:cs="Times New Roman"/>
                <w:color w:val="000000"/>
                <w:sz w:val="20"/>
                <w:szCs w:val="20"/>
                <w:highlight w:val="yellow"/>
              </w:rPr>
            </w:pPr>
            <w:r>
              <w:rPr>
                <w:b/>
                <w:bCs/>
                <w:sz w:val="20"/>
                <w:szCs w:val="20"/>
              </w:rPr>
              <w:t>33 349</w:t>
            </w:r>
          </w:p>
        </w:tc>
        <w:tc>
          <w:tcPr>
            <w:tcW w:w="1002" w:type="dxa"/>
            <w:shd w:val="clear" w:color="auto" w:fill="auto"/>
            <w:noWrap/>
            <w:vAlign w:val="center"/>
            <w:hideMark/>
          </w:tcPr>
          <w:p w14:paraId="58F66412" w14:textId="77BE4C16" w:rsidR="00E62B76" w:rsidRPr="00E62B76" w:rsidRDefault="00E62B76" w:rsidP="00273357">
            <w:pPr>
              <w:spacing w:after="0"/>
              <w:ind w:firstLine="0"/>
              <w:jc w:val="center"/>
              <w:rPr>
                <w:rFonts w:eastAsia="Times New Roman" w:cs="Times New Roman"/>
                <w:color w:val="000000"/>
                <w:sz w:val="20"/>
                <w:szCs w:val="20"/>
                <w:highlight w:val="yellow"/>
              </w:rPr>
            </w:pPr>
            <w:r>
              <w:rPr>
                <w:b/>
                <w:bCs/>
                <w:sz w:val="20"/>
                <w:szCs w:val="20"/>
              </w:rPr>
              <w:t>38 870</w:t>
            </w:r>
          </w:p>
        </w:tc>
        <w:tc>
          <w:tcPr>
            <w:tcW w:w="984" w:type="dxa"/>
            <w:shd w:val="clear" w:color="auto" w:fill="auto"/>
            <w:noWrap/>
            <w:vAlign w:val="center"/>
            <w:hideMark/>
          </w:tcPr>
          <w:p w14:paraId="7F69FA13" w14:textId="0E38A118" w:rsidR="00E62B76" w:rsidRPr="00E62B76" w:rsidRDefault="00E62B76" w:rsidP="00273357">
            <w:pPr>
              <w:spacing w:after="0"/>
              <w:ind w:firstLine="0"/>
              <w:jc w:val="center"/>
              <w:rPr>
                <w:rFonts w:eastAsia="Times New Roman" w:cs="Times New Roman"/>
                <w:color w:val="000000"/>
                <w:sz w:val="20"/>
                <w:szCs w:val="20"/>
                <w:highlight w:val="yellow"/>
              </w:rPr>
            </w:pPr>
            <w:r>
              <w:rPr>
                <w:b/>
                <w:bCs/>
                <w:sz w:val="20"/>
                <w:szCs w:val="20"/>
              </w:rPr>
              <w:t>43 155</w:t>
            </w:r>
          </w:p>
        </w:tc>
        <w:tc>
          <w:tcPr>
            <w:tcW w:w="984" w:type="dxa"/>
            <w:shd w:val="clear" w:color="auto" w:fill="auto"/>
            <w:noWrap/>
            <w:vAlign w:val="center"/>
            <w:hideMark/>
          </w:tcPr>
          <w:p w14:paraId="1FABAE8E" w14:textId="7513E3E4" w:rsidR="00E62B76" w:rsidRPr="00E62B76" w:rsidRDefault="00E62B76" w:rsidP="00273357">
            <w:pPr>
              <w:spacing w:after="0"/>
              <w:ind w:firstLine="0"/>
              <w:jc w:val="center"/>
              <w:rPr>
                <w:rFonts w:eastAsia="Times New Roman" w:cs="Times New Roman"/>
                <w:color w:val="000000"/>
                <w:sz w:val="20"/>
                <w:szCs w:val="20"/>
                <w:highlight w:val="yellow"/>
              </w:rPr>
            </w:pPr>
            <w:r>
              <w:rPr>
                <w:b/>
                <w:bCs/>
                <w:sz w:val="20"/>
                <w:szCs w:val="20"/>
              </w:rPr>
              <w:t>45 524</w:t>
            </w:r>
          </w:p>
        </w:tc>
        <w:tc>
          <w:tcPr>
            <w:tcW w:w="984" w:type="dxa"/>
            <w:shd w:val="clear" w:color="auto" w:fill="auto"/>
            <w:noWrap/>
            <w:vAlign w:val="center"/>
            <w:hideMark/>
          </w:tcPr>
          <w:p w14:paraId="1854369C" w14:textId="734B4423" w:rsidR="00E62B76" w:rsidRPr="00E62B76" w:rsidRDefault="00E62B76" w:rsidP="00273357">
            <w:pPr>
              <w:spacing w:after="0"/>
              <w:ind w:firstLine="0"/>
              <w:jc w:val="center"/>
              <w:rPr>
                <w:rFonts w:eastAsia="Times New Roman" w:cs="Times New Roman"/>
                <w:color w:val="000000"/>
                <w:sz w:val="20"/>
                <w:szCs w:val="20"/>
                <w:highlight w:val="yellow"/>
              </w:rPr>
            </w:pPr>
            <w:r>
              <w:rPr>
                <w:b/>
                <w:bCs/>
                <w:sz w:val="20"/>
                <w:szCs w:val="20"/>
              </w:rPr>
              <w:t>48 338</w:t>
            </w:r>
          </w:p>
        </w:tc>
        <w:tc>
          <w:tcPr>
            <w:tcW w:w="985" w:type="dxa"/>
            <w:shd w:val="clear" w:color="auto" w:fill="auto"/>
            <w:vAlign w:val="center"/>
          </w:tcPr>
          <w:p w14:paraId="71BFBAE9" w14:textId="770F2D2F" w:rsidR="00E62B76" w:rsidRPr="00E62B76" w:rsidRDefault="00E62B76" w:rsidP="00273357">
            <w:pPr>
              <w:spacing w:after="0"/>
              <w:ind w:firstLine="0"/>
              <w:jc w:val="center"/>
              <w:rPr>
                <w:rFonts w:eastAsia="Times New Roman" w:cs="Times New Roman"/>
                <w:color w:val="000000"/>
                <w:sz w:val="20"/>
                <w:szCs w:val="20"/>
                <w:highlight w:val="yellow"/>
              </w:rPr>
            </w:pPr>
            <w:r>
              <w:rPr>
                <w:b/>
                <w:bCs/>
                <w:sz w:val="20"/>
                <w:szCs w:val="20"/>
              </w:rPr>
              <w:t>51 122</w:t>
            </w:r>
          </w:p>
        </w:tc>
      </w:tr>
      <w:tr w:rsidR="00074630" w:rsidRPr="0066793B" w14:paraId="4884AE84" w14:textId="77777777" w:rsidTr="00E62B76">
        <w:trPr>
          <w:trHeight w:val="68"/>
          <w:jc w:val="center"/>
        </w:trPr>
        <w:tc>
          <w:tcPr>
            <w:tcW w:w="2684" w:type="dxa"/>
            <w:shd w:val="clear" w:color="auto" w:fill="FFFFFF" w:themeFill="background1"/>
            <w:noWrap/>
            <w:vAlign w:val="bottom"/>
          </w:tcPr>
          <w:p w14:paraId="3A65DFFE" w14:textId="77777777" w:rsidR="00074630" w:rsidRPr="0066793B" w:rsidRDefault="00074630" w:rsidP="00E62B76">
            <w:pPr>
              <w:spacing w:after="0"/>
              <w:ind w:firstLine="0"/>
              <w:jc w:val="left"/>
              <w:rPr>
                <w:rFonts w:eastAsia="Times New Roman" w:cs="Times New Roman"/>
                <w:color w:val="000000"/>
                <w:sz w:val="18"/>
                <w:szCs w:val="18"/>
              </w:rPr>
            </w:pPr>
          </w:p>
        </w:tc>
        <w:tc>
          <w:tcPr>
            <w:tcW w:w="3955" w:type="dxa"/>
            <w:gridSpan w:val="4"/>
            <w:shd w:val="clear" w:color="auto" w:fill="FFFFFF" w:themeFill="background1"/>
            <w:noWrap/>
            <w:vAlign w:val="center"/>
          </w:tcPr>
          <w:p w14:paraId="6B70F00D" w14:textId="453F4104" w:rsidR="00074630" w:rsidRPr="00E62B76" w:rsidRDefault="00074630" w:rsidP="00E62B76">
            <w:pPr>
              <w:spacing w:after="0"/>
              <w:ind w:firstLine="0"/>
              <w:jc w:val="center"/>
              <w:rPr>
                <w:rFonts w:eastAsia="Times New Roman" w:cs="Times New Roman"/>
                <w:color w:val="000000"/>
                <w:sz w:val="20"/>
                <w:szCs w:val="20"/>
              </w:rPr>
            </w:pPr>
            <w:r w:rsidRPr="00E62B76">
              <w:rPr>
                <w:rFonts w:eastAsia="Times New Roman" w:cs="Times New Roman"/>
                <w:color w:val="000000"/>
                <w:sz w:val="20"/>
                <w:szCs w:val="20"/>
              </w:rPr>
              <w:t>fakts/novērtējums</w:t>
            </w:r>
          </w:p>
        </w:tc>
        <w:tc>
          <w:tcPr>
            <w:tcW w:w="2953" w:type="dxa"/>
            <w:gridSpan w:val="3"/>
            <w:shd w:val="clear" w:color="auto" w:fill="E7E6E6" w:themeFill="background2"/>
            <w:vAlign w:val="center"/>
          </w:tcPr>
          <w:p w14:paraId="7C0AE1C8" w14:textId="4E28C0B4" w:rsidR="00074630" w:rsidRPr="00E62B76" w:rsidRDefault="00074630" w:rsidP="00E62B76">
            <w:pPr>
              <w:spacing w:after="0"/>
              <w:ind w:firstLine="0"/>
              <w:jc w:val="center"/>
              <w:rPr>
                <w:rFonts w:eastAsia="Times New Roman" w:cs="Times New Roman"/>
                <w:color w:val="000000"/>
                <w:sz w:val="20"/>
                <w:szCs w:val="20"/>
              </w:rPr>
            </w:pPr>
            <w:r w:rsidRPr="00E62B76">
              <w:rPr>
                <w:rFonts w:eastAsia="Times New Roman" w:cs="Times New Roman"/>
                <w:color w:val="000000"/>
                <w:sz w:val="20"/>
                <w:szCs w:val="20"/>
              </w:rPr>
              <w:t>prognoze</w:t>
            </w:r>
          </w:p>
        </w:tc>
      </w:tr>
      <w:tr w:rsidR="00E62B76" w:rsidRPr="00805038" w14:paraId="75DEB081" w14:textId="77777777" w:rsidTr="00E62B76">
        <w:trPr>
          <w:trHeight w:val="312"/>
          <w:jc w:val="center"/>
        </w:trPr>
        <w:tc>
          <w:tcPr>
            <w:tcW w:w="2684" w:type="dxa"/>
            <w:shd w:val="clear" w:color="auto" w:fill="BDD6EE" w:themeFill="accent1" w:themeFillTint="66"/>
            <w:noWrap/>
            <w:vAlign w:val="center"/>
            <w:hideMark/>
          </w:tcPr>
          <w:p w14:paraId="2527D758" w14:textId="77777777" w:rsidR="00E62B76" w:rsidRPr="00F831E6" w:rsidRDefault="00E62B76" w:rsidP="00E62B76">
            <w:pPr>
              <w:spacing w:after="0"/>
              <w:ind w:firstLine="0"/>
              <w:jc w:val="left"/>
              <w:rPr>
                <w:rFonts w:eastAsia="Times New Roman" w:cs="Times New Roman"/>
                <w:b/>
                <w:bCs/>
                <w:color w:val="000000"/>
                <w:sz w:val="18"/>
                <w:szCs w:val="18"/>
              </w:rPr>
            </w:pPr>
            <w:proofErr w:type="spellStart"/>
            <w:r w:rsidRPr="00F831E6">
              <w:rPr>
                <w:rFonts w:eastAsia="Times New Roman" w:cs="Times New Roman"/>
                <w:b/>
                <w:bCs/>
                <w:i/>
                <w:iCs/>
                <w:color w:val="000000"/>
                <w:sz w:val="18"/>
                <w:szCs w:val="18"/>
              </w:rPr>
              <w:t>One-off</w:t>
            </w:r>
            <w:proofErr w:type="spellEnd"/>
            <w:r w:rsidRPr="00F831E6">
              <w:rPr>
                <w:rFonts w:eastAsia="Times New Roman" w:cs="Times New Roman"/>
                <w:b/>
                <w:bCs/>
                <w:color w:val="000000"/>
                <w:sz w:val="18"/>
                <w:szCs w:val="18"/>
              </w:rPr>
              <w:t xml:space="preserve"> un citi īslaicīgie pasākumi</w:t>
            </w:r>
            <w:r w:rsidRPr="00805038">
              <w:rPr>
                <w:rFonts w:eastAsia="Times New Roman" w:cs="Times New Roman"/>
                <w:b/>
                <w:bCs/>
                <w:color w:val="000000"/>
                <w:sz w:val="18"/>
                <w:szCs w:val="18"/>
              </w:rPr>
              <w:t xml:space="preserve"> </w:t>
            </w:r>
            <w:r w:rsidRPr="00F831E6">
              <w:rPr>
                <w:rFonts w:eastAsia="Times New Roman" w:cs="Times New Roman"/>
                <w:b/>
                <w:bCs/>
                <w:color w:val="000000"/>
                <w:sz w:val="18"/>
                <w:szCs w:val="18"/>
              </w:rPr>
              <w:t xml:space="preserve"> </w:t>
            </w:r>
            <w:r w:rsidRPr="00805038">
              <w:rPr>
                <w:rFonts w:eastAsia="Times New Roman" w:cs="Times New Roman"/>
                <w:b/>
                <w:bCs/>
                <w:color w:val="000000"/>
                <w:sz w:val="18"/>
                <w:szCs w:val="18"/>
              </w:rPr>
              <w:t>(</w:t>
            </w:r>
            <w:r w:rsidRPr="00F831E6">
              <w:rPr>
                <w:rFonts w:eastAsia="Times New Roman" w:cs="Times New Roman"/>
                <w:b/>
                <w:bCs/>
                <w:color w:val="000000"/>
                <w:sz w:val="18"/>
                <w:szCs w:val="18"/>
              </w:rPr>
              <w:t xml:space="preserve">milj. </w:t>
            </w:r>
            <w:proofErr w:type="spellStart"/>
            <w:r w:rsidRPr="00F831E6">
              <w:rPr>
                <w:rFonts w:eastAsia="Times New Roman" w:cs="Times New Roman"/>
                <w:b/>
                <w:bCs/>
                <w:i/>
                <w:iCs/>
                <w:color w:val="000000"/>
                <w:sz w:val="18"/>
                <w:szCs w:val="18"/>
              </w:rPr>
              <w:t>euro</w:t>
            </w:r>
            <w:proofErr w:type="spellEnd"/>
            <w:r w:rsidRPr="00805038">
              <w:rPr>
                <w:rFonts w:eastAsia="Times New Roman" w:cs="Times New Roman"/>
                <w:b/>
                <w:bCs/>
                <w:i/>
                <w:iCs/>
                <w:color w:val="000000"/>
                <w:sz w:val="18"/>
                <w:szCs w:val="18"/>
              </w:rPr>
              <w:t>)</w:t>
            </w:r>
            <w:r w:rsidRPr="00F831E6">
              <w:rPr>
                <w:rFonts w:eastAsia="Times New Roman" w:cs="Times New Roman"/>
                <w:b/>
                <w:bCs/>
                <w:color w:val="000000"/>
                <w:sz w:val="18"/>
                <w:szCs w:val="18"/>
              </w:rPr>
              <w:t>, tai skaitā</w:t>
            </w:r>
          </w:p>
        </w:tc>
        <w:tc>
          <w:tcPr>
            <w:tcW w:w="985" w:type="dxa"/>
            <w:shd w:val="clear" w:color="auto" w:fill="BDD6EE" w:themeFill="accent1" w:themeFillTint="66"/>
            <w:noWrap/>
            <w:vAlign w:val="center"/>
          </w:tcPr>
          <w:p w14:paraId="047D1933" w14:textId="6947DA3E"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sz w:val="20"/>
                <w:szCs w:val="20"/>
              </w:rPr>
              <w:t>-1 018,1</w:t>
            </w:r>
          </w:p>
        </w:tc>
        <w:tc>
          <w:tcPr>
            <w:tcW w:w="984" w:type="dxa"/>
            <w:shd w:val="clear" w:color="auto" w:fill="BDD6EE" w:themeFill="accent1" w:themeFillTint="66"/>
            <w:noWrap/>
            <w:vAlign w:val="center"/>
          </w:tcPr>
          <w:p w14:paraId="4E3C5EEB" w14:textId="1838AFAF"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sz w:val="20"/>
                <w:szCs w:val="20"/>
              </w:rPr>
              <w:t>-2 054,7</w:t>
            </w:r>
          </w:p>
        </w:tc>
        <w:tc>
          <w:tcPr>
            <w:tcW w:w="1002" w:type="dxa"/>
            <w:shd w:val="clear" w:color="auto" w:fill="BDD6EE" w:themeFill="accent1" w:themeFillTint="66"/>
            <w:noWrap/>
            <w:vAlign w:val="center"/>
          </w:tcPr>
          <w:p w14:paraId="7D122958" w14:textId="2D68CC28"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-1 878,6</w:t>
            </w:r>
          </w:p>
        </w:tc>
        <w:tc>
          <w:tcPr>
            <w:tcW w:w="984" w:type="dxa"/>
            <w:shd w:val="clear" w:color="auto" w:fill="BDD6EE" w:themeFill="accent1" w:themeFillTint="66"/>
            <w:noWrap/>
            <w:vAlign w:val="center"/>
          </w:tcPr>
          <w:p w14:paraId="3CC91C37" w14:textId="73A617AF"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-1 060,4</w:t>
            </w:r>
          </w:p>
        </w:tc>
        <w:tc>
          <w:tcPr>
            <w:tcW w:w="984" w:type="dxa"/>
            <w:shd w:val="clear" w:color="auto" w:fill="BDD6EE" w:themeFill="accent1" w:themeFillTint="66"/>
            <w:noWrap/>
            <w:vAlign w:val="center"/>
          </w:tcPr>
          <w:p w14:paraId="0A4C3E94" w14:textId="61125EBA"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-887,3</w:t>
            </w:r>
          </w:p>
        </w:tc>
        <w:tc>
          <w:tcPr>
            <w:tcW w:w="984" w:type="dxa"/>
            <w:shd w:val="clear" w:color="auto" w:fill="BDD6EE" w:themeFill="accent1" w:themeFillTint="66"/>
            <w:noWrap/>
            <w:vAlign w:val="center"/>
          </w:tcPr>
          <w:p w14:paraId="2A096A04" w14:textId="6FB093F9"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-885,9</w:t>
            </w:r>
          </w:p>
        </w:tc>
        <w:tc>
          <w:tcPr>
            <w:tcW w:w="985" w:type="dxa"/>
            <w:shd w:val="clear" w:color="auto" w:fill="BDD6EE" w:themeFill="accent1" w:themeFillTint="66"/>
            <w:vAlign w:val="center"/>
          </w:tcPr>
          <w:p w14:paraId="4634E269" w14:textId="2FA87DDF"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-601,3</w:t>
            </w:r>
          </w:p>
        </w:tc>
      </w:tr>
      <w:tr w:rsidR="00E62B76" w:rsidRPr="0066793B" w14:paraId="5E52E720" w14:textId="77777777" w:rsidTr="00E62B76">
        <w:trPr>
          <w:trHeight w:val="312"/>
          <w:jc w:val="center"/>
        </w:trPr>
        <w:tc>
          <w:tcPr>
            <w:tcW w:w="2684" w:type="dxa"/>
            <w:shd w:val="clear" w:color="auto" w:fill="auto"/>
            <w:noWrap/>
            <w:vAlign w:val="center"/>
            <w:hideMark/>
          </w:tcPr>
          <w:p w14:paraId="7B26474F" w14:textId="77777777" w:rsidR="00E62B76" w:rsidRPr="00F831E6" w:rsidRDefault="00E62B76" w:rsidP="00E62B76">
            <w:pPr>
              <w:spacing w:after="0"/>
              <w:ind w:firstLine="0"/>
              <w:jc w:val="left"/>
              <w:rPr>
                <w:rFonts w:eastAsia="Times New Roman" w:cs="Times New Roman"/>
                <w:color w:val="000000"/>
                <w:sz w:val="18"/>
                <w:szCs w:val="18"/>
              </w:rPr>
            </w:pPr>
            <w:r w:rsidRPr="00F831E6">
              <w:rPr>
                <w:rFonts w:eastAsia="Times New Roman" w:cs="Times New Roman"/>
                <w:color w:val="000000"/>
                <w:sz w:val="18"/>
                <w:szCs w:val="18"/>
              </w:rPr>
              <w:t>COVID -19 pandēmijas mazināšanas pasākumi</w:t>
            </w:r>
          </w:p>
        </w:tc>
        <w:tc>
          <w:tcPr>
            <w:tcW w:w="985" w:type="dxa"/>
            <w:shd w:val="clear" w:color="auto" w:fill="auto"/>
            <w:noWrap/>
            <w:vAlign w:val="center"/>
          </w:tcPr>
          <w:p w14:paraId="068AAB0C" w14:textId="4FA34B08"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-960,8</w:t>
            </w:r>
          </w:p>
        </w:tc>
        <w:tc>
          <w:tcPr>
            <w:tcW w:w="984" w:type="dxa"/>
            <w:shd w:val="clear" w:color="auto" w:fill="auto"/>
            <w:noWrap/>
            <w:vAlign w:val="center"/>
          </w:tcPr>
          <w:p w14:paraId="10D09CE4" w14:textId="0F6452C7"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-2 102,8</w:t>
            </w:r>
          </w:p>
        </w:tc>
        <w:tc>
          <w:tcPr>
            <w:tcW w:w="1002" w:type="dxa"/>
            <w:shd w:val="clear" w:color="auto" w:fill="auto"/>
            <w:noWrap/>
            <w:vAlign w:val="center"/>
          </w:tcPr>
          <w:p w14:paraId="2E1F8CC7" w14:textId="1F105A13"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-796,4</w:t>
            </w:r>
          </w:p>
        </w:tc>
        <w:tc>
          <w:tcPr>
            <w:tcW w:w="984" w:type="dxa"/>
            <w:shd w:val="clear" w:color="auto" w:fill="auto"/>
            <w:noWrap/>
            <w:vAlign w:val="center"/>
          </w:tcPr>
          <w:p w14:paraId="0B687FBE" w14:textId="5E0ADBCB"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-102,7</w:t>
            </w:r>
          </w:p>
        </w:tc>
        <w:tc>
          <w:tcPr>
            <w:tcW w:w="984" w:type="dxa"/>
            <w:shd w:val="clear" w:color="auto" w:fill="auto"/>
            <w:noWrap/>
            <w:vAlign w:val="center"/>
          </w:tcPr>
          <w:p w14:paraId="42F96082" w14:textId="263725B1"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-7,4</w:t>
            </w:r>
          </w:p>
        </w:tc>
        <w:tc>
          <w:tcPr>
            <w:tcW w:w="984" w:type="dxa"/>
            <w:shd w:val="clear" w:color="auto" w:fill="auto"/>
            <w:noWrap/>
            <w:vAlign w:val="center"/>
          </w:tcPr>
          <w:p w14:paraId="73F835D0" w14:textId="1F23F2F5"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-5,3</w:t>
            </w:r>
          </w:p>
        </w:tc>
        <w:tc>
          <w:tcPr>
            <w:tcW w:w="985" w:type="dxa"/>
            <w:shd w:val="clear" w:color="auto" w:fill="auto"/>
            <w:vAlign w:val="center"/>
          </w:tcPr>
          <w:p w14:paraId="14355D8F" w14:textId="5DD4174B"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-5,3</w:t>
            </w:r>
          </w:p>
        </w:tc>
      </w:tr>
      <w:tr w:rsidR="00E62B76" w:rsidRPr="0066793B" w14:paraId="77735F0D" w14:textId="77777777" w:rsidTr="00E62B76">
        <w:trPr>
          <w:trHeight w:val="312"/>
          <w:jc w:val="center"/>
        </w:trPr>
        <w:tc>
          <w:tcPr>
            <w:tcW w:w="2684" w:type="dxa"/>
            <w:shd w:val="clear" w:color="auto" w:fill="auto"/>
            <w:noWrap/>
            <w:vAlign w:val="center"/>
            <w:hideMark/>
          </w:tcPr>
          <w:p w14:paraId="2D79AEF6" w14:textId="77777777" w:rsidR="00E62B76" w:rsidRPr="00F831E6" w:rsidRDefault="00E62B76" w:rsidP="00E62B76">
            <w:pPr>
              <w:spacing w:after="0"/>
              <w:ind w:firstLine="0"/>
              <w:jc w:val="left"/>
              <w:rPr>
                <w:rFonts w:eastAsia="Times New Roman" w:cs="Times New Roman"/>
                <w:color w:val="000000"/>
                <w:sz w:val="18"/>
                <w:szCs w:val="18"/>
              </w:rPr>
            </w:pPr>
            <w:r w:rsidRPr="00F831E6">
              <w:rPr>
                <w:rFonts w:eastAsia="Times New Roman" w:cs="Times New Roman"/>
                <w:color w:val="000000"/>
                <w:sz w:val="18"/>
                <w:szCs w:val="18"/>
              </w:rPr>
              <w:t>enerģijas cenas pieauguma mazināšanas pasākumi</w:t>
            </w:r>
          </w:p>
        </w:tc>
        <w:tc>
          <w:tcPr>
            <w:tcW w:w="985" w:type="dxa"/>
            <w:shd w:val="clear" w:color="auto" w:fill="auto"/>
            <w:noWrap/>
            <w:vAlign w:val="center"/>
          </w:tcPr>
          <w:p w14:paraId="3039E245" w14:textId="5EB5DA82"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37AA2ECF" w14:textId="1DD7BC63"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-1,9</w:t>
            </w:r>
          </w:p>
        </w:tc>
        <w:tc>
          <w:tcPr>
            <w:tcW w:w="1002" w:type="dxa"/>
            <w:shd w:val="clear" w:color="auto" w:fill="auto"/>
            <w:noWrap/>
            <w:vAlign w:val="center"/>
          </w:tcPr>
          <w:p w14:paraId="16D28874" w14:textId="04E207DD"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-1 001,2</w:t>
            </w:r>
          </w:p>
        </w:tc>
        <w:tc>
          <w:tcPr>
            <w:tcW w:w="984" w:type="dxa"/>
            <w:shd w:val="clear" w:color="auto" w:fill="auto"/>
            <w:noWrap/>
            <w:vAlign w:val="center"/>
          </w:tcPr>
          <w:p w14:paraId="25C98809" w14:textId="32A3171A"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-429,2</w:t>
            </w:r>
          </w:p>
        </w:tc>
        <w:tc>
          <w:tcPr>
            <w:tcW w:w="984" w:type="dxa"/>
            <w:shd w:val="clear" w:color="auto" w:fill="auto"/>
            <w:noWrap/>
            <w:vAlign w:val="center"/>
          </w:tcPr>
          <w:p w14:paraId="3F747618" w14:textId="35BA1CAF"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0,0</w:t>
            </w:r>
          </w:p>
        </w:tc>
        <w:tc>
          <w:tcPr>
            <w:tcW w:w="984" w:type="dxa"/>
            <w:shd w:val="clear" w:color="auto" w:fill="auto"/>
            <w:noWrap/>
            <w:vAlign w:val="center"/>
          </w:tcPr>
          <w:p w14:paraId="71E352BA" w14:textId="018C941B"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5" w:type="dxa"/>
            <w:shd w:val="clear" w:color="auto" w:fill="auto"/>
            <w:vAlign w:val="center"/>
          </w:tcPr>
          <w:p w14:paraId="38E9ABDF" w14:textId="091A9259" w:rsidR="00E62B76" w:rsidRPr="00E62B76" w:rsidRDefault="00E62B76" w:rsidP="00E62B76">
            <w:pPr>
              <w:spacing w:after="0"/>
              <w:ind w:firstLine="0"/>
              <w:jc w:val="center"/>
              <w:rPr>
                <w:rFonts w:eastAsia="Times New Roman" w:cs="Times New Roman"/>
                <w:color w:val="000000"/>
                <w:sz w:val="20"/>
                <w:szCs w:val="20"/>
                <w:highlight w:val="yellow"/>
              </w:rPr>
            </w:pPr>
          </w:p>
        </w:tc>
      </w:tr>
      <w:tr w:rsidR="00E62B76" w:rsidRPr="0066793B" w14:paraId="06A57DEF" w14:textId="77777777" w:rsidTr="00E62B76">
        <w:trPr>
          <w:trHeight w:val="312"/>
          <w:jc w:val="center"/>
        </w:trPr>
        <w:tc>
          <w:tcPr>
            <w:tcW w:w="2684" w:type="dxa"/>
            <w:shd w:val="clear" w:color="auto" w:fill="auto"/>
            <w:noWrap/>
            <w:vAlign w:val="center"/>
            <w:hideMark/>
          </w:tcPr>
          <w:p w14:paraId="20127C25" w14:textId="77777777" w:rsidR="00E62B76" w:rsidRPr="00F831E6" w:rsidRDefault="00E62B76" w:rsidP="00E62B76">
            <w:pPr>
              <w:spacing w:after="0"/>
              <w:ind w:firstLine="0"/>
              <w:jc w:val="left"/>
              <w:rPr>
                <w:rFonts w:eastAsia="Times New Roman" w:cs="Times New Roman"/>
                <w:color w:val="000000"/>
                <w:sz w:val="18"/>
                <w:szCs w:val="18"/>
              </w:rPr>
            </w:pPr>
            <w:r w:rsidRPr="00F831E6">
              <w:rPr>
                <w:rFonts w:eastAsia="Times New Roman" w:cs="Times New Roman"/>
                <w:color w:val="000000"/>
                <w:sz w:val="18"/>
                <w:szCs w:val="18"/>
              </w:rPr>
              <w:t>aizsardzības un iekšējās drošības finansējums</w:t>
            </w:r>
          </w:p>
        </w:tc>
        <w:tc>
          <w:tcPr>
            <w:tcW w:w="985" w:type="dxa"/>
            <w:shd w:val="clear" w:color="auto" w:fill="auto"/>
            <w:noWrap/>
            <w:vAlign w:val="center"/>
          </w:tcPr>
          <w:p w14:paraId="00316C31" w14:textId="5B6D1F32"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031031A0" w14:textId="0452B5B8" w:rsidR="00E62B76" w:rsidRPr="00E62B76" w:rsidRDefault="00E62B76" w:rsidP="00E62B76">
            <w:pPr>
              <w:spacing w:after="0"/>
              <w:ind w:firstLine="0"/>
              <w:jc w:val="center"/>
              <w:rPr>
                <w:rFonts w:eastAsia="Times New Roman" w:cs="Times New Roman"/>
                <w:color w:val="000000"/>
                <w:sz w:val="20"/>
                <w:szCs w:val="20"/>
                <w:highlight w:val="yellow"/>
              </w:rPr>
            </w:pPr>
          </w:p>
        </w:tc>
        <w:tc>
          <w:tcPr>
            <w:tcW w:w="1002" w:type="dxa"/>
            <w:shd w:val="clear" w:color="auto" w:fill="auto"/>
            <w:noWrap/>
            <w:vAlign w:val="center"/>
          </w:tcPr>
          <w:p w14:paraId="1F4C85D8" w14:textId="741208E4"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55B77297" w14:textId="67CC39AC"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-255,7</w:t>
            </w:r>
          </w:p>
        </w:tc>
        <w:tc>
          <w:tcPr>
            <w:tcW w:w="984" w:type="dxa"/>
            <w:shd w:val="clear" w:color="auto" w:fill="auto"/>
            <w:noWrap/>
            <w:vAlign w:val="center"/>
          </w:tcPr>
          <w:p w14:paraId="79B40193" w14:textId="048DB1F1"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-354,3</w:t>
            </w:r>
          </w:p>
        </w:tc>
        <w:tc>
          <w:tcPr>
            <w:tcW w:w="984" w:type="dxa"/>
            <w:shd w:val="clear" w:color="auto" w:fill="auto"/>
            <w:noWrap/>
            <w:vAlign w:val="center"/>
          </w:tcPr>
          <w:p w14:paraId="09AD7086" w14:textId="7AF02ADD"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-401,3</w:t>
            </w:r>
          </w:p>
        </w:tc>
        <w:tc>
          <w:tcPr>
            <w:tcW w:w="985" w:type="dxa"/>
            <w:shd w:val="clear" w:color="auto" w:fill="auto"/>
            <w:vAlign w:val="center"/>
          </w:tcPr>
          <w:p w14:paraId="5DC26B91" w14:textId="7E85B18D"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-508,6</w:t>
            </w:r>
          </w:p>
        </w:tc>
      </w:tr>
      <w:tr w:rsidR="00E62B76" w:rsidRPr="0066793B" w14:paraId="1F822237" w14:textId="77777777" w:rsidTr="00E62B76">
        <w:trPr>
          <w:trHeight w:val="312"/>
          <w:jc w:val="center"/>
        </w:trPr>
        <w:tc>
          <w:tcPr>
            <w:tcW w:w="2684" w:type="dxa"/>
            <w:shd w:val="clear" w:color="auto" w:fill="auto"/>
            <w:noWrap/>
            <w:vAlign w:val="center"/>
            <w:hideMark/>
          </w:tcPr>
          <w:p w14:paraId="15DCEEA7" w14:textId="77777777" w:rsidR="00E62B76" w:rsidRPr="00F831E6" w:rsidRDefault="00E62B76" w:rsidP="00E62B76">
            <w:pPr>
              <w:spacing w:after="0"/>
              <w:ind w:firstLine="0"/>
              <w:jc w:val="left"/>
              <w:rPr>
                <w:rFonts w:eastAsia="Times New Roman" w:cs="Times New Roman"/>
                <w:color w:val="000000"/>
                <w:sz w:val="18"/>
                <w:szCs w:val="18"/>
              </w:rPr>
            </w:pPr>
            <w:r w:rsidRPr="00F831E6">
              <w:rPr>
                <w:rFonts w:eastAsia="Times New Roman" w:cs="Times New Roman"/>
                <w:color w:val="000000"/>
                <w:sz w:val="18"/>
                <w:szCs w:val="18"/>
              </w:rPr>
              <w:t>atbalsts bēgļiem no Ukrainas</w:t>
            </w:r>
          </w:p>
        </w:tc>
        <w:tc>
          <w:tcPr>
            <w:tcW w:w="985" w:type="dxa"/>
            <w:shd w:val="clear" w:color="auto" w:fill="auto"/>
            <w:noWrap/>
            <w:vAlign w:val="center"/>
          </w:tcPr>
          <w:p w14:paraId="57BC3251" w14:textId="72EC03BE"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69E3295C" w14:textId="63588609" w:rsidR="00E62B76" w:rsidRPr="00E62B76" w:rsidRDefault="00E62B76" w:rsidP="00E62B76">
            <w:pPr>
              <w:spacing w:after="0"/>
              <w:ind w:firstLine="0"/>
              <w:jc w:val="center"/>
              <w:rPr>
                <w:rFonts w:eastAsia="Times New Roman" w:cs="Times New Roman"/>
                <w:color w:val="000000"/>
                <w:sz w:val="20"/>
                <w:szCs w:val="20"/>
                <w:highlight w:val="yellow"/>
              </w:rPr>
            </w:pPr>
          </w:p>
        </w:tc>
        <w:tc>
          <w:tcPr>
            <w:tcW w:w="1002" w:type="dxa"/>
            <w:shd w:val="clear" w:color="auto" w:fill="auto"/>
            <w:noWrap/>
            <w:vAlign w:val="center"/>
          </w:tcPr>
          <w:p w14:paraId="4AB6A9C1" w14:textId="3A080947"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-81,0</w:t>
            </w:r>
          </w:p>
        </w:tc>
        <w:tc>
          <w:tcPr>
            <w:tcW w:w="984" w:type="dxa"/>
            <w:shd w:val="clear" w:color="auto" w:fill="auto"/>
            <w:noWrap/>
            <w:vAlign w:val="center"/>
          </w:tcPr>
          <w:p w14:paraId="5C9B2A34" w14:textId="251B8A6F"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-72,0</w:t>
            </w:r>
          </w:p>
        </w:tc>
        <w:tc>
          <w:tcPr>
            <w:tcW w:w="984" w:type="dxa"/>
            <w:shd w:val="clear" w:color="auto" w:fill="auto"/>
            <w:noWrap/>
            <w:vAlign w:val="center"/>
          </w:tcPr>
          <w:p w14:paraId="47AEE59B" w14:textId="2C9A8B22"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-70,0</w:t>
            </w:r>
          </w:p>
        </w:tc>
        <w:tc>
          <w:tcPr>
            <w:tcW w:w="984" w:type="dxa"/>
            <w:shd w:val="clear" w:color="auto" w:fill="auto"/>
            <w:noWrap/>
            <w:vAlign w:val="center"/>
          </w:tcPr>
          <w:p w14:paraId="1BAB478C" w14:textId="561AE468"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5" w:type="dxa"/>
            <w:shd w:val="clear" w:color="auto" w:fill="auto"/>
            <w:vAlign w:val="center"/>
          </w:tcPr>
          <w:p w14:paraId="14E49057" w14:textId="60B93B27" w:rsidR="00E62B76" w:rsidRPr="00E62B76" w:rsidRDefault="00E62B76" w:rsidP="00E62B76">
            <w:pPr>
              <w:spacing w:after="0"/>
              <w:ind w:firstLine="0"/>
              <w:jc w:val="center"/>
              <w:rPr>
                <w:rFonts w:eastAsia="Times New Roman" w:cs="Times New Roman"/>
                <w:color w:val="000000"/>
                <w:sz w:val="20"/>
                <w:szCs w:val="20"/>
                <w:highlight w:val="yellow"/>
              </w:rPr>
            </w:pPr>
          </w:p>
        </w:tc>
      </w:tr>
      <w:tr w:rsidR="00E62B76" w:rsidRPr="0066793B" w14:paraId="5BCA455D" w14:textId="77777777" w:rsidTr="00E62B76">
        <w:trPr>
          <w:trHeight w:val="312"/>
          <w:jc w:val="center"/>
        </w:trPr>
        <w:tc>
          <w:tcPr>
            <w:tcW w:w="2684" w:type="dxa"/>
            <w:shd w:val="clear" w:color="auto" w:fill="auto"/>
            <w:noWrap/>
            <w:vAlign w:val="center"/>
            <w:hideMark/>
          </w:tcPr>
          <w:p w14:paraId="5E674BD4" w14:textId="0FE50C4D" w:rsidR="00E62B76" w:rsidRPr="00F831E6" w:rsidRDefault="00E62B76" w:rsidP="00E62B76">
            <w:pPr>
              <w:spacing w:after="0"/>
              <w:ind w:firstLine="0"/>
              <w:jc w:val="left"/>
              <w:rPr>
                <w:rFonts w:eastAsia="Times New Roman" w:cs="Times New Roman"/>
                <w:color w:val="000000"/>
                <w:sz w:val="18"/>
                <w:szCs w:val="18"/>
              </w:rPr>
            </w:pPr>
            <w:r>
              <w:rPr>
                <w:rFonts w:eastAsia="Times New Roman" w:cs="Times New Roman"/>
                <w:color w:val="000000"/>
                <w:sz w:val="18"/>
                <w:szCs w:val="18"/>
              </w:rPr>
              <w:t xml:space="preserve">citi (t.sk. </w:t>
            </w:r>
            <w:r w:rsidRPr="006024F1">
              <w:rPr>
                <w:rFonts w:eastAsia="Times New Roman" w:cs="Times New Roman"/>
                <w:color w:val="000000"/>
                <w:sz w:val="18"/>
                <w:szCs w:val="18"/>
              </w:rPr>
              <w:t>vienreizējie izdevumi valsts aizsardzībai un iekšējai drošībai</w:t>
            </w:r>
            <w:r>
              <w:rPr>
                <w:rFonts w:eastAsia="Times New Roman" w:cs="Times New Roman"/>
                <w:color w:val="000000"/>
                <w:sz w:val="18"/>
                <w:szCs w:val="18"/>
              </w:rPr>
              <w:t>)</w:t>
            </w:r>
          </w:p>
        </w:tc>
        <w:tc>
          <w:tcPr>
            <w:tcW w:w="985" w:type="dxa"/>
            <w:shd w:val="clear" w:color="auto" w:fill="auto"/>
            <w:noWrap/>
            <w:vAlign w:val="center"/>
          </w:tcPr>
          <w:p w14:paraId="3BD4F888" w14:textId="76DCA569"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-57,3</w:t>
            </w:r>
          </w:p>
        </w:tc>
        <w:tc>
          <w:tcPr>
            <w:tcW w:w="984" w:type="dxa"/>
            <w:shd w:val="clear" w:color="auto" w:fill="auto"/>
            <w:noWrap/>
            <w:vAlign w:val="center"/>
          </w:tcPr>
          <w:p w14:paraId="744F3E30" w14:textId="0936C70D"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49,9</w:t>
            </w:r>
          </w:p>
        </w:tc>
        <w:tc>
          <w:tcPr>
            <w:tcW w:w="1002" w:type="dxa"/>
            <w:shd w:val="clear" w:color="auto" w:fill="auto"/>
            <w:noWrap/>
            <w:vAlign w:val="center"/>
          </w:tcPr>
          <w:p w14:paraId="1F11ADE7" w14:textId="3D1F2B0C"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04493124" w14:textId="0C24C4A7"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-200,8</w:t>
            </w:r>
          </w:p>
        </w:tc>
        <w:tc>
          <w:tcPr>
            <w:tcW w:w="984" w:type="dxa"/>
            <w:shd w:val="clear" w:color="auto" w:fill="auto"/>
            <w:noWrap/>
            <w:vAlign w:val="center"/>
          </w:tcPr>
          <w:p w14:paraId="06EEEABA" w14:textId="79F7DE7E"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-455,6</w:t>
            </w:r>
          </w:p>
        </w:tc>
        <w:tc>
          <w:tcPr>
            <w:tcW w:w="984" w:type="dxa"/>
            <w:shd w:val="clear" w:color="auto" w:fill="auto"/>
            <w:noWrap/>
            <w:vAlign w:val="center"/>
          </w:tcPr>
          <w:p w14:paraId="16AFA156" w14:textId="127FF84C"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-479,2</w:t>
            </w:r>
          </w:p>
        </w:tc>
        <w:tc>
          <w:tcPr>
            <w:tcW w:w="985" w:type="dxa"/>
            <w:shd w:val="clear" w:color="auto" w:fill="auto"/>
            <w:vAlign w:val="center"/>
          </w:tcPr>
          <w:p w14:paraId="6ACD29D2" w14:textId="52654916"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-87,4</w:t>
            </w:r>
          </w:p>
        </w:tc>
      </w:tr>
      <w:tr w:rsidR="00074630" w:rsidRPr="0066793B" w14:paraId="67E5BFF3" w14:textId="77777777" w:rsidTr="00E62B76">
        <w:trPr>
          <w:trHeight w:val="103"/>
          <w:jc w:val="center"/>
        </w:trPr>
        <w:tc>
          <w:tcPr>
            <w:tcW w:w="2684" w:type="dxa"/>
            <w:shd w:val="clear" w:color="auto" w:fill="FFFFFF" w:themeFill="background1"/>
            <w:noWrap/>
            <w:vAlign w:val="center"/>
          </w:tcPr>
          <w:p w14:paraId="79D3E629" w14:textId="77777777" w:rsidR="00074630" w:rsidRPr="0066793B" w:rsidRDefault="00074630" w:rsidP="00E62B76">
            <w:pPr>
              <w:spacing w:after="0"/>
              <w:ind w:firstLine="0"/>
              <w:jc w:val="left"/>
              <w:rPr>
                <w:rFonts w:eastAsia="Times New Roman" w:cs="Times New Roman"/>
                <w:color w:val="000000"/>
                <w:sz w:val="18"/>
                <w:szCs w:val="18"/>
              </w:rPr>
            </w:pPr>
          </w:p>
        </w:tc>
        <w:tc>
          <w:tcPr>
            <w:tcW w:w="3955" w:type="dxa"/>
            <w:gridSpan w:val="4"/>
            <w:shd w:val="clear" w:color="auto" w:fill="FFFFFF" w:themeFill="background1"/>
            <w:noWrap/>
            <w:vAlign w:val="center"/>
          </w:tcPr>
          <w:p w14:paraId="0478C71C" w14:textId="341975C4" w:rsidR="00074630" w:rsidRPr="00E62B76" w:rsidRDefault="00074630" w:rsidP="00E62B76">
            <w:pPr>
              <w:spacing w:after="0"/>
              <w:ind w:firstLine="0"/>
              <w:jc w:val="center"/>
              <w:rPr>
                <w:rFonts w:eastAsia="Times New Roman" w:cs="Times New Roman"/>
                <w:color w:val="000000"/>
                <w:sz w:val="20"/>
                <w:szCs w:val="20"/>
              </w:rPr>
            </w:pPr>
            <w:r w:rsidRPr="00E62B76">
              <w:rPr>
                <w:rFonts w:eastAsia="Times New Roman" w:cs="Times New Roman"/>
                <w:color w:val="000000"/>
                <w:sz w:val="20"/>
                <w:szCs w:val="20"/>
              </w:rPr>
              <w:t>fakts/novērtējums</w:t>
            </w:r>
          </w:p>
        </w:tc>
        <w:tc>
          <w:tcPr>
            <w:tcW w:w="2953" w:type="dxa"/>
            <w:gridSpan w:val="3"/>
            <w:shd w:val="clear" w:color="auto" w:fill="E7E6E6" w:themeFill="background2"/>
            <w:vAlign w:val="center"/>
          </w:tcPr>
          <w:p w14:paraId="794F07A8" w14:textId="46F7CB0D" w:rsidR="00074630" w:rsidRPr="00E62B76" w:rsidRDefault="00074630" w:rsidP="00E62B76">
            <w:pPr>
              <w:spacing w:after="0"/>
              <w:ind w:firstLine="0"/>
              <w:jc w:val="center"/>
              <w:rPr>
                <w:rFonts w:eastAsia="Times New Roman" w:cs="Times New Roman"/>
                <w:color w:val="000000"/>
                <w:sz w:val="20"/>
                <w:szCs w:val="20"/>
              </w:rPr>
            </w:pPr>
            <w:r w:rsidRPr="00E62B76">
              <w:rPr>
                <w:rFonts w:eastAsia="Times New Roman" w:cs="Times New Roman"/>
                <w:color w:val="000000"/>
                <w:sz w:val="20"/>
                <w:szCs w:val="20"/>
              </w:rPr>
              <w:t>prognoze</w:t>
            </w:r>
          </w:p>
        </w:tc>
      </w:tr>
      <w:tr w:rsidR="00E62B76" w:rsidRPr="00805038" w14:paraId="11AAC617" w14:textId="77777777" w:rsidTr="00E62B76">
        <w:trPr>
          <w:trHeight w:val="312"/>
          <w:jc w:val="center"/>
        </w:trPr>
        <w:tc>
          <w:tcPr>
            <w:tcW w:w="2684" w:type="dxa"/>
            <w:shd w:val="clear" w:color="auto" w:fill="BDD6EE" w:themeFill="accent1" w:themeFillTint="66"/>
            <w:noWrap/>
            <w:vAlign w:val="center"/>
            <w:hideMark/>
          </w:tcPr>
          <w:p w14:paraId="7401BA4C" w14:textId="77777777" w:rsidR="00E62B76" w:rsidRPr="00F831E6" w:rsidRDefault="00E62B76" w:rsidP="00E62B76">
            <w:pPr>
              <w:spacing w:after="0"/>
              <w:ind w:firstLine="0"/>
              <w:jc w:val="left"/>
              <w:rPr>
                <w:rFonts w:eastAsia="Times New Roman" w:cs="Times New Roman"/>
                <w:b/>
                <w:bCs/>
                <w:color w:val="000000"/>
                <w:sz w:val="18"/>
                <w:szCs w:val="18"/>
              </w:rPr>
            </w:pPr>
            <w:proofErr w:type="spellStart"/>
            <w:r w:rsidRPr="00F831E6">
              <w:rPr>
                <w:rFonts w:eastAsia="Times New Roman" w:cs="Times New Roman"/>
                <w:b/>
                <w:bCs/>
                <w:i/>
                <w:iCs/>
                <w:color w:val="000000"/>
                <w:sz w:val="18"/>
                <w:szCs w:val="18"/>
              </w:rPr>
              <w:t>One-off</w:t>
            </w:r>
            <w:proofErr w:type="spellEnd"/>
            <w:r w:rsidRPr="00F831E6">
              <w:rPr>
                <w:rFonts w:eastAsia="Times New Roman" w:cs="Times New Roman"/>
                <w:b/>
                <w:bCs/>
                <w:color w:val="000000"/>
                <w:sz w:val="18"/>
                <w:szCs w:val="18"/>
              </w:rPr>
              <w:t xml:space="preserve"> un citi īslaicīgie pasākumi, % no IKP, tai skaitā</w:t>
            </w:r>
          </w:p>
        </w:tc>
        <w:tc>
          <w:tcPr>
            <w:tcW w:w="985" w:type="dxa"/>
            <w:shd w:val="clear" w:color="auto" w:fill="BDD6EE" w:themeFill="accent1" w:themeFillTint="66"/>
            <w:noWrap/>
            <w:vAlign w:val="center"/>
          </w:tcPr>
          <w:p w14:paraId="0154DA78" w14:textId="3753E5BD"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sz w:val="20"/>
                <w:szCs w:val="20"/>
              </w:rPr>
              <w:t>-3,4</w:t>
            </w:r>
          </w:p>
        </w:tc>
        <w:tc>
          <w:tcPr>
            <w:tcW w:w="984" w:type="dxa"/>
            <w:shd w:val="clear" w:color="auto" w:fill="BDD6EE" w:themeFill="accent1" w:themeFillTint="66"/>
            <w:noWrap/>
            <w:vAlign w:val="center"/>
          </w:tcPr>
          <w:p w14:paraId="2F4DCD97" w14:textId="51700A77"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sz w:val="20"/>
                <w:szCs w:val="20"/>
              </w:rPr>
              <w:t>-6,2</w:t>
            </w:r>
          </w:p>
        </w:tc>
        <w:tc>
          <w:tcPr>
            <w:tcW w:w="1002" w:type="dxa"/>
            <w:shd w:val="clear" w:color="auto" w:fill="BDD6EE" w:themeFill="accent1" w:themeFillTint="66"/>
            <w:noWrap/>
            <w:vAlign w:val="center"/>
          </w:tcPr>
          <w:p w14:paraId="56D4E2D6" w14:textId="21E4ED13"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-4,8</w:t>
            </w:r>
          </w:p>
        </w:tc>
        <w:tc>
          <w:tcPr>
            <w:tcW w:w="984" w:type="dxa"/>
            <w:shd w:val="clear" w:color="auto" w:fill="BDD6EE" w:themeFill="accent1" w:themeFillTint="66"/>
            <w:noWrap/>
            <w:vAlign w:val="center"/>
          </w:tcPr>
          <w:p w14:paraId="400F0DF0" w14:textId="346AE771"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-2,5</w:t>
            </w:r>
          </w:p>
        </w:tc>
        <w:tc>
          <w:tcPr>
            <w:tcW w:w="984" w:type="dxa"/>
            <w:shd w:val="clear" w:color="auto" w:fill="BDD6EE" w:themeFill="accent1" w:themeFillTint="66"/>
            <w:noWrap/>
            <w:vAlign w:val="center"/>
          </w:tcPr>
          <w:p w14:paraId="1C96786C" w14:textId="4C6A97AD"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-1,9</w:t>
            </w:r>
          </w:p>
        </w:tc>
        <w:tc>
          <w:tcPr>
            <w:tcW w:w="984" w:type="dxa"/>
            <w:shd w:val="clear" w:color="auto" w:fill="BDD6EE" w:themeFill="accent1" w:themeFillTint="66"/>
            <w:noWrap/>
            <w:vAlign w:val="center"/>
          </w:tcPr>
          <w:p w14:paraId="53967E9B" w14:textId="1256FF6D"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-1,8</w:t>
            </w:r>
          </w:p>
        </w:tc>
        <w:tc>
          <w:tcPr>
            <w:tcW w:w="985" w:type="dxa"/>
            <w:shd w:val="clear" w:color="auto" w:fill="BDD6EE" w:themeFill="accent1" w:themeFillTint="66"/>
            <w:vAlign w:val="center"/>
          </w:tcPr>
          <w:p w14:paraId="4F83E310" w14:textId="253E29AE" w:rsidR="00E62B76" w:rsidRPr="00E62B76" w:rsidRDefault="00E62B76" w:rsidP="00E62B76">
            <w:pPr>
              <w:spacing w:after="0"/>
              <w:ind w:firstLine="0"/>
              <w:jc w:val="center"/>
              <w:rPr>
                <w:rFonts w:eastAsia="Times New Roman" w:cs="Times New Roman"/>
                <w:b/>
                <w:bCs/>
                <w:color w:val="000000"/>
                <w:sz w:val="20"/>
                <w:szCs w:val="20"/>
                <w:highlight w:val="yellow"/>
              </w:rPr>
            </w:pPr>
            <w:r>
              <w:rPr>
                <w:b/>
                <w:bCs/>
                <w:color w:val="000000"/>
                <w:sz w:val="20"/>
                <w:szCs w:val="20"/>
              </w:rPr>
              <w:t>-1,2</w:t>
            </w:r>
          </w:p>
        </w:tc>
      </w:tr>
      <w:tr w:rsidR="00E62B76" w:rsidRPr="0066793B" w14:paraId="0B38363B" w14:textId="77777777" w:rsidTr="00E62B76">
        <w:trPr>
          <w:trHeight w:val="312"/>
          <w:jc w:val="center"/>
        </w:trPr>
        <w:tc>
          <w:tcPr>
            <w:tcW w:w="2684" w:type="dxa"/>
            <w:shd w:val="clear" w:color="auto" w:fill="auto"/>
            <w:noWrap/>
            <w:vAlign w:val="center"/>
            <w:hideMark/>
          </w:tcPr>
          <w:p w14:paraId="5F7E1BB2" w14:textId="77777777" w:rsidR="00E62B76" w:rsidRPr="00F831E6" w:rsidRDefault="00E62B76" w:rsidP="00E62B76">
            <w:pPr>
              <w:spacing w:after="0"/>
              <w:ind w:firstLine="0"/>
              <w:jc w:val="left"/>
              <w:rPr>
                <w:rFonts w:eastAsia="Times New Roman" w:cs="Times New Roman"/>
                <w:color w:val="000000"/>
                <w:sz w:val="18"/>
                <w:szCs w:val="18"/>
              </w:rPr>
            </w:pPr>
            <w:r w:rsidRPr="00F831E6">
              <w:rPr>
                <w:rFonts w:eastAsia="Times New Roman" w:cs="Times New Roman"/>
                <w:color w:val="000000"/>
                <w:sz w:val="18"/>
                <w:szCs w:val="18"/>
              </w:rPr>
              <w:t>COVID -19 pandēmijas mazināšanas pasākumi</w:t>
            </w:r>
          </w:p>
        </w:tc>
        <w:tc>
          <w:tcPr>
            <w:tcW w:w="985" w:type="dxa"/>
            <w:shd w:val="clear" w:color="auto" w:fill="auto"/>
            <w:noWrap/>
            <w:vAlign w:val="center"/>
          </w:tcPr>
          <w:p w14:paraId="03F9767A" w14:textId="75F5EB1A"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-3,2</w:t>
            </w:r>
          </w:p>
        </w:tc>
        <w:tc>
          <w:tcPr>
            <w:tcW w:w="984" w:type="dxa"/>
            <w:shd w:val="clear" w:color="auto" w:fill="auto"/>
            <w:noWrap/>
            <w:vAlign w:val="center"/>
          </w:tcPr>
          <w:p w14:paraId="1442CEA2" w14:textId="72E9F0E9"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-6,3</w:t>
            </w:r>
          </w:p>
        </w:tc>
        <w:tc>
          <w:tcPr>
            <w:tcW w:w="1002" w:type="dxa"/>
            <w:shd w:val="clear" w:color="auto" w:fill="auto"/>
            <w:noWrap/>
            <w:vAlign w:val="center"/>
          </w:tcPr>
          <w:p w14:paraId="61FDEC0D" w14:textId="194E3BA6"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-2,0</w:t>
            </w:r>
          </w:p>
        </w:tc>
        <w:tc>
          <w:tcPr>
            <w:tcW w:w="984" w:type="dxa"/>
            <w:shd w:val="clear" w:color="auto" w:fill="auto"/>
            <w:noWrap/>
            <w:vAlign w:val="center"/>
          </w:tcPr>
          <w:p w14:paraId="65558856" w14:textId="33140802"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-0,2</w:t>
            </w:r>
          </w:p>
        </w:tc>
        <w:tc>
          <w:tcPr>
            <w:tcW w:w="984" w:type="dxa"/>
            <w:shd w:val="clear" w:color="auto" w:fill="auto"/>
            <w:noWrap/>
            <w:vAlign w:val="center"/>
          </w:tcPr>
          <w:p w14:paraId="1D5C2E60" w14:textId="3C1925EA"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-0,02</w:t>
            </w:r>
          </w:p>
        </w:tc>
        <w:tc>
          <w:tcPr>
            <w:tcW w:w="984" w:type="dxa"/>
            <w:shd w:val="clear" w:color="auto" w:fill="auto"/>
            <w:noWrap/>
            <w:vAlign w:val="center"/>
          </w:tcPr>
          <w:p w14:paraId="746BD843" w14:textId="70ABA4AB"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-0,01</w:t>
            </w:r>
          </w:p>
        </w:tc>
        <w:tc>
          <w:tcPr>
            <w:tcW w:w="985" w:type="dxa"/>
            <w:shd w:val="clear" w:color="auto" w:fill="auto"/>
            <w:vAlign w:val="center"/>
          </w:tcPr>
          <w:p w14:paraId="685475CD" w14:textId="3E040DF9"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-0,01</w:t>
            </w:r>
          </w:p>
        </w:tc>
      </w:tr>
      <w:tr w:rsidR="00E62B76" w:rsidRPr="0066793B" w14:paraId="5A817847" w14:textId="77777777" w:rsidTr="00E62B76">
        <w:trPr>
          <w:trHeight w:val="312"/>
          <w:jc w:val="center"/>
        </w:trPr>
        <w:tc>
          <w:tcPr>
            <w:tcW w:w="2684" w:type="dxa"/>
            <w:shd w:val="clear" w:color="auto" w:fill="auto"/>
            <w:noWrap/>
            <w:vAlign w:val="center"/>
            <w:hideMark/>
          </w:tcPr>
          <w:p w14:paraId="06853979" w14:textId="77777777" w:rsidR="00E62B76" w:rsidRPr="00F831E6" w:rsidRDefault="00E62B76" w:rsidP="00E62B76">
            <w:pPr>
              <w:spacing w:after="0"/>
              <w:ind w:firstLine="0"/>
              <w:jc w:val="left"/>
              <w:rPr>
                <w:rFonts w:eastAsia="Times New Roman" w:cs="Times New Roman"/>
                <w:color w:val="000000"/>
                <w:sz w:val="18"/>
                <w:szCs w:val="18"/>
              </w:rPr>
            </w:pPr>
            <w:r w:rsidRPr="00F831E6">
              <w:rPr>
                <w:rFonts w:eastAsia="Times New Roman" w:cs="Times New Roman"/>
                <w:color w:val="000000"/>
                <w:sz w:val="18"/>
                <w:szCs w:val="18"/>
              </w:rPr>
              <w:t>enerģijas cenas pieauguma mazināšanas pasākumi</w:t>
            </w:r>
          </w:p>
        </w:tc>
        <w:tc>
          <w:tcPr>
            <w:tcW w:w="985" w:type="dxa"/>
            <w:shd w:val="clear" w:color="auto" w:fill="auto"/>
            <w:noWrap/>
            <w:vAlign w:val="center"/>
          </w:tcPr>
          <w:p w14:paraId="3FFA87BC" w14:textId="24E0D5F6"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09361AA8" w14:textId="421DE2BD"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0,0</w:t>
            </w:r>
          </w:p>
        </w:tc>
        <w:tc>
          <w:tcPr>
            <w:tcW w:w="1002" w:type="dxa"/>
            <w:shd w:val="clear" w:color="auto" w:fill="auto"/>
            <w:noWrap/>
            <w:vAlign w:val="center"/>
          </w:tcPr>
          <w:p w14:paraId="7BA94CF5" w14:textId="2D8B9E10"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-2,6</w:t>
            </w:r>
          </w:p>
        </w:tc>
        <w:tc>
          <w:tcPr>
            <w:tcW w:w="984" w:type="dxa"/>
            <w:shd w:val="clear" w:color="auto" w:fill="auto"/>
            <w:noWrap/>
            <w:vAlign w:val="center"/>
          </w:tcPr>
          <w:p w14:paraId="28FA6078" w14:textId="6A68D3AF"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-1,0</w:t>
            </w:r>
          </w:p>
        </w:tc>
        <w:tc>
          <w:tcPr>
            <w:tcW w:w="984" w:type="dxa"/>
            <w:shd w:val="clear" w:color="auto" w:fill="auto"/>
            <w:noWrap/>
            <w:vAlign w:val="center"/>
          </w:tcPr>
          <w:p w14:paraId="2853B309" w14:textId="258DDFA4"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0,0</w:t>
            </w:r>
          </w:p>
        </w:tc>
        <w:tc>
          <w:tcPr>
            <w:tcW w:w="984" w:type="dxa"/>
            <w:shd w:val="clear" w:color="auto" w:fill="auto"/>
            <w:noWrap/>
            <w:vAlign w:val="center"/>
          </w:tcPr>
          <w:p w14:paraId="2E083923" w14:textId="607D0B64"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5" w:type="dxa"/>
            <w:shd w:val="clear" w:color="auto" w:fill="auto"/>
            <w:vAlign w:val="center"/>
          </w:tcPr>
          <w:p w14:paraId="0C84B787" w14:textId="382AF10B" w:rsidR="00E62B76" w:rsidRPr="00E62B76" w:rsidRDefault="00E62B76" w:rsidP="00E62B76">
            <w:pPr>
              <w:spacing w:after="0"/>
              <w:ind w:firstLine="0"/>
              <w:jc w:val="center"/>
              <w:rPr>
                <w:rFonts w:eastAsia="Times New Roman" w:cs="Times New Roman"/>
                <w:color w:val="000000"/>
                <w:sz w:val="20"/>
                <w:szCs w:val="20"/>
                <w:highlight w:val="yellow"/>
              </w:rPr>
            </w:pPr>
          </w:p>
        </w:tc>
      </w:tr>
      <w:tr w:rsidR="00E62B76" w:rsidRPr="0066793B" w14:paraId="17912C47" w14:textId="77777777" w:rsidTr="00E62B76">
        <w:trPr>
          <w:trHeight w:val="312"/>
          <w:jc w:val="center"/>
        </w:trPr>
        <w:tc>
          <w:tcPr>
            <w:tcW w:w="2684" w:type="dxa"/>
            <w:shd w:val="clear" w:color="auto" w:fill="auto"/>
            <w:noWrap/>
            <w:vAlign w:val="center"/>
            <w:hideMark/>
          </w:tcPr>
          <w:p w14:paraId="33F02B83" w14:textId="77777777" w:rsidR="00E62B76" w:rsidRPr="00F831E6" w:rsidRDefault="00E62B76" w:rsidP="00E62B76">
            <w:pPr>
              <w:spacing w:after="0"/>
              <w:ind w:firstLine="0"/>
              <w:jc w:val="left"/>
              <w:rPr>
                <w:rFonts w:eastAsia="Times New Roman" w:cs="Times New Roman"/>
                <w:color w:val="000000"/>
                <w:sz w:val="18"/>
                <w:szCs w:val="18"/>
              </w:rPr>
            </w:pPr>
            <w:r w:rsidRPr="00F831E6">
              <w:rPr>
                <w:rFonts w:eastAsia="Times New Roman" w:cs="Times New Roman"/>
                <w:color w:val="000000"/>
                <w:sz w:val="18"/>
                <w:szCs w:val="18"/>
              </w:rPr>
              <w:t>aizsardzības un iekšējās drošības finansējums</w:t>
            </w:r>
          </w:p>
        </w:tc>
        <w:tc>
          <w:tcPr>
            <w:tcW w:w="985" w:type="dxa"/>
            <w:shd w:val="clear" w:color="auto" w:fill="auto"/>
            <w:noWrap/>
            <w:vAlign w:val="center"/>
          </w:tcPr>
          <w:p w14:paraId="1FC213C3" w14:textId="626DF42F"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737CEB24" w14:textId="2F3D89F7" w:rsidR="00E62B76" w:rsidRPr="00E62B76" w:rsidRDefault="00E62B76" w:rsidP="00E62B76">
            <w:pPr>
              <w:spacing w:after="0"/>
              <w:ind w:firstLine="0"/>
              <w:jc w:val="center"/>
              <w:rPr>
                <w:rFonts w:eastAsia="Times New Roman" w:cs="Times New Roman"/>
                <w:color w:val="000000"/>
                <w:sz w:val="20"/>
                <w:szCs w:val="20"/>
                <w:highlight w:val="yellow"/>
              </w:rPr>
            </w:pPr>
          </w:p>
        </w:tc>
        <w:tc>
          <w:tcPr>
            <w:tcW w:w="1002" w:type="dxa"/>
            <w:shd w:val="clear" w:color="auto" w:fill="auto"/>
            <w:noWrap/>
            <w:vAlign w:val="center"/>
          </w:tcPr>
          <w:p w14:paraId="1A55B2FA" w14:textId="66E288DE"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64BFCDB3" w14:textId="4BA63178"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-0,6</w:t>
            </w:r>
          </w:p>
        </w:tc>
        <w:tc>
          <w:tcPr>
            <w:tcW w:w="984" w:type="dxa"/>
            <w:shd w:val="clear" w:color="auto" w:fill="auto"/>
            <w:noWrap/>
            <w:vAlign w:val="center"/>
          </w:tcPr>
          <w:p w14:paraId="2D4344AA" w14:textId="2E4DBCDF"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-0,8</w:t>
            </w:r>
          </w:p>
        </w:tc>
        <w:tc>
          <w:tcPr>
            <w:tcW w:w="984" w:type="dxa"/>
            <w:shd w:val="clear" w:color="auto" w:fill="auto"/>
            <w:noWrap/>
            <w:vAlign w:val="center"/>
          </w:tcPr>
          <w:p w14:paraId="08ADF22C" w14:textId="58201873"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-0,8</w:t>
            </w:r>
          </w:p>
        </w:tc>
        <w:tc>
          <w:tcPr>
            <w:tcW w:w="985" w:type="dxa"/>
            <w:shd w:val="clear" w:color="auto" w:fill="auto"/>
            <w:vAlign w:val="center"/>
          </w:tcPr>
          <w:p w14:paraId="14302F3E" w14:textId="3834AB66"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-1,0</w:t>
            </w:r>
          </w:p>
        </w:tc>
      </w:tr>
      <w:tr w:rsidR="00E62B76" w:rsidRPr="0066793B" w14:paraId="49925EBA" w14:textId="77777777" w:rsidTr="00E62B76">
        <w:trPr>
          <w:trHeight w:val="312"/>
          <w:jc w:val="center"/>
        </w:trPr>
        <w:tc>
          <w:tcPr>
            <w:tcW w:w="2684" w:type="dxa"/>
            <w:shd w:val="clear" w:color="auto" w:fill="auto"/>
            <w:noWrap/>
            <w:vAlign w:val="center"/>
            <w:hideMark/>
          </w:tcPr>
          <w:p w14:paraId="375C4F99" w14:textId="77777777" w:rsidR="00E62B76" w:rsidRPr="00F831E6" w:rsidRDefault="00E62B76" w:rsidP="00E62B76">
            <w:pPr>
              <w:spacing w:after="0"/>
              <w:ind w:firstLine="0"/>
              <w:jc w:val="left"/>
              <w:rPr>
                <w:rFonts w:eastAsia="Times New Roman" w:cs="Times New Roman"/>
                <w:color w:val="000000"/>
                <w:sz w:val="18"/>
                <w:szCs w:val="18"/>
              </w:rPr>
            </w:pPr>
            <w:r w:rsidRPr="00F831E6">
              <w:rPr>
                <w:rFonts w:eastAsia="Times New Roman" w:cs="Times New Roman"/>
                <w:color w:val="000000"/>
                <w:sz w:val="18"/>
                <w:szCs w:val="18"/>
              </w:rPr>
              <w:t>atbalsts bēgļiem no Ukrainas</w:t>
            </w:r>
          </w:p>
        </w:tc>
        <w:tc>
          <w:tcPr>
            <w:tcW w:w="985" w:type="dxa"/>
            <w:shd w:val="clear" w:color="auto" w:fill="auto"/>
            <w:noWrap/>
            <w:vAlign w:val="center"/>
          </w:tcPr>
          <w:p w14:paraId="6B667613" w14:textId="1BA99912"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54CC9A68" w14:textId="54621B02" w:rsidR="00E62B76" w:rsidRPr="00E62B76" w:rsidRDefault="00E62B76" w:rsidP="00E62B76">
            <w:pPr>
              <w:spacing w:after="0"/>
              <w:ind w:firstLine="0"/>
              <w:jc w:val="center"/>
              <w:rPr>
                <w:rFonts w:eastAsia="Times New Roman" w:cs="Times New Roman"/>
                <w:color w:val="000000"/>
                <w:sz w:val="20"/>
                <w:szCs w:val="20"/>
                <w:highlight w:val="yellow"/>
              </w:rPr>
            </w:pPr>
          </w:p>
        </w:tc>
        <w:tc>
          <w:tcPr>
            <w:tcW w:w="1002" w:type="dxa"/>
            <w:shd w:val="clear" w:color="auto" w:fill="auto"/>
            <w:noWrap/>
            <w:vAlign w:val="center"/>
          </w:tcPr>
          <w:p w14:paraId="484C6A03" w14:textId="0D82FFD6"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-0,2</w:t>
            </w:r>
          </w:p>
        </w:tc>
        <w:tc>
          <w:tcPr>
            <w:tcW w:w="984" w:type="dxa"/>
            <w:shd w:val="clear" w:color="auto" w:fill="auto"/>
            <w:noWrap/>
            <w:vAlign w:val="center"/>
          </w:tcPr>
          <w:p w14:paraId="368BD3F3" w14:textId="3104D16A"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-0,2</w:t>
            </w:r>
          </w:p>
        </w:tc>
        <w:tc>
          <w:tcPr>
            <w:tcW w:w="984" w:type="dxa"/>
            <w:shd w:val="clear" w:color="auto" w:fill="auto"/>
            <w:noWrap/>
            <w:vAlign w:val="center"/>
          </w:tcPr>
          <w:p w14:paraId="2D4EE978" w14:textId="331D0648"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-0,2</w:t>
            </w:r>
          </w:p>
        </w:tc>
        <w:tc>
          <w:tcPr>
            <w:tcW w:w="984" w:type="dxa"/>
            <w:shd w:val="clear" w:color="auto" w:fill="auto"/>
            <w:noWrap/>
            <w:vAlign w:val="center"/>
          </w:tcPr>
          <w:p w14:paraId="475F726A" w14:textId="52B302E7"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5" w:type="dxa"/>
            <w:shd w:val="clear" w:color="auto" w:fill="auto"/>
            <w:vAlign w:val="center"/>
          </w:tcPr>
          <w:p w14:paraId="33B533D6" w14:textId="38833654" w:rsidR="00E62B76" w:rsidRPr="00E62B76" w:rsidRDefault="00E62B76" w:rsidP="00E62B76">
            <w:pPr>
              <w:spacing w:after="0"/>
              <w:ind w:firstLine="0"/>
              <w:jc w:val="center"/>
              <w:rPr>
                <w:rFonts w:eastAsia="Times New Roman" w:cs="Times New Roman"/>
                <w:color w:val="000000"/>
                <w:sz w:val="20"/>
                <w:szCs w:val="20"/>
                <w:highlight w:val="yellow"/>
              </w:rPr>
            </w:pPr>
          </w:p>
        </w:tc>
      </w:tr>
      <w:tr w:rsidR="00E62B76" w:rsidRPr="00F831E6" w14:paraId="41AF585A" w14:textId="77777777" w:rsidTr="00E62B76">
        <w:trPr>
          <w:trHeight w:val="728"/>
          <w:jc w:val="center"/>
        </w:trPr>
        <w:tc>
          <w:tcPr>
            <w:tcW w:w="2684" w:type="dxa"/>
            <w:shd w:val="clear" w:color="auto" w:fill="auto"/>
            <w:noWrap/>
            <w:vAlign w:val="center"/>
            <w:hideMark/>
          </w:tcPr>
          <w:p w14:paraId="0F48D213" w14:textId="14D4E0A4" w:rsidR="00E62B76" w:rsidRPr="00F831E6" w:rsidRDefault="00E62B76" w:rsidP="00E62B76">
            <w:pPr>
              <w:spacing w:after="0"/>
              <w:ind w:firstLine="0"/>
              <w:jc w:val="left"/>
              <w:rPr>
                <w:rFonts w:eastAsia="Times New Roman" w:cs="Times New Roman"/>
                <w:color w:val="000000"/>
                <w:sz w:val="18"/>
                <w:szCs w:val="18"/>
              </w:rPr>
            </w:pPr>
            <w:r>
              <w:rPr>
                <w:rFonts w:eastAsia="Times New Roman" w:cs="Times New Roman"/>
                <w:color w:val="000000"/>
                <w:sz w:val="18"/>
                <w:szCs w:val="18"/>
              </w:rPr>
              <w:t xml:space="preserve">citi (t.sk. </w:t>
            </w:r>
            <w:r w:rsidRPr="00255D47">
              <w:rPr>
                <w:rFonts w:eastAsia="Times New Roman" w:cs="Times New Roman"/>
                <w:color w:val="000000"/>
                <w:sz w:val="18"/>
                <w:szCs w:val="18"/>
              </w:rPr>
              <w:t>vienreizējie izdevumi valsts aizsardzībai un iekšējai drošībai</w:t>
            </w:r>
            <w:r>
              <w:rPr>
                <w:rFonts w:eastAsia="Times New Roman" w:cs="Times New Roman"/>
                <w:color w:val="000000"/>
                <w:sz w:val="18"/>
                <w:szCs w:val="18"/>
              </w:rPr>
              <w:t>)</w:t>
            </w:r>
          </w:p>
        </w:tc>
        <w:tc>
          <w:tcPr>
            <w:tcW w:w="985" w:type="dxa"/>
            <w:shd w:val="clear" w:color="auto" w:fill="auto"/>
            <w:noWrap/>
            <w:vAlign w:val="center"/>
          </w:tcPr>
          <w:p w14:paraId="77AFE7D5" w14:textId="19C0129A" w:rsidR="00E62B76" w:rsidRPr="00E62B76" w:rsidRDefault="00E62B76" w:rsidP="00E62B76">
            <w:pPr>
              <w:spacing w:after="0"/>
              <w:ind w:firstLine="0"/>
              <w:jc w:val="center"/>
              <w:rPr>
                <w:rFonts w:eastAsia="Times New Roman" w:cs="Times New Roman"/>
                <w:color w:val="000000"/>
                <w:sz w:val="20"/>
                <w:szCs w:val="20"/>
                <w:highlight w:val="yellow"/>
              </w:rPr>
            </w:pPr>
            <w:r>
              <w:rPr>
                <w:color w:val="000000"/>
                <w:sz w:val="20"/>
                <w:szCs w:val="20"/>
              </w:rPr>
              <w:t>-0,2</w:t>
            </w:r>
          </w:p>
        </w:tc>
        <w:tc>
          <w:tcPr>
            <w:tcW w:w="984" w:type="dxa"/>
            <w:shd w:val="clear" w:color="auto" w:fill="auto"/>
            <w:noWrap/>
            <w:vAlign w:val="center"/>
          </w:tcPr>
          <w:p w14:paraId="325DDAC7" w14:textId="3B341D18" w:rsidR="00E62B76" w:rsidRPr="00E62B76" w:rsidRDefault="00E62B76" w:rsidP="00E62B76">
            <w:pPr>
              <w:spacing w:after="0"/>
              <w:ind w:firstLine="0"/>
              <w:jc w:val="center"/>
              <w:rPr>
                <w:rFonts w:eastAsia="Times New Roman" w:cs="Times New Roman"/>
                <w:color w:val="000000"/>
                <w:sz w:val="20"/>
                <w:szCs w:val="20"/>
                <w:highlight w:val="yellow"/>
              </w:rPr>
            </w:pPr>
            <w:r>
              <w:rPr>
                <w:color w:val="000000"/>
                <w:sz w:val="20"/>
                <w:szCs w:val="20"/>
              </w:rPr>
              <w:t>0,1</w:t>
            </w:r>
          </w:p>
        </w:tc>
        <w:tc>
          <w:tcPr>
            <w:tcW w:w="1002" w:type="dxa"/>
            <w:shd w:val="clear" w:color="auto" w:fill="auto"/>
            <w:noWrap/>
            <w:vAlign w:val="center"/>
          </w:tcPr>
          <w:p w14:paraId="559EDCA2" w14:textId="1CC80943" w:rsidR="00E62B76" w:rsidRPr="00E62B76" w:rsidRDefault="00E62B76" w:rsidP="00E62B76">
            <w:pPr>
              <w:spacing w:after="0"/>
              <w:ind w:firstLine="0"/>
              <w:jc w:val="center"/>
              <w:rPr>
                <w:rFonts w:eastAsia="Times New Roman" w:cs="Times New Roman"/>
                <w:color w:val="000000"/>
                <w:sz w:val="20"/>
                <w:szCs w:val="20"/>
                <w:highlight w:val="yellow"/>
              </w:rPr>
            </w:pPr>
          </w:p>
        </w:tc>
        <w:tc>
          <w:tcPr>
            <w:tcW w:w="984" w:type="dxa"/>
            <w:shd w:val="clear" w:color="auto" w:fill="auto"/>
            <w:noWrap/>
            <w:vAlign w:val="center"/>
          </w:tcPr>
          <w:p w14:paraId="4A83129C" w14:textId="6BA69FE6"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-0,5</w:t>
            </w:r>
          </w:p>
        </w:tc>
        <w:tc>
          <w:tcPr>
            <w:tcW w:w="984" w:type="dxa"/>
            <w:shd w:val="clear" w:color="auto" w:fill="auto"/>
            <w:noWrap/>
            <w:vAlign w:val="center"/>
          </w:tcPr>
          <w:p w14:paraId="216DC9C2" w14:textId="2FA4491B"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-1,0</w:t>
            </w:r>
          </w:p>
        </w:tc>
        <w:tc>
          <w:tcPr>
            <w:tcW w:w="984" w:type="dxa"/>
            <w:shd w:val="clear" w:color="auto" w:fill="auto"/>
            <w:noWrap/>
            <w:vAlign w:val="center"/>
          </w:tcPr>
          <w:p w14:paraId="0BE1DE36" w14:textId="1A547D8D"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-1,0</w:t>
            </w:r>
          </w:p>
        </w:tc>
        <w:tc>
          <w:tcPr>
            <w:tcW w:w="985" w:type="dxa"/>
            <w:shd w:val="clear" w:color="auto" w:fill="auto"/>
            <w:vAlign w:val="center"/>
          </w:tcPr>
          <w:p w14:paraId="73168313" w14:textId="4B2CD1D6" w:rsidR="00E62B76" w:rsidRPr="00E62B76" w:rsidRDefault="00E62B76" w:rsidP="00E62B76">
            <w:pPr>
              <w:spacing w:after="0"/>
              <w:ind w:firstLine="0"/>
              <w:jc w:val="center"/>
              <w:rPr>
                <w:rFonts w:eastAsia="Times New Roman" w:cs="Times New Roman"/>
                <w:color w:val="000000"/>
                <w:sz w:val="20"/>
                <w:szCs w:val="20"/>
                <w:highlight w:val="yellow"/>
              </w:rPr>
            </w:pPr>
            <w:r>
              <w:rPr>
                <w:sz w:val="20"/>
                <w:szCs w:val="20"/>
              </w:rPr>
              <w:t>-0,2</w:t>
            </w:r>
          </w:p>
        </w:tc>
      </w:tr>
    </w:tbl>
    <w:p w14:paraId="4ACA0974" w14:textId="77777777" w:rsidR="008F4EAC" w:rsidRDefault="008F4EAC" w:rsidP="003C02EC">
      <w:pPr>
        <w:rPr>
          <w:rFonts w:eastAsia="Times New Roman" w:cs="Times New Roman"/>
          <w:szCs w:val="24"/>
          <w:highlight w:val="lightGray"/>
        </w:rPr>
      </w:pPr>
    </w:p>
    <w:p w14:paraId="2A9CBC23" w14:textId="48056DF9" w:rsidR="00F779F7" w:rsidRDefault="00043D08" w:rsidP="00F779F7">
      <w:pPr>
        <w:rPr>
          <w:rFonts w:eastAsia="Times New Roman" w:cs="Times New Roman"/>
          <w:szCs w:val="24"/>
        </w:rPr>
      </w:pPr>
      <w:r w:rsidRPr="00F779F7">
        <w:rPr>
          <w:rFonts w:eastAsia="Times New Roman" w:cs="Times New Roman"/>
          <w:szCs w:val="24"/>
        </w:rPr>
        <w:t xml:space="preserve">Vidēja termiņa budžeta ietvars ir Latvijas fiskālās politikas īstenošanas rīks. </w:t>
      </w:r>
      <w:r w:rsidR="00F779F7" w:rsidRPr="00F779F7">
        <w:rPr>
          <w:rFonts w:eastAsia="Times New Roman" w:cs="Times New Roman"/>
          <w:szCs w:val="24"/>
        </w:rPr>
        <w:t xml:space="preserve">Ar tā starpniecību tiek </w:t>
      </w:r>
      <w:r w:rsidRPr="00F779F7">
        <w:rPr>
          <w:rFonts w:eastAsia="Times New Roman" w:cs="Times New Roman"/>
          <w:szCs w:val="24"/>
        </w:rPr>
        <w:t>īsteno</w:t>
      </w:r>
      <w:r w:rsidR="00F779F7" w:rsidRPr="00F779F7">
        <w:rPr>
          <w:rFonts w:eastAsia="Times New Roman" w:cs="Times New Roman"/>
          <w:szCs w:val="24"/>
        </w:rPr>
        <w:t>ti</w:t>
      </w:r>
      <w:r w:rsidRPr="00F779F7">
        <w:rPr>
          <w:rFonts w:eastAsia="Times New Roman" w:cs="Times New Roman"/>
          <w:szCs w:val="24"/>
        </w:rPr>
        <w:t xml:space="preserve"> gan Latvijas fiskālās politikas </w:t>
      </w:r>
      <w:r w:rsidRPr="00F779F7">
        <w:rPr>
          <w:rFonts w:eastAsia="Times New Roman" w:cs="Times New Roman"/>
          <w:szCs w:val="24"/>
          <w:u w:val="single"/>
        </w:rPr>
        <w:t>vispārēj</w:t>
      </w:r>
      <w:r w:rsidR="00F779F7" w:rsidRPr="00F779F7">
        <w:rPr>
          <w:rFonts w:eastAsia="Times New Roman" w:cs="Times New Roman"/>
          <w:szCs w:val="24"/>
          <w:u w:val="single"/>
        </w:rPr>
        <w:t>ais</w:t>
      </w:r>
      <w:r w:rsidRPr="00F779F7">
        <w:rPr>
          <w:rFonts w:eastAsia="Times New Roman" w:cs="Times New Roman"/>
          <w:szCs w:val="24"/>
        </w:rPr>
        <w:t xml:space="preserve">, gan </w:t>
      </w:r>
      <w:r w:rsidRPr="00F779F7">
        <w:rPr>
          <w:rFonts w:eastAsia="Times New Roman" w:cs="Times New Roman"/>
          <w:szCs w:val="24"/>
          <w:u w:val="single"/>
        </w:rPr>
        <w:t>specifisk</w:t>
      </w:r>
      <w:r w:rsidR="00F779F7" w:rsidRPr="00F779F7">
        <w:rPr>
          <w:rFonts w:eastAsia="Times New Roman" w:cs="Times New Roman"/>
          <w:szCs w:val="24"/>
          <w:u w:val="single"/>
        </w:rPr>
        <w:t>ie</w:t>
      </w:r>
      <w:r w:rsidRPr="00F779F7">
        <w:rPr>
          <w:rFonts w:eastAsia="Times New Roman" w:cs="Times New Roman"/>
          <w:szCs w:val="24"/>
          <w:u w:val="single"/>
        </w:rPr>
        <w:t xml:space="preserve"> mērķ</w:t>
      </w:r>
      <w:r w:rsidR="00F779F7" w:rsidRPr="00F779F7">
        <w:rPr>
          <w:rFonts w:eastAsia="Times New Roman" w:cs="Times New Roman"/>
          <w:szCs w:val="24"/>
          <w:u w:val="single"/>
        </w:rPr>
        <w:t>i</w:t>
      </w:r>
      <w:r w:rsidRPr="00F779F7">
        <w:rPr>
          <w:rFonts w:eastAsia="Times New Roman" w:cs="Times New Roman"/>
          <w:szCs w:val="24"/>
        </w:rPr>
        <w:t>, jeb vidēja termiņa budžeta politikas prioritār</w:t>
      </w:r>
      <w:r w:rsidR="00F779F7" w:rsidRPr="00F779F7">
        <w:rPr>
          <w:rFonts w:eastAsia="Times New Roman" w:cs="Times New Roman"/>
          <w:szCs w:val="24"/>
        </w:rPr>
        <w:t>ie</w:t>
      </w:r>
      <w:r w:rsidRPr="00F779F7">
        <w:rPr>
          <w:rFonts w:eastAsia="Times New Roman" w:cs="Times New Roman"/>
          <w:szCs w:val="24"/>
        </w:rPr>
        <w:t xml:space="preserve"> attīstības virzien</w:t>
      </w:r>
      <w:r w:rsidR="00F779F7" w:rsidRPr="00F779F7">
        <w:rPr>
          <w:rFonts w:eastAsia="Times New Roman" w:cs="Times New Roman"/>
          <w:szCs w:val="24"/>
        </w:rPr>
        <w:t>i</w:t>
      </w:r>
      <w:r w:rsidRPr="00F779F7">
        <w:rPr>
          <w:rFonts w:eastAsia="Times New Roman" w:cs="Times New Roman"/>
          <w:szCs w:val="24"/>
        </w:rPr>
        <w:t xml:space="preserve">. </w:t>
      </w:r>
      <w:r w:rsidR="00F779F7" w:rsidRPr="00F779F7">
        <w:rPr>
          <w:rFonts w:eastAsia="Times New Roman" w:cs="Times New Roman"/>
          <w:szCs w:val="24"/>
        </w:rPr>
        <w:t>Nav pamata sagaidīt, ka fiskālās politikas vispārējais mērķis katru gad</w:t>
      </w:r>
      <w:r w:rsidR="00F779F7">
        <w:rPr>
          <w:rFonts w:eastAsia="Times New Roman" w:cs="Times New Roman"/>
          <w:szCs w:val="24"/>
        </w:rPr>
        <w:t>u</w:t>
      </w:r>
      <w:r w:rsidR="00F779F7" w:rsidRPr="00F779F7">
        <w:rPr>
          <w:rFonts w:eastAsia="Times New Roman" w:cs="Times New Roman"/>
          <w:szCs w:val="24"/>
        </w:rPr>
        <w:t xml:space="preserve"> būtu citādāks</w:t>
      </w:r>
      <w:r w:rsidR="00F779F7">
        <w:rPr>
          <w:rFonts w:eastAsia="Times New Roman" w:cs="Times New Roman"/>
          <w:szCs w:val="24"/>
        </w:rPr>
        <w:t>, a</w:t>
      </w:r>
      <w:r w:rsidR="00F779F7" w:rsidRPr="00F779F7">
        <w:rPr>
          <w:rFonts w:eastAsia="Times New Roman" w:cs="Times New Roman"/>
          <w:szCs w:val="24"/>
        </w:rPr>
        <w:t xml:space="preserve">rī fiskālās politikas specifiskajiem mērķiem īstermiņā būtu jābūt pamatā stabiliem. </w:t>
      </w:r>
    </w:p>
    <w:p w14:paraId="35A58124" w14:textId="3E603E0F" w:rsidR="00557435" w:rsidRDefault="00F779F7" w:rsidP="003C02EC">
      <w:pPr>
        <w:rPr>
          <w:b/>
          <w:bCs/>
        </w:rPr>
      </w:pPr>
      <w:r w:rsidRPr="00F779F7">
        <w:rPr>
          <w:rFonts w:eastAsia="Times New Roman" w:cs="Times New Roman"/>
          <w:szCs w:val="24"/>
        </w:rPr>
        <w:lastRenderedPageBreak/>
        <w:t xml:space="preserve">Fiskālās politikas stratēģija 2023.-2025. gadam bija pakārtota deklarācijai par Artura Krišjāņa Kariņa vadītā </w:t>
      </w:r>
      <w:r w:rsidR="00801615">
        <w:rPr>
          <w:rFonts w:eastAsia="Times New Roman" w:cs="Times New Roman"/>
          <w:szCs w:val="24"/>
        </w:rPr>
        <w:t>MK</w:t>
      </w:r>
      <w:r w:rsidRPr="00F779F7">
        <w:rPr>
          <w:rFonts w:eastAsia="Times New Roman" w:cs="Times New Roman"/>
          <w:szCs w:val="24"/>
        </w:rPr>
        <w:t xml:space="preserve"> iecerēto darbību</w:t>
      </w:r>
      <w:r w:rsidR="00AA6679">
        <w:rPr>
          <w:rStyle w:val="FootnoteReference"/>
          <w:rFonts w:eastAsia="Times New Roman" w:cs="Times New Roman"/>
          <w:szCs w:val="24"/>
        </w:rPr>
        <w:footnoteReference w:id="9"/>
      </w:r>
      <w:r w:rsidRPr="00F779F7">
        <w:rPr>
          <w:rFonts w:eastAsia="Times New Roman" w:cs="Times New Roman"/>
          <w:szCs w:val="24"/>
        </w:rPr>
        <w:t xml:space="preserve">. </w:t>
      </w:r>
      <w:r w:rsidR="002A1F38">
        <w:rPr>
          <w:rFonts w:eastAsia="Times New Roman" w:cs="Times New Roman"/>
          <w:szCs w:val="24"/>
        </w:rPr>
        <w:t>Tomēr, ņemot vērā</w:t>
      </w:r>
      <w:r w:rsidR="00EB01D8">
        <w:rPr>
          <w:rFonts w:eastAsia="Times New Roman" w:cs="Times New Roman"/>
          <w:szCs w:val="24"/>
        </w:rPr>
        <w:t xml:space="preserve"> </w:t>
      </w:r>
      <w:r w:rsidRPr="00F779F7">
        <w:rPr>
          <w:rFonts w:eastAsia="Times New Roman" w:cs="Times New Roman"/>
          <w:szCs w:val="24"/>
        </w:rPr>
        <w:t>ministru prezidenta Artura Krišjāņa Kariņa atkāpšanos no amata</w:t>
      </w:r>
      <w:r>
        <w:rPr>
          <w:rFonts w:eastAsia="Times New Roman" w:cs="Times New Roman"/>
          <w:szCs w:val="24"/>
        </w:rPr>
        <w:t xml:space="preserve"> un jaunā</w:t>
      </w:r>
      <w:r w:rsidR="00AA6679">
        <w:rPr>
          <w:rFonts w:eastAsia="Times New Roman" w:cs="Times New Roman"/>
          <w:szCs w:val="24"/>
        </w:rPr>
        <w:t>,</w:t>
      </w:r>
      <w:r>
        <w:rPr>
          <w:rFonts w:eastAsia="Times New Roman" w:cs="Times New Roman"/>
          <w:szCs w:val="24"/>
        </w:rPr>
        <w:t xml:space="preserve"> </w:t>
      </w:r>
      <w:proofErr w:type="spellStart"/>
      <w:r w:rsidR="00386E45">
        <w:rPr>
          <w:rFonts w:eastAsia="Times New Roman" w:cs="Times New Roman"/>
          <w:szCs w:val="24"/>
        </w:rPr>
        <w:t>Evikas</w:t>
      </w:r>
      <w:proofErr w:type="spellEnd"/>
      <w:r w:rsidR="00386E45">
        <w:rPr>
          <w:rFonts w:eastAsia="Times New Roman" w:cs="Times New Roman"/>
          <w:szCs w:val="24"/>
        </w:rPr>
        <w:t xml:space="preserve"> Siliņas vadītā</w:t>
      </w:r>
      <w:r w:rsidR="00AA6679">
        <w:rPr>
          <w:rFonts w:eastAsia="Times New Roman" w:cs="Times New Roman"/>
          <w:szCs w:val="24"/>
        </w:rPr>
        <w:t>,</w:t>
      </w:r>
      <w:r w:rsidR="00386E45">
        <w:rPr>
          <w:rFonts w:eastAsia="Times New Roman" w:cs="Times New Roman"/>
          <w:szCs w:val="24"/>
        </w:rPr>
        <w:t xml:space="preserve"> </w:t>
      </w:r>
      <w:r w:rsidR="00801615">
        <w:rPr>
          <w:rFonts w:eastAsia="Times New Roman" w:cs="Times New Roman"/>
          <w:szCs w:val="24"/>
        </w:rPr>
        <w:t>MK</w:t>
      </w:r>
      <w:r w:rsidR="00386E45">
        <w:rPr>
          <w:rFonts w:eastAsia="Times New Roman" w:cs="Times New Roman"/>
          <w:szCs w:val="24"/>
        </w:rPr>
        <w:t xml:space="preserve"> </w:t>
      </w:r>
      <w:r>
        <w:rPr>
          <w:rFonts w:eastAsia="Times New Roman" w:cs="Times New Roman"/>
          <w:szCs w:val="24"/>
        </w:rPr>
        <w:t>apstiprināšanu</w:t>
      </w:r>
      <w:r w:rsidRPr="00F779F7">
        <w:rPr>
          <w:rFonts w:eastAsia="Times New Roman" w:cs="Times New Roman"/>
          <w:szCs w:val="24"/>
        </w:rPr>
        <w:t xml:space="preserve"> Latvijas Republikas Saeimā 2023. gada 15. septembrī</w:t>
      </w:r>
      <w:r w:rsidR="00EB01D8">
        <w:rPr>
          <w:rFonts w:eastAsia="Times New Roman" w:cs="Times New Roman"/>
          <w:szCs w:val="24"/>
        </w:rPr>
        <w:t>,</w:t>
      </w:r>
      <w:r w:rsidR="002A1F38" w:rsidRPr="00EB01D8">
        <w:rPr>
          <w:b/>
          <w:bCs/>
        </w:rPr>
        <w:t xml:space="preserve"> </w:t>
      </w:r>
      <w:r w:rsidR="00386E45" w:rsidRPr="00C644A1">
        <w:t>fis</w:t>
      </w:r>
      <w:r w:rsidR="00386E45" w:rsidRPr="002A1F38">
        <w:t xml:space="preserve">kālās politikas stratēģija 2024.-2026. gadam tiek pakārtota </w:t>
      </w:r>
      <w:r w:rsidR="00AA6679">
        <w:t xml:space="preserve">jaunā </w:t>
      </w:r>
      <w:r w:rsidR="00801615">
        <w:t>MK</w:t>
      </w:r>
      <w:r w:rsidR="00AA6679">
        <w:t xml:space="preserve"> deklarācijai - </w:t>
      </w:r>
      <w:r w:rsidR="00386E45" w:rsidRPr="002A1F38">
        <w:t>deklarācija</w:t>
      </w:r>
      <w:r w:rsidR="00AA6679">
        <w:t>i</w:t>
      </w:r>
      <w:r w:rsidR="00386E45" w:rsidRPr="002A1F38">
        <w:t xml:space="preserve"> par </w:t>
      </w:r>
      <w:proofErr w:type="spellStart"/>
      <w:r w:rsidR="00386E45" w:rsidRPr="002A1F38">
        <w:t>Evikas</w:t>
      </w:r>
      <w:proofErr w:type="spellEnd"/>
      <w:r w:rsidR="00386E45" w:rsidRPr="002A1F38">
        <w:t xml:space="preserve"> Siliņas vadītā </w:t>
      </w:r>
      <w:r w:rsidR="00801615">
        <w:t>MK</w:t>
      </w:r>
      <w:r w:rsidR="00386E45" w:rsidRPr="002A1F38">
        <w:t xml:space="preserve"> iecerēto darbību</w:t>
      </w:r>
      <w:r w:rsidR="00386E45" w:rsidRPr="002A1F38">
        <w:rPr>
          <w:rStyle w:val="FootnoteReference"/>
        </w:rPr>
        <w:footnoteReference w:id="10"/>
      </w:r>
      <w:r w:rsidR="00386E45">
        <w:t xml:space="preserve">. </w:t>
      </w:r>
      <w:r w:rsidR="00AA6679">
        <w:t xml:space="preserve">Attiecīgi </w:t>
      </w:r>
      <w:r w:rsidR="00EB01D8">
        <w:rPr>
          <w:rFonts w:eastAsia="Times New Roman" w:cs="Times New Roman"/>
          <w:szCs w:val="24"/>
        </w:rPr>
        <w:t xml:space="preserve">tiek precizēti </w:t>
      </w:r>
      <w:r w:rsidR="002A1F38" w:rsidRPr="002A1F38">
        <w:rPr>
          <w:rFonts w:eastAsia="Times New Roman" w:cs="Times New Roman"/>
          <w:b/>
          <w:bCs/>
          <w:szCs w:val="24"/>
        </w:rPr>
        <w:t xml:space="preserve">gan </w:t>
      </w:r>
      <w:r w:rsidR="002A1F38" w:rsidRPr="00EB01D8">
        <w:rPr>
          <w:rFonts w:eastAsia="Times New Roman" w:cs="Times New Roman"/>
          <w:b/>
          <w:bCs/>
          <w:szCs w:val="24"/>
        </w:rPr>
        <w:t>Latvijas fiskālās politikas vispārēj</w:t>
      </w:r>
      <w:r w:rsidR="002A1F38">
        <w:rPr>
          <w:rFonts w:eastAsia="Times New Roman" w:cs="Times New Roman"/>
          <w:b/>
          <w:bCs/>
          <w:szCs w:val="24"/>
        </w:rPr>
        <w:t>ais</w:t>
      </w:r>
      <w:r w:rsidR="002A1F38" w:rsidRPr="00EB01D8">
        <w:rPr>
          <w:rFonts w:eastAsia="Times New Roman" w:cs="Times New Roman"/>
          <w:b/>
          <w:bCs/>
          <w:szCs w:val="24"/>
        </w:rPr>
        <w:t xml:space="preserve"> mērķi</w:t>
      </w:r>
      <w:r w:rsidR="002A1F38">
        <w:rPr>
          <w:rFonts w:eastAsia="Times New Roman" w:cs="Times New Roman"/>
          <w:b/>
          <w:bCs/>
          <w:szCs w:val="24"/>
        </w:rPr>
        <w:t xml:space="preserve">s, gan </w:t>
      </w:r>
      <w:r w:rsidR="00EB01D8" w:rsidRPr="00EB01D8">
        <w:rPr>
          <w:rFonts w:eastAsia="Times New Roman" w:cs="Times New Roman"/>
          <w:b/>
          <w:bCs/>
          <w:szCs w:val="24"/>
        </w:rPr>
        <w:t>vidēja termiņa budžeta politikas prioritārie attīstības virzieni</w:t>
      </w:r>
      <w:r w:rsidR="002A1F38">
        <w:rPr>
          <w:rFonts w:eastAsia="Times New Roman" w:cs="Times New Roman"/>
          <w:b/>
          <w:bCs/>
          <w:szCs w:val="24"/>
        </w:rPr>
        <w:t>.</w:t>
      </w:r>
    </w:p>
    <w:p w14:paraId="4CB9AA36" w14:textId="20EAC3A0" w:rsidR="008078AE" w:rsidRPr="00F33707" w:rsidRDefault="00AA6679" w:rsidP="008078AE">
      <w:pPr>
        <w:rPr>
          <w:lang w:val="x-none"/>
        </w:rPr>
      </w:pPr>
      <w:r w:rsidRPr="0011748B">
        <w:rPr>
          <w:rFonts w:eastAsia="Times New Roman" w:cs="Times New Roman"/>
          <w:b/>
          <w:bCs/>
          <w:szCs w:val="24"/>
        </w:rPr>
        <w:t>Latvijas fiskālās politikas vispārējais mērķis ir</w:t>
      </w:r>
      <w:r w:rsidR="00386E45" w:rsidRPr="00386E45">
        <w:rPr>
          <w:rFonts w:cs="Times New Roman"/>
          <w:color w:val="000000"/>
          <w:sz w:val="23"/>
          <w:szCs w:val="23"/>
        </w:rPr>
        <w:t xml:space="preserve"> </w:t>
      </w:r>
      <w:r w:rsidR="00386E45" w:rsidRPr="00AA6679">
        <w:rPr>
          <w:rFonts w:cs="Times New Roman"/>
          <w:b/>
          <w:bCs/>
          <w:color w:val="000000"/>
          <w:sz w:val="23"/>
          <w:szCs w:val="23"/>
        </w:rPr>
        <w:t>ilgtspējīg</w:t>
      </w:r>
      <w:r w:rsidRPr="00AA6679">
        <w:rPr>
          <w:rFonts w:cs="Times New Roman"/>
          <w:b/>
          <w:bCs/>
          <w:color w:val="000000"/>
          <w:sz w:val="23"/>
          <w:szCs w:val="23"/>
        </w:rPr>
        <w:t>as</w:t>
      </w:r>
      <w:r w:rsidR="00386E45" w:rsidRPr="00AA6679">
        <w:rPr>
          <w:rFonts w:cs="Times New Roman"/>
          <w:b/>
          <w:bCs/>
          <w:color w:val="000000"/>
          <w:sz w:val="23"/>
          <w:szCs w:val="23"/>
        </w:rPr>
        <w:t xml:space="preserve"> valst</w:t>
      </w:r>
      <w:r w:rsidRPr="00AA6679">
        <w:rPr>
          <w:rFonts w:cs="Times New Roman"/>
          <w:b/>
          <w:bCs/>
          <w:color w:val="000000"/>
          <w:sz w:val="23"/>
          <w:szCs w:val="23"/>
        </w:rPr>
        <w:t>s veidošana</w:t>
      </w:r>
      <w:r w:rsidR="00386E45" w:rsidRPr="00AA6679">
        <w:rPr>
          <w:rFonts w:cs="Times New Roman"/>
          <w:b/>
          <w:bCs/>
          <w:color w:val="000000"/>
          <w:sz w:val="23"/>
          <w:szCs w:val="23"/>
        </w:rPr>
        <w:t>, uzlabojot ģimeņu dzīves kvalitāti</w:t>
      </w:r>
      <w:r w:rsidR="002A1F38" w:rsidRPr="00AA6679">
        <w:rPr>
          <w:b/>
          <w:bCs/>
        </w:rPr>
        <w:t>.</w:t>
      </w:r>
      <w:r w:rsidR="00C32512" w:rsidRPr="00AA6679">
        <w:rPr>
          <w:b/>
          <w:bCs/>
        </w:rPr>
        <w:t xml:space="preserve"> </w:t>
      </w:r>
      <w:r w:rsidR="008078AE" w:rsidRPr="00F33707">
        <w:t xml:space="preserve">Atbilstoši Deklarācijai fiskālo politiku plānots īstenot atbildīgi, nodrošinot valdības parādu ilgtermiņā vidēji 40% līmenī no IKP, ievērojot </w:t>
      </w:r>
      <w:proofErr w:type="spellStart"/>
      <w:r w:rsidR="008078AE" w:rsidRPr="00F33707">
        <w:t>pretcikliskas</w:t>
      </w:r>
      <w:proofErr w:type="spellEnd"/>
      <w:r w:rsidR="008078AE" w:rsidRPr="00F33707">
        <w:t xml:space="preserve"> fiskālās politikas principus un nodrošinot sociāli atbildīgu un attīstību veicinošu fiskālo politiku.</w:t>
      </w:r>
    </w:p>
    <w:p w14:paraId="0001A45F" w14:textId="4D4843C2" w:rsidR="001700DF" w:rsidRDefault="00AA6679" w:rsidP="00AA6679">
      <w:pPr>
        <w:rPr>
          <w:rFonts w:eastAsia="Times New Roman" w:cs="Times New Roman"/>
          <w:szCs w:val="24"/>
        </w:rPr>
      </w:pPr>
      <w:r>
        <w:rPr>
          <w:rFonts w:eastAsia="Times New Roman" w:cs="Times New Roman"/>
          <w:b/>
          <w:bCs/>
          <w:szCs w:val="24"/>
        </w:rPr>
        <w:t>C</w:t>
      </w:r>
      <w:r w:rsidR="00557435" w:rsidRPr="00C32512">
        <w:rPr>
          <w:rFonts w:eastAsia="Times New Roman" w:cs="Times New Roman"/>
          <w:b/>
          <w:bCs/>
          <w:szCs w:val="24"/>
        </w:rPr>
        <w:t>ilvēks ir galvenā Latvijas vērtība</w:t>
      </w:r>
      <w:r>
        <w:rPr>
          <w:rFonts w:eastAsia="Times New Roman" w:cs="Times New Roman"/>
          <w:szCs w:val="24"/>
        </w:rPr>
        <w:t>, t</w:t>
      </w:r>
      <w:r w:rsidR="00557435" w:rsidRPr="00282CB3">
        <w:rPr>
          <w:rFonts w:eastAsia="Times New Roman" w:cs="Times New Roman"/>
          <w:szCs w:val="24"/>
        </w:rPr>
        <w:t xml:space="preserve">āpēc </w:t>
      </w:r>
      <w:r>
        <w:rPr>
          <w:rFonts w:eastAsia="Times New Roman" w:cs="Times New Roman"/>
          <w:szCs w:val="24"/>
        </w:rPr>
        <w:t>l</w:t>
      </w:r>
      <w:r w:rsidR="00EB01D8" w:rsidRPr="00282CB3">
        <w:rPr>
          <w:rFonts w:eastAsia="Times New Roman" w:cs="Times New Roman"/>
          <w:szCs w:val="24"/>
        </w:rPr>
        <w:t xml:space="preserve">aikā, kad pasaule piedzīvo ģeopolitiskus satricinājumus, </w:t>
      </w:r>
      <w:r>
        <w:rPr>
          <w:rFonts w:eastAsia="Times New Roman" w:cs="Times New Roman"/>
          <w:szCs w:val="24"/>
        </w:rPr>
        <w:t>jā</w:t>
      </w:r>
      <w:r w:rsidR="00EB01D8" w:rsidRPr="00282CB3">
        <w:rPr>
          <w:rFonts w:eastAsia="Times New Roman" w:cs="Times New Roman"/>
          <w:szCs w:val="24"/>
        </w:rPr>
        <w:t>apvienoj</w:t>
      </w:r>
      <w:r>
        <w:rPr>
          <w:rFonts w:eastAsia="Times New Roman" w:cs="Times New Roman"/>
          <w:szCs w:val="24"/>
        </w:rPr>
        <w:t>as</w:t>
      </w:r>
      <w:r w:rsidR="00EB01D8" w:rsidRPr="00282CB3">
        <w:rPr>
          <w:rFonts w:eastAsia="Times New Roman" w:cs="Times New Roman"/>
          <w:szCs w:val="24"/>
        </w:rPr>
        <w:t xml:space="preserve"> kopīgam darbam Latvijas drošības stiprināšanai, sabiedrības kopīgai izaugsmei, labklājībai šodienas un nākamajām paaudzēm</w:t>
      </w:r>
      <w:r w:rsidR="00557435" w:rsidRPr="00282CB3">
        <w:rPr>
          <w:rFonts w:eastAsia="Times New Roman" w:cs="Times New Roman"/>
          <w:szCs w:val="24"/>
        </w:rPr>
        <w:t xml:space="preserve">. </w:t>
      </w:r>
      <w:r w:rsidR="001700DF">
        <w:rPr>
          <w:rFonts w:eastAsia="Times New Roman" w:cs="Times New Roman"/>
          <w:szCs w:val="24"/>
        </w:rPr>
        <w:t xml:space="preserve">Valdību veidojošie politiskie spēki </w:t>
      </w:r>
      <w:r w:rsidR="00D87634">
        <w:rPr>
          <w:rFonts w:eastAsia="Times New Roman" w:cs="Times New Roman"/>
          <w:szCs w:val="24"/>
        </w:rPr>
        <w:t xml:space="preserve">ir apņēmusies </w:t>
      </w:r>
      <w:r w:rsidR="001700DF" w:rsidRPr="006A2C13">
        <w:rPr>
          <w:rFonts w:eastAsia="Times New Roman" w:cs="Times New Roman"/>
          <w:szCs w:val="24"/>
        </w:rPr>
        <w:t>īstenot politik</w:t>
      </w:r>
      <w:r w:rsidR="001700DF">
        <w:rPr>
          <w:rFonts w:eastAsia="Times New Roman" w:cs="Times New Roman"/>
          <w:szCs w:val="24"/>
        </w:rPr>
        <w:t>u</w:t>
      </w:r>
      <w:r w:rsidR="001700DF" w:rsidRPr="006A2C13">
        <w:rPr>
          <w:rFonts w:eastAsia="Times New Roman" w:cs="Times New Roman"/>
          <w:szCs w:val="24"/>
        </w:rPr>
        <w:t>, kas snie</w:t>
      </w:r>
      <w:r w:rsidR="00D87634">
        <w:rPr>
          <w:rFonts w:eastAsia="Times New Roman" w:cs="Times New Roman"/>
          <w:szCs w:val="24"/>
        </w:rPr>
        <w:t>gs</w:t>
      </w:r>
      <w:r w:rsidR="001700DF" w:rsidRPr="006A2C13">
        <w:rPr>
          <w:rFonts w:eastAsia="Times New Roman" w:cs="Times New Roman"/>
          <w:szCs w:val="24"/>
        </w:rPr>
        <w:t xml:space="preserve"> Latvijas iedzīvotājiem </w:t>
      </w:r>
      <w:r w:rsidR="001700DF" w:rsidRPr="00D87634">
        <w:rPr>
          <w:rFonts w:eastAsia="Times New Roman" w:cs="Times New Roman"/>
          <w:b/>
          <w:bCs/>
          <w:szCs w:val="24"/>
        </w:rPr>
        <w:t>drošību</w:t>
      </w:r>
      <w:r w:rsidR="001700DF">
        <w:rPr>
          <w:rFonts w:eastAsia="Times New Roman" w:cs="Times New Roman"/>
          <w:szCs w:val="24"/>
        </w:rPr>
        <w:t xml:space="preserve">, </w:t>
      </w:r>
      <w:r w:rsidR="00D87634" w:rsidRPr="00D87634">
        <w:rPr>
          <w:rFonts w:eastAsia="Times New Roman" w:cs="Times New Roman"/>
          <w:b/>
          <w:bCs/>
          <w:szCs w:val="24"/>
        </w:rPr>
        <w:t>izaugsmi</w:t>
      </w:r>
      <w:r w:rsidR="001700DF">
        <w:rPr>
          <w:rFonts w:eastAsia="Times New Roman" w:cs="Times New Roman"/>
          <w:szCs w:val="24"/>
        </w:rPr>
        <w:t>, kā arī</w:t>
      </w:r>
      <w:r w:rsidR="00D87634" w:rsidRPr="00D87634">
        <w:rPr>
          <w:rFonts w:eastAsia="Times New Roman" w:cs="Times New Roman"/>
          <w:b/>
          <w:bCs/>
          <w:szCs w:val="24"/>
        </w:rPr>
        <w:t xml:space="preserve"> labklājību</w:t>
      </w:r>
      <w:r w:rsidR="00D87634">
        <w:rPr>
          <w:rFonts w:eastAsia="Times New Roman" w:cs="Times New Roman"/>
          <w:szCs w:val="24"/>
        </w:rPr>
        <w:t>.</w:t>
      </w:r>
    </w:p>
    <w:p w14:paraId="34E33028" w14:textId="277075B0" w:rsidR="00557435" w:rsidRPr="00DF727E" w:rsidRDefault="00557435" w:rsidP="00AA6679">
      <w:pPr>
        <w:rPr>
          <w:rFonts w:eastAsia="Times New Roman" w:cs="Times New Roman"/>
          <w:szCs w:val="24"/>
        </w:rPr>
      </w:pPr>
      <w:r w:rsidRPr="00AA6679">
        <w:rPr>
          <w:rFonts w:eastAsia="Times New Roman" w:cs="Times New Roman"/>
          <w:b/>
          <w:bCs/>
          <w:szCs w:val="24"/>
        </w:rPr>
        <w:t xml:space="preserve">1. </w:t>
      </w:r>
      <w:r w:rsidR="00AA6679">
        <w:rPr>
          <w:rFonts w:eastAsia="Times New Roman" w:cs="Times New Roman"/>
          <w:b/>
          <w:bCs/>
          <w:szCs w:val="24"/>
        </w:rPr>
        <w:t>Droš</w:t>
      </w:r>
      <w:r w:rsidR="001700DF">
        <w:rPr>
          <w:rFonts w:eastAsia="Times New Roman" w:cs="Times New Roman"/>
          <w:b/>
          <w:bCs/>
          <w:szCs w:val="24"/>
        </w:rPr>
        <w:t>a Latvija</w:t>
      </w:r>
      <w:r w:rsidRPr="00AA6679">
        <w:rPr>
          <w:rFonts w:eastAsia="Times New Roman" w:cs="Times New Roman"/>
          <w:b/>
          <w:bCs/>
          <w:szCs w:val="24"/>
        </w:rPr>
        <w:t>.</w:t>
      </w:r>
      <w:r w:rsidRPr="00AA6679">
        <w:rPr>
          <w:rFonts w:eastAsia="Times New Roman" w:cs="Times New Roman"/>
          <w:szCs w:val="24"/>
        </w:rPr>
        <w:t xml:space="preserve"> </w:t>
      </w:r>
      <w:r w:rsidR="00282CB3" w:rsidRPr="00AA6679">
        <w:rPr>
          <w:rFonts w:eastAsia="Times New Roman" w:cs="Times New Roman"/>
          <w:szCs w:val="24"/>
        </w:rPr>
        <w:t xml:space="preserve">Saglabājot nemainīgu ārpolitikas eiroatlantisko kursu, </w:t>
      </w:r>
      <w:r w:rsidR="006024F1">
        <w:rPr>
          <w:rFonts w:eastAsia="Times New Roman" w:cs="Times New Roman"/>
          <w:szCs w:val="24"/>
        </w:rPr>
        <w:t>jā</w:t>
      </w:r>
      <w:r w:rsidR="00282CB3" w:rsidRPr="00AA6679">
        <w:rPr>
          <w:rFonts w:eastAsia="Times New Roman" w:cs="Times New Roman"/>
          <w:szCs w:val="24"/>
        </w:rPr>
        <w:t>stiprin</w:t>
      </w:r>
      <w:r w:rsidR="006024F1">
        <w:rPr>
          <w:rFonts w:eastAsia="Times New Roman" w:cs="Times New Roman"/>
          <w:szCs w:val="24"/>
        </w:rPr>
        <w:t>a</w:t>
      </w:r>
      <w:r w:rsidR="00282CB3" w:rsidRPr="00AA6679">
        <w:rPr>
          <w:rFonts w:eastAsia="Times New Roman" w:cs="Times New Roman"/>
          <w:szCs w:val="24"/>
        </w:rPr>
        <w:t xml:space="preserve"> Latvijas drošīb</w:t>
      </w:r>
      <w:r w:rsidR="006024F1">
        <w:rPr>
          <w:rFonts w:eastAsia="Times New Roman" w:cs="Times New Roman"/>
          <w:szCs w:val="24"/>
        </w:rPr>
        <w:t>a</w:t>
      </w:r>
      <w:r w:rsidR="00282CB3" w:rsidRPr="00AA6679">
        <w:rPr>
          <w:rFonts w:eastAsia="Times New Roman" w:cs="Times New Roman"/>
          <w:szCs w:val="24"/>
        </w:rPr>
        <w:t xml:space="preserve"> strauji mainīgajā pasaulē. </w:t>
      </w:r>
      <w:r w:rsidR="006024F1">
        <w:rPr>
          <w:rFonts w:eastAsia="Times New Roman" w:cs="Times New Roman"/>
          <w:szCs w:val="24"/>
        </w:rPr>
        <w:t>Jāt</w:t>
      </w:r>
      <w:r w:rsidR="00282CB3" w:rsidRPr="00AA6679">
        <w:rPr>
          <w:rFonts w:eastAsia="Times New Roman" w:cs="Times New Roman"/>
          <w:szCs w:val="24"/>
        </w:rPr>
        <w:t>urpin</w:t>
      </w:r>
      <w:r w:rsidR="006024F1">
        <w:rPr>
          <w:rFonts w:eastAsia="Times New Roman" w:cs="Times New Roman"/>
          <w:szCs w:val="24"/>
        </w:rPr>
        <w:t xml:space="preserve">a </w:t>
      </w:r>
      <w:r w:rsidR="00282CB3" w:rsidRPr="00AA6679">
        <w:rPr>
          <w:rFonts w:eastAsia="Times New Roman" w:cs="Times New Roman"/>
          <w:szCs w:val="24"/>
        </w:rPr>
        <w:t>atbalstīt Ukrain</w:t>
      </w:r>
      <w:r w:rsidR="006024F1">
        <w:rPr>
          <w:rFonts w:eastAsia="Times New Roman" w:cs="Times New Roman"/>
          <w:szCs w:val="24"/>
        </w:rPr>
        <w:t>a</w:t>
      </w:r>
      <w:r w:rsidR="00282CB3" w:rsidRPr="00AA6679">
        <w:rPr>
          <w:rFonts w:eastAsia="Times New Roman" w:cs="Times New Roman"/>
          <w:szCs w:val="24"/>
        </w:rPr>
        <w:t xml:space="preserve"> tās cīņā pret Krievijas agresiju un Ukrainas eiroatlantisko integrācij</w:t>
      </w:r>
      <w:r w:rsidR="00E62B76">
        <w:rPr>
          <w:rFonts w:eastAsia="Times New Roman" w:cs="Times New Roman"/>
          <w:szCs w:val="24"/>
        </w:rPr>
        <w:t>a</w:t>
      </w:r>
      <w:r w:rsidR="00282CB3" w:rsidRPr="00AA6679">
        <w:rPr>
          <w:rFonts w:eastAsia="Times New Roman" w:cs="Times New Roman"/>
          <w:szCs w:val="24"/>
        </w:rPr>
        <w:t xml:space="preserve">. Drošība, valsts aizsardzība un </w:t>
      </w:r>
      <w:proofErr w:type="spellStart"/>
      <w:r w:rsidR="00282CB3" w:rsidRPr="00AA6679">
        <w:rPr>
          <w:rFonts w:eastAsia="Times New Roman" w:cs="Times New Roman"/>
          <w:szCs w:val="24"/>
        </w:rPr>
        <w:t>pašaizsargājoša</w:t>
      </w:r>
      <w:proofErr w:type="spellEnd"/>
      <w:r w:rsidR="00282CB3" w:rsidRPr="00AA6679">
        <w:rPr>
          <w:rFonts w:eastAsia="Times New Roman" w:cs="Times New Roman"/>
          <w:szCs w:val="24"/>
        </w:rPr>
        <w:t xml:space="preserve"> demokrātija ir priekšnoteikums ilgtspējīgai valsts attīstībai. </w:t>
      </w:r>
      <w:r w:rsidR="008C3E55">
        <w:rPr>
          <w:rFonts w:eastAsia="Times New Roman" w:cs="Times New Roman"/>
          <w:szCs w:val="24"/>
        </w:rPr>
        <w:t>Jā</w:t>
      </w:r>
      <w:r w:rsidR="00282CB3" w:rsidRPr="00AA6679">
        <w:rPr>
          <w:rFonts w:eastAsia="Times New Roman" w:cs="Times New Roman"/>
          <w:szCs w:val="24"/>
        </w:rPr>
        <w:t>turpin</w:t>
      </w:r>
      <w:r w:rsidR="008C3E55">
        <w:rPr>
          <w:rFonts w:eastAsia="Times New Roman" w:cs="Times New Roman"/>
          <w:szCs w:val="24"/>
        </w:rPr>
        <w:t>a</w:t>
      </w:r>
      <w:r w:rsidR="00282CB3" w:rsidRPr="00AA6679">
        <w:rPr>
          <w:rFonts w:eastAsia="Times New Roman" w:cs="Times New Roman"/>
          <w:szCs w:val="24"/>
        </w:rPr>
        <w:t xml:space="preserve"> uzsākt</w:t>
      </w:r>
      <w:r w:rsidR="008C3E55">
        <w:rPr>
          <w:rFonts w:eastAsia="Times New Roman" w:cs="Times New Roman"/>
          <w:szCs w:val="24"/>
        </w:rPr>
        <w:t>ais</w:t>
      </w:r>
      <w:r w:rsidR="00282CB3" w:rsidRPr="00AA6679">
        <w:rPr>
          <w:rFonts w:eastAsia="Times New Roman" w:cs="Times New Roman"/>
          <w:szCs w:val="24"/>
        </w:rPr>
        <w:t xml:space="preserve"> darb</w:t>
      </w:r>
      <w:r w:rsidR="008C3E55">
        <w:rPr>
          <w:rFonts w:eastAsia="Times New Roman" w:cs="Times New Roman"/>
          <w:szCs w:val="24"/>
        </w:rPr>
        <w:t>s</w:t>
      </w:r>
      <w:r w:rsidR="00282CB3" w:rsidRPr="00AA6679">
        <w:rPr>
          <w:rFonts w:eastAsia="Times New Roman" w:cs="Times New Roman"/>
          <w:szCs w:val="24"/>
        </w:rPr>
        <w:t xml:space="preserve"> valsts aizsardzības, sabiedriskās kārtības un drošības finansējuma </w:t>
      </w:r>
      <w:r w:rsidR="00282CB3" w:rsidRPr="00DF727E">
        <w:rPr>
          <w:rFonts w:eastAsia="Times New Roman" w:cs="Times New Roman"/>
          <w:szCs w:val="24"/>
        </w:rPr>
        <w:t>palielināšanai un šo nozaru spēju stiprināšanai.</w:t>
      </w:r>
    </w:p>
    <w:p w14:paraId="0ABB32B8" w14:textId="1CB24DD1" w:rsidR="00557435" w:rsidRPr="00DF727E" w:rsidRDefault="00557435" w:rsidP="003C02EC">
      <w:pPr>
        <w:rPr>
          <w:rFonts w:eastAsia="Times New Roman" w:cs="Times New Roman"/>
          <w:szCs w:val="24"/>
        </w:rPr>
      </w:pPr>
      <w:r w:rsidRPr="00DF727E">
        <w:rPr>
          <w:rFonts w:eastAsia="Times New Roman" w:cs="Times New Roman"/>
          <w:b/>
          <w:bCs/>
          <w:szCs w:val="24"/>
        </w:rPr>
        <w:t xml:space="preserve">2. </w:t>
      </w:r>
      <w:r w:rsidR="00D87634">
        <w:rPr>
          <w:rFonts w:eastAsia="Times New Roman" w:cs="Times New Roman"/>
          <w:b/>
          <w:bCs/>
          <w:szCs w:val="24"/>
        </w:rPr>
        <w:t>Latviska un iekļaujoša Latvija</w:t>
      </w:r>
      <w:r w:rsidRPr="00DF727E">
        <w:rPr>
          <w:rFonts w:eastAsia="Times New Roman" w:cs="Times New Roman"/>
          <w:b/>
          <w:bCs/>
          <w:szCs w:val="24"/>
        </w:rPr>
        <w:t>.</w:t>
      </w:r>
      <w:r w:rsidRPr="00DF727E">
        <w:rPr>
          <w:rFonts w:eastAsia="Times New Roman" w:cs="Times New Roman"/>
          <w:szCs w:val="24"/>
        </w:rPr>
        <w:t xml:space="preserve"> </w:t>
      </w:r>
      <w:r w:rsidR="00DF727E" w:rsidRPr="00DF727E">
        <w:rPr>
          <w:rFonts w:eastAsia="Times New Roman" w:cs="Times New Roman"/>
          <w:szCs w:val="24"/>
        </w:rPr>
        <w:t xml:space="preserve">Latvija ir droša mājvieta visiem, kuri veido vienotu Latvijas politisko nāciju, jo mīl un ciena Latvijas valstiskumu, neatkarību un drošību, latviešu valodu un Latvijas Satversmē nostiprinātās vērtības. Risinot ikdienas izaicinājumus, </w:t>
      </w:r>
      <w:r w:rsidR="008C3E55">
        <w:rPr>
          <w:rFonts w:eastAsia="Times New Roman" w:cs="Times New Roman"/>
          <w:szCs w:val="24"/>
        </w:rPr>
        <w:t>jāap</w:t>
      </w:r>
      <w:r w:rsidR="00DF727E" w:rsidRPr="00DF727E">
        <w:rPr>
          <w:rFonts w:eastAsia="Times New Roman" w:cs="Times New Roman"/>
          <w:szCs w:val="24"/>
        </w:rPr>
        <w:t>zin</w:t>
      </w:r>
      <w:r w:rsidR="008C3E55">
        <w:rPr>
          <w:rFonts w:eastAsia="Times New Roman" w:cs="Times New Roman"/>
          <w:szCs w:val="24"/>
        </w:rPr>
        <w:t>a</w:t>
      </w:r>
      <w:r w:rsidR="00DF727E" w:rsidRPr="00DF727E">
        <w:rPr>
          <w:rFonts w:eastAsia="Times New Roman" w:cs="Times New Roman"/>
          <w:szCs w:val="24"/>
        </w:rPr>
        <w:t xml:space="preserve"> un </w:t>
      </w:r>
      <w:r w:rsidR="008C3E55">
        <w:rPr>
          <w:rFonts w:eastAsia="Times New Roman" w:cs="Times New Roman"/>
          <w:szCs w:val="24"/>
        </w:rPr>
        <w:t>jā</w:t>
      </w:r>
      <w:r w:rsidR="00DF727E" w:rsidRPr="00DF727E">
        <w:rPr>
          <w:rFonts w:eastAsia="Times New Roman" w:cs="Times New Roman"/>
          <w:szCs w:val="24"/>
        </w:rPr>
        <w:t>īsteno ilgtermiņā uz rezultātu orientētas jēgpilnas pārmaiņas valsts pārvaldībā. Kopējs darbs izglītības, veselības, zaļā kursa, cilvēktiesību un uzņēmējdarbības rezultātu uzlabošanā ir veicamie soļi, lai vairotu ikviena Latvijas iedzīvotāja piederības sajūtu un kopējo valsts labklājību. Mūsdienu demogrāfijas izaicinājumi risināmi gan ar investīcijām bērnu nākotnē, gan rūpēm par ģimenēm un to mājokļiem, gan ar kvalitatīvas izglītības iespējām no bērnības līdz sirmam vecumam, gan svarīgiem veselības un sociālajiem pakalpojumiem, kas pagarina cilvēka kvalitatīvi nodzīvotos dzīves gadus.</w:t>
      </w:r>
    </w:p>
    <w:p w14:paraId="4A957B8F" w14:textId="72B103C2" w:rsidR="00557435" w:rsidRPr="00D87634" w:rsidRDefault="00557435" w:rsidP="002E4630">
      <w:pPr>
        <w:rPr>
          <w:rFonts w:eastAsia="Times New Roman" w:cs="Times New Roman"/>
          <w:szCs w:val="24"/>
        </w:rPr>
      </w:pPr>
      <w:r w:rsidRPr="00D87634">
        <w:rPr>
          <w:rFonts w:eastAsia="Times New Roman" w:cs="Times New Roman"/>
          <w:b/>
          <w:bCs/>
          <w:szCs w:val="24"/>
        </w:rPr>
        <w:t xml:space="preserve">3. </w:t>
      </w:r>
      <w:proofErr w:type="spellStart"/>
      <w:r w:rsidR="00D87634" w:rsidRPr="00D87634">
        <w:rPr>
          <w:rFonts w:eastAsia="Times New Roman" w:cs="Times New Roman"/>
          <w:b/>
          <w:bCs/>
          <w:szCs w:val="24"/>
        </w:rPr>
        <w:t>Labklājīga</w:t>
      </w:r>
      <w:proofErr w:type="spellEnd"/>
      <w:r w:rsidR="00D87634" w:rsidRPr="00D87634">
        <w:rPr>
          <w:rFonts w:eastAsia="Times New Roman" w:cs="Times New Roman"/>
          <w:b/>
          <w:bCs/>
          <w:szCs w:val="24"/>
        </w:rPr>
        <w:t xml:space="preserve"> Latvija</w:t>
      </w:r>
      <w:r w:rsidRPr="00D87634">
        <w:rPr>
          <w:rFonts w:eastAsia="Times New Roman" w:cs="Times New Roman"/>
          <w:b/>
          <w:bCs/>
          <w:szCs w:val="24"/>
        </w:rPr>
        <w:t>.</w:t>
      </w:r>
      <w:r w:rsidRPr="00D87634">
        <w:rPr>
          <w:rFonts w:eastAsia="Times New Roman" w:cs="Times New Roman"/>
          <w:szCs w:val="24"/>
        </w:rPr>
        <w:t xml:space="preserve"> </w:t>
      </w:r>
      <w:r w:rsidR="00D87634" w:rsidRPr="00D87634">
        <w:rPr>
          <w:rFonts w:eastAsia="Times New Roman" w:cs="Times New Roman"/>
          <w:szCs w:val="24"/>
        </w:rPr>
        <w:t xml:space="preserve">Līdzsvarotas sociālās, vides un ekonomikas politikas dimensijas ir pamats Latvijas ilgtspējīgai attīstībai. Latvijas resursi ir ierobežoti, tāpēc katram ieguldījumam jābūt atbildīgam un izsvērtam, finansējot inovācijās orientētus publiskos pakalpojumus, lai nākamās paaudzes dzīvotu laikmetīgā, </w:t>
      </w:r>
      <w:proofErr w:type="spellStart"/>
      <w:r w:rsidR="00D87634" w:rsidRPr="00D87634">
        <w:rPr>
          <w:rFonts w:eastAsia="Times New Roman" w:cs="Times New Roman"/>
          <w:szCs w:val="24"/>
        </w:rPr>
        <w:t>labklājīgā</w:t>
      </w:r>
      <w:proofErr w:type="spellEnd"/>
      <w:r w:rsidR="00D87634" w:rsidRPr="00D87634">
        <w:rPr>
          <w:rFonts w:eastAsia="Times New Roman" w:cs="Times New Roman"/>
          <w:szCs w:val="24"/>
        </w:rPr>
        <w:t xml:space="preserve"> un kvalitatīvā dzīves vidē.</w:t>
      </w:r>
      <w:r w:rsidR="002E4630">
        <w:rPr>
          <w:rFonts w:eastAsia="Times New Roman" w:cs="Times New Roman"/>
          <w:szCs w:val="24"/>
        </w:rPr>
        <w:t xml:space="preserve"> </w:t>
      </w:r>
      <w:r w:rsidR="00D87634" w:rsidRPr="00D87634">
        <w:rPr>
          <w:rFonts w:eastAsia="Times New Roman" w:cs="Times New Roman"/>
          <w:szCs w:val="24"/>
        </w:rPr>
        <w:t xml:space="preserve">Ekonomiskās politikas mērķis ir sasniegt ilgtspējīgu </w:t>
      </w:r>
      <w:r w:rsidR="008C3E55">
        <w:rPr>
          <w:rFonts w:eastAsia="Times New Roman" w:cs="Times New Roman"/>
          <w:szCs w:val="24"/>
        </w:rPr>
        <w:t>IKP</w:t>
      </w:r>
      <w:r w:rsidR="00D87634" w:rsidRPr="00D87634">
        <w:rPr>
          <w:rFonts w:eastAsia="Times New Roman" w:cs="Times New Roman"/>
          <w:szCs w:val="24"/>
        </w:rPr>
        <w:t xml:space="preserve"> pieaugumu, audzējot produktivitāti, investīcijas, eksportu un nodarbinātību. Konkurētspējas pamatā ir zinātnes sasniegumi, mūsdienīgas prasmes un spēja izmantot tehnoloģiju sniegtās iespējas, Latvijas cilvēku ambīcijas un </w:t>
      </w:r>
      <w:proofErr w:type="spellStart"/>
      <w:r w:rsidR="00D87634" w:rsidRPr="00D87634">
        <w:rPr>
          <w:rFonts w:eastAsia="Times New Roman" w:cs="Times New Roman"/>
          <w:szCs w:val="24"/>
        </w:rPr>
        <w:t>uzņēmējspēja</w:t>
      </w:r>
      <w:proofErr w:type="spellEnd"/>
      <w:r w:rsidR="00D87634" w:rsidRPr="00D87634">
        <w:rPr>
          <w:rFonts w:eastAsia="Times New Roman" w:cs="Times New Roman"/>
          <w:szCs w:val="24"/>
        </w:rPr>
        <w:t>, kuru atbalstam radīti kvalitatīvi un pieejami publiskie pakalpojumi un tiesiski droša investīciju vide.</w:t>
      </w:r>
    </w:p>
    <w:p w14:paraId="7666ED8D" w14:textId="65B4309B" w:rsidR="008078AE" w:rsidRDefault="00D87634" w:rsidP="008078AE">
      <w:pPr>
        <w:widowControl w:val="0"/>
        <w:rPr>
          <w:rFonts w:eastAsia="Times New Roman" w:cs="Times New Roman"/>
          <w:b/>
          <w:bCs/>
          <w:szCs w:val="24"/>
        </w:rPr>
      </w:pPr>
      <w:r>
        <w:rPr>
          <w:rFonts w:eastAsia="Times New Roman" w:cs="Times New Roman"/>
          <w:szCs w:val="24"/>
        </w:rPr>
        <w:t xml:space="preserve">Ņemot vērā valdības definētos </w:t>
      </w:r>
      <w:r w:rsidR="002E4630">
        <w:rPr>
          <w:rFonts w:eastAsia="Times New Roman" w:cs="Times New Roman"/>
          <w:szCs w:val="24"/>
        </w:rPr>
        <w:t>rīcības</w:t>
      </w:r>
      <w:r>
        <w:rPr>
          <w:rFonts w:eastAsia="Times New Roman" w:cs="Times New Roman"/>
          <w:szCs w:val="24"/>
        </w:rPr>
        <w:t xml:space="preserve"> </w:t>
      </w:r>
      <w:r w:rsidR="002E4630">
        <w:rPr>
          <w:rFonts w:eastAsia="Times New Roman" w:cs="Times New Roman"/>
          <w:szCs w:val="24"/>
        </w:rPr>
        <w:t xml:space="preserve">prioritāros </w:t>
      </w:r>
      <w:r>
        <w:rPr>
          <w:rFonts w:eastAsia="Times New Roman" w:cs="Times New Roman"/>
          <w:szCs w:val="24"/>
        </w:rPr>
        <w:t>virzienus par</w:t>
      </w:r>
      <w:r w:rsidR="001700DF" w:rsidRPr="00282CB3">
        <w:rPr>
          <w:rFonts w:eastAsia="Times New Roman" w:cs="Times New Roman"/>
          <w:szCs w:val="24"/>
        </w:rPr>
        <w:t xml:space="preserve"> </w:t>
      </w:r>
      <w:r w:rsidR="001700DF" w:rsidRPr="00D87634">
        <w:rPr>
          <w:rFonts w:eastAsia="Times New Roman" w:cs="Times New Roman"/>
          <w:szCs w:val="24"/>
        </w:rPr>
        <w:t>fiskālās politikas specifiskiem mērķi</w:t>
      </w:r>
      <w:r w:rsidR="00311761">
        <w:rPr>
          <w:rFonts w:eastAsia="Times New Roman" w:cs="Times New Roman"/>
          <w:szCs w:val="24"/>
        </w:rPr>
        <w:t>e</w:t>
      </w:r>
      <w:r w:rsidR="001700DF" w:rsidRPr="00D87634">
        <w:rPr>
          <w:rFonts w:eastAsia="Times New Roman" w:cs="Times New Roman"/>
          <w:szCs w:val="24"/>
        </w:rPr>
        <w:t xml:space="preserve">m, jeb </w:t>
      </w:r>
      <w:r w:rsidR="001700DF" w:rsidRPr="00282CB3">
        <w:rPr>
          <w:rFonts w:eastAsia="Times New Roman" w:cs="Times New Roman"/>
          <w:b/>
          <w:bCs/>
          <w:szCs w:val="24"/>
        </w:rPr>
        <w:t xml:space="preserve">vidēja termiņa budžeta </w:t>
      </w:r>
      <w:r w:rsidR="00311761">
        <w:rPr>
          <w:rFonts w:eastAsia="Times New Roman" w:cs="Times New Roman"/>
          <w:b/>
          <w:bCs/>
          <w:szCs w:val="24"/>
        </w:rPr>
        <w:t xml:space="preserve">(valsts nozīmes) </w:t>
      </w:r>
      <w:r w:rsidR="001700DF" w:rsidRPr="00282CB3">
        <w:rPr>
          <w:rFonts w:eastAsia="Times New Roman" w:cs="Times New Roman"/>
          <w:b/>
          <w:bCs/>
          <w:szCs w:val="24"/>
        </w:rPr>
        <w:t>politikas prioritārie</w:t>
      </w:r>
      <w:r w:rsidR="001700DF">
        <w:rPr>
          <w:rFonts w:eastAsia="Times New Roman" w:cs="Times New Roman"/>
          <w:b/>
          <w:bCs/>
          <w:szCs w:val="24"/>
        </w:rPr>
        <w:t>m</w:t>
      </w:r>
      <w:r w:rsidR="001700DF" w:rsidRPr="00282CB3">
        <w:rPr>
          <w:rFonts w:eastAsia="Times New Roman" w:cs="Times New Roman"/>
          <w:b/>
          <w:bCs/>
          <w:szCs w:val="24"/>
        </w:rPr>
        <w:t xml:space="preserve"> </w:t>
      </w:r>
      <w:r w:rsidR="001700DF" w:rsidRPr="00282CB3">
        <w:rPr>
          <w:rFonts w:eastAsia="Times New Roman" w:cs="Times New Roman"/>
          <w:b/>
          <w:bCs/>
          <w:szCs w:val="24"/>
        </w:rPr>
        <w:lastRenderedPageBreak/>
        <w:t>attīstības virzieni</w:t>
      </w:r>
      <w:r w:rsidR="001700DF">
        <w:rPr>
          <w:rFonts w:eastAsia="Times New Roman" w:cs="Times New Roman"/>
          <w:b/>
          <w:bCs/>
          <w:szCs w:val="24"/>
        </w:rPr>
        <w:t xml:space="preserve">em </w:t>
      </w:r>
      <w:r w:rsidR="001700DF" w:rsidRPr="00D87634">
        <w:rPr>
          <w:rFonts w:eastAsia="Times New Roman" w:cs="Times New Roman"/>
          <w:szCs w:val="24"/>
        </w:rPr>
        <w:t>tiek izvirzīti:</w:t>
      </w:r>
      <w:r>
        <w:rPr>
          <w:rFonts w:eastAsia="Times New Roman" w:cs="Times New Roman"/>
          <w:b/>
          <w:bCs/>
          <w:szCs w:val="24"/>
        </w:rPr>
        <w:t xml:space="preserve"> drošība, veselība un izglītība.</w:t>
      </w:r>
    </w:p>
    <w:p w14:paraId="6A0430FE" w14:textId="2905BEEA" w:rsidR="00557435" w:rsidRPr="00D87634" w:rsidRDefault="00557435" w:rsidP="003C02EC">
      <w:pPr>
        <w:widowControl w:val="0"/>
        <w:rPr>
          <w:rFonts w:eastAsia="Times New Roman" w:cs="Times New Roman"/>
          <w:szCs w:val="24"/>
        </w:rPr>
      </w:pPr>
      <w:r w:rsidRPr="00D87634">
        <w:rPr>
          <w:rFonts w:eastAsia="Times New Roman" w:cs="Times New Roman"/>
          <w:szCs w:val="24"/>
        </w:rPr>
        <w:t>Tālāk šajā nodaļā tiks sniegts izvērsums gan par to</w:t>
      </w:r>
      <w:r w:rsidR="008F02A2" w:rsidRPr="00D87634">
        <w:rPr>
          <w:rFonts w:eastAsia="Times New Roman" w:cs="Times New Roman"/>
          <w:szCs w:val="24"/>
        </w:rPr>
        <w:t>,</w:t>
      </w:r>
      <w:r w:rsidRPr="00D87634">
        <w:rPr>
          <w:rFonts w:eastAsia="Times New Roman" w:cs="Times New Roman"/>
          <w:szCs w:val="24"/>
        </w:rPr>
        <w:t xml:space="preserve"> kā tiek aprēķināti pieejamie papildus resursi budžeta prioritāšu īstenošanai, gan arī par to, kādi ir </w:t>
      </w:r>
      <w:r w:rsidR="00801615">
        <w:rPr>
          <w:rFonts w:eastAsia="Times New Roman" w:cs="Times New Roman"/>
          <w:szCs w:val="24"/>
        </w:rPr>
        <w:t>MK</w:t>
      </w:r>
      <w:r w:rsidRPr="00D87634">
        <w:rPr>
          <w:rFonts w:eastAsia="Times New Roman" w:cs="Times New Roman"/>
          <w:szCs w:val="24"/>
        </w:rPr>
        <w:t xml:space="preserve"> pieņemtie lēmumi fiskālās politikas vispārējā mērķa un specifisko mērķu sasniegšanai. Informācija tiks ietverta sekojošās apakšdaļās:</w:t>
      </w:r>
    </w:p>
    <w:p w14:paraId="3DD85CE3" w14:textId="77777777" w:rsidR="00557435" w:rsidRPr="00D87634" w:rsidRDefault="00557435" w:rsidP="00C032A1">
      <w:pPr>
        <w:widowControl w:val="0"/>
        <w:numPr>
          <w:ilvl w:val="0"/>
          <w:numId w:val="7"/>
        </w:numPr>
        <w:spacing w:after="0"/>
        <w:ind w:left="1069"/>
        <w:rPr>
          <w:rFonts w:eastAsia="Times New Roman" w:cs="Times New Roman"/>
          <w:szCs w:val="24"/>
        </w:rPr>
      </w:pPr>
      <w:r w:rsidRPr="00D87634">
        <w:rPr>
          <w:rFonts w:eastAsia="Times New Roman" w:cs="Times New Roman"/>
          <w:szCs w:val="24"/>
        </w:rPr>
        <w:t>vidēja termiņa strukturālās bilances mērķu noteikšana;</w:t>
      </w:r>
    </w:p>
    <w:p w14:paraId="3070376C" w14:textId="77777777" w:rsidR="00557435" w:rsidRPr="00D87634" w:rsidRDefault="00557435" w:rsidP="00C032A1">
      <w:pPr>
        <w:widowControl w:val="0"/>
        <w:numPr>
          <w:ilvl w:val="0"/>
          <w:numId w:val="7"/>
        </w:numPr>
        <w:spacing w:after="0"/>
        <w:ind w:left="1069"/>
        <w:rPr>
          <w:rFonts w:eastAsia="Times New Roman" w:cs="Times New Roman"/>
          <w:szCs w:val="24"/>
        </w:rPr>
      </w:pPr>
      <w:r w:rsidRPr="00D87634">
        <w:rPr>
          <w:rFonts w:eastAsia="Times New Roman" w:cs="Times New Roman"/>
          <w:szCs w:val="24"/>
        </w:rPr>
        <w:t>vispārējās valdības budžeta bilance;</w:t>
      </w:r>
    </w:p>
    <w:p w14:paraId="5C0B0499" w14:textId="77777777" w:rsidR="00557435" w:rsidRPr="00D87634" w:rsidRDefault="00557435" w:rsidP="00C032A1">
      <w:pPr>
        <w:widowControl w:val="0"/>
        <w:numPr>
          <w:ilvl w:val="0"/>
          <w:numId w:val="7"/>
        </w:numPr>
        <w:spacing w:after="0"/>
        <w:ind w:left="1069"/>
        <w:rPr>
          <w:rFonts w:eastAsia="Times New Roman" w:cs="Times New Roman"/>
          <w:szCs w:val="24"/>
        </w:rPr>
      </w:pPr>
      <w:r w:rsidRPr="00D87634">
        <w:rPr>
          <w:rFonts w:eastAsia="Times New Roman" w:cs="Times New Roman"/>
          <w:szCs w:val="24"/>
        </w:rPr>
        <w:t>vidēja termiņa budžeta prioritārie attīstības virzieni.</w:t>
      </w:r>
    </w:p>
    <w:p w14:paraId="69777FB6" w14:textId="709BB09A" w:rsidR="0042606F" w:rsidRPr="00B93389" w:rsidRDefault="000548A5" w:rsidP="00867C96">
      <w:pPr>
        <w:pStyle w:val="H2"/>
        <w:numPr>
          <w:ilvl w:val="1"/>
          <w:numId w:val="2"/>
        </w:numPr>
        <w:ind w:left="357" w:hanging="357"/>
      </w:pPr>
      <w:bookmarkStart w:id="55" w:name="_Toc126236643"/>
      <w:r w:rsidRPr="00B93389">
        <w:t>Vidēja termiņa strukturālās bilances mērķu noteikšana</w:t>
      </w:r>
      <w:bookmarkEnd w:id="55"/>
    </w:p>
    <w:p w14:paraId="4E14BACA" w14:textId="6919A2C0" w:rsidR="00EA4FF4" w:rsidRDefault="00EA4FF4" w:rsidP="00506EB9">
      <w:pPr>
        <w:ind w:firstLine="709"/>
        <w:rPr>
          <w:rFonts w:eastAsia="Calibri" w:cs="Times New Roman"/>
          <w:szCs w:val="20"/>
        </w:rPr>
      </w:pPr>
      <w:r>
        <w:rPr>
          <w:rFonts w:eastAsia="Calibri" w:cs="Times New Roman"/>
          <w:szCs w:val="20"/>
        </w:rPr>
        <w:t>V</w:t>
      </w:r>
      <w:r w:rsidRPr="008E5035">
        <w:rPr>
          <w:rFonts w:eastAsia="Calibri" w:cs="Times New Roman"/>
          <w:szCs w:val="20"/>
        </w:rPr>
        <w:t>aldības deklarācijā</w:t>
      </w:r>
      <w:r>
        <w:rPr>
          <w:rStyle w:val="FootnoteReference"/>
          <w:rFonts w:eastAsia="Calibri" w:cs="Times New Roman"/>
          <w:szCs w:val="20"/>
        </w:rPr>
        <w:footnoteReference w:id="11"/>
      </w:r>
      <w:r>
        <w:rPr>
          <w:rFonts w:eastAsia="Calibri" w:cs="Times New Roman"/>
          <w:szCs w:val="20"/>
        </w:rPr>
        <w:t xml:space="preserve"> </w:t>
      </w:r>
      <w:r w:rsidRPr="008E5035">
        <w:rPr>
          <w:rFonts w:eastAsia="Calibri" w:cs="Times New Roman"/>
          <w:szCs w:val="20"/>
        </w:rPr>
        <w:t xml:space="preserve">ir nostiprināta </w:t>
      </w:r>
      <w:r>
        <w:rPr>
          <w:rFonts w:eastAsia="Calibri" w:cs="Times New Roman"/>
          <w:szCs w:val="20"/>
        </w:rPr>
        <w:t>a</w:t>
      </w:r>
      <w:r w:rsidR="00644AD1" w:rsidRPr="008E5035">
        <w:rPr>
          <w:rFonts w:eastAsia="Calibri" w:cs="Times New Roman"/>
          <w:szCs w:val="20"/>
        </w:rPr>
        <w:t xml:space="preserve">pņemšanās </w:t>
      </w:r>
      <w:r>
        <w:rPr>
          <w:rFonts w:eastAsia="Calibri" w:cs="Times New Roman"/>
          <w:szCs w:val="20"/>
        </w:rPr>
        <w:t>īstenot</w:t>
      </w:r>
      <w:r w:rsidR="00644AD1" w:rsidRPr="008E5035">
        <w:rPr>
          <w:rFonts w:eastAsia="Calibri" w:cs="Times New Roman"/>
          <w:szCs w:val="20"/>
        </w:rPr>
        <w:t xml:space="preserve"> </w:t>
      </w:r>
      <w:r>
        <w:rPr>
          <w:rFonts w:eastAsia="Calibri" w:cs="Times New Roman"/>
          <w:szCs w:val="20"/>
        </w:rPr>
        <w:t>f</w:t>
      </w:r>
      <w:r>
        <w:t xml:space="preserve">iskālo politiku saskaņā ar spēkā esošajiem Latvijas un </w:t>
      </w:r>
      <w:r w:rsidR="00B93389">
        <w:t>ES</w:t>
      </w:r>
      <w:r>
        <w:t xml:space="preserve"> tiesību aktos noteiktajiem fiskālajiem nosacījumiem un adaptēt to atbilstoši gaidāmajiem ES ekonomiskās pārvaldības tiesiskā ietvara grozījumiem pēc šo grozījumu pieņemšanas</w:t>
      </w:r>
      <w:r w:rsidR="00D86CB4">
        <w:rPr>
          <w:rStyle w:val="FootnoteReference"/>
          <w:rFonts w:eastAsia="Times New Roman" w:cs="Times New Roman"/>
        </w:rPr>
        <w:footnoteReference w:id="12"/>
      </w:r>
      <w:r>
        <w:t>.</w:t>
      </w:r>
    </w:p>
    <w:p w14:paraId="1154C9E2" w14:textId="238D7E1E" w:rsidR="00425BD5" w:rsidRDefault="00425BD5" w:rsidP="00425BD5">
      <w:pPr>
        <w:ind w:firstLine="709"/>
        <w:rPr>
          <w:rFonts w:eastAsia="Times New Roman" w:cs="Times New Roman"/>
        </w:rPr>
      </w:pPr>
      <w:r w:rsidRPr="00827B27">
        <w:rPr>
          <w:rFonts w:eastAsia="Times New Roman" w:cs="Times New Roman"/>
        </w:rPr>
        <w:t xml:space="preserve">Ņemot vērā, ka </w:t>
      </w:r>
      <w:r>
        <w:rPr>
          <w:rFonts w:eastAsia="Times New Roman" w:cs="Times New Roman"/>
        </w:rPr>
        <w:t>ar 2024.</w:t>
      </w:r>
      <w:r w:rsidR="00B93389">
        <w:rPr>
          <w:rFonts w:eastAsia="Times New Roman" w:cs="Times New Roman"/>
        </w:rPr>
        <w:t xml:space="preserve"> </w:t>
      </w:r>
      <w:r>
        <w:rPr>
          <w:rFonts w:eastAsia="Times New Roman" w:cs="Times New Roman"/>
        </w:rPr>
        <w:t xml:space="preserve">gadu tiek atcelta </w:t>
      </w:r>
      <w:r w:rsidRPr="00827B27">
        <w:rPr>
          <w:rFonts w:eastAsia="Times New Roman" w:cs="Times New Roman"/>
        </w:rPr>
        <w:t>vispārējā izņēmuma klauzula, 202</w:t>
      </w:r>
      <w:r>
        <w:rPr>
          <w:rFonts w:eastAsia="Times New Roman" w:cs="Times New Roman"/>
        </w:rPr>
        <w:t>4</w:t>
      </w:r>
      <w:r w:rsidRPr="00827B27">
        <w:rPr>
          <w:rFonts w:eastAsia="Times New Roman" w:cs="Times New Roman"/>
        </w:rPr>
        <w:t xml:space="preserve">. gadā </w:t>
      </w:r>
      <w:r>
        <w:rPr>
          <w:rFonts w:eastAsia="Times New Roman" w:cs="Times New Roman"/>
        </w:rPr>
        <w:t>ir piemērojami spēkā esoši SIP</w:t>
      </w:r>
      <w:r w:rsidRPr="00827B27">
        <w:rPr>
          <w:rFonts w:eastAsia="Times New Roman" w:cs="Times New Roman"/>
        </w:rPr>
        <w:t xml:space="preserve"> nosacījumi </w:t>
      </w:r>
      <w:r>
        <w:rPr>
          <w:rFonts w:eastAsia="Times New Roman" w:cs="Times New Roman"/>
        </w:rPr>
        <w:t>līdz stāsies spēkā tā tiesisko bāzi veidojošo normatīvo aktu grozījumi</w:t>
      </w:r>
      <w:r w:rsidRPr="00827B27">
        <w:rPr>
          <w:rFonts w:eastAsia="Times New Roman" w:cs="Times New Roman"/>
        </w:rPr>
        <w:t xml:space="preserve">. </w:t>
      </w:r>
    </w:p>
    <w:p w14:paraId="56E3E2EC" w14:textId="420A64A4" w:rsidR="00644AD1" w:rsidRPr="00CF2C6E" w:rsidRDefault="00D86CB4" w:rsidP="00506EB9">
      <w:pPr>
        <w:ind w:firstLine="709"/>
        <w:rPr>
          <w:rFonts w:eastAsia="Calibri" w:cs="Times New Roman"/>
          <w:bCs/>
          <w:szCs w:val="20"/>
        </w:rPr>
      </w:pPr>
      <w:r w:rsidRPr="0047362B">
        <w:rPr>
          <w:rFonts w:eastAsia="Calibri" w:cs="Times New Roman"/>
          <w:szCs w:val="20"/>
        </w:rPr>
        <w:t>Līdz ar FDL apstiprināšanu valsts fiskālās politikas kurss</w:t>
      </w:r>
      <w:r>
        <w:rPr>
          <w:rFonts w:eastAsia="Calibri" w:cs="Times New Roman"/>
          <w:szCs w:val="20"/>
        </w:rPr>
        <w:t xml:space="preserve"> </w:t>
      </w:r>
      <w:r w:rsidRPr="0047362B">
        <w:rPr>
          <w:rFonts w:eastAsia="Calibri" w:cs="Times New Roman"/>
          <w:szCs w:val="20"/>
        </w:rPr>
        <w:t>balstās uz koncepciju,</w:t>
      </w:r>
      <w:r w:rsidR="00425BD5" w:rsidRPr="00425BD5">
        <w:rPr>
          <w:rFonts w:eastAsia="Calibri" w:cs="Times New Roman"/>
          <w:szCs w:val="20"/>
        </w:rPr>
        <w:t xml:space="preserve"> </w:t>
      </w:r>
      <w:r w:rsidRPr="0047362B">
        <w:rPr>
          <w:rFonts w:eastAsia="Calibri" w:cs="Times New Roman"/>
          <w:szCs w:val="20"/>
        </w:rPr>
        <w:t xml:space="preserve">kas paredz ekonomiskajā ciklā nodrošināt sabalansētu budžetu, </w:t>
      </w:r>
      <w:r w:rsidR="00425BD5" w:rsidRPr="00425BD5">
        <w:rPr>
          <w:rFonts w:eastAsia="Calibri" w:cs="Times New Roman"/>
          <w:szCs w:val="20"/>
        </w:rPr>
        <w:t>ar to saprotot vispārējās valdības strukturālās budžeta bilances apmēru</w:t>
      </w:r>
      <w:r w:rsidR="00EA4FF4" w:rsidRPr="008E5035">
        <w:rPr>
          <w:rFonts w:eastAsia="Calibri" w:cs="Times New Roman"/>
          <w:szCs w:val="20"/>
        </w:rPr>
        <w:t>, kas nepārsniedz -0,5% no IKP</w:t>
      </w:r>
      <w:r w:rsidR="00EA4FF4">
        <w:rPr>
          <w:rFonts w:eastAsia="Calibri" w:cs="Times New Roman"/>
          <w:szCs w:val="20"/>
        </w:rPr>
        <w:t xml:space="preserve">, savukārt </w:t>
      </w:r>
      <w:r w:rsidR="00CF2C6E" w:rsidRPr="00CF2C6E">
        <w:rPr>
          <w:rFonts w:eastAsia="Times New Roman" w:cs="Times New Roman"/>
          <w:bCs/>
        </w:rPr>
        <w:t>strukturālās bilances mērķis</w:t>
      </w:r>
      <w:r w:rsidR="00EA4FF4" w:rsidRPr="00CF2C6E">
        <w:rPr>
          <w:rFonts w:eastAsia="Times New Roman" w:cs="Times New Roman"/>
          <w:bCs/>
        </w:rPr>
        <w:t xml:space="preserve"> atbilstoši SIP nosacījumu izpratnei</w:t>
      </w:r>
      <w:r w:rsidR="00EA4FF4" w:rsidRPr="00CF2C6E">
        <w:rPr>
          <w:rFonts w:eastAsia="Calibri" w:cs="Times New Roman"/>
          <w:bCs/>
          <w:szCs w:val="20"/>
        </w:rPr>
        <w:t xml:space="preserve"> </w:t>
      </w:r>
      <w:r w:rsidR="00CF2C6E">
        <w:rPr>
          <w:rFonts w:eastAsia="Calibri" w:cs="Times New Roman"/>
          <w:bCs/>
          <w:szCs w:val="20"/>
        </w:rPr>
        <w:t xml:space="preserve">(ES metodoloģija) </w:t>
      </w:r>
      <w:r w:rsidR="00425BD5" w:rsidRPr="00CF2C6E">
        <w:rPr>
          <w:rFonts w:eastAsia="Times New Roman" w:cs="Times New Roman"/>
          <w:bCs/>
        </w:rPr>
        <w:t>atbilst</w:t>
      </w:r>
      <w:r w:rsidR="00EA4FF4" w:rsidRPr="00CF2C6E">
        <w:rPr>
          <w:rFonts w:eastAsia="Times New Roman" w:cs="Times New Roman"/>
          <w:bCs/>
        </w:rPr>
        <w:t xml:space="preserve"> -1,0% no IKP</w:t>
      </w:r>
      <w:r w:rsidR="00EA4FF4" w:rsidRPr="00CF2C6E">
        <w:rPr>
          <w:rFonts w:eastAsia="Calibri" w:cs="Times New Roman"/>
          <w:bCs/>
          <w:szCs w:val="20"/>
        </w:rPr>
        <w:t>.</w:t>
      </w:r>
    </w:p>
    <w:p w14:paraId="39EB0B95" w14:textId="75E06B17" w:rsidR="00506EB9" w:rsidRDefault="00425BD5" w:rsidP="00506EB9">
      <w:pPr>
        <w:ind w:firstLine="709"/>
        <w:rPr>
          <w:rFonts w:eastAsia="Times New Roman" w:cs="Times New Roman"/>
        </w:rPr>
      </w:pPr>
      <w:r w:rsidRPr="00425BD5">
        <w:rPr>
          <w:rFonts w:eastAsia="Times New Roman" w:cs="Times New Roman"/>
        </w:rPr>
        <w:t xml:space="preserve">Likumprojekta “Par valsts budžetu 2024. gadam un budžeta ietvaru 2024., 2025. un 2026. gadam”  sagatavošanā </w:t>
      </w:r>
      <w:r>
        <w:rPr>
          <w:rFonts w:eastAsia="Times New Roman" w:cs="Times New Roman"/>
        </w:rPr>
        <w:t>a</w:t>
      </w:r>
      <w:r w:rsidR="00506EB9" w:rsidRPr="00506EB9">
        <w:rPr>
          <w:rFonts w:eastAsia="Times New Roman" w:cs="Times New Roman"/>
        </w:rPr>
        <w:t xml:space="preserve">ttiecībā uz </w:t>
      </w:r>
      <w:r w:rsidR="00CF2C6E" w:rsidRPr="00CF2C6E">
        <w:rPr>
          <w:rFonts w:eastAsia="Times New Roman" w:cs="Times New Roman"/>
          <w:bCs/>
        </w:rPr>
        <w:t xml:space="preserve">vispārējās valdības strukturālās </w:t>
      </w:r>
      <w:r w:rsidR="00494B1D" w:rsidRPr="00CF2C6E">
        <w:rPr>
          <w:rFonts w:eastAsia="Times New Roman" w:cs="Times New Roman"/>
          <w:bCs/>
        </w:rPr>
        <w:t xml:space="preserve">budžeta </w:t>
      </w:r>
      <w:r w:rsidR="00CF2C6E" w:rsidRPr="00CF2C6E">
        <w:rPr>
          <w:rFonts w:eastAsia="Times New Roman" w:cs="Times New Roman"/>
          <w:bCs/>
        </w:rPr>
        <w:t>bilances mērķiem</w:t>
      </w:r>
      <w:r w:rsidR="00506EB9" w:rsidRPr="00506EB9">
        <w:rPr>
          <w:rFonts w:eastAsia="Times New Roman" w:cs="Times New Roman"/>
        </w:rPr>
        <w:t xml:space="preserve"> tiek saglabāta Stabilitātes programmā </w:t>
      </w:r>
      <w:r w:rsidR="005A1481">
        <w:rPr>
          <w:rFonts w:eastAsia="Times New Roman" w:cs="Times New Roman"/>
        </w:rPr>
        <w:t>2023. – 2026. gadam</w:t>
      </w:r>
      <w:r w:rsidR="005A1481">
        <w:rPr>
          <w:rStyle w:val="FootnoteReference"/>
          <w:rFonts w:eastAsia="Times New Roman" w:cs="Times New Roman"/>
        </w:rPr>
        <w:footnoteReference w:id="13"/>
      </w:r>
      <w:r w:rsidR="005A1481">
        <w:rPr>
          <w:rFonts w:eastAsia="Times New Roman" w:cs="Times New Roman"/>
        </w:rPr>
        <w:t xml:space="preserve"> </w:t>
      </w:r>
      <w:r>
        <w:rPr>
          <w:rFonts w:eastAsia="Times New Roman" w:cs="Times New Roman"/>
        </w:rPr>
        <w:t>atrunāt</w:t>
      </w:r>
      <w:r w:rsidR="00506EB9" w:rsidRPr="00506EB9">
        <w:rPr>
          <w:rFonts w:eastAsia="Times New Roman" w:cs="Times New Roman"/>
        </w:rPr>
        <w:t xml:space="preserve">ā pieeja nosakot atšķirīgus </w:t>
      </w:r>
      <w:r w:rsidR="00CF2C6E">
        <w:rPr>
          <w:rFonts w:eastAsia="Times New Roman" w:cs="Times New Roman"/>
        </w:rPr>
        <w:t>mērķus</w:t>
      </w:r>
      <w:r w:rsidR="00506EB9" w:rsidRPr="00506EB9">
        <w:rPr>
          <w:rFonts w:eastAsia="Times New Roman" w:cs="Times New Roman"/>
        </w:rPr>
        <w:t xml:space="preserve">: </w:t>
      </w:r>
      <w:r w:rsidR="008C3E55">
        <w:rPr>
          <w:rFonts w:eastAsia="Times New Roman" w:cs="Times New Roman"/>
        </w:rPr>
        <w:t xml:space="preserve">saskaņā ar </w:t>
      </w:r>
      <w:r w:rsidR="00506EB9" w:rsidRPr="00506EB9">
        <w:rPr>
          <w:rFonts w:eastAsia="Times New Roman" w:cs="Times New Roman"/>
        </w:rPr>
        <w:t xml:space="preserve">nacionālo un </w:t>
      </w:r>
      <w:r w:rsidR="00CF2C6E">
        <w:rPr>
          <w:rFonts w:eastAsia="Times New Roman" w:cs="Times New Roman"/>
        </w:rPr>
        <w:t>saskaņā ar ES metodoloģiju</w:t>
      </w:r>
      <w:r w:rsidR="00506EB9" w:rsidRPr="00506EB9">
        <w:rPr>
          <w:rFonts w:eastAsia="Times New Roman" w:cs="Times New Roman"/>
        </w:rPr>
        <w:t>.</w:t>
      </w:r>
    </w:p>
    <w:p w14:paraId="5BA47DAE" w14:textId="0B68FF91" w:rsidR="00B02A36" w:rsidRPr="00B93389" w:rsidRDefault="00A7117E" w:rsidP="00DB14A4">
      <w:pPr>
        <w:pStyle w:val="H3"/>
        <w:rPr>
          <w:sz w:val="24"/>
          <w:szCs w:val="24"/>
        </w:rPr>
      </w:pPr>
      <w:bookmarkStart w:id="56" w:name="_Toc126236644"/>
      <w:r w:rsidRPr="00B93389">
        <w:rPr>
          <w:szCs w:val="24"/>
        </w:rPr>
        <w:t xml:space="preserve">2.1.1. </w:t>
      </w:r>
      <w:r w:rsidRPr="00B93389">
        <w:t>202</w:t>
      </w:r>
      <w:r w:rsidR="007B52BD" w:rsidRPr="00B93389">
        <w:t>4</w:t>
      </w:r>
      <w:r w:rsidRPr="00B93389">
        <w:t>., 202</w:t>
      </w:r>
      <w:r w:rsidR="007B52BD" w:rsidRPr="00B93389">
        <w:t>5</w:t>
      </w:r>
      <w:r w:rsidRPr="00B93389">
        <w:t>. un 202</w:t>
      </w:r>
      <w:r w:rsidR="007B52BD" w:rsidRPr="00B93389">
        <w:t>6</w:t>
      </w:r>
      <w:r w:rsidRPr="00B93389">
        <w:t>.</w:t>
      </w:r>
      <w:r w:rsidR="003C02EC" w:rsidRPr="00B93389">
        <w:t xml:space="preserve"> </w:t>
      </w:r>
      <w:r w:rsidRPr="00B93389">
        <w:t>gada strukturālās bilances mērķi</w:t>
      </w:r>
      <w:bookmarkEnd w:id="56"/>
    </w:p>
    <w:p w14:paraId="7543AC06" w14:textId="044283F0" w:rsidR="00425BD5" w:rsidRDefault="00425BD5" w:rsidP="00425BD5">
      <w:pPr>
        <w:ind w:firstLine="709"/>
        <w:rPr>
          <w:rFonts w:eastAsia="Times New Roman" w:cs="Times New Roman"/>
        </w:rPr>
      </w:pPr>
      <w:r w:rsidRPr="00827B27">
        <w:rPr>
          <w:rFonts w:eastAsia="Times New Roman" w:cs="Times New Roman"/>
        </w:rPr>
        <w:t xml:space="preserve">Vispārējā gadījumā FDL paredz, ka strukturālās bilances mērķu definēšanā tiek piemērota vairāku pakāpju metode un tai ir vienlaicīgi jānodrošina atbilstība nacionālā līmeņa fiskālajiem nosacījumiem (bilances nosacījums, izdevumu pieauguma nosacījums un izdevumu </w:t>
      </w:r>
      <w:proofErr w:type="spellStart"/>
      <w:r w:rsidRPr="00827B27">
        <w:rPr>
          <w:rFonts w:eastAsia="Times New Roman" w:cs="Times New Roman"/>
        </w:rPr>
        <w:t>pārmantojamības</w:t>
      </w:r>
      <w:proofErr w:type="spellEnd"/>
      <w:r w:rsidRPr="00827B27">
        <w:rPr>
          <w:rFonts w:eastAsia="Times New Roman" w:cs="Times New Roman"/>
        </w:rPr>
        <w:t xml:space="preserve"> nosacījums), gan arī </w:t>
      </w:r>
      <w:r>
        <w:rPr>
          <w:rFonts w:eastAsia="Times New Roman" w:cs="Times New Roman"/>
        </w:rPr>
        <w:t>SIP</w:t>
      </w:r>
      <w:r w:rsidRPr="00827B27">
        <w:rPr>
          <w:rFonts w:eastAsia="Times New Roman" w:cs="Times New Roman"/>
        </w:rPr>
        <w:t xml:space="preserve"> nosacījumiem. </w:t>
      </w:r>
    </w:p>
    <w:p w14:paraId="7DA31D0C" w14:textId="12C3E7A9" w:rsidR="00425BD5" w:rsidRPr="00827B27" w:rsidRDefault="00EB6639" w:rsidP="00425BD5">
      <w:pPr>
        <w:rPr>
          <w:rFonts w:eastAsia="Times New Roman" w:cs="Times New Roman"/>
        </w:rPr>
      </w:pPr>
      <w:r>
        <w:rPr>
          <w:rFonts w:eastAsia="Times New Roman" w:cs="Times New Roman"/>
        </w:rPr>
        <w:t>Fiskālo nosacījumu noteikšana</w:t>
      </w:r>
      <w:r w:rsidRPr="00B46249">
        <w:rPr>
          <w:rFonts w:eastAsia="Times New Roman" w:cs="Times New Roman"/>
          <w:i/>
          <w:iCs/>
        </w:rPr>
        <w:t xml:space="preserve"> t</w:t>
      </w:r>
      <w:r>
        <w:rPr>
          <w:rFonts w:eastAsia="Times New Roman" w:cs="Times New Roman"/>
        </w:rPr>
        <w:t xml:space="preserve"> gadā atkarībā no iznākuma vai veiktajām prognozēm  </w:t>
      </w:r>
      <w:r w:rsidR="00451719" w:rsidRPr="007B37F8">
        <w:rPr>
          <w:rFonts w:eastAsia="Times New Roman" w:cs="Times New Roman"/>
          <w:i/>
          <w:iCs/>
        </w:rPr>
        <w:t>t</w:t>
      </w:r>
      <w:r w:rsidR="00451719" w:rsidRPr="007B37F8">
        <w:rPr>
          <w:rFonts w:eastAsia="Times New Roman" w:cs="Times New Roman"/>
          <w:i/>
          <w:iCs/>
          <w:vertAlign w:val="subscript"/>
        </w:rPr>
        <w:t>-1</w:t>
      </w:r>
      <w:r w:rsidR="00451719">
        <w:rPr>
          <w:rFonts w:eastAsia="Times New Roman" w:cs="Times New Roman"/>
        </w:rPr>
        <w:t xml:space="preserve"> </w:t>
      </w:r>
      <w:r>
        <w:rPr>
          <w:rFonts w:eastAsia="Times New Roman" w:cs="Times New Roman"/>
        </w:rPr>
        <w:t xml:space="preserve">gadā (izdevumu pieauguma un izdevumu </w:t>
      </w:r>
      <w:proofErr w:type="spellStart"/>
      <w:r>
        <w:rPr>
          <w:rFonts w:eastAsia="Times New Roman" w:cs="Times New Roman"/>
        </w:rPr>
        <w:t>pārmanojamības</w:t>
      </w:r>
      <w:proofErr w:type="spellEnd"/>
      <w:r>
        <w:rPr>
          <w:rFonts w:eastAsia="Times New Roman" w:cs="Times New Roman"/>
        </w:rPr>
        <w:t xml:space="preserve"> nosacījums) ir pamatota, ja valsts fiskālais ietvars ir stabils. Augstas inflācijas un kara izraisīto vienreizējo izdevumu prognožu un faktiskās apguves noviržu apstākļos izdevumu pieauguma un </w:t>
      </w:r>
      <w:proofErr w:type="spellStart"/>
      <w:r>
        <w:rPr>
          <w:rFonts w:eastAsia="Times New Roman" w:cs="Times New Roman"/>
        </w:rPr>
        <w:t>pārmantojamības</w:t>
      </w:r>
      <w:proofErr w:type="spellEnd"/>
      <w:r>
        <w:rPr>
          <w:rFonts w:eastAsia="Times New Roman" w:cs="Times New Roman"/>
        </w:rPr>
        <w:t xml:space="preserve"> nosacījumu ievērošana</w:t>
      </w:r>
      <w:r w:rsidR="005A1481">
        <w:rPr>
          <w:rFonts w:eastAsia="Times New Roman" w:cs="Times New Roman"/>
        </w:rPr>
        <w:t xml:space="preserve"> </w:t>
      </w:r>
      <w:r>
        <w:rPr>
          <w:rFonts w:eastAsia="Times New Roman" w:cs="Times New Roman"/>
        </w:rPr>
        <w:t xml:space="preserve">nozīmētu, ka potenciāli fiskālā telpa būtu jāsamazina, lai nodrošinātu tādu matemātisku nosacījumu izpildi, kam nav atrodams ekonomiskais pamats. Lai to novēstu, likuma 14. pantā noteikts, ka </w:t>
      </w:r>
      <w:r w:rsidR="005D6E4C">
        <w:rPr>
          <w:rFonts w:eastAsia="Times New Roman" w:cs="Times New Roman"/>
        </w:rPr>
        <w:t>koriģētie maksimāli pieļaujamie valsts budžeta izdevumi 2024.</w:t>
      </w:r>
      <w:r w:rsidR="00DF0C48">
        <w:rPr>
          <w:rFonts w:eastAsia="Times New Roman" w:cs="Times New Roman"/>
        </w:rPr>
        <w:t xml:space="preserve">, </w:t>
      </w:r>
      <w:r w:rsidR="005D6E4C">
        <w:rPr>
          <w:rFonts w:eastAsia="Times New Roman" w:cs="Times New Roman"/>
        </w:rPr>
        <w:t xml:space="preserve">2025. un 2026. gadā tiek aprēķināti saskaņā ar </w:t>
      </w:r>
      <w:r w:rsidR="00DF0C48">
        <w:rPr>
          <w:rFonts w:eastAsia="Times New Roman" w:cs="Times New Roman"/>
        </w:rPr>
        <w:t>FDL</w:t>
      </w:r>
      <w:r w:rsidR="005D6E4C">
        <w:rPr>
          <w:rFonts w:eastAsia="Times New Roman" w:cs="Times New Roman"/>
        </w:rPr>
        <w:t xml:space="preserve"> bilances nosacījumu, nepiemērojot </w:t>
      </w:r>
      <w:r w:rsidR="005D6E4C">
        <w:rPr>
          <w:rFonts w:eastAsia="Times New Roman" w:cs="Times New Roman"/>
        </w:rPr>
        <w:lastRenderedPageBreak/>
        <w:t xml:space="preserve">izdevumu pieauguma un izdevumu </w:t>
      </w:r>
      <w:proofErr w:type="spellStart"/>
      <w:r w:rsidR="005D6E4C">
        <w:rPr>
          <w:rFonts w:eastAsia="Times New Roman" w:cs="Times New Roman"/>
        </w:rPr>
        <w:t>pārmantojamības</w:t>
      </w:r>
      <w:proofErr w:type="spellEnd"/>
      <w:r w:rsidR="005D6E4C">
        <w:rPr>
          <w:rFonts w:eastAsia="Times New Roman" w:cs="Times New Roman"/>
        </w:rPr>
        <w:t xml:space="preserve"> nosacījumus.</w:t>
      </w:r>
      <w:r>
        <w:rPr>
          <w:rFonts w:eastAsia="Times New Roman" w:cs="Times New Roman"/>
        </w:rPr>
        <w:t xml:space="preserve"> </w:t>
      </w:r>
      <w:r w:rsidR="005D6E4C">
        <w:rPr>
          <w:rFonts w:eastAsia="Times New Roman" w:cs="Times New Roman"/>
        </w:rPr>
        <w:t>Tātad, s</w:t>
      </w:r>
      <w:r w:rsidR="004B4745" w:rsidRPr="00827B27">
        <w:rPr>
          <w:rFonts w:eastAsia="Times New Roman" w:cs="Times New Roman"/>
        </w:rPr>
        <w:t xml:space="preserve">trukturālās </w:t>
      </w:r>
      <w:r w:rsidR="00425BD5" w:rsidRPr="00827B27">
        <w:rPr>
          <w:rFonts w:eastAsia="Times New Roman" w:cs="Times New Roman"/>
        </w:rPr>
        <w:t xml:space="preserve">bilances mērķa noteikšanā tiek izmantots viens fiskālais nosacījums – bilances nosacījums.  </w:t>
      </w:r>
    </w:p>
    <w:p w14:paraId="759E5868" w14:textId="2D268B55" w:rsidR="00425BD5" w:rsidRPr="00827B27" w:rsidRDefault="00425BD5" w:rsidP="00273357">
      <w:pPr>
        <w:rPr>
          <w:noProof/>
          <w:color w:val="000000" w:themeColor="text1"/>
          <w:szCs w:val="24"/>
        </w:rPr>
      </w:pPr>
      <w:r w:rsidRPr="00827B27">
        <w:rPr>
          <w:noProof/>
          <w:color w:val="000000" w:themeColor="text1"/>
          <w:szCs w:val="24"/>
        </w:rPr>
        <w:t xml:space="preserve">Kā </w:t>
      </w:r>
      <w:r w:rsidR="00DF0C48">
        <w:rPr>
          <w:noProof/>
          <w:color w:val="000000" w:themeColor="text1"/>
          <w:szCs w:val="24"/>
        </w:rPr>
        <w:t>norādīts</w:t>
      </w:r>
      <w:r w:rsidRPr="00827B27">
        <w:rPr>
          <w:noProof/>
          <w:color w:val="000000" w:themeColor="text1"/>
          <w:szCs w:val="24"/>
        </w:rPr>
        <w:t xml:space="preserve"> iepriekšējā sadaļā, </w:t>
      </w:r>
      <w:r w:rsidR="00AA5308">
        <w:rPr>
          <w:noProof/>
          <w:color w:val="000000" w:themeColor="text1"/>
          <w:szCs w:val="24"/>
        </w:rPr>
        <w:t xml:space="preserve">nacionālā </w:t>
      </w:r>
      <w:r w:rsidRPr="00827B27">
        <w:rPr>
          <w:noProof/>
          <w:color w:val="000000" w:themeColor="text1"/>
          <w:szCs w:val="24"/>
        </w:rPr>
        <w:t>fiskālās politikas stratēģija nosaka virkni pasākumu, kas tiek atzīti par vienreizējiem vispārējās valdības budžeta strukturālās bilances aprēķinā un šo pasākumu izdevumi attiecīgi tiek izslēgti no strukturālās bilances aprēķina</w:t>
      </w:r>
      <w:r w:rsidR="00CF2C6E">
        <w:rPr>
          <w:noProof/>
          <w:color w:val="000000" w:themeColor="text1"/>
          <w:szCs w:val="24"/>
        </w:rPr>
        <w:t xml:space="preserve">, tomēr </w:t>
      </w:r>
      <w:r w:rsidR="00CF2C6E">
        <w:rPr>
          <w:rFonts w:cs="Times New Roman"/>
          <w:szCs w:val="24"/>
        </w:rPr>
        <w:t xml:space="preserve">saskaņā ar ES </w:t>
      </w:r>
      <w:r w:rsidR="00CF2C6E" w:rsidRPr="00D560FE">
        <w:rPr>
          <w:rFonts w:cs="Times New Roman"/>
          <w:szCs w:val="24"/>
        </w:rPr>
        <w:t xml:space="preserve">metodoloģiju </w:t>
      </w:r>
      <w:r w:rsidR="00AA5308">
        <w:rPr>
          <w:rFonts w:cs="Times New Roman"/>
          <w:szCs w:val="24"/>
        </w:rPr>
        <w:t xml:space="preserve">šie vienreizējie </w:t>
      </w:r>
      <w:r w:rsidR="00CF2C6E">
        <w:rPr>
          <w:rFonts w:cs="Times New Roman"/>
          <w:szCs w:val="24"/>
        </w:rPr>
        <w:t>izdevumi netiek izslēgti no strukturālās bilances aprēķina</w:t>
      </w:r>
      <w:r w:rsidR="00AA5308">
        <w:rPr>
          <w:rFonts w:cs="Times New Roman"/>
          <w:szCs w:val="24"/>
        </w:rPr>
        <w:t>.</w:t>
      </w:r>
    </w:p>
    <w:p w14:paraId="148CD022" w14:textId="37A0B384" w:rsidR="00F01640" w:rsidRPr="00843C47" w:rsidRDefault="00F01640" w:rsidP="00273357">
      <w:pPr>
        <w:rPr>
          <w:color w:val="000000" w:themeColor="text1"/>
          <w:szCs w:val="24"/>
        </w:rPr>
      </w:pPr>
      <w:r w:rsidRPr="007F2F33">
        <w:rPr>
          <w:color w:val="000000" w:themeColor="text1"/>
          <w:szCs w:val="24"/>
        </w:rPr>
        <w:t>Atbilstoši i</w:t>
      </w:r>
      <w:r w:rsidR="008B1458" w:rsidRPr="007F2F33">
        <w:rPr>
          <w:color w:val="000000" w:themeColor="text1"/>
          <w:szCs w:val="24"/>
        </w:rPr>
        <w:t>nformatīva</w:t>
      </w:r>
      <w:r w:rsidRPr="007F2F33">
        <w:rPr>
          <w:color w:val="000000" w:themeColor="text1"/>
          <w:szCs w:val="24"/>
        </w:rPr>
        <w:t xml:space="preserve">jam </w:t>
      </w:r>
      <w:r w:rsidR="008B1458" w:rsidRPr="007F2F33">
        <w:rPr>
          <w:color w:val="000000" w:themeColor="text1"/>
          <w:szCs w:val="24"/>
        </w:rPr>
        <w:t>ziņojum</w:t>
      </w:r>
      <w:r w:rsidRPr="007F2F33">
        <w:rPr>
          <w:color w:val="000000" w:themeColor="text1"/>
          <w:szCs w:val="24"/>
        </w:rPr>
        <w:t xml:space="preserve">am </w:t>
      </w:r>
      <w:r w:rsidR="00DF0C48">
        <w:rPr>
          <w:color w:val="000000" w:themeColor="text1"/>
          <w:szCs w:val="24"/>
        </w:rPr>
        <w:t>“</w:t>
      </w:r>
      <w:r w:rsidR="008B1458" w:rsidRPr="007F2F33">
        <w:rPr>
          <w:color w:val="000000" w:themeColor="text1"/>
          <w:szCs w:val="24"/>
        </w:rPr>
        <w:t>Par aktualizētām makroekonomisko rādītāju, ieņēmumu un vispārējās valdības budžeta bilances prognozēm 202</w:t>
      </w:r>
      <w:r w:rsidR="008921B9" w:rsidRPr="007F2F33">
        <w:rPr>
          <w:color w:val="000000" w:themeColor="text1"/>
          <w:szCs w:val="24"/>
        </w:rPr>
        <w:t>4</w:t>
      </w:r>
      <w:r w:rsidR="008B1458" w:rsidRPr="007F2F33">
        <w:rPr>
          <w:color w:val="000000" w:themeColor="text1"/>
          <w:szCs w:val="24"/>
        </w:rPr>
        <w:t>., 202</w:t>
      </w:r>
      <w:r w:rsidR="008921B9" w:rsidRPr="007F2F33">
        <w:rPr>
          <w:color w:val="000000" w:themeColor="text1"/>
          <w:szCs w:val="24"/>
        </w:rPr>
        <w:t>5</w:t>
      </w:r>
      <w:r w:rsidR="008B1458" w:rsidRPr="007F2F33">
        <w:rPr>
          <w:color w:val="000000" w:themeColor="text1"/>
          <w:szCs w:val="24"/>
        </w:rPr>
        <w:t>. un 202</w:t>
      </w:r>
      <w:r w:rsidR="008921B9" w:rsidRPr="007F2F33">
        <w:rPr>
          <w:color w:val="000000" w:themeColor="text1"/>
          <w:szCs w:val="24"/>
        </w:rPr>
        <w:t>6</w:t>
      </w:r>
      <w:r w:rsidR="008B1458" w:rsidRPr="007F2F33">
        <w:rPr>
          <w:color w:val="000000" w:themeColor="text1"/>
          <w:szCs w:val="24"/>
        </w:rPr>
        <w:t>. gadā</w:t>
      </w:r>
      <w:r w:rsidR="00DF0C48">
        <w:rPr>
          <w:color w:val="000000" w:themeColor="text1"/>
          <w:szCs w:val="24"/>
        </w:rPr>
        <w:t>”</w:t>
      </w:r>
      <w:r w:rsidRPr="007F2F33">
        <w:rPr>
          <w:color w:val="000000" w:themeColor="text1"/>
          <w:szCs w:val="24"/>
        </w:rPr>
        <w:t xml:space="preserve"> (</w:t>
      </w:r>
      <w:r w:rsidR="0047535A">
        <w:rPr>
          <w:color w:val="000000" w:themeColor="text1"/>
          <w:szCs w:val="24"/>
        </w:rPr>
        <w:t>MK</w:t>
      </w:r>
      <w:r w:rsidR="008B1458" w:rsidRPr="007F2F33">
        <w:rPr>
          <w:color w:val="000000" w:themeColor="text1"/>
          <w:szCs w:val="24"/>
        </w:rPr>
        <w:t xml:space="preserve"> </w:t>
      </w:r>
      <w:r w:rsidR="008921B9" w:rsidRPr="007F2F33">
        <w:rPr>
          <w:color w:val="000000" w:themeColor="text1"/>
          <w:szCs w:val="24"/>
        </w:rPr>
        <w:t>15.08</w:t>
      </w:r>
      <w:r w:rsidR="008B1458" w:rsidRPr="007F2F33">
        <w:rPr>
          <w:color w:val="000000" w:themeColor="text1"/>
          <w:szCs w:val="24"/>
        </w:rPr>
        <w:t>.202</w:t>
      </w:r>
      <w:r w:rsidR="008921B9" w:rsidRPr="007F2F33">
        <w:rPr>
          <w:color w:val="000000" w:themeColor="text1"/>
          <w:szCs w:val="24"/>
        </w:rPr>
        <w:t>3</w:t>
      </w:r>
      <w:r w:rsidR="008B1458" w:rsidRPr="007F2F33">
        <w:rPr>
          <w:color w:val="000000" w:themeColor="text1"/>
          <w:szCs w:val="24"/>
        </w:rPr>
        <w:t>. sēdes protokol</w:t>
      </w:r>
      <w:r w:rsidR="00395050" w:rsidRPr="007F2F33">
        <w:rPr>
          <w:color w:val="000000" w:themeColor="text1"/>
          <w:szCs w:val="24"/>
        </w:rPr>
        <w:t>s</w:t>
      </w:r>
      <w:r w:rsidR="008B1458" w:rsidRPr="007F2F33">
        <w:rPr>
          <w:color w:val="000000" w:themeColor="text1"/>
          <w:szCs w:val="24"/>
        </w:rPr>
        <w:t xml:space="preserve"> Nr.</w:t>
      </w:r>
      <w:r w:rsidR="008921B9" w:rsidRPr="007F2F33">
        <w:rPr>
          <w:color w:val="000000" w:themeColor="text1"/>
          <w:szCs w:val="24"/>
        </w:rPr>
        <w:t>40</w:t>
      </w:r>
      <w:r w:rsidR="008B1458" w:rsidRPr="007F2F33">
        <w:rPr>
          <w:color w:val="000000" w:themeColor="text1"/>
          <w:szCs w:val="24"/>
        </w:rPr>
        <w:t xml:space="preserve"> </w:t>
      </w:r>
      <w:r w:rsidR="008921B9" w:rsidRPr="007F2F33">
        <w:rPr>
          <w:color w:val="000000" w:themeColor="text1"/>
          <w:szCs w:val="24"/>
        </w:rPr>
        <w:t>40</w:t>
      </w:r>
      <w:r w:rsidR="008B1458" w:rsidRPr="007F2F33">
        <w:rPr>
          <w:color w:val="000000" w:themeColor="text1"/>
          <w:szCs w:val="24"/>
        </w:rPr>
        <w:t>. §)</w:t>
      </w:r>
      <w:r w:rsidR="008921B9" w:rsidRPr="007F2F33">
        <w:rPr>
          <w:rStyle w:val="FootnoteReference"/>
          <w:color w:val="000000" w:themeColor="text1"/>
          <w:szCs w:val="24"/>
        </w:rPr>
        <w:footnoteReference w:id="14"/>
      </w:r>
      <w:r w:rsidR="008B1458" w:rsidRPr="007F2F33">
        <w:rPr>
          <w:color w:val="000000" w:themeColor="text1"/>
          <w:szCs w:val="24"/>
        </w:rPr>
        <w:t xml:space="preserve"> </w:t>
      </w:r>
      <w:r w:rsidR="00F55C15" w:rsidRPr="007F2F33">
        <w:rPr>
          <w:color w:val="000000" w:themeColor="text1"/>
          <w:szCs w:val="24"/>
        </w:rPr>
        <w:t>202</w:t>
      </w:r>
      <w:r w:rsidR="008921B9" w:rsidRPr="007F2F33">
        <w:rPr>
          <w:color w:val="000000" w:themeColor="text1"/>
          <w:szCs w:val="24"/>
        </w:rPr>
        <w:t>3</w:t>
      </w:r>
      <w:r w:rsidR="00F55C15" w:rsidRPr="007F2F33">
        <w:rPr>
          <w:color w:val="000000" w:themeColor="text1"/>
          <w:szCs w:val="24"/>
        </w:rPr>
        <w:t>.</w:t>
      </w:r>
      <w:r w:rsidR="00056940" w:rsidRPr="007F2F33">
        <w:rPr>
          <w:color w:val="000000" w:themeColor="text1"/>
          <w:szCs w:val="24"/>
        </w:rPr>
        <w:t xml:space="preserve"> </w:t>
      </w:r>
      <w:r w:rsidR="00F55C15" w:rsidRPr="007F2F33">
        <w:rPr>
          <w:color w:val="000000" w:themeColor="text1"/>
          <w:szCs w:val="24"/>
        </w:rPr>
        <w:t xml:space="preserve">gadā vispārējās valdības budžeta deficīts </w:t>
      </w:r>
      <w:r w:rsidR="00EE1956" w:rsidRPr="007F2F33">
        <w:rPr>
          <w:color w:val="000000" w:themeColor="text1"/>
          <w:szCs w:val="24"/>
        </w:rPr>
        <w:t xml:space="preserve">tika novērtēts </w:t>
      </w:r>
      <w:r w:rsidR="008921B9" w:rsidRPr="007F2F33">
        <w:rPr>
          <w:color w:val="000000" w:themeColor="text1"/>
          <w:szCs w:val="24"/>
        </w:rPr>
        <w:t>2,7</w:t>
      </w:r>
      <w:r w:rsidR="00F55C15" w:rsidRPr="007F2F33">
        <w:rPr>
          <w:color w:val="000000" w:themeColor="text1"/>
          <w:szCs w:val="24"/>
        </w:rPr>
        <w:t>% no IKP</w:t>
      </w:r>
      <w:r w:rsidR="001C278C" w:rsidRPr="007F2F33">
        <w:rPr>
          <w:color w:val="000000" w:themeColor="text1"/>
          <w:szCs w:val="24"/>
        </w:rPr>
        <w:t>.</w:t>
      </w:r>
      <w:r w:rsidRPr="007F2F33">
        <w:rPr>
          <w:color w:val="000000" w:themeColor="text1"/>
          <w:szCs w:val="24"/>
        </w:rPr>
        <w:t xml:space="preserve"> </w:t>
      </w:r>
      <w:r w:rsidRPr="00843C47">
        <w:rPr>
          <w:color w:val="000000" w:themeColor="text1"/>
          <w:szCs w:val="24"/>
        </w:rPr>
        <w:t xml:space="preserve">Likumprojekta </w:t>
      </w:r>
      <w:r w:rsidR="00DF0C48">
        <w:rPr>
          <w:color w:val="000000" w:themeColor="text1"/>
          <w:szCs w:val="24"/>
        </w:rPr>
        <w:t>“</w:t>
      </w:r>
      <w:r w:rsidRPr="00843C47">
        <w:rPr>
          <w:color w:val="000000" w:themeColor="text1"/>
          <w:szCs w:val="24"/>
        </w:rPr>
        <w:t>Par valsts budžetu 202</w:t>
      </w:r>
      <w:r w:rsidR="008921B9" w:rsidRPr="00843C47">
        <w:rPr>
          <w:color w:val="000000" w:themeColor="text1"/>
          <w:szCs w:val="24"/>
        </w:rPr>
        <w:t>4</w:t>
      </w:r>
      <w:r w:rsidRPr="00843C47">
        <w:rPr>
          <w:color w:val="000000" w:themeColor="text1"/>
          <w:szCs w:val="24"/>
        </w:rPr>
        <w:t>.</w:t>
      </w:r>
      <w:r w:rsidR="006634E0">
        <w:rPr>
          <w:color w:val="000000" w:themeColor="text1"/>
          <w:szCs w:val="24"/>
        </w:rPr>
        <w:t xml:space="preserve"> </w:t>
      </w:r>
      <w:r w:rsidRPr="00843C47">
        <w:rPr>
          <w:color w:val="000000" w:themeColor="text1"/>
          <w:szCs w:val="24"/>
        </w:rPr>
        <w:t>gadam un budžeta ietvaru 202</w:t>
      </w:r>
      <w:r w:rsidR="008921B9" w:rsidRPr="00843C47">
        <w:rPr>
          <w:color w:val="000000" w:themeColor="text1"/>
          <w:szCs w:val="24"/>
        </w:rPr>
        <w:t>4</w:t>
      </w:r>
      <w:r w:rsidRPr="00843C47">
        <w:rPr>
          <w:color w:val="000000" w:themeColor="text1"/>
          <w:szCs w:val="24"/>
        </w:rPr>
        <w:t>., 202</w:t>
      </w:r>
      <w:r w:rsidR="008921B9" w:rsidRPr="00843C47">
        <w:rPr>
          <w:color w:val="000000" w:themeColor="text1"/>
          <w:szCs w:val="24"/>
        </w:rPr>
        <w:t>5</w:t>
      </w:r>
      <w:r w:rsidRPr="00843C47">
        <w:rPr>
          <w:color w:val="000000" w:themeColor="text1"/>
          <w:szCs w:val="24"/>
        </w:rPr>
        <w:t>. un 202</w:t>
      </w:r>
      <w:r w:rsidR="008921B9" w:rsidRPr="00843C47">
        <w:rPr>
          <w:color w:val="000000" w:themeColor="text1"/>
          <w:szCs w:val="24"/>
        </w:rPr>
        <w:t>6</w:t>
      </w:r>
      <w:r w:rsidRPr="00843C47">
        <w:rPr>
          <w:color w:val="000000" w:themeColor="text1"/>
          <w:szCs w:val="24"/>
        </w:rPr>
        <w:t>.</w:t>
      </w:r>
      <w:r w:rsidR="008921B9" w:rsidRPr="00843C47">
        <w:rPr>
          <w:color w:val="000000" w:themeColor="text1"/>
          <w:szCs w:val="24"/>
        </w:rPr>
        <w:t xml:space="preserve"> </w:t>
      </w:r>
      <w:r w:rsidRPr="00843C47">
        <w:rPr>
          <w:color w:val="000000" w:themeColor="text1"/>
          <w:szCs w:val="24"/>
        </w:rPr>
        <w:t>gad</w:t>
      </w:r>
      <w:r w:rsidR="00451719">
        <w:rPr>
          <w:color w:val="000000" w:themeColor="text1"/>
          <w:szCs w:val="24"/>
        </w:rPr>
        <w:t>a</w:t>
      </w:r>
      <w:r w:rsidRPr="00843C47">
        <w:rPr>
          <w:color w:val="000000" w:themeColor="text1"/>
          <w:szCs w:val="24"/>
        </w:rPr>
        <w:t>m</w:t>
      </w:r>
      <w:r w:rsidR="00DF0C48">
        <w:rPr>
          <w:color w:val="000000" w:themeColor="text1"/>
          <w:szCs w:val="24"/>
        </w:rPr>
        <w:t>”</w:t>
      </w:r>
      <w:r w:rsidRPr="00843C47">
        <w:rPr>
          <w:color w:val="000000" w:themeColor="text1"/>
          <w:szCs w:val="24"/>
        </w:rPr>
        <w:t xml:space="preserve"> sagatavošanas laikā </w:t>
      </w:r>
      <w:r w:rsidR="006C5DC7">
        <w:rPr>
          <w:color w:val="000000" w:themeColor="text1"/>
          <w:szCs w:val="24"/>
        </w:rPr>
        <w:t xml:space="preserve">tika precizēti IKP dati, bet veicot atkārtotu </w:t>
      </w:r>
      <w:r w:rsidRPr="00843C47">
        <w:rPr>
          <w:color w:val="000000" w:themeColor="text1"/>
          <w:szCs w:val="24"/>
        </w:rPr>
        <w:t>novērtēj</w:t>
      </w:r>
      <w:r w:rsidR="006C5DC7">
        <w:rPr>
          <w:color w:val="000000" w:themeColor="text1"/>
          <w:szCs w:val="24"/>
        </w:rPr>
        <w:t xml:space="preserve">umu </w:t>
      </w:r>
      <w:r w:rsidRPr="00843C47">
        <w:rPr>
          <w:color w:val="000000" w:themeColor="text1"/>
          <w:szCs w:val="24"/>
        </w:rPr>
        <w:t>vispārējās valdības budžeta deficīt</w:t>
      </w:r>
      <w:r w:rsidR="0087794B">
        <w:rPr>
          <w:color w:val="000000" w:themeColor="text1"/>
          <w:szCs w:val="24"/>
        </w:rPr>
        <w:t>s</w:t>
      </w:r>
      <w:r w:rsidRPr="00843C47">
        <w:rPr>
          <w:color w:val="000000" w:themeColor="text1"/>
          <w:szCs w:val="24"/>
        </w:rPr>
        <w:t xml:space="preserve"> </w:t>
      </w:r>
      <w:r w:rsidR="00E8753A" w:rsidRPr="00843C47">
        <w:rPr>
          <w:color w:val="000000" w:themeColor="text1"/>
          <w:szCs w:val="24"/>
        </w:rPr>
        <w:t>202</w:t>
      </w:r>
      <w:r w:rsidR="00843C47" w:rsidRPr="00843C47">
        <w:rPr>
          <w:color w:val="000000" w:themeColor="text1"/>
          <w:szCs w:val="24"/>
        </w:rPr>
        <w:t>3</w:t>
      </w:r>
      <w:r w:rsidR="00E8753A" w:rsidRPr="00843C47">
        <w:rPr>
          <w:color w:val="000000" w:themeColor="text1"/>
          <w:szCs w:val="24"/>
        </w:rPr>
        <w:t xml:space="preserve">. gadā tiek </w:t>
      </w:r>
      <w:r w:rsidR="0087794B">
        <w:rPr>
          <w:color w:val="000000" w:themeColor="text1"/>
          <w:szCs w:val="24"/>
        </w:rPr>
        <w:t>lēsts</w:t>
      </w:r>
      <w:r w:rsidR="00E8753A" w:rsidRPr="00843C47">
        <w:rPr>
          <w:color w:val="000000" w:themeColor="text1"/>
          <w:szCs w:val="24"/>
        </w:rPr>
        <w:t xml:space="preserve"> </w:t>
      </w:r>
      <w:r w:rsidR="0087794B" w:rsidRPr="0087794B">
        <w:rPr>
          <w:color w:val="000000" w:themeColor="text1"/>
          <w:szCs w:val="24"/>
        </w:rPr>
        <w:t>2</w:t>
      </w:r>
      <w:r w:rsidR="00E8753A" w:rsidRPr="0087794B">
        <w:rPr>
          <w:color w:val="000000" w:themeColor="text1"/>
          <w:szCs w:val="24"/>
        </w:rPr>
        <w:t>,7%</w:t>
      </w:r>
      <w:r w:rsidR="00E8753A" w:rsidRPr="00843C47">
        <w:rPr>
          <w:color w:val="000000" w:themeColor="text1"/>
          <w:szCs w:val="24"/>
        </w:rPr>
        <w:t xml:space="preserve"> apmērā. </w:t>
      </w:r>
    </w:p>
    <w:p w14:paraId="33F28422" w14:textId="2BB82B7F" w:rsidR="007747CE" w:rsidRPr="007747CE" w:rsidRDefault="001C278C" w:rsidP="00273357">
      <w:pPr>
        <w:rPr>
          <w:color w:val="000000" w:themeColor="text1"/>
          <w:szCs w:val="24"/>
          <w:highlight w:val="lightGray"/>
        </w:rPr>
      </w:pPr>
      <w:r w:rsidRPr="00D23AC9">
        <w:rPr>
          <w:color w:val="000000" w:themeColor="text1"/>
          <w:szCs w:val="24"/>
        </w:rPr>
        <w:t>Ņ</w:t>
      </w:r>
      <w:r w:rsidR="00F55C15" w:rsidRPr="00D23AC9">
        <w:rPr>
          <w:color w:val="000000" w:themeColor="text1"/>
          <w:szCs w:val="24"/>
        </w:rPr>
        <w:t xml:space="preserve">emot vērā izlaižu starpību un vienreizējo pasākumu apmēru </w:t>
      </w:r>
      <w:r w:rsidR="00D23AC9">
        <w:rPr>
          <w:color w:val="000000" w:themeColor="text1"/>
          <w:szCs w:val="24"/>
        </w:rPr>
        <w:t xml:space="preserve">var </w:t>
      </w:r>
      <w:r w:rsidR="00F55C15" w:rsidRPr="00D23AC9">
        <w:rPr>
          <w:color w:val="000000" w:themeColor="text1"/>
          <w:szCs w:val="24"/>
        </w:rPr>
        <w:t>konstatēt, ka 202</w:t>
      </w:r>
      <w:r w:rsidR="007F2F33" w:rsidRPr="00D23AC9">
        <w:rPr>
          <w:color w:val="000000" w:themeColor="text1"/>
          <w:szCs w:val="24"/>
        </w:rPr>
        <w:t>3</w:t>
      </w:r>
      <w:r w:rsidR="00F55C15" w:rsidRPr="00D23AC9">
        <w:rPr>
          <w:color w:val="000000" w:themeColor="text1"/>
          <w:szCs w:val="24"/>
        </w:rPr>
        <w:t>. gada vispārējas valdības strukturāl</w:t>
      </w:r>
      <w:r w:rsidR="00494B1D">
        <w:rPr>
          <w:color w:val="000000" w:themeColor="text1"/>
          <w:szCs w:val="24"/>
        </w:rPr>
        <w:t>ā</w:t>
      </w:r>
      <w:r w:rsidR="00F55C15" w:rsidRPr="00D23AC9">
        <w:rPr>
          <w:color w:val="000000" w:themeColor="text1"/>
          <w:szCs w:val="24"/>
        </w:rPr>
        <w:t xml:space="preserve"> </w:t>
      </w:r>
      <w:r w:rsidR="00494B1D" w:rsidRPr="003B2ACB">
        <w:rPr>
          <w:color w:val="000000" w:themeColor="text1"/>
          <w:szCs w:val="24"/>
        </w:rPr>
        <w:t>budžeta bilance</w:t>
      </w:r>
      <w:r w:rsidR="00F55C15" w:rsidRPr="00D23AC9">
        <w:rPr>
          <w:color w:val="000000" w:themeColor="text1"/>
          <w:szCs w:val="24"/>
        </w:rPr>
        <w:t xml:space="preserve"> </w:t>
      </w:r>
      <w:r w:rsidR="00F55C15" w:rsidRPr="0087794B">
        <w:rPr>
          <w:color w:val="000000" w:themeColor="text1"/>
          <w:szCs w:val="24"/>
        </w:rPr>
        <w:t>ir 0,</w:t>
      </w:r>
      <w:r w:rsidR="0087794B" w:rsidRPr="0087794B">
        <w:rPr>
          <w:color w:val="000000" w:themeColor="text1"/>
          <w:szCs w:val="24"/>
        </w:rPr>
        <w:t>2</w:t>
      </w:r>
      <w:r w:rsidR="00F55C15" w:rsidRPr="0087794B">
        <w:rPr>
          <w:color w:val="000000" w:themeColor="text1"/>
          <w:szCs w:val="24"/>
        </w:rPr>
        <w:t>%</w:t>
      </w:r>
      <w:r w:rsidR="00F55C15" w:rsidRPr="00D23AC9">
        <w:rPr>
          <w:color w:val="000000" w:themeColor="text1"/>
          <w:szCs w:val="24"/>
        </w:rPr>
        <w:t xml:space="preserve"> no IKP</w:t>
      </w:r>
      <w:r w:rsidR="00395050" w:rsidRPr="00D23AC9">
        <w:rPr>
          <w:color w:val="000000" w:themeColor="text1"/>
          <w:szCs w:val="24"/>
        </w:rPr>
        <w:t xml:space="preserve"> (skat</w:t>
      </w:r>
      <w:r w:rsidR="00395050" w:rsidRPr="00273357">
        <w:rPr>
          <w:color w:val="000000" w:themeColor="text1"/>
          <w:szCs w:val="24"/>
        </w:rPr>
        <w:t xml:space="preserve">. </w:t>
      </w:r>
      <w:r w:rsidR="00D64F4A" w:rsidRPr="00273357">
        <w:rPr>
          <w:color w:val="000000" w:themeColor="text1"/>
          <w:szCs w:val="24"/>
        </w:rPr>
        <w:t>2</w:t>
      </w:r>
      <w:r w:rsidR="00056940" w:rsidRPr="00273357">
        <w:rPr>
          <w:color w:val="000000" w:themeColor="text1"/>
          <w:szCs w:val="24"/>
        </w:rPr>
        <w:t>.</w:t>
      </w:r>
      <w:r w:rsidR="00273357" w:rsidRPr="00273357">
        <w:rPr>
          <w:color w:val="000000" w:themeColor="text1"/>
          <w:szCs w:val="24"/>
        </w:rPr>
        <w:t>2</w:t>
      </w:r>
      <w:r w:rsidR="00056940" w:rsidRPr="00D23AC9">
        <w:rPr>
          <w:color w:val="000000" w:themeColor="text1"/>
          <w:szCs w:val="24"/>
        </w:rPr>
        <w:t xml:space="preserve"> </w:t>
      </w:r>
      <w:r w:rsidR="00395050" w:rsidRPr="00D23AC9">
        <w:rPr>
          <w:color w:val="000000" w:themeColor="text1"/>
          <w:szCs w:val="24"/>
        </w:rPr>
        <w:t>.tabulu)</w:t>
      </w:r>
      <w:r w:rsidR="007747CE">
        <w:rPr>
          <w:color w:val="000000" w:themeColor="text1"/>
          <w:szCs w:val="24"/>
        </w:rPr>
        <w:t>. T</w:t>
      </w:r>
      <w:r w:rsidR="00D23AC9">
        <w:rPr>
          <w:color w:val="000000" w:themeColor="text1"/>
          <w:szCs w:val="24"/>
        </w:rPr>
        <w:t xml:space="preserve">as nozīmē, ka </w:t>
      </w:r>
      <w:r w:rsidR="007747CE">
        <w:rPr>
          <w:color w:val="000000" w:themeColor="text1"/>
          <w:szCs w:val="24"/>
        </w:rPr>
        <w:t xml:space="preserve">ar </w:t>
      </w:r>
      <w:r w:rsidR="007747CE" w:rsidRPr="007747CE">
        <w:rPr>
          <w:color w:val="000000" w:themeColor="text1"/>
          <w:szCs w:val="24"/>
        </w:rPr>
        <w:t>likumu “Par valsts budžetu 202</w:t>
      </w:r>
      <w:r w:rsidR="007747CE">
        <w:rPr>
          <w:color w:val="000000" w:themeColor="text1"/>
          <w:szCs w:val="24"/>
        </w:rPr>
        <w:t>3</w:t>
      </w:r>
      <w:r w:rsidR="007747CE" w:rsidRPr="007747CE">
        <w:rPr>
          <w:color w:val="000000" w:themeColor="text1"/>
          <w:szCs w:val="24"/>
        </w:rPr>
        <w:t>. gadam un budžeta ietvaru 202</w:t>
      </w:r>
      <w:r w:rsidR="007747CE">
        <w:rPr>
          <w:color w:val="000000" w:themeColor="text1"/>
          <w:szCs w:val="24"/>
        </w:rPr>
        <w:t>3</w:t>
      </w:r>
      <w:r w:rsidR="007747CE" w:rsidRPr="007747CE">
        <w:rPr>
          <w:color w:val="000000" w:themeColor="text1"/>
          <w:szCs w:val="24"/>
        </w:rPr>
        <w:t>., 202</w:t>
      </w:r>
      <w:r w:rsidR="007747CE">
        <w:rPr>
          <w:color w:val="000000" w:themeColor="text1"/>
          <w:szCs w:val="24"/>
        </w:rPr>
        <w:t>4</w:t>
      </w:r>
      <w:r w:rsidR="007747CE" w:rsidRPr="007747CE">
        <w:rPr>
          <w:color w:val="000000" w:themeColor="text1"/>
          <w:szCs w:val="24"/>
        </w:rPr>
        <w:t>. un 202</w:t>
      </w:r>
      <w:r w:rsidR="007747CE">
        <w:rPr>
          <w:color w:val="000000" w:themeColor="text1"/>
          <w:szCs w:val="24"/>
        </w:rPr>
        <w:t>5</w:t>
      </w:r>
      <w:r w:rsidR="007747CE" w:rsidRPr="007747CE">
        <w:rPr>
          <w:color w:val="000000" w:themeColor="text1"/>
          <w:szCs w:val="24"/>
        </w:rPr>
        <w:t>. gadam”</w:t>
      </w:r>
      <w:r w:rsidR="007747CE">
        <w:rPr>
          <w:color w:val="000000" w:themeColor="text1"/>
          <w:szCs w:val="24"/>
        </w:rPr>
        <w:t xml:space="preserve"> noteiktais </w:t>
      </w:r>
      <w:r w:rsidR="00D23AC9">
        <w:rPr>
          <w:color w:val="000000" w:themeColor="text1"/>
          <w:szCs w:val="24"/>
        </w:rPr>
        <w:t xml:space="preserve">strukturālās bilances mērķis ir </w:t>
      </w:r>
      <w:r w:rsidR="007747CE">
        <w:rPr>
          <w:color w:val="000000" w:themeColor="text1"/>
          <w:szCs w:val="24"/>
        </w:rPr>
        <w:t xml:space="preserve">provizoriski </w:t>
      </w:r>
      <w:r w:rsidR="00D23AC9">
        <w:rPr>
          <w:color w:val="000000" w:themeColor="text1"/>
          <w:szCs w:val="24"/>
        </w:rPr>
        <w:t>sasniegts un</w:t>
      </w:r>
      <w:r w:rsidR="00D76795">
        <w:rPr>
          <w:color w:val="000000" w:themeColor="text1"/>
          <w:szCs w:val="24"/>
        </w:rPr>
        <w:t xml:space="preserve"> fiskālās politikas uzdevums</w:t>
      </w:r>
      <w:r w:rsidR="00880CE7">
        <w:rPr>
          <w:color w:val="000000" w:themeColor="text1"/>
          <w:szCs w:val="24"/>
        </w:rPr>
        <w:t xml:space="preserve"> ir </w:t>
      </w:r>
      <w:r w:rsidR="007747CE">
        <w:rPr>
          <w:color w:val="000000" w:themeColor="text1"/>
          <w:szCs w:val="24"/>
        </w:rPr>
        <w:t>strukturāl</w:t>
      </w:r>
      <w:r w:rsidR="00D76795">
        <w:rPr>
          <w:color w:val="000000" w:themeColor="text1"/>
          <w:szCs w:val="24"/>
        </w:rPr>
        <w:t>o</w:t>
      </w:r>
      <w:r w:rsidR="007747CE">
        <w:rPr>
          <w:color w:val="000000" w:themeColor="text1"/>
          <w:szCs w:val="24"/>
        </w:rPr>
        <w:t xml:space="preserve"> bilanc</w:t>
      </w:r>
      <w:r w:rsidR="00D76795">
        <w:rPr>
          <w:color w:val="000000" w:themeColor="text1"/>
          <w:szCs w:val="24"/>
        </w:rPr>
        <w:t>i</w:t>
      </w:r>
      <w:r w:rsidR="00D23AC9">
        <w:rPr>
          <w:color w:val="000000" w:themeColor="text1"/>
          <w:szCs w:val="24"/>
        </w:rPr>
        <w:t xml:space="preserve"> </w:t>
      </w:r>
      <w:r w:rsidR="007747CE">
        <w:rPr>
          <w:color w:val="000000" w:themeColor="text1"/>
          <w:szCs w:val="24"/>
        </w:rPr>
        <w:t>turpmākajos gados uztur</w:t>
      </w:r>
      <w:r w:rsidR="00D76795">
        <w:rPr>
          <w:color w:val="000000" w:themeColor="text1"/>
          <w:szCs w:val="24"/>
        </w:rPr>
        <w:t>ēt</w:t>
      </w:r>
      <w:r w:rsidR="007747CE">
        <w:rPr>
          <w:color w:val="000000" w:themeColor="text1"/>
          <w:szCs w:val="24"/>
        </w:rPr>
        <w:t xml:space="preserve"> </w:t>
      </w:r>
      <w:r w:rsidR="007747CE" w:rsidRPr="00D23AC9">
        <w:rPr>
          <w:color w:val="000000" w:themeColor="text1"/>
          <w:szCs w:val="24"/>
        </w:rPr>
        <w:t>līmen</w:t>
      </w:r>
      <w:r w:rsidR="007747CE">
        <w:rPr>
          <w:color w:val="000000" w:themeColor="text1"/>
          <w:szCs w:val="24"/>
        </w:rPr>
        <w:t xml:space="preserve">ī, kas nav augstāks par </w:t>
      </w:r>
      <w:r w:rsidR="007747CE" w:rsidRPr="00D23AC9">
        <w:rPr>
          <w:color w:val="000000" w:themeColor="text1"/>
          <w:szCs w:val="24"/>
        </w:rPr>
        <w:t>FDL 10.</w:t>
      </w:r>
      <w:r w:rsidR="00DF0C48">
        <w:rPr>
          <w:color w:val="000000" w:themeColor="text1"/>
          <w:szCs w:val="24"/>
        </w:rPr>
        <w:t xml:space="preserve"> </w:t>
      </w:r>
      <w:r w:rsidR="007747CE" w:rsidRPr="00D23AC9">
        <w:rPr>
          <w:color w:val="000000" w:themeColor="text1"/>
          <w:szCs w:val="24"/>
        </w:rPr>
        <w:t>pantā noteikt</w:t>
      </w:r>
      <w:r w:rsidR="007747CE">
        <w:rPr>
          <w:color w:val="000000" w:themeColor="text1"/>
          <w:szCs w:val="24"/>
        </w:rPr>
        <w:t>o</w:t>
      </w:r>
      <w:r w:rsidR="007747CE" w:rsidRPr="00D23AC9">
        <w:rPr>
          <w:color w:val="000000" w:themeColor="text1"/>
          <w:szCs w:val="24"/>
        </w:rPr>
        <w:t xml:space="preserve"> maksimāl</w:t>
      </w:r>
      <w:r w:rsidR="007747CE">
        <w:rPr>
          <w:color w:val="000000" w:themeColor="text1"/>
          <w:szCs w:val="24"/>
        </w:rPr>
        <w:t>i</w:t>
      </w:r>
      <w:r w:rsidR="007747CE" w:rsidRPr="00D23AC9">
        <w:rPr>
          <w:color w:val="000000" w:themeColor="text1"/>
          <w:szCs w:val="24"/>
        </w:rPr>
        <w:t xml:space="preserve"> pieļaujam</w:t>
      </w:r>
      <w:r w:rsidR="007747CE">
        <w:rPr>
          <w:color w:val="000000" w:themeColor="text1"/>
          <w:szCs w:val="24"/>
        </w:rPr>
        <w:t>o līmeni.</w:t>
      </w:r>
      <w:r w:rsidR="00494B1D">
        <w:rPr>
          <w:color w:val="000000" w:themeColor="text1"/>
          <w:szCs w:val="24"/>
        </w:rPr>
        <w:t xml:space="preserve"> S</w:t>
      </w:r>
      <w:r w:rsidR="00494B1D" w:rsidRPr="00494B1D">
        <w:rPr>
          <w:color w:val="000000" w:themeColor="text1"/>
          <w:szCs w:val="24"/>
        </w:rPr>
        <w:t xml:space="preserve">askaņā ar ES metodoloģiju 2023. gada vispārējās valdības strukturālā </w:t>
      </w:r>
      <w:r w:rsidR="00494B1D">
        <w:rPr>
          <w:color w:val="000000" w:themeColor="text1"/>
          <w:szCs w:val="24"/>
        </w:rPr>
        <w:t>budžeta</w:t>
      </w:r>
      <w:r w:rsidR="00494B1D" w:rsidRPr="00494B1D">
        <w:rPr>
          <w:color w:val="000000" w:themeColor="text1"/>
          <w:szCs w:val="24"/>
        </w:rPr>
        <w:t xml:space="preserve"> bilance ir </w:t>
      </w:r>
      <w:r w:rsidR="00494B1D" w:rsidRPr="0087794B">
        <w:rPr>
          <w:color w:val="000000" w:themeColor="text1"/>
          <w:szCs w:val="24"/>
        </w:rPr>
        <w:t>-</w:t>
      </w:r>
      <w:r w:rsidR="0087794B" w:rsidRPr="0087794B">
        <w:rPr>
          <w:color w:val="000000" w:themeColor="text1"/>
          <w:szCs w:val="24"/>
        </w:rPr>
        <w:t>2,2</w:t>
      </w:r>
      <w:r w:rsidR="00494B1D" w:rsidRPr="0087794B">
        <w:rPr>
          <w:color w:val="000000" w:themeColor="text1"/>
          <w:szCs w:val="24"/>
        </w:rPr>
        <w:t>%</w:t>
      </w:r>
      <w:r w:rsidR="00494B1D" w:rsidRPr="00494B1D">
        <w:rPr>
          <w:color w:val="000000" w:themeColor="text1"/>
          <w:szCs w:val="24"/>
        </w:rPr>
        <w:t xml:space="preserve"> no IKP </w:t>
      </w:r>
      <w:r w:rsidR="00494B1D">
        <w:rPr>
          <w:color w:val="000000" w:themeColor="text1"/>
          <w:szCs w:val="24"/>
        </w:rPr>
        <w:t>un attiecīgi tās līmenis pakāpeniski jāsamazina par 0,5% no IKP</w:t>
      </w:r>
      <w:r w:rsidR="003B2ACB">
        <w:rPr>
          <w:rStyle w:val="FootnoteReference"/>
          <w:color w:val="000000" w:themeColor="text1"/>
          <w:szCs w:val="24"/>
        </w:rPr>
        <w:footnoteReference w:id="15"/>
      </w:r>
      <w:r w:rsidR="0087794B">
        <w:rPr>
          <w:color w:val="000000" w:themeColor="text1"/>
          <w:szCs w:val="24"/>
        </w:rPr>
        <w:t xml:space="preserve"> (skat. 2.</w:t>
      </w:r>
      <w:r w:rsidR="002D1772">
        <w:rPr>
          <w:color w:val="000000" w:themeColor="text1"/>
          <w:szCs w:val="24"/>
        </w:rPr>
        <w:t>3</w:t>
      </w:r>
      <w:r w:rsidR="0087794B">
        <w:rPr>
          <w:color w:val="000000" w:themeColor="text1"/>
          <w:szCs w:val="24"/>
        </w:rPr>
        <w:t>. tabulu)</w:t>
      </w:r>
      <w:r w:rsidR="00494B1D">
        <w:rPr>
          <w:color w:val="000000" w:themeColor="text1"/>
          <w:szCs w:val="24"/>
        </w:rPr>
        <w:t>.</w:t>
      </w:r>
    </w:p>
    <w:p w14:paraId="6E9CA6F6" w14:textId="5F0325F0" w:rsidR="004B20AA" w:rsidRDefault="007747CE" w:rsidP="00273357">
      <w:pPr>
        <w:rPr>
          <w:color w:val="000000" w:themeColor="text1"/>
          <w:szCs w:val="24"/>
        </w:rPr>
      </w:pPr>
      <w:r w:rsidRPr="007747CE">
        <w:rPr>
          <w:color w:val="000000" w:themeColor="text1"/>
          <w:szCs w:val="24"/>
        </w:rPr>
        <w:t xml:space="preserve">2024. – 2026. gadiem vispārējās valdības </w:t>
      </w:r>
      <w:r>
        <w:rPr>
          <w:color w:val="000000" w:themeColor="text1"/>
          <w:szCs w:val="24"/>
        </w:rPr>
        <w:t xml:space="preserve">budžeta </w:t>
      </w:r>
      <w:r w:rsidRPr="007747CE">
        <w:rPr>
          <w:color w:val="000000" w:themeColor="text1"/>
          <w:szCs w:val="24"/>
        </w:rPr>
        <w:t>strukturālās bilances mērķis tiek noteikts s</w:t>
      </w:r>
      <w:r w:rsidR="00F55C15" w:rsidRPr="007747CE">
        <w:rPr>
          <w:color w:val="000000" w:themeColor="text1"/>
          <w:szCs w:val="24"/>
        </w:rPr>
        <w:t xml:space="preserve">askaņā ar </w:t>
      </w:r>
      <w:r w:rsidR="00D23AC9" w:rsidRPr="007747CE">
        <w:rPr>
          <w:color w:val="000000" w:themeColor="text1"/>
          <w:szCs w:val="24"/>
        </w:rPr>
        <w:t xml:space="preserve">FDL </w:t>
      </w:r>
      <w:r w:rsidR="00843C47">
        <w:rPr>
          <w:color w:val="000000" w:themeColor="text1"/>
          <w:szCs w:val="24"/>
        </w:rPr>
        <w:t xml:space="preserve">10. pantu </w:t>
      </w:r>
      <w:r w:rsidR="00F55C15" w:rsidRPr="007747CE">
        <w:rPr>
          <w:color w:val="000000" w:themeColor="text1"/>
          <w:szCs w:val="24"/>
        </w:rPr>
        <w:t>-0</w:t>
      </w:r>
      <w:r w:rsidR="004B20AA" w:rsidRPr="007747CE">
        <w:rPr>
          <w:color w:val="000000" w:themeColor="text1"/>
          <w:szCs w:val="24"/>
        </w:rPr>
        <w:t>,5% no IKP</w:t>
      </w:r>
      <w:r w:rsidRPr="007747CE">
        <w:rPr>
          <w:color w:val="000000" w:themeColor="text1"/>
          <w:szCs w:val="24"/>
        </w:rPr>
        <w:t xml:space="preserve"> apmērā</w:t>
      </w:r>
      <w:r w:rsidR="00623500" w:rsidRPr="007747CE">
        <w:rPr>
          <w:color w:val="000000" w:themeColor="text1"/>
          <w:szCs w:val="24"/>
        </w:rPr>
        <w:t xml:space="preserve">. </w:t>
      </w:r>
    </w:p>
    <w:p w14:paraId="2DFBA00A" w14:textId="3D2B3368" w:rsidR="004B20AA" w:rsidRPr="006634E0" w:rsidRDefault="00D64F4A" w:rsidP="003C02EC">
      <w:pPr>
        <w:pStyle w:val="ListParagraph"/>
        <w:widowControl w:val="0"/>
        <w:ind w:left="0"/>
        <w:contextualSpacing w:val="0"/>
        <w:jc w:val="right"/>
        <w:rPr>
          <w:rFonts w:eastAsia="Times New Roman" w:cs="Times New Roman"/>
          <w:bCs/>
          <w:i/>
          <w:iCs/>
          <w:szCs w:val="28"/>
          <w:lang w:eastAsia="en-US"/>
        </w:rPr>
      </w:pPr>
      <w:r w:rsidRPr="006634E0">
        <w:rPr>
          <w:rFonts w:eastAsia="Times New Roman" w:cs="Times New Roman"/>
          <w:b/>
          <w:i/>
          <w:iCs/>
          <w:szCs w:val="24"/>
          <w:lang w:eastAsia="en-US"/>
        </w:rPr>
        <w:t>2</w:t>
      </w:r>
      <w:r w:rsidR="00056940" w:rsidRPr="006634E0">
        <w:rPr>
          <w:rFonts w:eastAsia="Times New Roman" w:cs="Times New Roman"/>
          <w:b/>
          <w:i/>
          <w:iCs/>
          <w:szCs w:val="24"/>
          <w:lang w:eastAsia="en-US"/>
        </w:rPr>
        <w:t>.</w:t>
      </w:r>
      <w:r w:rsidR="00273357" w:rsidRPr="006634E0">
        <w:rPr>
          <w:rFonts w:eastAsia="Times New Roman" w:cs="Times New Roman"/>
          <w:b/>
          <w:i/>
          <w:iCs/>
          <w:szCs w:val="24"/>
          <w:lang w:eastAsia="en-US"/>
        </w:rPr>
        <w:t>2</w:t>
      </w:r>
      <w:r w:rsidR="004B20AA" w:rsidRPr="006634E0">
        <w:rPr>
          <w:rFonts w:eastAsia="Times New Roman" w:cs="Times New Roman"/>
          <w:b/>
          <w:i/>
          <w:iCs/>
          <w:szCs w:val="24"/>
          <w:lang w:eastAsia="en-US"/>
        </w:rPr>
        <w:t>.</w:t>
      </w:r>
      <w:r w:rsidR="00056940" w:rsidRPr="006634E0">
        <w:rPr>
          <w:rFonts w:eastAsia="Times New Roman" w:cs="Times New Roman"/>
          <w:b/>
          <w:i/>
          <w:iCs/>
          <w:szCs w:val="24"/>
          <w:lang w:eastAsia="en-US"/>
        </w:rPr>
        <w:t xml:space="preserve"> </w:t>
      </w:r>
      <w:r w:rsidR="004B20AA" w:rsidRPr="006634E0">
        <w:rPr>
          <w:rFonts w:eastAsia="Times New Roman" w:cs="Times New Roman"/>
          <w:b/>
          <w:i/>
          <w:iCs/>
          <w:szCs w:val="24"/>
          <w:lang w:eastAsia="en-US"/>
        </w:rPr>
        <w:t>tabula Vispārējās valdības strukturālās bilances mērķi</w:t>
      </w:r>
    </w:p>
    <w:tbl>
      <w:tblPr>
        <w:tblW w:w="8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1"/>
        <w:gridCol w:w="1530"/>
        <w:gridCol w:w="992"/>
        <w:gridCol w:w="718"/>
        <w:gridCol w:w="576"/>
        <w:gridCol w:w="586"/>
      </w:tblGrid>
      <w:tr w:rsidR="004B20AA" w:rsidRPr="0038459F" w14:paraId="39CFCC12" w14:textId="77777777" w:rsidTr="00843C47">
        <w:trPr>
          <w:trHeight w:val="20"/>
          <w:tblHeader/>
          <w:jc w:val="center"/>
        </w:trPr>
        <w:tc>
          <w:tcPr>
            <w:tcW w:w="4401" w:type="dxa"/>
            <w:shd w:val="clear" w:color="auto" w:fill="BDD6EE"/>
            <w:noWrap/>
            <w:vAlign w:val="bottom"/>
            <w:hideMark/>
          </w:tcPr>
          <w:p w14:paraId="29377308" w14:textId="77777777" w:rsidR="004B20AA" w:rsidRPr="0038459F" w:rsidRDefault="004B20AA" w:rsidP="004B20AA">
            <w:pPr>
              <w:spacing w:before="60" w:after="60"/>
              <w:ind w:firstLine="0"/>
              <w:jc w:val="left"/>
              <w:rPr>
                <w:rFonts w:eastAsia="Times New Roman" w:cs="Times New Roman"/>
                <w:color w:val="000000"/>
                <w:sz w:val="18"/>
                <w:szCs w:val="18"/>
                <w:highlight w:val="lightGray"/>
              </w:rPr>
            </w:pPr>
            <w:r w:rsidRPr="0038459F">
              <w:rPr>
                <w:rFonts w:eastAsia="Times New Roman" w:cs="Times New Roman"/>
                <w:color w:val="000000"/>
                <w:sz w:val="18"/>
                <w:szCs w:val="18"/>
                <w:highlight w:val="lightGray"/>
              </w:rPr>
              <w:t> </w:t>
            </w:r>
          </w:p>
        </w:tc>
        <w:tc>
          <w:tcPr>
            <w:tcW w:w="1530" w:type="dxa"/>
            <w:shd w:val="clear" w:color="auto" w:fill="BDD6EE"/>
          </w:tcPr>
          <w:p w14:paraId="1FD95A4C" w14:textId="77777777" w:rsidR="004B20AA" w:rsidRPr="0038459F" w:rsidRDefault="004B20AA" w:rsidP="004B20AA">
            <w:pPr>
              <w:spacing w:before="60" w:after="60"/>
              <w:ind w:firstLine="0"/>
              <w:jc w:val="center"/>
              <w:rPr>
                <w:rFonts w:eastAsia="Times New Roman" w:cs="Times New Roman"/>
                <w:b/>
                <w:bCs/>
                <w:color w:val="000000"/>
                <w:sz w:val="18"/>
                <w:szCs w:val="18"/>
                <w:highlight w:val="lightGray"/>
              </w:rPr>
            </w:pPr>
          </w:p>
        </w:tc>
        <w:tc>
          <w:tcPr>
            <w:tcW w:w="992" w:type="dxa"/>
            <w:shd w:val="clear" w:color="auto" w:fill="BDD6EE"/>
            <w:noWrap/>
            <w:vAlign w:val="bottom"/>
            <w:hideMark/>
          </w:tcPr>
          <w:p w14:paraId="4F44B3C0" w14:textId="6FFE5E42" w:rsidR="004B20AA" w:rsidRPr="00843C47" w:rsidRDefault="004B20AA" w:rsidP="004B20AA">
            <w:pPr>
              <w:spacing w:before="60" w:after="60"/>
              <w:ind w:firstLine="0"/>
              <w:jc w:val="center"/>
              <w:rPr>
                <w:rFonts w:eastAsia="Times New Roman" w:cs="Times New Roman"/>
                <w:b/>
                <w:bCs/>
                <w:color w:val="000000"/>
                <w:sz w:val="18"/>
                <w:szCs w:val="18"/>
              </w:rPr>
            </w:pPr>
            <w:r w:rsidRPr="00843C47">
              <w:rPr>
                <w:rFonts w:eastAsia="Times New Roman" w:cs="Times New Roman"/>
                <w:b/>
                <w:bCs/>
                <w:color w:val="000000"/>
                <w:sz w:val="18"/>
                <w:szCs w:val="18"/>
              </w:rPr>
              <w:t>202</w:t>
            </w:r>
            <w:r w:rsidR="007747CE" w:rsidRPr="00843C47">
              <w:rPr>
                <w:rFonts w:eastAsia="Times New Roman" w:cs="Times New Roman"/>
                <w:b/>
                <w:bCs/>
                <w:color w:val="000000"/>
                <w:sz w:val="18"/>
                <w:szCs w:val="18"/>
              </w:rPr>
              <w:t>3</w:t>
            </w:r>
          </w:p>
        </w:tc>
        <w:tc>
          <w:tcPr>
            <w:tcW w:w="718" w:type="dxa"/>
            <w:shd w:val="clear" w:color="auto" w:fill="BDD6EE"/>
            <w:noWrap/>
            <w:vAlign w:val="bottom"/>
            <w:hideMark/>
          </w:tcPr>
          <w:p w14:paraId="19B0AF49" w14:textId="317799C5" w:rsidR="004B20AA" w:rsidRPr="00843C47" w:rsidRDefault="004B20AA" w:rsidP="004B20AA">
            <w:pPr>
              <w:spacing w:before="60" w:after="60"/>
              <w:ind w:firstLine="0"/>
              <w:jc w:val="center"/>
              <w:rPr>
                <w:rFonts w:eastAsia="Times New Roman" w:cs="Times New Roman"/>
                <w:b/>
                <w:bCs/>
                <w:color w:val="000000"/>
                <w:sz w:val="18"/>
                <w:szCs w:val="18"/>
              </w:rPr>
            </w:pPr>
            <w:r w:rsidRPr="00843C47">
              <w:rPr>
                <w:rFonts w:eastAsia="Times New Roman" w:cs="Times New Roman"/>
                <w:b/>
                <w:bCs/>
                <w:color w:val="000000"/>
                <w:sz w:val="18"/>
                <w:szCs w:val="18"/>
              </w:rPr>
              <w:t>202</w:t>
            </w:r>
            <w:r w:rsidR="007747CE" w:rsidRPr="00843C47">
              <w:rPr>
                <w:rFonts w:eastAsia="Times New Roman" w:cs="Times New Roman"/>
                <w:b/>
                <w:bCs/>
                <w:color w:val="000000"/>
                <w:sz w:val="18"/>
                <w:szCs w:val="18"/>
              </w:rPr>
              <w:t>4</w:t>
            </w:r>
          </w:p>
        </w:tc>
        <w:tc>
          <w:tcPr>
            <w:tcW w:w="576" w:type="dxa"/>
            <w:shd w:val="clear" w:color="auto" w:fill="BDD6EE"/>
            <w:noWrap/>
            <w:vAlign w:val="bottom"/>
            <w:hideMark/>
          </w:tcPr>
          <w:p w14:paraId="2A413187" w14:textId="0D3AAE2C" w:rsidR="004B20AA" w:rsidRPr="00843C47" w:rsidRDefault="004B20AA" w:rsidP="004B20AA">
            <w:pPr>
              <w:spacing w:before="60" w:after="60"/>
              <w:ind w:firstLine="0"/>
              <w:jc w:val="center"/>
              <w:rPr>
                <w:rFonts w:eastAsia="Times New Roman" w:cs="Times New Roman"/>
                <w:b/>
                <w:bCs/>
                <w:color w:val="000000"/>
                <w:sz w:val="18"/>
                <w:szCs w:val="18"/>
              </w:rPr>
            </w:pPr>
            <w:r w:rsidRPr="00843C47">
              <w:rPr>
                <w:rFonts w:eastAsia="Times New Roman" w:cs="Times New Roman"/>
                <w:b/>
                <w:bCs/>
                <w:color w:val="000000"/>
                <w:sz w:val="18"/>
                <w:szCs w:val="18"/>
              </w:rPr>
              <w:t>202</w:t>
            </w:r>
            <w:r w:rsidR="007747CE" w:rsidRPr="00843C47">
              <w:rPr>
                <w:rFonts w:eastAsia="Times New Roman" w:cs="Times New Roman"/>
                <w:b/>
                <w:bCs/>
                <w:color w:val="000000"/>
                <w:sz w:val="18"/>
                <w:szCs w:val="18"/>
              </w:rPr>
              <w:t>5</w:t>
            </w:r>
          </w:p>
        </w:tc>
        <w:tc>
          <w:tcPr>
            <w:tcW w:w="586" w:type="dxa"/>
            <w:shd w:val="clear" w:color="auto" w:fill="BDD6EE"/>
            <w:noWrap/>
            <w:vAlign w:val="bottom"/>
            <w:hideMark/>
          </w:tcPr>
          <w:p w14:paraId="2215CFC0" w14:textId="5732AD5F" w:rsidR="004B20AA" w:rsidRPr="00843C47" w:rsidRDefault="004B20AA" w:rsidP="004B20AA">
            <w:pPr>
              <w:spacing w:before="60" w:after="60"/>
              <w:ind w:firstLine="0"/>
              <w:jc w:val="center"/>
              <w:rPr>
                <w:rFonts w:eastAsia="Times New Roman" w:cs="Times New Roman"/>
                <w:b/>
                <w:bCs/>
                <w:color w:val="000000"/>
                <w:sz w:val="18"/>
                <w:szCs w:val="18"/>
              </w:rPr>
            </w:pPr>
            <w:r w:rsidRPr="00843C47">
              <w:rPr>
                <w:rFonts w:eastAsia="Times New Roman" w:cs="Times New Roman"/>
                <w:b/>
                <w:bCs/>
                <w:color w:val="000000"/>
                <w:sz w:val="18"/>
                <w:szCs w:val="18"/>
              </w:rPr>
              <w:t>202</w:t>
            </w:r>
            <w:r w:rsidR="007747CE" w:rsidRPr="00843C47">
              <w:rPr>
                <w:rFonts w:eastAsia="Times New Roman" w:cs="Times New Roman"/>
                <w:b/>
                <w:bCs/>
                <w:color w:val="000000"/>
                <w:sz w:val="18"/>
                <w:szCs w:val="18"/>
              </w:rPr>
              <w:t>6</w:t>
            </w:r>
          </w:p>
        </w:tc>
      </w:tr>
      <w:tr w:rsidR="0087794B" w:rsidRPr="0038459F" w14:paraId="1B379C09" w14:textId="77777777" w:rsidTr="00E53BFE">
        <w:trPr>
          <w:trHeight w:val="20"/>
          <w:jc w:val="center"/>
        </w:trPr>
        <w:tc>
          <w:tcPr>
            <w:tcW w:w="4401" w:type="dxa"/>
            <w:shd w:val="clear" w:color="auto" w:fill="auto"/>
            <w:noWrap/>
            <w:vAlign w:val="bottom"/>
            <w:hideMark/>
          </w:tcPr>
          <w:p w14:paraId="73D4A7C7" w14:textId="5EE6D338"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 xml:space="preserve">IKP prognoze, milj. </w:t>
            </w:r>
            <w:r w:rsidRPr="00843C47">
              <w:rPr>
                <w:rFonts w:eastAsia="Times New Roman" w:cs="Times New Roman"/>
                <w:i/>
                <w:iCs/>
                <w:noProof/>
                <w:color w:val="000000"/>
                <w:sz w:val="18"/>
                <w:szCs w:val="18"/>
              </w:rPr>
              <w:t>euro</w:t>
            </w:r>
          </w:p>
        </w:tc>
        <w:tc>
          <w:tcPr>
            <w:tcW w:w="1530" w:type="dxa"/>
            <w:tcBorders>
              <w:top w:val="single" w:sz="8" w:space="0" w:color="auto"/>
              <w:left w:val="single" w:sz="4" w:space="0" w:color="auto"/>
              <w:bottom w:val="single" w:sz="4" w:space="0" w:color="auto"/>
              <w:right w:val="nil"/>
            </w:tcBorders>
            <w:shd w:val="clear" w:color="auto" w:fill="auto"/>
            <w:vAlign w:val="center"/>
          </w:tcPr>
          <w:p w14:paraId="2A4AA981" w14:textId="4F082E4C"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(1)</w:t>
            </w:r>
          </w:p>
        </w:tc>
        <w:tc>
          <w:tcPr>
            <w:tcW w:w="992" w:type="dxa"/>
            <w:shd w:val="clear" w:color="auto" w:fill="auto"/>
            <w:noWrap/>
            <w:vAlign w:val="center"/>
            <w:hideMark/>
          </w:tcPr>
          <w:p w14:paraId="403563F2" w14:textId="73110E37"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43 155</w:t>
            </w:r>
          </w:p>
        </w:tc>
        <w:tc>
          <w:tcPr>
            <w:tcW w:w="718" w:type="dxa"/>
            <w:shd w:val="clear" w:color="auto" w:fill="DEEAF6"/>
            <w:noWrap/>
            <w:hideMark/>
          </w:tcPr>
          <w:p w14:paraId="5B480F0F"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76768B9C"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3CD6E5B8"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50821AF0" w14:textId="77777777" w:rsidTr="00E53BFE">
        <w:trPr>
          <w:trHeight w:val="243"/>
          <w:jc w:val="center"/>
        </w:trPr>
        <w:tc>
          <w:tcPr>
            <w:tcW w:w="4401" w:type="dxa"/>
            <w:shd w:val="clear" w:color="auto" w:fill="auto"/>
            <w:noWrap/>
            <w:hideMark/>
          </w:tcPr>
          <w:p w14:paraId="3F69D717" w14:textId="5C96925A"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 xml:space="preserve">2023. gada vispārējās valdības budžeta bilance, milj. </w:t>
            </w:r>
            <w:r w:rsidRPr="00843C47">
              <w:rPr>
                <w:rFonts w:eastAsia="Times New Roman" w:cs="Times New Roman"/>
                <w:i/>
                <w:iCs/>
                <w:noProof/>
                <w:color w:val="000000"/>
                <w:sz w:val="18"/>
                <w:szCs w:val="18"/>
              </w:rPr>
              <w:t>euro</w:t>
            </w:r>
          </w:p>
        </w:tc>
        <w:tc>
          <w:tcPr>
            <w:tcW w:w="1530" w:type="dxa"/>
            <w:tcBorders>
              <w:top w:val="nil"/>
              <w:left w:val="single" w:sz="4" w:space="0" w:color="auto"/>
              <w:bottom w:val="single" w:sz="4" w:space="0" w:color="auto"/>
              <w:right w:val="nil"/>
            </w:tcBorders>
            <w:shd w:val="clear" w:color="auto" w:fill="auto"/>
          </w:tcPr>
          <w:p w14:paraId="243BD2A8" w14:textId="07E4EE6F"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(2)</w:t>
            </w:r>
          </w:p>
        </w:tc>
        <w:tc>
          <w:tcPr>
            <w:tcW w:w="992" w:type="dxa"/>
            <w:shd w:val="clear" w:color="auto" w:fill="auto"/>
            <w:noWrap/>
            <w:vAlign w:val="center"/>
            <w:hideMark/>
          </w:tcPr>
          <w:p w14:paraId="5A6D74AE" w14:textId="78C25760" w:rsidR="0087794B" w:rsidRPr="00843C47" w:rsidRDefault="0087794B" w:rsidP="0087794B">
            <w:pPr>
              <w:spacing w:before="60" w:after="60"/>
              <w:ind w:firstLine="0"/>
              <w:jc w:val="center"/>
              <w:rPr>
                <w:rFonts w:eastAsia="Calibri" w:cs="Times New Roman"/>
                <w:sz w:val="18"/>
                <w:szCs w:val="18"/>
                <w:highlight w:val="yellow"/>
                <w:lang w:eastAsia="en-US"/>
              </w:rPr>
            </w:pPr>
            <w:r>
              <w:rPr>
                <w:sz w:val="20"/>
                <w:szCs w:val="20"/>
              </w:rPr>
              <w:t>-1 156</w:t>
            </w:r>
          </w:p>
        </w:tc>
        <w:tc>
          <w:tcPr>
            <w:tcW w:w="718" w:type="dxa"/>
            <w:shd w:val="clear" w:color="auto" w:fill="DEEAF6"/>
            <w:noWrap/>
            <w:hideMark/>
          </w:tcPr>
          <w:p w14:paraId="3422238F" w14:textId="77777777" w:rsidR="0087794B" w:rsidRPr="0038459F" w:rsidRDefault="0087794B" w:rsidP="0087794B">
            <w:pPr>
              <w:spacing w:after="0"/>
              <w:ind w:firstLine="0"/>
              <w:jc w:val="left"/>
              <w:rPr>
                <w:rFonts w:eastAsia="Times New Roman" w:cs="Times New Roman"/>
                <w:b/>
                <w:color w:val="000000"/>
                <w:sz w:val="20"/>
                <w:szCs w:val="20"/>
                <w:highlight w:val="lightGray"/>
              </w:rPr>
            </w:pPr>
          </w:p>
        </w:tc>
        <w:tc>
          <w:tcPr>
            <w:tcW w:w="576" w:type="dxa"/>
            <w:shd w:val="clear" w:color="auto" w:fill="DEEAF6"/>
            <w:noWrap/>
            <w:hideMark/>
          </w:tcPr>
          <w:p w14:paraId="1CBAF174" w14:textId="77777777" w:rsidR="0087794B" w:rsidRPr="0038459F" w:rsidRDefault="0087794B" w:rsidP="0087794B">
            <w:pPr>
              <w:spacing w:after="0"/>
              <w:ind w:firstLine="0"/>
              <w:jc w:val="left"/>
              <w:rPr>
                <w:rFonts w:eastAsia="Times New Roman" w:cs="Times New Roman"/>
                <w:b/>
                <w:color w:val="000000"/>
                <w:sz w:val="20"/>
                <w:szCs w:val="20"/>
                <w:highlight w:val="lightGray"/>
              </w:rPr>
            </w:pPr>
          </w:p>
        </w:tc>
        <w:tc>
          <w:tcPr>
            <w:tcW w:w="586" w:type="dxa"/>
            <w:shd w:val="clear" w:color="auto" w:fill="DEEAF6"/>
            <w:noWrap/>
            <w:hideMark/>
          </w:tcPr>
          <w:p w14:paraId="4ACDB413" w14:textId="77777777" w:rsidR="0087794B" w:rsidRPr="0038459F" w:rsidRDefault="0087794B" w:rsidP="0087794B">
            <w:pPr>
              <w:spacing w:after="0"/>
              <w:ind w:firstLine="0"/>
              <w:jc w:val="left"/>
              <w:rPr>
                <w:rFonts w:eastAsia="Times New Roman" w:cs="Times New Roman"/>
                <w:b/>
                <w:color w:val="000000"/>
                <w:sz w:val="20"/>
                <w:szCs w:val="20"/>
                <w:highlight w:val="lightGray"/>
              </w:rPr>
            </w:pPr>
          </w:p>
        </w:tc>
      </w:tr>
      <w:tr w:rsidR="0087794B" w:rsidRPr="0038459F" w14:paraId="6041A973" w14:textId="77777777" w:rsidTr="00E53BFE">
        <w:trPr>
          <w:trHeight w:val="20"/>
          <w:jc w:val="center"/>
        </w:trPr>
        <w:tc>
          <w:tcPr>
            <w:tcW w:w="4401" w:type="dxa"/>
            <w:shd w:val="clear" w:color="auto" w:fill="auto"/>
            <w:noWrap/>
            <w:vAlign w:val="bottom"/>
            <w:hideMark/>
          </w:tcPr>
          <w:p w14:paraId="2A504174" w14:textId="2AE5C67D"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2023. gada vispārējās valdības budžeta bilance, % IKP</w:t>
            </w:r>
          </w:p>
        </w:tc>
        <w:tc>
          <w:tcPr>
            <w:tcW w:w="1530" w:type="dxa"/>
            <w:tcBorders>
              <w:top w:val="nil"/>
              <w:left w:val="single" w:sz="4" w:space="0" w:color="auto"/>
              <w:bottom w:val="single" w:sz="4" w:space="0" w:color="auto"/>
              <w:right w:val="nil"/>
            </w:tcBorders>
            <w:shd w:val="clear" w:color="auto" w:fill="auto"/>
            <w:vAlign w:val="center"/>
          </w:tcPr>
          <w:p w14:paraId="627ACB04" w14:textId="749BBD1C"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(3)=(2)/(1)*100</w:t>
            </w:r>
          </w:p>
        </w:tc>
        <w:tc>
          <w:tcPr>
            <w:tcW w:w="992" w:type="dxa"/>
            <w:shd w:val="clear" w:color="auto" w:fill="auto"/>
            <w:noWrap/>
            <w:vAlign w:val="center"/>
            <w:hideMark/>
          </w:tcPr>
          <w:p w14:paraId="63EBD7EE" w14:textId="374FA4FB"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-2,7</w:t>
            </w:r>
          </w:p>
        </w:tc>
        <w:tc>
          <w:tcPr>
            <w:tcW w:w="718" w:type="dxa"/>
            <w:shd w:val="clear" w:color="auto" w:fill="DEEAF6"/>
            <w:noWrap/>
            <w:hideMark/>
          </w:tcPr>
          <w:p w14:paraId="69C7A8AA"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2B9E6E7B"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78012DA9"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1CF4EF9C" w14:textId="77777777" w:rsidTr="00E53BFE">
        <w:trPr>
          <w:trHeight w:val="20"/>
          <w:jc w:val="center"/>
        </w:trPr>
        <w:tc>
          <w:tcPr>
            <w:tcW w:w="4401" w:type="dxa"/>
            <w:shd w:val="clear" w:color="auto" w:fill="auto"/>
            <w:noWrap/>
            <w:vAlign w:val="bottom"/>
            <w:hideMark/>
          </w:tcPr>
          <w:p w14:paraId="520E80C2" w14:textId="77777777"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Izlaižu starpība, % no potenciālā IKP</w:t>
            </w:r>
          </w:p>
        </w:tc>
        <w:tc>
          <w:tcPr>
            <w:tcW w:w="1530" w:type="dxa"/>
            <w:tcBorders>
              <w:top w:val="nil"/>
              <w:left w:val="single" w:sz="4" w:space="0" w:color="auto"/>
              <w:bottom w:val="single" w:sz="4" w:space="0" w:color="auto"/>
              <w:right w:val="nil"/>
            </w:tcBorders>
            <w:shd w:val="clear" w:color="auto" w:fill="auto"/>
            <w:vAlign w:val="center"/>
          </w:tcPr>
          <w:p w14:paraId="61BC0638" w14:textId="15B2E27F"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(4)</w:t>
            </w:r>
          </w:p>
        </w:tc>
        <w:tc>
          <w:tcPr>
            <w:tcW w:w="992" w:type="dxa"/>
            <w:shd w:val="clear" w:color="auto" w:fill="auto"/>
            <w:noWrap/>
            <w:vAlign w:val="center"/>
            <w:hideMark/>
          </w:tcPr>
          <w:p w14:paraId="116E8678" w14:textId="0E5865FC" w:rsidR="0087794B" w:rsidRPr="00843C47" w:rsidRDefault="0087794B" w:rsidP="0087794B">
            <w:pPr>
              <w:spacing w:before="60" w:after="60"/>
              <w:ind w:firstLine="0"/>
              <w:jc w:val="center"/>
              <w:rPr>
                <w:rFonts w:eastAsia="Calibri" w:cs="Times New Roman"/>
                <w:sz w:val="18"/>
                <w:szCs w:val="18"/>
                <w:highlight w:val="yellow"/>
                <w:lang w:eastAsia="en-US"/>
              </w:rPr>
            </w:pPr>
            <w:r>
              <w:rPr>
                <w:sz w:val="20"/>
                <w:szCs w:val="20"/>
              </w:rPr>
              <w:t>-1,2</w:t>
            </w:r>
          </w:p>
        </w:tc>
        <w:tc>
          <w:tcPr>
            <w:tcW w:w="718" w:type="dxa"/>
            <w:shd w:val="clear" w:color="auto" w:fill="DEEAF6"/>
            <w:noWrap/>
            <w:hideMark/>
          </w:tcPr>
          <w:p w14:paraId="582963F6"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46ECC150"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03C0F7F4"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026F929D" w14:textId="77777777" w:rsidTr="00E53BFE">
        <w:trPr>
          <w:trHeight w:val="20"/>
          <w:jc w:val="center"/>
        </w:trPr>
        <w:tc>
          <w:tcPr>
            <w:tcW w:w="4401" w:type="dxa"/>
            <w:shd w:val="clear" w:color="auto" w:fill="auto"/>
            <w:noWrap/>
            <w:vAlign w:val="bottom"/>
            <w:hideMark/>
          </w:tcPr>
          <w:p w14:paraId="7B98EE56" w14:textId="77777777"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Bilances cikliskā komponente, % no IKP</w:t>
            </w:r>
          </w:p>
        </w:tc>
        <w:tc>
          <w:tcPr>
            <w:tcW w:w="1530" w:type="dxa"/>
            <w:tcBorders>
              <w:top w:val="nil"/>
              <w:left w:val="single" w:sz="4" w:space="0" w:color="auto"/>
              <w:bottom w:val="single" w:sz="4" w:space="0" w:color="auto"/>
              <w:right w:val="nil"/>
            </w:tcBorders>
            <w:shd w:val="clear" w:color="auto" w:fill="auto"/>
            <w:vAlign w:val="center"/>
          </w:tcPr>
          <w:p w14:paraId="251B9E8D" w14:textId="0AA7D76A"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(5)=0,378*(4)</w:t>
            </w:r>
          </w:p>
        </w:tc>
        <w:tc>
          <w:tcPr>
            <w:tcW w:w="992" w:type="dxa"/>
            <w:shd w:val="clear" w:color="auto" w:fill="auto"/>
            <w:noWrap/>
            <w:vAlign w:val="center"/>
            <w:hideMark/>
          </w:tcPr>
          <w:p w14:paraId="34FC6210" w14:textId="5E387AFE"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-0,5</w:t>
            </w:r>
          </w:p>
        </w:tc>
        <w:tc>
          <w:tcPr>
            <w:tcW w:w="718" w:type="dxa"/>
            <w:shd w:val="clear" w:color="auto" w:fill="DEEAF6"/>
            <w:noWrap/>
            <w:hideMark/>
          </w:tcPr>
          <w:p w14:paraId="514ACD5D"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3DB5428D"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6DC6E5EC"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1307F381" w14:textId="77777777" w:rsidTr="00E53BFE">
        <w:trPr>
          <w:trHeight w:val="20"/>
          <w:jc w:val="center"/>
        </w:trPr>
        <w:tc>
          <w:tcPr>
            <w:tcW w:w="4401" w:type="dxa"/>
            <w:shd w:val="clear" w:color="auto" w:fill="auto"/>
            <w:noWrap/>
            <w:vAlign w:val="bottom"/>
            <w:hideMark/>
          </w:tcPr>
          <w:p w14:paraId="0D583887" w14:textId="77777777"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i/>
                <w:iCs/>
                <w:noProof/>
                <w:color w:val="000000"/>
                <w:sz w:val="18"/>
                <w:szCs w:val="18"/>
              </w:rPr>
              <w:t>One-off</w:t>
            </w:r>
            <w:r w:rsidRPr="00843C47">
              <w:rPr>
                <w:rFonts w:eastAsia="Times New Roman" w:cs="Times New Roman"/>
                <w:noProof/>
                <w:color w:val="000000"/>
                <w:sz w:val="18"/>
                <w:szCs w:val="18"/>
              </w:rPr>
              <w:t xml:space="preserve"> un citi īslaicīgie pasākumi, % no IKP, tai skaitā</w:t>
            </w:r>
          </w:p>
        </w:tc>
        <w:tc>
          <w:tcPr>
            <w:tcW w:w="1530" w:type="dxa"/>
            <w:tcBorders>
              <w:top w:val="nil"/>
              <w:left w:val="single" w:sz="4" w:space="0" w:color="auto"/>
              <w:bottom w:val="single" w:sz="4" w:space="0" w:color="auto"/>
              <w:right w:val="nil"/>
            </w:tcBorders>
            <w:shd w:val="clear" w:color="auto" w:fill="auto"/>
            <w:vAlign w:val="center"/>
          </w:tcPr>
          <w:p w14:paraId="67F90BC3" w14:textId="2363B69F"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(6)</w:t>
            </w:r>
          </w:p>
        </w:tc>
        <w:tc>
          <w:tcPr>
            <w:tcW w:w="992" w:type="dxa"/>
            <w:shd w:val="clear" w:color="auto" w:fill="auto"/>
            <w:noWrap/>
            <w:vAlign w:val="center"/>
            <w:hideMark/>
          </w:tcPr>
          <w:p w14:paraId="0C7D3BF6" w14:textId="3FDDDD60"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-2,5</w:t>
            </w:r>
          </w:p>
        </w:tc>
        <w:tc>
          <w:tcPr>
            <w:tcW w:w="718" w:type="dxa"/>
            <w:shd w:val="clear" w:color="auto" w:fill="DEEAF6"/>
            <w:noWrap/>
            <w:hideMark/>
          </w:tcPr>
          <w:p w14:paraId="3B71F73A"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1E264204"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3CBF540B"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413BA679" w14:textId="77777777" w:rsidTr="00E53BFE">
        <w:trPr>
          <w:trHeight w:val="20"/>
          <w:jc w:val="center"/>
        </w:trPr>
        <w:tc>
          <w:tcPr>
            <w:tcW w:w="4401" w:type="dxa"/>
            <w:shd w:val="clear" w:color="auto" w:fill="auto"/>
            <w:noWrap/>
            <w:vAlign w:val="bottom"/>
            <w:hideMark/>
          </w:tcPr>
          <w:p w14:paraId="3315569C" w14:textId="61155B77" w:rsidR="0087794B" w:rsidRPr="0038459F" w:rsidRDefault="0087794B" w:rsidP="0087794B">
            <w:pPr>
              <w:spacing w:before="60" w:after="60"/>
              <w:ind w:firstLineChars="200" w:firstLine="360"/>
              <w:jc w:val="left"/>
              <w:rPr>
                <w:rFonts w:eastAsia="Times New Roman" w:cs="Times New Roman"/>
                <w:noProof/>
                <w:color w:val="000000"/>
                <w:sz w:val="18"/>
                <w:szCs w:val="18"/>
                <w:highlight w:val="lightGray"/>
              </w:rPr>
            </w:pPr>
            <w:r w:rsidRPr="00670F90">
              <w:rPr>
                <w:rFonts w:eastAsia="Times New Roman" w:cs="Times New Roman"/>
                <w:noProof/>
                <w:color w:val="000000"/>
                <w:sz w:val="18"/>
                <w:szCs w:val="18"/>
              </w:rPr>
              <w:t>Covid-19 pandēmijas mazināšanas pasākumi</w:t>
            </w:r>
          </w:p>
        </w:tc>
        <w:tc>
          <w:tcPr>
            <w:tcW w:w="1530" w:type="dxa"/>
            <w:tcBorders>
              <w:top w:val="nil"/>
              <w:left w:val="single" w:sz="4" w:space="0" w:color="auto"/>
              <w:bottom w:val="single" w:sz="4" w:space="0" w:color="auto"/>
              <w:right w:val="nil"/>
            </w:tcBorders>
            <w:shd w:val="clear" w:color="auto" w:fill="auto"/>
            <w:vAlign w:val="center"/>
          </w:tcPr>
          <w:p w14:paraId="6EA13C6A" w14:textId="4361C95A" w:rsidR="0087794B" w:rsidRPr="00843C47" w:rsidRDefault="0087794B" w:rsidP="0087794B">
            <w:pPr>
              <w:spacing w:before="60" w:after="60"/>
              <w:ind w:firstLine="0"/>
              <w:jc w:val="left"/>
              <w:rPr>
                <w:rFonts w:eastAsia="Calibri" w:cs="Times New Roman"/>
                <w:sz w:val="18"/>
                <w:szCs w:val="18"/>
                <w:lang w:eastAsia="en-US"/>
              </w:rPr>
            </w:pPr>
          </w:p>
        </w:tc>
        <w:tc>
          <w:tcPr>
            <w:tcW w:w="992" w:type="dxa"/>
            <w:shd w:val="clear" w:color="auto" w:fill="auto"/>
            <w:noWrap/>
            <w:vAlign w:val="center"/>
            <w:hideMark/>
          </w:tcPr>
          <w:p w14:paraId="54A861BB" w14:textId="55673719"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-0,2</w:t>
            </w:r>
          </w:p>
        </w:tc>
        <w:tc>
          <w:tcPr>
            <w:tcW w:w="718" w:type="dxa"/>
            <w:shd w:val="clear" w:color="auto" w:fill="DEEAF6"/>
            <w:noWrap/>
            <w:hideMark/>
          </w:tcPr>
          <w:p w14:paraId="5ABA3293"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343323F8"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28F7B085"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25EF5FB4" w14:textId="77777777" w:rsidTr="00E53BFE">
        <w:trPr>
          <w:trHeight w:val="20"/>
          <w:jc w:val="center"/>
        </w:trPr>
        <w:tc>
          <w:tcPr>
            <w:tcW w:w="4401" w:type="dxa"/>
            <w:shd w:val="clear" w:color="auto" w:fill="auto"/>
            <w:noWrap/>
            <w:vAlign w:val="center"/>
            <w:hideMark/>
          </w:tcPr>
          <w:p w14:paraId="286E46BA" w14:textId="6969E472" w:rsidR="0087794B" w:rsidRPr="0038459F" w:rsidRDefault="0087794B" w:rsidP="0087794B">
            <w:pPr>
              <w:spacing w:before="60" w:after="60"/>
              <w:ind w:firstLineChars="200" w:firstLine="360"/>
              <w:jc w:val="left"/>
              <w:rPr>
                <w:rFonts w:eastAsia="Times New Roman" w:cs="Times New Roman"/>
                <w:color w:val="000000"/>
                <w:sz w:val="18"/>
                <w:szCs w:val="18"/>
                <w:highlight w:val="lightGray"/>
              </w:rPr>
            </w:pPr>
            <w:r>
              <w:rPr>
                <w:rFonts w:eastAsia="Times New Roman" w:cs="Times New Roman"/>
                <w:color w:val="000000"/>
                <w:sz w:val="18"/>
                <w:szCs w:val="18"/>
              </w:rPr>
              <w:t>e</w:t>
            </w:r>
            <w:r w:rsidRPr="00670F90">
              <w:rPr>
                <w:rFonts w:eastAsia="Times New Roman" w:cs="Times New Roman"/>
                <w:color w:val="000000"/>
                <w:sz w:val="18"/>
                <w:szCs w:val="18"/>
              </w:rPr>
              <w:t>nerģijas cenas pieauguma mazināšanas pasākumi</w:t>
            </w:r>
          </w:p>
        </w:tc>
        <w:tc>
          <w:tcPr>
            <w:tcW w:w="1530" w:type="dxa"/>
            <w:tcBorders>
              <w:top w:val="nil"/>
              <w:left w:val="single" w:sz="4" w:space="0" w:color="auto"/>
              <w:bottom w:val="single" w:sz="4" w:space="0" w:color="auto"/>
              <w:right w:val="nil"/>
            </w:tcBorders>
            <w:shd w:val="clear" w:color="auto" w:fill="auto"/>
            <w:vAlign w:val="center"/>
          </w:tcPr>
          <w:p w14:paraId="633C85BB" w14:textId="19766880" w:rsidR="0087794B" w:rsidRPr="00843C47" w:rsidRDefault="0087794B" w:rsidP="0087794B">
            <w:pPr>
              <w:spacing w:before="60" w:after="60"/>
              <w:ind w:firstLine="0"/>
              <w:jc w:val="left"/>
              <w:rPr>
                <w:rFonts w:eastAsia="Calibri" w:cs="Times New Roman"/>
                <w:sz w:val="18"/>
                <w:szCs w:val="18"/>
                <w:lang w:eastAsia="en-US"/>
              </w:rPr>
            </w:pPr>
          </w:p>
        </w:tc>
        <w:tc>
          <w:tcPr>
            <w:tcW w:w="992" w:type="dxa"/>
            <w:shd w:val="clear" w:color="auto" w:fill="auto"/>
            <w:noWrap/>
            <w:vAlign w:val="center"/>
            <w:hideMark/>
          </w:tcPr>
          <w:p w14:paraId="299C0E16" w14:textId="317815E4"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-1,0</w:t>
            </w:r>
          </w:p>
        </w:tc>
        <w:tc>
          <w:tcPr>
            <w:tcW w:w="718" w:type="dxa"/>
            <w:shd w:val="clear" w:color="auto" w:fill="DEEAF6"/>
            <w:noWrap/>
            <w:hideMark/>
          </w:tcPr>
          <w:p w14:paraId="62D52487"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25E73446"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31CD241E"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5DF0EC07" w14:textId="77777777" w:rsidTr="00E53BFE">
        <w:trPr>
          <w:trHeight w:val="20"/>
          <w:jc w:val="center"/>
        </w:trPr>
        <w:tc>
          <w:tcPr>
            <w:tcW w:w="4401" w:type="dxa"/>
            <w:shd w:val="clear" w:color="auto" w:fill="auto"/>
            <w:noWrap/>
            <w:vAlign w:val="center"/>
          </w:tcPr>
          <w:p w14:paraId="6B3736D5" w14:textId="38D8FA52" w:rsidR="0087794B" w:rsidRPr="00843C47" w:rsidRDefault="0087794B" w:rsidP="0087794B">
            <w:pPr>
              <w:spacing w:after="0"/>
              <w:ind w:firstLineChars="200" w:firstLine="360"/>
              <w:jc w:val="left"/>
              <w:rPr>
                <w:rFonts w:eastAsia="Times New Roman" w:cs="Times New Roman"/>
                <w:color w:val="000000"/>
                <w:sz w:val="18"/>
                <w:szCs w:val="18"/>
              </w:rPr>
            </w:pPr>
            <w:r w:rsidRPr="00255D47">
              <w:rPr>
                <w:rFonts w:eastAsia="Times New Roman" w:cs="Times New Roman"/>
                <w:color w:val="000000"/>
                <w:sz w:val="18"/>
                <w:szCs w:val="18"/>
              </w:rPr>
              <w:t>aizsardzības un iekšējās drošības finansējums</w:t>
            </w:r>
          </w:p>
        </w:tc>
        <w:tc>
          <w:tcPr>
            <w:tcW w:w="1530" w:type="dxa"/>
            <w:tcBorders>
              <w:top w:val="single" w:sz="4" w:space="0" w:color="auto"/>
              <w:left w:val="single" w:sz="4" w:space="0" w:color="auto"/>
              <w:bottom w:val="single" w:sz="4" w:space="0" w:color="auto"/>
              <w:right w:val="nil"/>
            </w:tcBorders>
            <w:shd w:val="clear" w:color="auto" w:fill="auto"/>
            <w:vAlign w:val="center"/>
          </w:tcPr>
          <w:p w14:paraId="6122E773" w14:textId="6E93B211" w:rsidR="0087794B" w:rsidRPr="00843C47" w:rsidRDefault="0087794B" w:rsidP="0087794B">
            <w:pPr>
              <w:spacing w:before="60" w:after="60"/>
              <w:ind w:firstLine="0"/>
              <w:jc w:val="left"/>
              <w:rPr>
                <w:rFonts w:eastAsia="Calibri" w:cs="Times New Roman"/>
                <w:sz w:val="18"/>
                <w:szCs w:val="18"/>
                <w:lang w:eastAsia="en-US"/>
              </w:rPr>
            </w:pPr>
          </w:p>
        </w:tc>
        <w:tc>
          <w:tcPr>
            <w:tcW w:w="992" w:type="dxa"/>
            <w:shd w:val="clear" w:color="auto" w:fill="auto"/>
            <w:noWrap/>
            <w:vAlign w:val="center"/>
          </w:tcPr>
          <w:p w14:paraId="403F7D4B" w14:textId="1D187FC4" w:rsidR="0087794B" w:rsidRPr="00843C47" w:rsidRDefault="0087794B" w:rsidP="0087794B">
            <w:pPr>
              <w:spacing w:before="60" w:after="60"/>
              <w:ind w:firstLine="0"/>
              <w:jc w:val="center"/>
              <w:rPr>
                <w:rFonts w:eastAsia="Calibri" w:cs="Times New Roman"/>
                <w:sz w:val="18"/>
                <w:szCs w:val="18"/>
                <w:highlight w:val="yellow"/>
                <w:lang w:eastAsia="en-US"/>
              </w:rPr>
            </w:pPr>
            <w:r>
              <w:rPr>
                <w:sz w:val="20"/>
                <w:szCs w:val="20"/>
              </w:rPr>
              <w:t>-0,6</w:t>
            </w:r>
          </w:p>
        </w:tc>
        <w:tc>
          <w:tcPr>
            <w:tcW w:w="718" w:type="dxa"/>
            <w:shd w:val="clear" w:color="auto" w:fill="DEEAF6"/>
            <w:noWrap/>
          </w:tcPr>
          <w:p w14:paraId="5EB68015"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tcPr>
          <w:p w14:paraId="1A5C9DAB"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tcPr>
          <w:p w14:paraId="6E195C25"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4C638F72" w14:textId="77777777" w:rsidTr="00E53BFE">
        <w:trPr>
          <w:trHeight w:val="20"/>
          <w:jc w:val="center"/>
        </w:trPr>
        <w:tc>
          <w:tcPr>
            <w:tcW w:w="4401" w:type="dxa"/>
            <w:shd w:val="clear" w:color="auto" w:fill="auto"/>
            <w:noWrap/>
            <w:vAlign w:val="center"/>
          </w:tcPr>
          <w:p w14:paraId="209EF703" w14:textId="7DEE44F9" w:rsidR="0087794B" w:rsidRPr="00843C47" w:rsidRDefault="0087794B" w:rsidP="0087794B">
            <w:pPr>
              <w:spacing w:after="0"/>
              <w:ind w:firstLineChars="200" w:firstLine="360"/>
              <w:jc w:val="left"/>
              <w:rPr>
                <w:rFonts w:eastAsia="Times New Roman" w:cs="Times New Roman"/>
                <w:color w:val="000000"/>
                <w:sz w:val="18"/>
                <w:szCs w:val="18"/>
              </w:rPr>
            </w:pPr>
            <w:r w:rsidRPr="00255D47">
              <w:rPr>
                <w:rFonts w:eastAsia="Times New Roman" w:cs="Times New Roman"/>
                <w:color w:val="000000"/>
                <w:sz w:val="18"/>
                <w:szCs w:val="18"/>
              </w:rPr>
              <w:t>atbalsts bēgļiem no Ukrainas</w:t>
            </w:r>
          </w:p>
        </w:tc>
        <w:tc>
          <w:tcPr>
            <w:tcW w:w="1530" w:type="dxa"/>
            <w:tcBorders>
              <w:top w:val="single" w:sz="4" w:space="0" w:color="auto"/>
              <w:left w:val="single" w:sz="4" w:space="0" w:color="auto"/>
              <w:bottom w:val="single" w:sz="4" w:space="0" w:color="auto"/>
              <w:right w:val="nil"/>
            </w:tcBorders>
            <w:shd w:val="clear" w:color="auto" w:fill="auto"/>
            <w:vAlign w:val="center"/>
          </w:tcPr>
          <w:p w14:paraId="0D76E637" w14:textId="33231F87" w:rsidR="0087794B" w:rsidRPr="00843C47" w:rsidRDefault="0087794B" w:rsidP="0087794B">
            <w:pPr>
              <w:spacing w:before="60" w:after="60"/>
              <w:ind w:firstLine="0"/>
              <w:jc w:val="left"/>
              <w:rPr>
                <w:color w:val="000000"/>
                <w:sz w:val="18"/>
                <w:szCs w:val="18"/>
              </w:rPr>
            </w:pPr>
          </w:p>
        </w:tc>
        <w:tc>
          <w:tcPr>
            <w:tcW w:w="992" w:type="dxa"/>
            <w:shd w:val="clear" w:color="auto" w:fill="auto"/>
            <w:noWrap/>
            <w:vAlign w:val="center"/>
          </w:tcPr>
          <w:p w14:paraId="256A8155" w14:textId="4FEA37A0" w:rsidR="0087794B" w:rsidRPr="00843C47" w:rsidRDefault="0087794B" w:rsidP="0087794B">
            <w:pPr>
              <w:spacing w:before="60" w:after="60"/>
              <w:ind w:firstLine="0"/>
              <w:jc w:val="center"/>
              <w:rPr>
                <w:rFonts w:eastAsia="Calibri" w:cs="Times New Roman"/>
                <w:sz w:val="18"/>
                <w:szCs w:val="18"/>
                <w:highlight w:val="yellow"/>
                <w:lang w:eastAsia="en-US"/>
              </w:rPr>
            </w:pPr>
            <w:r>
              <w:rPr>
                <w:sz w:val="20"/>
                <w:szCs w:val="20"/>
              </w:rPr>
              <w:t>-0,2</w:t>
            </w:r>
          </w:p>
        </w:tc>
        <w:tc>
          <w:tcPr>
            <w:tcW w:w="718" w:type="dxa"/>
            <w:shd w:val="clear" w:color="auto" w:fill="DEEAF6"/>
            <w:noWrap/>
          </w:tcPr>
          <w:p w14:paraId="01F059F2"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tcPr>
          <w:p w14:paraId="7CB75800"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tcPr>
          <w:p w14:paraId="20B7F5F6"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2272C94D" w14:textId="77777777" w:rsidTr="00E53BFE">
        <w:trPr>
          <w:trHeight w:val="20"/>
          <w:jc w:val="center"/>
        </w:trPr>
        <w:tc>
          <w:tcPr>
            <w:tcW w:w="4401" w:type="dxa"/>
            <w:shd w:val="clear" w:color="auto" w:fill="auto"/>
            <w:noWrap/>
            <w:vAlign w:val="center"/>
          </w:tcPr>
          <w:p w14:paraId="7A272E95" w14:textId="423B746D" w:rsidR="0087794B" w:rsidRPr="0038459F" w:rsidRDefault="0087794B" w:rsidP="0087794B">
            <w:pPr>
              <w:spacing w:before="60" w:after="60"/>
              <w:ind w:left="34" w:firstLineChars="200" w:firstLine="360"/>
              <w:jc w:val="left"/>
              <w:rPr>
                <w:rFonts w:eastAsia="Times New Roman" w:cs="Times New Roman"/>
                <w:color w:val="000000"/>
                <w:sz w:val="18"/>
                <w:szCs w:val="18"/>
                <w:highlight w:val="lightGray"/>
              </w:rPr>
            </w:pPr>
            <w:r w:rsidRPr="00255D47">
              <w:rPr>
                <w:rFonts w:eastAsia="Times New Roman" w:cs="Times New Roman"/>
                <w:color w:val="000000"/>
                <w:sz w:val="18"/>
                <w:szCs w:val="18"/>
              </w:rPr>
              <w:t>vienreizējie izdevumi valsts aizsardzībai un iekšējai drošībai</w:t>
            </w:r>
          </w:p>
        </w:tc>
        <w:tc>
          <w:tcPr>
            <w:tcW w:w="1530" w:type="dxa"/>
            <w:tcBorders>
              <w:top w:val="single" w:sz="4" w:space="0" w:color="auto"/>
              <w:left w:val="single" w:sz="4" w:space="0" w:color="auto"/>
              <w:bottom w:val="single" w:sz="8" w:space="0" w:color="auto"/>
              <w:right w:val="nil"/>
            </w:tcBorders>
            <w:shd w:val="clear" w:color="auto" w:fill="auto"/>
            <w:vAlign w:val="center"/>
          </w:tcPr>
          <w:p w14:paraId="4C3303BD" w14:textId="657D4081" w:rsidR="0087794B" w:rsidRPr="00843C47" w:rsidRDefault="0087794B" w:rsidP="0087794B">
            <w:pPr>
              <w:spacing w:before="60" w:after="60"/>
              <w:ind w:firstLine="0"/>
              <w:jc w:val="left"/>
              <w:rPr>
                <w:color w:val="000000"/>
                <w:sz w:val="18"/>
                <w:szCs w:val="18"/>
              </w:rPr>
            </w:pPr>
          </w:p>
        </w:tc>
        <w:tc>
          <w:tcPr>
            <w:tcW w:w="992" w:type="dxa"/>
            <w:shd w:val="clear" w:color="auto" w:fill="auto"/>
            <w:noWrap/>
            <w:vAlign w:val="center"/>
          </w:tcPr>
          <w:p w14:paraId="5C233C01" w14:textId="6764E285" w:rsidR="0087794B" w:rsidRPr="00843C47" w:rsidRDefault="0087794B" w:rsidP="0087794B">
            <w:pPr>
              <w:spacing w:before="60" w:after="60"/>
              <w:ind w:firstLine="0"/>
              <w:jc w:val="center"/>
              <w:rPr>
                <w:rFonts w:eastAsia="Calibri" w:cs="Times New Roman"/>
                <w:sz w:val="18"/>
                <w:szCs w:val="18"/>
                <w:highlight w:val="yellow"/>
                <w:lang w:eastAsia="en-US"/>
              </w:rPr>
            </w:pPr>
            <w:r>
              <w:rPr>
                <w:sz w:val="20"/>
                <w:szCs w:val="20"/>
              </w:rPr>
              <w:t>-0,5</w:t>
            </w:r>
          </w:p>
        </w:tc>
        <w:tc>
          <w:tcPr>
            <w:tcW w:w="718" w:type="dxa"/>
            <w:shd w:val="clear" w:color="auto" w:fill="DEEAF6"/>
            <w:noWrap/>
          </w:tcPr>
          <w:p w14:paraId="4EC1E41B"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tcPr>
          <w:p w14:paraId="7F58AF4E"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tcPr>
          <w:p w14:paraId="084A38D4"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43C47" w:rsidRPr="0038459F" w14:paraId="392D5A88" w14:textId="77777777" w:rsidTr="002D1772">
        <w:trPr>
          <w:trHeight w:val="20"/>
          <w:jc w:val="center"/>
        </w:trPr>
        <w:tc>
          <w:tcPr>
            <w:tcW w:w="4401" w:type="dxa"/>
            <w:shd w:val="clear" w:color="auto" w:fill="BDD6EE"/>
            <w:noWrap/>
            <w:vAlign w:val="center"/>
            <w:hideMark/>
          </w:tcPr>
          <w:p w14:paraId="7E9BBAA8" w14:textId="77777777" w:rsidR="00843C47" w:rsidRPr="0038459F" w:rsidRDefault="00843C47" w:rsidP="002D1772">
            <w:pPr>
              <w:spacing w:before="60" w:after="60"/>
              <w:ind w:firstLine="0"/>
              <w:jc w:val="left"/>
              <w:rPr>
                <w:rFonts w:eastAsia="Times New Roman" w:cs="Times New Roman"/>
                <w:b/>
                <w:bCs/>
                <w:color w:val="000000"/>
                <w:sz w:val="18"/>
                <w:szCs w:val="18"/>
                <w:highlight w:val="lightGray"/>
              </w:rPr>
            </w:pPr>
            <w:r w:rsidRPr="00843C47">
              <w:rPr>
                <w:rFonts w:eastAsia="Times New Roman" w:cs="Times New Roman"/>
                <w:b/>
                <w:bCs/>
                <w:color w:val="000000"/>
                <w:sz w:val="18"/>
                <w:szCs w:val="18"/>
              </w:rPr>
              <w:t>Vispārējās valdības strukturālās bilances prognoze un mērķi, % no IKP</w:t>
            </w:r>
          </w:p>
        </w:tc>
        <w:tc>
          <w:tcPr>
            <w:tcW w:w="1530" w:type="dxa"/>
            <w:tcBorders>
              <w:top w:val="single" w:sz="8" w:space="0" w:color="auto"/>
              <w:left w:val="single" w:sz="4" w:space="0" w:color="auto"/>
              <w:bottom w:val="single" w:sz="4" w:space="0" w:color="auto"/>
              <w:right w:val="nil"/>
            </w:tcBorders>
            <w:shd w:val="clear" w:color="auto" w:fill="BDD6EE" w:themeFill="accent1" w:themeFillTint="66"/>
            <w:vAlign w:val="center"/>
          </w:tcPr>
          <w:p w14:paraId="4FDA4B48" w14:textId="408CC3C0" w:rsidR="00843C47" w:rsidRPr="00843C47" w:rsidRDefault="00843C47" w:rsidP="002D1772">
            <w:pPr>
              <w:spacing w:before="60" w:after="60"/>
              <w:ind w:firstLine="0"/>
              <w:jc w:val="left"/>
              <w:rPr>
                <w:rFonts w:eastAsia="Calibri" w:cs="Times New Roman"/>
                <w:b/>
                <w:bCs/>
                <w:sz w:val="18"/>
                <w:szCs w:val="18"/>
                <w:lang w:eastAsia="en-US"/>
              </w:rPr>
            </w:pPr>
            <w:r w:rsidRPr="00843C47">
              <w:rPr>
                <w:b/>
                <w:bCs/>
                <w:color w:val="000000"/>
                <w:sz w:val="18"/>
                <w:szCs w:val="18"/>
              </w:rPr>
              <w:t>(7)=(3)-(5)-(6)</w:t>
            </w:r>
          </w:p>
        </w:tc>
        <w:tc>
          <w:tcPr>
            <w:tcW w:w="992" w:type="dxa"/>
            <w:shd w:val="clear" w:color="auto" w:fill="BDD6EE" w:themeFill="accent1" w:themeFillTint="66"/>
            <w:noWrap/>
            <w:vAlign w:val="center"/>
            <w:hideMark/>
          </w:tcPr>
          <w:p w14:paraId="3754B15F" w14:textId="1BDA5D46" w:rsidR="00843C47" w:rsidRPr="0087794B" w:rsidRDefault="00843C47" w:rsidP="002D1772">
            <w:pPr>
              <w:spacing w:before="60" w:after="60"/>
              <w:ind w:firstLine="0"/>
              <w:jc w:val="center"/>
              <w:rPr>
                <w:rFonts w:eastAsia="Calibri" w:cs="Times New Roman"/>
                <w:b/>
                <w:bCs/>
                <w:sz w:val="18"/>
                <w:szCs w:val="18"/>
                <w:lang w:eastAsia="en-US"/>
              </w:rPr>
            </w:pPr>
            <w:r w:rsidRPr="0087794B">
              <w:rPr>
                <w:rFonts w:eastAsia="Calibri" w:cs="Times New Roman"/>
                <w:b/>
                <w:bCs/>
                <w:sz w:val="18"/>
                <w:szCs w:val="18"/>
                <w:lang w:eastAsia="en-US"/>
              </w:rPr>
              <w:t>0,</w:t>
            </w:r>
            <w:r w:rsidR="0087794B" w:rsidRPr="0087794B">
              <w:rPr>
                <w:rFonts w:eastAsia="Calibri" w:cs="Times New Roman"/>
                <w:b/>
                <w:bCs/>
                <w:sz w:val="18"/>
                <w:szCs w:val="18"/>
                <w:lang w:eastAsia="en-US"/>
              </w:rPr>
              <w:t>2</w:t>
            </w:r>
          </w:p>
          <w:p w14:paraId="47256A8B" w14:textId="77777777" w:rsidR="00843C47" w:rsidRPr="00843C47" w:rsidRDefault="00843C47" w:rsidP="002D1772">
            <w:pPr>
              <w:spacing w:before="60" w:after="60"/>
              <w:ind w:firstLine="0"/>
              <w:jc w:val="center"/>
              <w:rPr>
                <w:rFonts w:eastAsia="Times New Roman" w:cs="Times New Roman"/>
                <w:b/>
                <w:bCs/>
                <w:color w:val="000000"/>
                <w:sz w:val="18"/>
                <w:szCs w:val="18"/>
                <w:highlight w:val="yellow"/>
              </w:rPr>
            </w:pPr>
          </w:p>
        </w:tc>
        <w:tc>
          <w:tcPr>
            <w:tcW w:w="718" w:type="dxa"/>
            <w:shd w:val="clear" w:color="auto" w:fill="BDD6EE"/>
            <w:noWrap/>
            <w:vAlign w:val="center"/>
            <w:hideMark/>
          </w:tcPr>
          <w:p w14:paraId="017538F5" w14:textId="24727A7C" w:rsidR="00843C47" w:rsidRPr="00843C47" w:rsidRDefault="00843C47" w:rsidP="002D1772">
            <w:pPr>
              <w:spacing w:before="60" w:after="60"/>
              <w:ind w:firstLine="0"/>
              <w:jc w:val="center"/>
              <w:rPr>
                <w:rFonts w:eastAsia="Times New Roman" w:cs="Times New Roman"/>
                <w:b/>
                <w:bCs/>
                <w:color w:val="000000"/>
                <w:sz w:val="18"/>
                <w:szCs w:val="18"/>
              </w:rPr>
            </w:pPr>
            <w:r w:rsidRPr="00843C47">
              <w:rPr>
                <w:rFonts w:eastAsia="Calibri" w:cs="Times New Roman"/>
                <w:b/>
                <w:bCs/>
                <w:sz w:val="18"/>
                <w:szCs w:val="18"/>
                <w:lang w:eastAsia="en-US"/>
              </w:rPr>
              <w:t>-0,5</w:t>
            </w:r>
          </w:p>
        </w:tc>
        <w:tc>
          <w:tcPr>
            <w:tcW w:w="576" w:type="dxa"/>
            <w:shd w:val="clear" w:color="auto" w:fill="BDD6EE"/>
            <w:noWrap/>
            <w:vAlign w:val="center"/>
            <w:hideMark/>
          </w:tcPr>
          <w:p w14:paraId="0916B60C" w14:textId="77777777" w:rsidR="00843C47" w:rsidRPr="00843C47" w:rsidRDefault="00843C47" w:rsidP="002D1772">
            <w:pPr>
              <w:spacing w:before="60" w:after="60"/>
              <w:ind w:firstLine="0"/>
              <w:jc w:val="center"/>
              <w:rPr>
                <w:rFonts w:eastAsia="Calibri" w:cs="Times New Roman"/>
                <w:b/>
                <w:bCs/>
                <w:sz w:val="18"/>
                <w:szCs w:val="18"/>
                <w:lang w:eastAsia="en-US"/>
              </w:rPr>
            </w:pPr>
            <w:r w:rsidRPr="00843C47">
              <w:rPr>
                <w:rFonts w:eastAsia="Calibri" w:cs="Times New Roman"/>
                <w:b/>
                <w:bCs/>
                <w:sz w:val="18"/>
                <w:szCs w:val="18"/>
                <w:lang w:eastAsia="en-US"/>
              </w:rPr>
              <w:t>-0,5</w:t>
            </w:r>
          </w:p>
          <w:p w14:paraId="47528FD3" w14:textId="77777777" w:rsidR="00843C47" w:rsidRPr="00843C47" w:rsidRDefault="00843C47" w:rsidP="002D1772">
            <w:pPr>
              <w:spacing w:before="60" w:after="60"/>
              <w:ind w:firstLine="0"/>
              <w:jc w:val="center"/>
              <w:rPr>
                <w:rFonts w:eastAsia="Times New Roman" w:cs="Times New Roman"/>
                <w:b/>
                <w:bCs/>
                <w:color w:val="000000"/>
                <w:sz w:val="18"/>
                <w:szCs w:val="18"/>
              </w:rPr>
            </w:pPr>
          </w:p>
        </w:tc>
        <w:tc>
          <w:tcPr>
            <w:tcW w:w="586" w:type="dxa"/>
            <w:shd w:val="clear" w:color="auto" w:fill="BDD6EE"/>
            <w:noWrap/>
            <w:vAlign w:val="center"/>
            <w:hideMark/>
          </w:tcPr>
          <w:p w14:paraId="45647019" w14:textId="77777777" w:rsidR="00843C47" w:rsidRPr="00843C47" w:rsidRDefault="00843C47" w:rsidP="002D1772">
            <w:pPr>
              <w:spacing w:before="60" w:after="60"/>
              <w:ind w:firstLine="0"/>
              <w:jc w:val="center"/>
              <w:rPr>
                <w:rFonts w:eastAsia="Times New Roman" w:cs="Times New Roman"/>
                <w:b/>
                <w:bCs/>
                <w:color w:val="000000"/>
                <w:sz w:val="18"/>
                <w:szCs w:val="18"/>
              </w:rPr>
            </w:pPr>
            <w:r w:rsidRPr="00843C47">
              <w:rPr>
                <w:rFonts w:eastAsia="Calibri" w:cs="Times New Roman"/>
                <w:b/>
                <w:bCs/>
                <w:sz w:val="18"/>
                <w:szCs w:val="18"/>
                <w:lang w:eastAsia="en-US"/>
              </w:rPr>
              <w:t>-0,5</w:t>
            </w:r>
          </w:p>
        </w:tc>
      </w:tr>
    </w:tbl>
    <w:p w14:paraId="1D98968A" w14:textId="77777777" w:rsidR="004B20AA" w:rsidRPr="0038459F" w:rsidRDefault="004B20AA" w:rsidP="00F55C15">
      <w:pPr>
        <w:rPr>
          <w:color w:val="000000" w:themeColor="text1"/>
          <w:szCs w:val="24"/>
          <w:highlight w:val="lightGray"/>
        </w:rPr>
      </w:pPr>
    </w:p>
    <w:p w14:paraId="1316180D" w14:textId="0EC6D83E" w:rsidR="00D76795" w:rsidRPr="0038459F" w:rsidRDefault="00D76795" w:rsidP="00D76795">
      <w:pPr>
        <w:pStyle w:val="ListParagraph"/>
        <w:widowControl w:val="0"/>
        <w:ind w:left="0"/>
        <w:contextualSpacing w:val="0"/>
        <w:jc w:val="right"/>
        <w:rPr>
          <w:rFonts w:eastAsia="Times New Roman" w:cs="Times New Roman"/>
          <w:bCs/>
          <w:i/>
          <w:iCs/>
          <w:szCs w:val="28"/>
          <w:highlight w:val="lightGray"/>
          <w:lang w:eastAsia="en-US"/>
        </w:rPr>
      </w:pPr>
      <w:r w:rsidRPr="006634E0">
        <w:rPr>
          <w:rFonts w:eastAsia="Times New Roman" w:cs="Times New Roman"/>
          <w:b/>
          <w:i/>
          <w:iCs/>
          <w:szCs w:val="24"/>
          <w:lang w:eastAsia="en-US"/>
        </w:rPr>
        <w:t>2.</w:t>
      </w:r>
      <w:r w:rsidR="00273357" w:rsidRPr="006634E0">
        <w:rPr>
          <w:rFonts w:eastAsia="Times New Roman" w:cs="Times New Roman"/>
          <w:b/>
          <w:i/>
          <w:iCs/>
          <w:szCs w:val="24"/>
          <w:lang w:eastAsia="en-US"/>
        </w:rPr>
        <w:t>3</w:t>
      </w:r>
      <w:r w:rsidRPr="006634E0">
        <w:rPr>
          <w:rFonts w:eastAsia="Times New Roman" w:cs="Times New Roman"/>
          <w:b/>
          <w:i/>
          <w:iCs/>
          <w:szCs w:val="24"/>
          <w:lang w:eastAsia="en-US"/>
        </w:rPr>
        <w:t>. tabula Vispārējās valdības strukturālās bilances mērķi (ES metodoloģija)</w:t>
      </w:r>
    </w:p>
    <w:tbl>
      <w:tblPr>
        <w:tblW w:w="8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1"/>
        <w:gridCol w:w="1530"/>
        <w:gridCol w:w="992"/>
        <w:gridCol w:w="718"/>
        <w:gridCol w:w="576"/>
        <w:gridCol w:w="586"/>
      </w:tblGrid>
      <w:tr w:rsidR="00D76795" w:rsidRPr="0038459F" w14:paraId="6F342069" w14:textId="77777777" w:rsidTr="0010263E">
        <w:trPr>
          <w:trHeight w:val="20"/>
          <w:tblHeader/>
          <w:jc w:val="center"/>
        </w:trPr>
        <w:tc>
          <w:tcPr>
            <w:tcW w:w="4401" w:type="dxa"/>
            <w:shd w:val="clear" w:color="auto" w:fill="BDD6EE"/>
            <w:noWrap/>
            <w:vAlign w:val="bottom"/>
            <w:hideMark/>
          </w:tcPr>
          <w:p w14:paraId="51A5688A" w14:textId="77777777" w:rsidR="00D76795" w:rsidRPr="0038459F" w:rsidRDefault="00D76795" w:rsidP="0010263E">
            <w:pPr>
              <w:spacing w:before="60" w:after="60"/>
              <w:ind w:firstLine="0"/>
              <w:jc w:val="left"/>
              <w:rPr>
                <w:rFonts w:eastAsia="Times New Roman" w:cs="Times New Roman"/>
                <w:color w:val="000000"/>
                <w:sz w:val="18"/>
                <w:szCs w:val="18"/>
                <w:highlight w:val="lightGray"/>
              </w:rPr>
            </w:pPr>
            <w:r w:rsidRPr="0038459F">
              <w:rPr>
                <w:rFonts w:eastAsia="Times New Roman" w:cs="Times New Roman"/>
                <w:color w:val="000000"/>
                <w:sz w:val="18"/>
                <w:szCs w:val="18"/>
                <w:highlight w:val="lightGray"/>
              </w:rPr>
              <w:t> </w:t>
            </w:r>
          </w:p>
        </w:tc>
        <w:tc>
          <w:tcPr>
            <w:tcW w:w="1530" w:type="dxa"/>
            <w:shd w:val="clear" w:color="auto" w:fill="BDD6EE"/>
          </w:tcPr>
          <w:p w14:paraId="51A84A5A" w14:textId="77777777" w:rsidR="00D76795" w:rsidRPr="0038459F" w:rsidRDefault="00D76795" w:rsidP="0010263E">
            <w:pPr>
              <w:spacing w:before="60" w:after="60"/>
              <w:ind w:firstLine="0"/>
              <w:jc w:val="center"/>
              <w:rPr>
                <w:rFonts w:eastAsia="Times New Roman" w:cs="Times New Roman"/>
                <w:b/>
                <w:bCs/>
                <w:color w:val="000000"/>
                <w:sz w:val="18"/>
                <w:szCs w:val="18"/>
                <w:highlight w:val="lightGray"/>
              </w:rPr>
            </w:pPr>
          </w:p>
        </w:tc>
        <w:tc>
          <w:tcPr>
            <w:tcW w:w="992" w:type="dxa"/>
            <w:shd w:val="clear" w:color="auto" w:fill="BDD6EE"/>
            <w:noWrap/>
            <w:vAlign w:val="bottom"/>
            <w:hideMark/>
          </w:tcPr>
          <w:p w14:paraId="40393ED4" w14:textId="77777777" w:rsidR="00D76795" w:rsidRPr="00843C47" w:rsidRDefault="00D76795" w:rsidP="0010263E">
            <w:pPr>
              <w:spacing w:before="60" w:after="60"/>
              <w:ind w:firstLine="0"/>
              <w:jc w:val="center"/>
              <w:rPr>
                <w:rFonts w:eastAsia="Times New Roman" w:cs="Times New Roman"/>
                <w:b/>
                <w:bCs/>
                <w:color w:val="000000"/>
                <w:sz w:val="18"/>
                <w:szCs w:val="18"/>
              </w:rPr>
            </w:pPr>
            <w:r w:rsidRPr="00843C47">
              <w:rPr>
                <w:rFonts w:eastAsia="Times New Roman" w:cs="Times New Roman"/>
                <w:b/>
                <w:bCs/>
                <w:color w:val="000000"/>
                <w:sz w:val="18"/>
                <w:szCs w:val="18"/>
              </w:rPr>
              <w:t>2023</w:t>
            </w:r>
          </w:p>
        </w:tc>
        <w:tc>
          <w:tcPr>
            <w:tcW w:w="718" w:type="dxa"/>
            <w:shd w:val="clear" w:color="auto" w:fill="BDD6EE"/>
            <w:noWrap/>
            <w:vAlign w:val="bottom"/>
            <w:hideMark/>
          </w:tcPr>
          <w:p w14:paraId="6F2C2693" w14:textId="77777777" w:rsidR="00D76795" w:rsidRPr="00843C47" w:rsidRDefault="00D76795" w:rsidP="0010263E">
            <w:pPr>
              <w:spacing w:before="60" w:after="60"/>
              <w:ind w:firstLine="0"/>
              <w:jc w:val="center"/>
              <w:rPr>
                <w:rFonts w:eastAsia="Times New Roman" w:cs="Times New Roman"/>
                <w:b/>
                <w:bCs/>
                <w:color w:val="000000"/>
                <w:sz w:val="18"/>
                <w:szCs w:val="18"/>
              </w:rPr>
            </w:pPr>
            <w:r w:rsidRPr="00843C47">
              <w:rPr>
                <w:rFonts w:eastAsia="Times New Roman" w:cs="Times New Roman"/>
                <w:b/>
                <w:bCs/>
                <w:color w:val="000000"/>
                <w:sz w:val="18"/>
                <w:szCs w:val="18"/>
              </w:rPr>
              <w:t>2024</w:t>
            </w:r>
          </w:p>
        </w:tc>
        <w:tc>
          <w:tcPr>
            <w:tcW w:w="576" w:type="dxa"/>
            <w:shd w:val="clear" w:color="auto" w:fill="BDD6EE"/>
            <w:noWrap/>
            <w:vAlign w:val="bottom"/>
            <w:hideMark/>
          </w:tcPr>
          <w:p w14:paraId="0BD0D442" w14:textId="77777777" w:rsidR="00D76795" w:rsidRPr="00843C47" w:rsidRDefault="00D76795" w:rsidP="0010263E">
            <w:pPr>
              <w:spacing w:before="60" w:after="60"/>
              <w:ind w:firstLine="0"/>
              <w:jc w:val="center"/>
              <w:rPr>
                <w:rFonts w:eastAsia="Times New Roman" w:cs="Times New Roman"/>
                <w:b/>
                <w:bCs/>
                <w:color w:val="000000"/>
                <w:sz w:val="18"/>
                <w:szCs w:val="18"/>
              </w:rPr>
            </w:pPr>
            <w:r w:rsidRPr="00843C47">
              <w:rPr>
                <w:rFonts w:eastAsia="Times New Roman" w:cs="Times New Roman"/>
                <w:b/>
                <w:bCs/>
                <w:color w:val="000000"/>
                <w:sz w:val="18"/>
                <w:szCs w:val="18"/>
              </w:rPr>
              <w:t>2025</w:t>
            </w:r>
          </w:p>
        </w:tc>
        <w:tc>
          <w:tcPr>
            <w:tcW w:w="586" w:type="dxa"/>
            <w:shd w:val="clear" w:color="auto" w:fill="BDD6EE"/>
            <w:noWrap/>
            <w:vAlign w:val="bottom"/>
            <w:hideMark/>
          </w:tcPr>
          <w:p w14:paraId="656BAF62" w14:textId="77777777" w:rsidR="00D76795" w:rsidRPr="00843C47" w:rsidRDefault="00D76795" w:rsidP="0010263E">
            <w:pPr>
              <w:spacing w:before="60" w:after="60"/>
              <w:ind w:firstLine="0"/>
              <w:jc w:val="center"/>
              <w:rPr>
                <w:rFonts w:eastAsia="Times New Roman" w:cs="Times New Roman"/>
                <w:b/>
                <w:bCs/>
                <w:color w:val="000000"/>
                <w:sz w:val="18"/>
                <w:szCs w:val="18"/>
              </w:rPr>
            </w:pPr>
            <w:r w:rsidRPr="00843C47">
              <w:rPr>
                <w:rFonts w:eastAsia="Times New Roman" w:cs="Times New Roman"/>
                <w:b/>
                <w:bCs/>
                <w:color w:val="000000"/>
                <w:sz w:val="18"/>
                <w:szCs w:val="18"/>
              </w:rPr>
              <w:t>2026</w:t>
            </w:r>
          </w:p>
        </w:tc>
      </w:tr>
      <w:tr w:rsidR="0087794B" w:rsidRPr="0038459F" w14:paraId="32227182" w14:textId="77777777" w:rsidTr="00B813D0">
        <w:trPr>
          <w:trHeight w:val="20"/>
          <w:jc w:val="center"/>
        </w:trPr>
        <w:tc>
          <w:tcPr>
            <w:tcW w:w="4401" w:type="dxa"/>
            <w:shd w:val="clear" w:color="auto" w:fill="auto"/>
            <w:noWrap/>
            <w:vAlign w:val="bottom"/>
            <w:hideMark/>
          </w:tcPr>
          <w:p w14:paraId="3DCC45DE" w14:textId="77777777"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 xml:space="preserve">IKP prognoze, milj. </w:t>
            </w:r>
            <w:r w:rsidRPr="00843C47">
              <w:rPr>
                <w:rFonts w:eastAsia="Times New Roman" w:cs="Times New Roman"/>
                <w:i/>
                <w:iCs/>
                <w:noProof/>
                <w:color w:val="000000"/>
                <w:sz w:val="18"/>
                <w:szCs w:val="18"/>
              </w:rPr>
              <w:t>euro</w:t>
            </w:r>
          </w:p>
        </w:tc>
        <w:tc>
          <w:tcPr>
            <w:tcW w:w="1530" w:type="dxa"/>
            <w:tcBorders>
              <w:top w:val="single" w:sz="8" w:space="0" w:color="auto"/>
              <w:left w:val="single" w:sz="4" w:space="0" w:color="auto"/>
              <w:bottom w:val="single" w:sz="4" w:space="0" w:color="auto"/>
              <w:right w:val="nil"/>
            </w:tcBorders>
            <w:shd w:val="clear" w:color="auto" w:fill="auto"/>
            <w:vAlign w:val="center"/>
          </w:tcPr>
          <w:p w14:paraId="60A13AE0" w14:textId="77777777"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(1)</w:t>
            </w:r>
          </w:p>
        </w:tc>
        <w:tc>
          <w:tcPr>
            <w:tcW w:w="992" w:type="dxa"/>
            <w:shd w:val="clear" w:color="auto" w:fill="auto"/>
            <w:noWrap/>
            <w:vAlign w:val="center"/>
            <w:hideMark/>
          </w:tcPr>
          <w:p w14:paraId="245C8C6D" w14:textId="0DB5E1C4"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43 155</w:t>
            </w:r>
          </w:p>
        </w:tc>
        <w:tc>
          <w:tcPr>
            <w:tcW w:w="718" w:type="dxa"/>
            <w:shd w:val="clear" w:color="auto" w:fill="DEEAF6"/>
            <w:noWrap/>
            <w:hideMark/>
          </w:tcPr>
          <w:p w14:paraId="0D83FE67"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1BC36FDD"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33A73ED6"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7440CCB4" w14:textId="77777777" w:rsidTr="00B813D0">
        <w:trPr>
          <w:trHeight w:val="243"/>
          <w:jc w:val="center"/>
        </w:trPr>
        <w:tc>
          <w:tcPr>
            <w:tcW w:w="4401" w:type="dxa"/>
            <w:shd w:val="clear" w:color="auto" w:fill="auto"/>
            <w:noWrap/>
            <w:hideMark/>
          </w:tcPr>
          <w:p w14:paraId="6E6952ED" w14:textId="77777777"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 xml:space="preserve">2023. gada vispārējās valdības budžeta bilance, milj. </w:t>
            </w:r>
            <w:r w:rsidRPr="00843C47">
              <w:rPr>
                <w:rFonts w:eastAsia="Times New Roman" w:cs="Times New Roman"/>
                <w:i/>
                <w:iCs/>
                <w:noProof/>
                <w:color w:val="000000"/>
                <w:sz w:val="18"/>
                <w:szCs w:val="18"/>
              </w:rPr>
              <w:t>euro</w:t>
            </w:r>
          </w:p>
        </w:tc>
        <w:tc>
          <w:tcPr>
            <w:tcW w:w="1530" w:type="dxa"/>
            <w:tcBorders>
              <w:top w:val="nil"/>
              <w:left w:val="single" w:sz="4" w:space="0" w:color="auto"/>
              <w:bottom w:val="single" w:sz="4" w:space="0" w:color="auto"/>
              <w:right w:val="nil"/>
            </w:tcBorders>
            <w:shd w:val="clear" w:color="auto" w:fill="auto"/>
          </w:tcPr>
          <w:p w14:paraId="599F51F8" w14:textId="77777777"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(2)</w:t>
            </w:r>
          </w:p>
        </w:tc>
        <w:tc>
          <w:tcPr>
            <w:tcW w:w="992" w:type="dxa"/>
            <w:shd w:val="clear" w:color="auto" w:fill="auto"/>
            <w:noWrap/>
            <w:vAlign w:val="center"/>
            <w:hideMark/>
          </w:tcPr>
          <w:p w14:paraId="50188B4F" w14:textId="2117829E" w:rsidR="0087794B" w:rsidRPr="00843C47" w:rsidRDefault="0087794B" w:rsidP="0087794B">
            <w:pPr>
              <w:spacing w:before="60" w:after="60"/>
              <w:ind w:firstLine="0"/>
              <w:jc w:val="left"/>
              <w:rPr>
                <w:rFonts w:eastAsia="Calibri" w:cs="Times New Roman"/>
                <w:sz w:val="18"/>
                <w:szCs w:val="18"/>
                <w:highlight w:val="yellow"/>
                <w:lang w:eastAsia="en-US"/>
              </w:rPr>
            </w:pPr>
            <w:r>
              <w:rPr>
                <w:sz w:val="20"/>
                <w:szCs w:val="20"/>
              </w:rPr>
              <w:t>-1 156,4</w:t>
            </w:r>
          </w:p>
        </w:tc>
        <w:tc>
          <w:tcPr>
            <w:tcW w:w="718" w:type="dxa"/>
            <w:shd w:val="clear" w:color="auto" w:fill="DEEAF6"/>
            <w:noWrap/>
            <w:hideMark/>
          </w:tcPr>
          <w:p w14:paraId="58A524F9" w14:textId="77777777" w:rsidR="0087794B" w:rsidRPr="0038459F" w:rsidRDefault="0087794B" w:rsidP="0087794B">
            <w:pPr>
              <w:spacing w:after="0"/>
              <w:ind w:firstLine="0"/>
              <w:jc w:val="left"/>
              <w:rPr>
                <w:rFonts w:eastAsia="Times New Roman" w:cs="Times New Roman"/>
                <w:b/>
                <w:color w:val="000000"/>
                <w:sz w:val="20"/>
                <w:szCs w:val="20"/>
                <w:highlight w:val="lightGray"/>
              </w:rPr>
            </w:pPr>
          </w:p>
        </w:tc>
        <w:tc>
          <w:tcPr>
            <w:tcW w:w="576" w:type="dxa"/>
            <w:shd w:val="clear" w:color="auto" w:fill="DEEAF6"/>
            <w:noWrap/>
            <w:hideMark/>
          </w:tcPr>
          <w:p w14:paraId="5288450A" w14:textId="77777777" w:rsidR="0087794B" w:rsidRPr="0038459F" w:rsidRDefault="0087794B" w:rsidP="0087794B">
            <w:pPr>
              <w:spacing w:after="0"/>
              <w:ind w:firstLine="0"/>
              <w:jc w:val="left"/>
              <w:rPr>
                <w:rFonts w:eastAsia="Times New Roman" w:cs="Times New Roman"/>
                <w:b/>
                <w:color w:val="000000"/>
                <w:sz w:val="20"/>
                <w:szCs w:val="20"/>
                <w:highlight w:val="lightGray"/>
              </w:rPr>
            </w:pPr>
          </w:p>
        </w:tc>
        <w:tc>
          <w:tcPr>
            <w:tcW w:w="586" w:type="dxa"/>
            <w:shd w:val="clear" w:color="auto" w:fill="DEEAF6"/>
            <w:noWrap/>
            <w:hideMark/>
          </w:tcPr>
          <w:p w14:paraId="50CD6FA4" w14:textId="77777777" w:rsidR="0087794B" w:rsidRPr="0038459F" w:rsidRDefault="0087794B" w:rsidP="0087794B">
            <w:pPr>
              <w:spacing w:after="0"/>
              <w:ind w:firstLine="0"/>
              <w:jc w:val="left"/>
              <w:rPr>
                <w:rFonts w:eastAsia="Times New Roman" w:cs="Times New Roman"/>
                <w:b/>
                <w:color w:val="000000"/>
                <w:sz w:val="20"/>
                <w:szCs w:val="20"/>
                <w:highlight w:val="lightGray"/>
              </w:rPr>
            </w:pPr>
          </w:p>
        </w:tc>
      </w:tr>
      <w:tr w:rsidR="0087794B" w:rsidRPr="0038459F" w14:paraId="4128D368" w14:textId="77777777" w:rsidTr="00B813D0">
        <w:trPr>
          <w:trHeight w:val="20"/>
          <w:jc w:val="center"/>
        </w:trPr>
        <w:tc>
          <w:tcPr>
            <w:tcW w:w="4401" w:type="dxa"/>
            <w:shd w:val="clear" w:color="auto" w:fill="auto"/>
            <w:noWrap/>
            <w:vAlign w:val="bottom"/>
            <w:hideMark/>
          </w:tcPr>
          <w:p w14:paraId="74FA0555" w14:textId="77777777"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2023. gada vispārējās valdības budžeta bilance, % IKP</w:t>
            </w:r>
          </w:p>
        </w:tc>
        <w:tc>
          <w:tcPr>
            <w:tcW w:w="1530" w:type="dxa"/>
            <w:tcBorders>
              <w:top w:val="nil"/>
              <w:left w:val="single" w:sz="4" w:space="0" w:color="auto"/>
              <w:bottom w:val="single" w:sz="4" w:space="0" w:color="auto"/>
              <w:right w:val="nil"/>
            </w:tcBorders>
            <w:shd w:val="clear" w:color="auto" w:fill="auto"/>
            <w:vAlign w:val="center"/>
          </w:tcPr>
          <w:p w14:paraId="36AB761B" w14:textId="77777777"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(3)=(2)/(1)*100</w:t>
            </w:r>
          </w:p>
        </w:tc>
        <w:tc>
          <w:tcPr>
            <w:tcW w:w="992" w:type="dxa"/>
            <w:shd w:val="clear" w:color="auto" w:fill="auto"/>
            <w:noWrap/>
            <w:vAlign w:val="center"/>
            <w:hideMark/>
          </w:tcPr>
          <w:p w14:paraId="6ADEB6C2" w14:textId="3747392B"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-2,7</w:t>
            </w:r>
          </w:p>
        </w:tc>
        <w:tc>
          <w:tcPr>
            <w:tcW w:w="718" w:type="dxa"/>
            <w:shd w:val="clear" w:color="auto" w:fill="DEEAF6"/>
            <w:noWrap/>
            <w:hideMark/>
          </w:tcPr>
          <w:p w14:paraId="7D161F38"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54B8932A"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47F29AC8"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1327BC4E" w14:textId="77777777" w:rsidTr="00B813D0">
        <w:trPr>
          <w:trHeight w:val="20"/>
          <w:jc w:val="center"/>
        </w:trPr>
        <w:tc>
          <w:tcPr>
            <w:tcW w:w="4401" w:type="dxa"/>
            <w:shd w:val="clear" w:color="auto" w:fill="auto"/>
            <w:noWrap/>
            <w:vAlign w:val="bottom"/>
            <w:hideMark/>
          </w:tcPr>
          <w:p w14:paraId="56431412" w14:textId="77777777"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Izlaižu starpība, % no potenciālā IKP</w:t>
            </w:r>
          </w:p>
        </w:tc>
        <w:tc>
          <w:tcPr>
            <w:tcW w:w="1530" w:type="dxa"/>
            <w:tcBorders>
              <w:top w:val="nil"/>
              <w:left w:val="single" w:sz="4" w:space="0" w:color="auto"/>
              <w:bottom w:val="single" w:sz="4" w:space="0" w:color="auto"/>
              <w:right w:val="nil"/>
            </w:tcBorders>
            <w:shd w:val="clear" w:color="auto" w:fill="auto"/>
            <w:vAlign w:val="center"/>
          </w:tcPr>
          <w:p w14:paraId="6665E7D4" w14:textId="77777777"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(4)</w:t>
            </w:r>
          </w:p>
        </w:tc>
        <w:tc>
          <w:tcPr>
            <w:tcW w:w="992" w:type="dxa"/>
            <w:shd w:val="clear" w:color="auto" w:fill="auto"/>
            <w:noWrap/>
            <w:vAlign w:val="center"/>
            <w:hideMark/>
          </w:tcPr>
          <w:p w14:paraId="6E7BA26E" w14:textId="52B64FDB" w:rsidR="0087794B" w:rsidRPr="00843C47" w:rsidRDefault="0087794B" w:rsidP="0087794B">
            <w:pPr>
              <w:spacing w:before="60" w:after="60"/>
              <w:ind w:firstLine="0"/>
              <w:jc w:val="center"/>
              <w:rPr>
                <w:rFonts w:eastAsia="Calibri" w:cs="Times New Roman"/>
                <w:sz w:val="18"/>
                <w:szCs w:val="18"/>
                <w:highlight w:val="yellow"/>
                <w:lang w:eastAsia="en-US"/>
              </w:rPr>
            </w:pPr>
            <w:r>
              <w:rPr>
                <w:sz w:val="20"/>
                <w:szCs w:val="20"/>
              </w:rPr>
              <w:t>-1,2</w:t>
            </w:r>
          </w:p>
        </w:tc>
        <w:tc>
          <w:tcPr>
            <w:tcW w:w="718" w:type="dxa"/>
            <w:shd w:val="clear" w:color="auto" w:fill="DEEAF6"/>
            <w:noWrap/>
            <w:hideMark/>
          </w:tcPr>
          <w:p w14:paraId="18133DD0"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3537251D"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1F978721"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5073F163" w14:textId="77777777" w:rsidTr="00B813D0">
        <w:trPr>
          <w:trHeight w:val="20"/>
          <w:jc w:val="center"/>
        </w:trPr>
        <w:tc>
          <w:tcPr>
            <w:tcW w:w="4401" w:type="dxa"/>
            <w:shd w:val="clear" w:color="auto" w:fill="auto"/>
            <w:noWrap/>
            <w:vAlign w:val="bottom"/>
            <w:hideMark/>
          </w:tcPr>
          <w:p w14:paraId="766FC277" w14:textId="77777777"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noProof/>
                <w:color w:val="000000"/>
                <w:sz w:val="18"/>
                <w:szCs w:val="18"/>
              </w:rPr>
              <w:t>Bilances cikliskā komponente, % no IKP</w:t>
            </w:r>
          </w:p>
        </w:tc>
        <w:tc>
          <w:tcPr>
            <w:tcW w:w="1530" w:type="dxa"/>
            <w:tcBorders>
              <w:top w:val="nil"/>
              <w:left w:val="single" w:sz="4" w:space="0" w:color="auto"/>
              <w:bottom w:val="single" w:sz="4" w:space="0" w:color="auto"/>
              <w:right w:val="nil"/>
            </w:tcBorders>
            <w:shd w:val="clear" w:color="auto" w:fill="auto"/>
            <w:vAlign w:val="center"/>
          </w:tcPr>
          <w:p w14:paraId="38845008" w14:textId="77777777"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(5)=0,378*(4)</w:t>
            </w:r>
          </w:p>
        </w:tc>
        <w:tc>
          <w:tcPr>
            <w:tcW w:w="992" w:type="dxa"/>
            <w:shd w:val="clear" w:color="auto" w:fill="auto"/>
            <w:noWrap/>
            <w:vAlign w:val="center"/>
            <w:hideMark/>
          </w:tcPr>
          <w:p w14:paraId="46FF2609" w14:textId="3D4CD810"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-0,5</w:t>
            </w:r>
          </w:p>
        </w:tc>
        <w:tc>
          <w:tcPr>
            <w:tcW w:w="718" w:type="dxa"/>
            <w:shd w:val="clear" w:color="auto" w:fill="DEEAF6"/>
            <w:noWrap/>
            <w:hideMark/>
          </w:tcPr>
          <w:p w14:paraId="45630D06"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03F76C49"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4601DC79"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51D09B4D" w14:textId="77777777" w:rsidTr="00B813D0">
        <w:trPr>
          <w:trHeight w:val="20"/>
          <w:jc w:val="center"/>
        </w:trPr>
        <w:tc>
          <w:tcPr>
            <w:tcW w:w="4401" w:type="dxa"/>
            <w:shd w:val="clear" w:color="auto" w:fill="auto"/>
            <w:noWrap/>
            <w:vAlign w:val="bottom"/>
            <w:hideMark/>
          </w:tcPr>
          <w:p w14:paraId="0B003E3B" w14:textId="77777777" w:rsidR="0087794B" w:rsidRPr="00843C47" w:rsidRDefault="0087794B" w:rsidP="0087794B">
            <w:pPr>
              <w:spacing w:before="60" w:after="60"/>
              <w:ind w:firstLine="0"/>
              <w:jc w:val="left"/>
              <w:rPr>
                <w:rFonts w:eastAsia="Times New Roman" w:cs="Times New Roman"/>
                <w:noProof/>
                <w:color w:val="000000"/>
                <w:sz w:val="18"/>
                <w:szCs w:val="18"/>
              </w:rPr>
            </w:pPr>
            <w:r w:rsidRPr="00843C47">
              <w:rPr>
                <w:rFonts w:eastAsia="Times New Roman" w:cs="Times New Roman"/>
                <w:i/>
                <w:iCs/>
                <w:noProof/>
                <w:color w:val="000000"/>
                <w:sz w:val="18"/>
                <w:szCs w:val="18"/>
              </w:rPr>
              <w:t>One-off</w:t>
            </w:r>
            <w:r w:rsidRPr="00843C47">
              <w:rPr>
                <w:rFonts w:eastAsia="Times New Roman" w:cs="Times New Roman"/>
                <w:noProof/>
                <w:color w:val="000000"/>
                <w:sz w:val="18"/>
                <w:szCs w:val="18"/>
              </w:rPr>
              <w:t xml:space="preserve"> un citi īslaicīgie pasākumi, % no IKP, tai skaitā</w:t>
            </w:r>
          </w:p>
        </w:tc>
        <w:tc>
          <w:tcPr>
            <w:tcW w:w="1530" w:type="dxa"/>
            <w:tcBorders>
              <w:top w:val="nil"/>
              <w:left w:val="single" w:sz="4" w:space="0" w:color="auto"/>
              <w:bottom w:val="single" w:sz="4" w:space="0" w:color="auto"/>
              <w:right w:val="nil"/>
            </w:tcBorders>
            <w:shd w:val="clear" w:color="auto" w:fill="auto"/>
            <w:vAlign w:val="center"/>
          </w:tcPr>
          <w:p w14:paraId="23601A0D" w14:textId="77777777" w:rsidR="0087794B" w:rsidRPr="00843C47" w:rsidRDefault="0087794B" w:rsidP="0087794B">
            <w:pPr>
              <w:spacing w:before="60" w:after="60"/>
              <w:ind w:firstLine="0"/>
              <w:jc w:val="left"/>
              <w:rPr>
                <w:rFonts w:eastAsia="Calibri" w:cs="Times New Roman"/>
                <w:sz w:val="18"/>
                <w:szCs w:val="18"/>
                <w:lang w:eastAsia="en-US"/>
              </w:rPr>
            </w:pPr>
            <w:r w:rsidRPr="00843C47">
              <w:rPr>
                <w:color w:val="000000"/>
                <w:sz w:val="18"/>
                <w:szCs w:val="18"/>
              </w:rPr>
              <w:t>(6)</w:t>
            </w:r>
          </w:p>
        </w:tc>
        <w:tc>
          <w:tcPr>
            <w:tcW w:w="992" w:type="dxa"/>
            <w:shd w:val="clear" w:color="auto" w:fill="auto"/>
            <w:noWrap/>
            <w:vAlign w:val="center"/>
            <w:hideMark/>
          </w:tcPr>
          <w:p w14:paraId="38D43C8A" w14:textId="36A3C12E"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0</w:t>
            </w:r>
          </w:p>
        </w:tc>
        <w:tc>
          <w:tcPr>
            <w:tcW w:w="718" w:type="dxa"/>
            <w:shd w:val="clear" w:color="auto" w:fill="DEEAF6"/>
            <w:noWrap/>
            <w:hideMark/>
          </w:tcPr>
          <w:p w14:paraId="41234F7A"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02ACD0E4"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3AD67EF0"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6187AA03" w14:textId="77777777" w:rsidTr="00B813D0">
        <w:trPr>
          <w:trHeight w:val="20"/>
          <w:jc w:val="center"/>
        </w:trPr>
        <w:tc>
          <w:tcPr>
            <w:tcW w:w="4401" w:type="dxa"/>
            <w:shd w:val="clear" w:color="auto" w:fill="auto"/>
            <w:noWrap/>
            <w:vAlign w:val="bottom"/>
            <w:hideMark/>
          </w:tcPr>
          <w:p w14:paraId="4AE2A8D9" w14:textId="77777777" w:rsidR="0087794B" w:rsidRPr="0038459F" w:rsidRDefault="0087794B" w:rsidP="0087794B">
            <w:pPr>
              <w:spacing w:before="60" w:after="60"/>
              <w:ind w:firstLineChars="200" w:firstLine="360"/>
              <w:jc w:val="left"/>
              <w:rPr>
                <w:rFonts w:eastAsia="Times New Roman" w:cs="Times New Roman"/>
                <w:noProof/>
                <w:color w:val="000000"/>
                <w:sz w:val="18"/>
                <w:szCs w:val="18"/>
                <w:highlight w:val="lightGray"/>
              </w:rPr>
            </w:pPr>
            <w:r w:rsidRPr="00670F90">
              <w:rPr>
                <w:rFonts w:eastAsia="Times New Roman" w:cs="Times New Roman"/>
                <w:noProof/>
                <w:color w:val="000000"/>
                <w:sz w:val="18"/>
                <w:szCs w:val="18"/>
              </w:rPr>
              <w:t>Covid-19 pandēmijas mazināšanas pasākumi</w:t>
            </w:r>
          </w:p>
        </w:tc>
        <w:tc>
          <w:tcPr>
            <w:tcW w:w="1530" w:type="dxa"/>
            <w:tcBorders>
              <w:top w:val="nil"/>
              <w:left w:val="single" w:sz="4" w:space="0" w:color="auto"/>
              <w:bottom w:val="single" w:sz="4" w:space="0" w:color="auto"/>
              <w:right w:val="nil"/>
            </w:tcBorders>
            <w:shd w:val="clear" w:color="auto" w:fill="auto"/>
            <w:vAlign w:val="center"/>
          </w:tcPr>
          <w:p w14:paraId="7474586F" w14:textId="77777777" w:rsidR="0087794B" w:rsidRPr="00843C47" w:rsidRDefault="0087794B" w:rsidP="0087794B">
            <w:pPr>
              <w:spacing w:before="60" w:after="60"/>
              <w:ind w:firstLine="0"/>
              <w:jc w:val="left"/>
              <w:rPr>
                <w:rFonts w:eastAsia="Calibri" w:cs="Times New Roman"/>
                <w:sz w:val="18"/>
                <w:szCs w:val="18"/>
                <w:lang w:eastAsia="en-US"/>
              </w:rPr>
            </w:pPr>
          </w:p>
        </w:tc>
        <w:tc>
          <w:tcPr>
            <w:tcW w:w="992" w:type="dxa"/>
            <w:shd w:val="clear" w:color="auto" w:fill="auto"/>
            <w:noWrap/>
            <w:vAlign w:val="center"/>
            <w:hideMark/>
          </w:tcPr>
          <w:p w14:paraId="2E717EBB" w14:textId="2797C42B"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0</w:t>
            </w:r>
          </w:p>
        </w:tc>
        <w:tc>
          <w:tcPr>
            <w:tcW w:w="718" w:type="dxa"/>
            <w:shd w:val="clear" w:color="auto" w:fill="DEEAF6"/>
            <w:noWrap/>
            <w:hideMark/>
          </w:tcPr>
          <w:p w14:paraId="53178EB2"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49CA166F"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68CB7D02"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34C6756F" w14:textId="77777777" w:rsidTr="00B813D0">
        <w:trPr>
          <w:trHeight w:val="20"/>
          <w:jc w:val="center"/>
        </w:trPr>
        <w:tc>
          <w:tcPr>
            <w:tcW w:w="4401" w:type="dxa"/>
            <w:shd w:val="clear" w:color="auto" w:fill="auto"/>
            <w:noWrap/>
            <w:vAlign w:val="center"/>
            <w:hideMark/>
          </w:tcPr>
          <w:p w14:paraId="2C9231B2" w14:textId="77777777" w:rsidR="0087794B" w:rsidRPr="0038459F" w:rsidRDefault="0087794B" w:rsidP="0087794B">
            <w:pPr>
              <w:spacing w:before="60" w:after="60"/>
              <w:ind w:firstLineChars="200" w:firstLine="360"/>
              <w:jc w:val="left"/>
              <w:rPr>
                <w:rFonts w:eastAsia="Times New Roman" w:cs="Times New Roman"/>
                <w:color w:val="000000"/>
                <w:sz w:val="18"/>
                <w:szCs w:val="18"/>
                <w:highlight w:val="lightGray"/>
              </w:rPr>
            </w:pPr>
            <w:r>
              <w:rPr>
                <w:rFonts w:eastAsia="Times New Roman" w:cs="Times New Roman"/>
                <w:color w:val="000000"/>
                <w:sz w:val="18"/>
                <w:szCs w:val="18"/>
              </w:rPr>
              <w:t>e</w:t>
            </w:r>
            <w:r w:rsidRPr="00670F90">
              <w:rPr>
                <w:rFonts w:eastAsia="Times New Roman" w:cs="Times New Roman"/>
                <w:color w:val="000000"/>
                <w:sz w:val="18"/>
                <w:szCs w:val="18"/>
              </w:rPr>
              <w:t>nerģijas cenas pieauguma mazināšanas pasākumi</w:t>
            </w:r>
          </w:p>
        </w:tc>
        <w:tc>
          <w:tcPr>
            <w:tcW w:w="1530" w:type="dxa"/>
            <w:tcBorders>
              <w:top w:val="nil"/>
              <w:left w:val="single" w:sz="4" w:space="0" w:color="auto"/>
              <w:bottom w:val="single" w:sz="4" w:space="0" w:color="auto"/>
              <w:right w:val="nil"/>
            </w:tcBorders>
            <w:shd w:val="clear" w:color="auto" w:fill="auto"/>
            <w:vAlign w:val="center"/>
          </w:tcPr>
          <w:p w14:paraId="7F89561F" w14:textId="77777777" w:rsidR="0087794B" w:rsidRPr="00843C47" w:rsidRDefault="0087794B" w:rsidP="0087794B">
            <w:pPr>
              <w:spacing w:before="60" w:after="60"/>
              <w:ind w:firstLine="0"/>
              <w:jc w:val="left"/>
              <w:rPr>
                <w:rFonts w:eastAsia="Calibri" w:cs="Times New Roman"/>
                <w:sz w:val="18"/>
                <w:szCs w:val="18"/>
                <w:lang w:eastAsia="en-US"/>
              </w:rPr>
            </w:pPr>
          </w:p>
        </w:tc>
        <w:tc>
          <w:tcPr>
            <w:tcW w:w="992" w:type="dxa"/>
            <w:shd w:val="clear" w:color="auto" w:fill="auto"/>
            <w:noWrap/>
            <w:vAlign w:val="center"/>
            <w:hideMark/>
          </w:tcPr>
          <w:p w14:paraId="52B9E902" w14:textId="28FDA79F" w:rsidR="0087794B" w:rsidRPr="00843C47" w:rsidRDefault="0087794B" w:rsidP="0087794B">
            <w:pPr>
              <w:spacing w:before="60" w:after="60"/>
              <w:ind w:firstLine="0"/>
              <w:jc w:val="center"/>
              <w:rPr>
                <w:rFonts w:eastAsia="Times New Roman" w:cs="Times New Roman"/>
                <w:color w:val="000000"/>
                <w:sz w:val="18"/>
                <w:szCs w:val="18"/>
                <w:highlight w:val="yellow"/>
              </w:rPr>
            </w:pPr>
            <w:r>
              <w:rPr>
                <w:sz w:val="20"/>
                <w:szCs w:val="20"/>
              </w:rPr>
              <w:t>0</w:t>
            </w:r>
          </w:p>
        </w:tc>
        <w:tc>
          <w:tcPr>
            <w:tcW w:w="718" w:type="dxa"/>
            <w:shd w:val="clear" w:color="auto" w:fill="DEEAF6"/>
            <w:noWrap/>
            <w:hideMark/>
          </w:tcPr>
          <w:p w14:paraId="412CD468"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hideMark/>
          </w:tcPr>
          <w:p w14:paraId="6FDD7C16"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hideMark/>
          </w:tcPr>
          <w:p w14:paraId="1EEE3DD2"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6D5689D8" w14:textId="77777777" w:rsidTr="00B813D0">
        <w:trPr>
          <w:trHeight w:val="20"/>
          <w:jc w:val="center"/>
        </w:trPr>
        <w:tc>
          <w:tcPr>
            <w:tcW w:w="4401" w:type="dxa"/>
            <w:shd w:val="clear" w:color="auto" w:fill="auto"/>
            <w:noWrap/>
            <w:vAlign w:val="center"/>
          </w:tcPr>
          <w:p w14:paraId="3C93FC7D" w14:textId="77777777" w:rsidR="0087794B" w:rsidRPr="00843C47" w:rsidRDefault="0087794B" w:rsidP="0087794B">
            <w:pPr>
              <w:spacing w:after="0"/>
              <w:ind w:firstLineChars="200" w:firstLine="360"/>
              <w:jc w:val="left"/>
              <w:rPr>
                <w:rFonts w:eastAsia="Times New Roman" w:cs="Times New Roman"/>
                <w:color w:val="000000"/>
                <w:sz w:val="18"/>
                <w:szCs w:val="18"/>
              </w:rPr>
            </w:pPr>
            <w:r w:rsidRPr="00255D47">
              <w:rPr>
                <w:rFonts w:eastAsia="Times New Roman" w:cs="Times New Roman"/>
                <w:color w:val="000000"/>
                <w:sz w:val="18"/>
                <w:szCs w:val="18"/>
              </w:rPr>
              <w:t>aizsardzības un iekšējās drošības finansējums</w:t>
            </w:r>
          </w:p>
        </w:tc>
        <w:tc>
          <w:tcPr>
            <w:tcW w:w="1530" w:type="dxa"/>
            <w:tcBorders>
              <w:top w:val="single" w:sz="4" w:space="0" w:color="auto"/>
              <w:left w:val="single" w:sz="4" w:space="0" w:color="auto"/>
              <w:bottom w:val="single" w:sz="4" w:space="0" w:color="auto"/>
              <w:right w:val="nil"/>
            </w:tcBorders>
            <w:shd w:val="clear" w:color="auto" w:fill="auto"/>
            <w:vAlign w:val="center"/>
          </w:tcPr>
          <w:p w14:paraId="144A2719" w14:textId="77777777" w:rsidR="0087794B" w:rsidRPr="00843C47" w:rsidRDefault="0087794B" w:rsidP="0087794B">
            <w:pPr>
              <w:spacing w:before="60" w:after="60"/>
              <w:ind w:firstLine="0"/>
              <w:jc w:val="left"/>
              <w:rPr>
                <w:rFonts w:eastAsia="Calibri" w:cs="Times New Roman"/>
                <w:sz w:val="18"/>
                <w:szCs w:val="18"/>
                <w:lang w:eastAsia="en-US"/>
              </w:rPr>
            </w:pPr>
          </w:p>
        </w:tc>
        <w:tc>
          <w:tcPr>
            <w:tcW w:w="992" w:type="dxa"/>
            <w:shd w:val="clear" w:color="auto" w:fill="auto"/>
            <w:noWrap/>
            <w:vAlign w:val="center"/>
          </w:tcPr>
          <w:p w14:paraId="7BCA9BD5" w14:textId="755B8054" w:rsidR="0087794B" w:rsidRPr="00843C47" w:rsidRDefault="0087794B" w:rsidP="0087794B">
            <w:pPr>
              <w:spacing w:before="60" w:after="60"/>
              <w:ind w:firstLine="0"/>
              <w:jc w:val="center"/>
              <w:rPr>
                <w:rFonts w:eastAsia="Calibri" w:cs="Times New Roman"/>
                <w:sz w:val="18"/>
                <w:szCs w:val="18"/>
                <w:highlight w:val="yellow"/>
                <w:lang w:eastAsia="en-US"/>
              </w:rPr>
            </w:pPr>
            <w:r>
              <w:rPr>
                <w:sz w:val="20"/>
                <w:szCs w:val="20"/>
              </w:rPr>
              <w:t>0</w:t>
            </w:r>
          </w:p>
        </w:tc>
        <w:tc>
          <w:tcPr>
            <w:tcW w:w="718" w:type="dxa"/>
            <w:shd w:val="clear" w:color="auto" w:fill="DEEAF6"/>
            <w:noWrap/>
          </w:tcPr>
          <w:p w14:paraId="26C92B99"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tcPr>
          <w:p w14:paraId="0E9A51BF"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tcPr>
          <w:p w14:paraId="513EB299"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16FE0433" w14:textId="77777777" w:rsidTr="00B813D0">
        <w:trPr>
          <w:trHeight w:val="20"/>
          <w:jc w:val="center"/>
        </w:trPr>
        <w:tc>
          <w:tcPr>
            <w:tcW w:w="4401" w:type="dxa"/>
            <w:shd w:val="clear" w:color="auto" w:fill="auto"/>
            <w:noWrap/>
            <w:vAlign w:val="center"/>
          </w:tcPr>
          <w:p w14:paraId="2BF323BF" w14:textId="77777777" w:rsidR="0087794B" w:rsidRPr="00843C47" w:rsidRDefault="0087794B" w:rsidP="0087794B">
            <w:pPr>
              <w:spacing w:after="0"/>
              <w:ind w:firstLineChars="200" w:firstLine="360"/>
              <w:jc w:val="left"/>
              <w:rPr>
                <w:rFonts w:eastAsia="Times New Roman" w:cs="Times New Roman"/>
                <w:color w:val="000000"/>
                <w:sz w:val="18"/>
                <w:szCs w:val="18"/>
              </w:rPr>
            </w:pPr>
            <w:r w:rsidRPr="00255D47">
              <w:rPr>
                <w:rFonts w:eastAsia="Times New Roman" w:cs="Times New Roman"/>
                <w:color w:val="000000"/>
                <w:sz w:val="18"/>
                <w:szCs w:val="18"/>
              </w:rPr>
              <w:t>atbalsts bēgļiem no Ukrainas</w:t>
            </w:r>
          </w:p>
        </w:tc>
        <w:tc>
          <w:tcPr>
            <w:tcW w:w="1530" w:type="dxa"/>
            <w:tcBorders>
              <w:top w:val="single" w:sz="4" w:space="0" w:color="auto"/>
              <w:left w:val="single" w:sz="4" w:space="0" w:color="auto"/>
              <w:bottom w:val="single" w:sz="4" w:space="0" w:color="auto"/>
              <w:right w:val="nil"/>
            </w:tcBorders>
            <w:shd w:val="clear" w:color="auto" w:fill="auto"/>
            <w:vAlign w:val="center"/>
          </w:tcPr>
          <w:p w14:paraId="29AF2F07" w14:textId="77777777" w:rsidR="0087794B" w:rsidRPr="00843C47" w:rsidRDefault="0087794B" w:rsidP="0087794B">
            <w:pPr>
              <w:spacing w:before="60" w:after="60"/>
              <w:ind w:firstLine="0"/>
              <w:jc w:val="left"/>
              <w:rPr>
                <w:color w:val="000000"/>
                <w:sz w:val="18"/>
                <w:szCs w:val="18"/>
              </w:rPr>
            </w:pPr>
          </w:p>
        </w:tc>
        <w:tc>
          <w:tcPr>
            <w:tcW w:w="992" w:type="dxa"/>
            <w:shd w:val="clear" w:color="auto" w:fill="auto"/>
            <w:noWrap/>
            <w:vAlign w:val="center"/>
          </w:tcPr>
          <w:p w14:paraId="40ABF4D0" w14:textId="52572015" w:rsidR="0087794B" w:rsidRPr="00843C47" w:rsidRDefault="0087794B" w:rsidP="0087794B">
            <w:pPr>
              <w:spacing w:before="60" w:after="60"/>
              <w:ind w:firstLine="0"/>
              <w:jc w:val="center"/>
              <w:rPr>
                <w:rFonts w:eastAsia="Calibri" w:cs="Times New Roman"/>
                <w:sz w:val="18"/>
                <w:szCs w:val="18"/>
                <w:highlight w:val="yellow"/>
                <w:lang w:eastAsia="en-US"/>
              </w:rPr>
            </w:pPr>
            <w:r>
              <w:rPr>
                <w:sz w:val="20"/>
                <w:szCs w:val="20"/>
              </w:rPr>
              <w:t>0</w:t>
            </w:r>
          </w:p>
        </w:tc>
        <w:tc>
          <w:tcPr>
            <w:tcW w:w="718" w:type="dxa"/>
            <w:shd w:val="clear" w:color="auto" w:fill="DEEAF6"/>
            <w:noWrap/>
          </w:tcPr>
          <w:p w14:paraId="1FDB9E2A"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tcPr>
          <w:p w14:paraId="474F797D"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tcPr>
          <w:p w14:paraId="4EF48E25"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2D9D4409" w14:textId="77777777" w:rsidTr="00B813D0">
        <w:trPr>
          <w:trHeight w:val="20"/>
          <w:jc w:val="center"/>
        </w:trPr>
        <w:tc>
          <w:tcPr>
            <w:tcW w:w="4401" w:type="dxa"/>
            <w:shd w:val="clear" w:color="auto" w:fill="auto"/>
            <w:noWrap/>
            <w:vAlign w:val="center"/>
          </w:tcPr>
          <w:p w14:paraId="29F3DB71" w14:textId="77777777" w:rsidR="0087794B" w:rsidRPr="0038459F" w:rsidRDefault="0087794B" w:rsidP="0087794B">
            <w:pPr>
              <w:spacing w:before="60" w:after="60"/>
              <w:ind w:firstLineChars="200" w:firstLine="360"/>
              <w:jc w:val="left"/>
              <w:rPr>
                <w:rFonts w:eastAsia="Times New Roman" w:cs="Times New Roman"/>
                <w:color w:val="000000"/>
                <w:sz w:val="18"/>
                <w:szCs w:val="18"/>
                <w:highlight w:val="lightGray"/>
              </w:rPr>
            </w:pPr>
            <w:r w:rsidRPr="00255D47">
              <w:rPr>
                <w:rFonts w:eastAsia="Times New Roman" w:cs="Times New Roman"/>
                <w:color w:val="000000"/>
                <w:sz w:val="18"/>
                <w:szCs w:val="18"/>
              </w:rPr>
              <w:t>vienreizējie izdevumi valsts aizsardzībai un iekšējai drošībai</w:t>
            </w:r>
          </w:p>
        </w:tc>
        <w:tc>
          <w:tcPr>
            <w:tcW w:w="1530" w:type="dxa"/>
            <w:tcBorders>
              <w:top w:val="single" w:sz="4" w:space="0" w:color="auto"/>
              <w:left w:val="single" w:sz="4" w:space="0" w:color="auto"/>
              <w:bottom w:val="single" w:sz="8" w:space="0" w:color="auto"/>
              <w:right w:val="nil"/>
            </w:tcBorders>
            <w:shd w:val="clear" w:color="auto" w:fill="auto"/>
            <w:vAlign w:val="center"/>
          </w:tcPr>
          <w:p w14:paraId="0B363966" w14:textId="77777777" w:rsidR="0087794B" w:rsidRPr="00843C47" w:rsidRDefault="0087794B" w:rsidP="0087794B">
            <w:pPr>
              <w:spacing w:before="60" w:after="60"/>
              <w:ind w:firstLine="0"/>
              <w:jc w:val="left"/>
              <w:rPr>
                <w:color w:val="000000"/>
                <w:sz w:val="18"/>
                <w:szCs w:val="18"/>
              </w:rPr>
            </w:pPr>
          </w:p>
        </w:tc>
        <w:tc>
          <w:tcPr>
            <w:tcW w:w="992" w:type="dxa"/>
            <w:shd w:val="clear" w:color="auto" w:fill="auto"/>
            <w:noWrap/>
            <w:vAlign w:val="center"/>
          </w:tcPr>
          <w:p w14:paraId="3A44AC23" w14:textId="7376B259" w:rsidR="0087794B" w:rsidRPr="00843C47" w:rsidRDefault="0087794B" w:rsidP="0087794B">
            <w:pPr>
              <w:spacing w:before="60" w:after="60"/>
              <w:ind w:firstLine="0"/>
              <w:jc w:val="center"/>
              <w:rPr>
                <w:rFonts w:eastAsia="Calibri" w:cs="Times New Roman"/>
                <w:sz w:val="18"/>
                <w:szCs w:val="18"/>
                <w:highlight w:val="yellow"/>
                <w:lang w:eastAsia="en-US"/>
              </w:rPr>
            </w:pPr>
            <w:r>
              <w:rPr>
                <w:sz w:val="20"/>
                <w:szCs w:val="20"/>
              </w:rPr>
              <w:t>0</w:t>
            </w:r>
          </w:p>
        </w:tc>
        <w:tc>
          <w:tcPr>
            <w:tcW w:w="718" w:type="dxa"/>
            <w:shd w:val="clear" w:color="auto" w:fill="DEEAF6"/>
            <w:noWrap/>
          </w:tcPr>
          <w:p w14:paraId="778C8963"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76" w:type="dxa"/>
            <w:shd w:val="clear" w:color="auto" w:fill="DEEAF6"/>
            <w:noWrap/>
          </w:tcPr>
          <w:p w14:paraId="657F9086"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c>
          <w:tcPr>
            <w:tcW w:w="586" w:type="dxa"/>
            <w:shd w:val="clear" w:color="auto" w:fill="DEEAF6"/>
            <w:noWrap/>
          </w:tcPr>
          <w:p w14:paraId="69D864BB" w14:textId="77777777" w:rsidR="0087794B" w:rsidRPr="0038459F" w:rsidRDefault="0087794B" w:rsidP="0087794B">
            <w:pPr>
              <w:spacing w:after="0"/>
              <w:ind w:firstLine="0"/>
              <w:jc w:val="center"/>
              <w:rPr>
                <w:rFonts w:eastAsia="Times New Roman" w:cs="Times New Roman"/>
                <w:b/>
                <w:color w:val="000000"/>
                <w:sz w:val="20"/>
                <w:szCs w:val="20"/>
                <w:highlight w:val="lightGray"/>
              </w:rPr>
            </w:pPr>
          </w:p>
        </w:tc>
      </w:tr>
      <w:tr w:rsidR="0087794B" w:rsidRPr="0038459F" w14:paraId="53F07F85" w14:textId="77777777" w:rsidTr="00273357">
        <w:trPr>
          <w:trHeight w:val="20"/>
          <w:jc w:val="center"/>
        </w:trPr>
        <w:tc>
          <w:tcPr>
            <w:tcW w:w="4401" w:type="dxa"/>
            <w:shd w:val="clear" w:color="auto" w:fill="BDD6EE" w:themeFill="accent1" w:themeFillTint="66"/>
            <w:noWrap/>
            <w:vAlign w:val="bottom"/>
            <w:hideMark/>
          </w:tcPr>
          <w:p w14:paraId="0547C88B" w14:textId="77777777" w:rsidR="0087794B" w:rsidRPr="0038459F" w:rsidRDefault="0087794B" w:rsidP="0087794B">
            <w:pPr>
              <w:spacing w:before="60" w:after="60"/>
              <w:ind w:firstLine="0"/>
              <w:jc w:val="left"/>
              <w:rPr>
                <w:rFonts w:eastAsia="Times New Roman" w:cs="Times New Roman"/>
                <w:b/>
                <w:bCs/>
                <w:color w:val="000000"/>
                <w:sz w:val="18"/>
                <w:szCs w:val="18"/>
                <w:highlight w:val="lightGray"/>
              </w:rPr>
            </w:pPr>
            <w:r w:rsidRPr="00843C47">
              <w:rPr>
                <w:rFonts w:eastAsia="Times New Roman" w:cs="Times New Roman"/>
                <w:b/>
                <w:bCs/>
                <w:color w:val="000000"/>
                <w:sz w:val="18"/>
                <w:szCs w:val="18"/>
              </w:rPr>
              <w:t>Vispārējās valdības strukturālās bilances prognoze un mērķi, % no IKP</w:t>
            </w:r>
          </w:p>
        </w:tc>
        <w:tc>
          <w:tcPr>
            <w:tcW w:w="1530" w:type="dxa"/>
            <w:tcBorders>
              <w:top w:val="single" w:sz="8" w:space="0" w:color="auto"/>
              <w:left w:val="single" w:sz="4" w:space="0" w:color="auto"/>
              <w:bottom w:val="single" w:sz="4" w:space="0" w:color="auto"/>
              <w:right w:val="nil"/>
            </w:tcBorders>
            <w:shd w:val="clear" w:color="auto" w:fill="BDD6EE" w:themeFill="accent1" w:themeFillTint="66"/>
            <w:vAlign w:val="center"/>
          </w:tcPr>
          <w:p w14:paraId="2DE5239C" w14:textId="1F31BF55" w:rsidR="0087794B" w:rsidRPr="00843C47" w:rsidRDefault="0087794B" w:rsidP="0087794B">
            <w:pPr>
              <w:spacing w:before="60" w:after="60"/>
              <w:ind w:firstLine="0"/>
              <w:jc w:val="left"/>
              <w:rPr>
                <w:rFonts w:eastAsia="Calibri" w:cs="Times New Roman"/>
                <w:b/>
                <w:bCs/>
                <w:sz w:val="18"/>
                <w:szCs w:val="18"/>
                <w:lang w:eastAsia="en-US"/>
              </w:rPr>
            </w:pPr>
            <w:r w:rsidRPr="00843C47">
              <w:rPr>
                <w:b/>
                <w:bCs/>
                <w:color w:val="000000"/>
                <w:sz w:val="18"/>
                <w:szCs w:val="18"/>
              </w:rPr>
              <w:t>(</w:t>
            </w:r>
            <w:r w:rsidRPr="00273357">
              <w:rPr>
                <w:b/>
                <w:bCs/>
                <w:color w:val="000000"/>
                <w:sz w:val="18"/>
                <w:szCs w:val="18"/>
                <w:shd w:val="clear" w:color="auto" w:fill="BDD6EE" w:themeFill="accent1" w:themeFillTint="66"/>
              </w:rPr>
              <w:t>7)=(3)-(5)</w:t>
            </w:r>
          </w:p>
        </w:tc>
        <w:tc>
          <w:tcPr>
            <w:tcW w:w="992" w:type="dxa"/>
            <w:shd w:val="clear" w:color="auto" w:fill="BDD6EE"/>
            <w:noWrap/>
            <w:vAlign w:val="center"/>
            <w:hideMark/>
          </w:tcPr>
          <w:p w14:paraId="2796CC6C" w14:textId="2BA4EFAD" w:rsidR="0087794B" w:rsidRPr="00843C47" w:rsidRDefault="0087794B" w:rsidP="0087794B">
            <w:pPr>
              <w:spacing w:before="60" w:after="60"/>
              <w:ind w:firstLine="0"/>
              <w:jc w:val="center"/>
              <w:rPr>
                <w:rFonts w:eastAsia="Times New Roman" w:cs="Times New Roman"/>
                <w:b/>
                <w:bCs/>
                <w:color w:val="000000"/>
                <w:sz w:val="18"/>
                <w:szCs w:val="18"/>
                <w:highlight w:val="yellow"/>
              </w:rPr>
            </w:pPr>
            <w:r>
              <w:rPr>
                <w:b/>
                <w:bCs/>
                <w:sz w:val="20"/>
                <w:szCs w:val="20"/>
              </w:rPr>
              <w:t>-2,2</w:t>
            </w:r>
          </w:p>
        </w:tc>
        <w:tc>
          <w:tcPr>
            <w:tcW w:w="718" w:type="dxa"/>
            <w:shd w:val="clear" w:color="auto" w:fill="BDD6EE"/>
            <w:noWrap/>
            <w:vAlign w:val="center"/>
            <w:hideMark/>
          </w:tcPr>
          <w:p w14:paraId="5F2D0201" w14:textId="1E5D8FAD" w:rsidR="0087794B" w:rsidRPr="00D76795" w:rsidRDefault="0087794B" w:rsidP="0087794B">
            <w:pPr>
              <w:spacing w:before="60" w:after="60"/>
              <w:ind w:firstLine="0"/>
              <w:jc w:val="center"/>
              <w:rPr>
                <w:rFonts w:eastAsia="Times New Roman" w:cs="Times New Roman"/>
                <w:b/>
                <w:bCs/>
                <w:color w:val="000000"/>
                <w:sz w:val="18"/>
                <w:szCs w:val="18"/>
                <w:highlight w:val="yellow"/>
              </w:rPr>
            </w:pPr>
            <w:r>
              <w:rPr>
                <w:b/>
                <w:bCs/>
                <w:sz w:val="20"/>
                <w:szCs w:val="20"/>
              </w:rPr>
              <w:t>-1,7</w:t>
            </w:r>
          </w:p>
        </w:tc>
        <w:tc>
          <w:tcPr>
            <w:tcW w:w="576" w:type="dxa"/>
            <w:shd w:val="clear" w:color="auto" w:fill="BDD6EE"/>
            <w:noWrap/>
            <w:vAlign w:val="center"/>
            <w:hideMark/>
          </w:tcPr>
          <w:p w14:paraId="54191AF6" w14:textId="065DAB01" w:rsidR="0087794B" w:rsidRPr="00D76795" w:rsidRDefault="0087794B" w:rsidP="0087794B">
            <w:pPr>
              <w:spacing w:before="60" w:after="60"/>
              <w:ind w:firstLine="0"/>
              <w:jc w:val="center"/>
              <w:rPr>
                <w:rFonts w:eastAsia="Times New Roman" w:cs="Times New Roman"/>
                <w:b/>
                <w:bCs/>
                <w:color w:val="000000"/>
                <w:sz w:val="18"/>
                <w:szCs w:val="18"/>
                <w:highlight w:val="yellow"/>
              </w:rPr>
            </w:pPr>
            <w:r>
              <w:rPr>
                <w:b/>
                <w:bCs/>
                <w:sz w:val="20"/>
                <w:szCs w:val="20"/>
              </w:rPr>
              <w:t>-1,2</w:t>
            </w:r>
          </w:p>
        </w:tc>
        <w:tc>
          <w:tcPr>
            <w:tcW w:w="586" w:type="dxa"/>
            <w:shd w:val="clear" w:color="auto" w:fill="BDD6EE"/>
            <w:noWrap/>
            <w:vAlign w:val="center"/>
            <w:hideMark/>
          </w:tcPr>
          <w:p w14:paraId="622C2E13" w14:textId="13E9357F" w:rsidR="0087794B" w:rsidRPr="00D76795" w:rsidRDefault="0087794B" w:rsidP="0087794B">
            <w:pPr>
              <w:spacing w:before="60" w:after="60"/>
              <w:ind w:firstLine="0"/>
              <w:jc w:val="center"/>
              <w:rPr>
                <w:rFonts w:eastAsia="Times New Roman" w:cs="Times New Roman"/>
                <w:b/>
                <w:bCs/>
                <w:color w:val="000000"/>
                <w:sz w:val="18"/>
                <w:szCs w:val="18"/>
                <w:highlight w:val="yellow"/>
              </w:rPr>
            </w:pPr>
            <w:r>
              <w:rPr>
                <w:b/>
                <w:bCs/>
                <w:sz w:val="20"/>
                <w:szCs w:val="20"/>
              </w:rPr>
              <w:t>-0,7</w:t>
            </w:r>
          </w:p>
        </w:tc>
      </w:tr>
    </w:tbl>
    <w:p w14:paraId="0F329D43" w14:textId="5A8E00CA" w:rsidR="00071293" w:rsidRPr="00843C47" w:rsidRDefault="00071293" w:rsidP="006F1373">
      <w:pPr>
        <w:pStyle w:val="H5"/>
      </w:pPr>
      <w:r w:rsidRPr="00843C47">
        <w:t>Fiskālās telpas aprēķins</w:t>
      </w:r>
    </w:p>
    <w:p w14:paraId="3ABF47C8" w14:textId="7490531D" w:rsidR="001C278C" w:rsidRPr="00843C47" w:rsidRDefault="001C278C" w:rsidP="001C278C">
      <w:pPr>
        <w:rPr>
          <w:szCs w:val="20"/>
        </w:rPr>
      </w:pPr>
      <w:r w:rsidRPr="00843C47">
        <w:rPr>
          <w:szCs w:val="20"/>
        </w:rPr>
        <w:t>Ņemot vērā iepriekš definētos fiskālos nosacījumus un strukturālās bilances mērķus</w:t>
      </w:r>
      <w:r w:rsidR="004E29CC">
        <w:rPr>
          <w:szCs w:val="20"/>
        </w:rPr>
        <w:t xml:space="preserve"> saskaņā ar nacionālo metodoloģiju</w:t>
      </w:r>
      <w:r w:rsidRPr="00843C47">
        <w:rPr>
          <w:szCs w:val="20"/>
        </w:rPr>
        <w:t>, tik</w:t>
      </w:r>
      <w:r w:rsidR="00DD0CA7">
        <w:rPr>
          <w:szCs w:val="20"/>
        </w:rPr>
        <w:t>a</w:t>
      </w:r>
      <w:r w:rsidRPr="00843C47">
        <w:rPr>
          <w:szCs w:val="20"/>
        </w:rPr>
        <w:t xml:space="preserve"> noteikta fiskālā telpa 202</w:t>
      </w:r>
      <w:r w:rsidR="00843C47">
        <w:rPr>
          <w:szCs w:val="20"/>
        </w:rPr>
        <w:t>4</w:t>
      </w:r>
      <w:r w:rsidRPr="00843C47">
        <w:rPr>
          <w:szCs w:val="20"/>
        </w:rPr>
        <w:t>. gadam un turpmākajiem gadiem</w:t>
      </w:r>
      <w:r w:rsidR="006634E0">
        <w:rPr>
          <w:szCs w:val="20"/>
        </w:rPr>
        <w:t xml:space="preserve">  (skat. 2.4. tabulu)</w:t>
      </w:r>
      <w:r w:rsidRPr="00843C47">
        <w:rPr>
          <w:szCs w:val="20"/>
        </w:rPr>
        <w:t>.</w:t>
      </w:r>
    </w:p>
    <w:p w14:paraId="5731A955" w14:textId="46216A84" w:rsidR="001C278C" w:rsidRPr="006634E0" w:rsidRDefault="00D64F4A" w:rsidP="003C02EC">
      <w:pPr>
        <w:widowControl w:val="0"/>
        <w:ind w:firstLine="0"/>
        <w:jc w:val="right"/>
        <w:rPr>
          <w:rFonts w:eastAsia="Times New Roman" w:cs="Times New Roman"/>
          <w:b/>
          <w:i/>
          <w:iCs/>
          <w:szCs w:val="24"/>
        </w:rPr>
      </w:pPr>
      <w:r w:rsidRPr="006634E0">
        <w:rPr>
          <w:rFonts w:eastAsia="Times New Roman" w:cs="Times New Roman"/>
          <w:b/>
          <w:i/>
          <w:iCs/>
          <w:szCs w:val="24"/>
        </w:rPr>
        <w:t>2</w:t>
      </w:r>
      <w:r w:rsidR="00B322CB" w:rsidRPr="006634E0">
        <w:rPr>
          <w:rFonts w:eastAsia="Times New Roman" w:cs="Times New Roman"/>
          <w:b/>
          <w:i/>
          <w:iCs/>
          <w:szCs w:val="24"/>
        </w:rPr>
        <w:t>.</w:t>
      </w:r>
      <w:r w:rsidR="00273357" w:rsidRPr="006634E0">
        <w:rPr>
          <w:rFonts w:eastAsia="Times New Roman" w:cs="Times New Roman"/>
          <w:b/>
          <w:i/>
          <w:iCs/>
          <w:szCs w:val="24"/>
        </w:rPr>
        <w:t>4</w:t>
      </w:r>
      <w:r w:rsidR="001C278C" w:rsidRPr="006634E0">
        <w:rPr>
          <w:rFonts w:eastAsia="Times New Roman" w:cs="Times New Roman"/>
          <w:b/>
          <w:i/>
          <w:iCs/>
          <w:szCs w:val="24"/>
        </w:rPr>
        <w:t>. tabula. Fiskālā telpa</w:t>
      </w:r>
    </w:p>
    <w:tbl>
      <w:tblPr>
        <w:tblW w:w="8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477"/>
        <w:gridCol w:w="936"/>
        <w:gridCol w:w="877"/>
        <w:gridCol w:w="876"/>
      </w:tblGrid>
      <w:tr w:rsidR="00DD0CA7" w:rsidRPr="0038459F" w14:paraId="0069128B" w14:textId="77777777" w:rsidTr="00DD0CA7">
        <w:trPr>
          <w:trHeight w:val="323"/>
          <w:tblHeader/>
          <w:jc w:val="center"/>
        </w:trPr>
        <w:tc>
          <w:tcPr>
            <w:tcW w:w="4673" w:type="dxa"/>
            <w:shd w:val="clear" w:color="auto" w:fill="BDD6EE" w:themeFill="accent1" w:themeFillTint="66"/>
            <w:vAlign w:val="bottom"/>
            <w:hideMark/>
          </w:tcPr>
          <w:p w14:paraId="273A0E60" w14:textId="77777777" w:rsidR="00DD0CA7" w:rsidRPr="0038459F" w:rsidRDefault="00DD0CA7" w:rsidP="003B3D5E">
            <w:pPr>
              <w:spacing w:before="60" w:after="60"/>
              <w:ind w:firstLine="0"/>
              <w:jc w:val="left"/>
              <w:rPr>
                <w:rFonts w:eastAsia="Times New Roman" w:cs="Times New Roman"/>
                <w:color w:val="000000"/>
                <w:sz w:val="18"/>
                <w:szCs w:val="18"/>
                <w:highlight w:val="lightGray"/>
              </w:rPr>
            </w:pPr>
            <w:r w:rsidRPr="0038459F">
              <w:rPr>
                <w:rFonts w:eastAsia="Times New Roman" w:cs="Times New Roman"/>
                <w:color w:val="000000"/>
                <w:sz w:val="18"/>
                <w:szCs w:val="18"/>
                <w:highlight w:val="lightGray"/>
              </w:rPr>
              <w:t> </w:t>
            </w:r>
          </w:p>
        </w:tc>
        <w:tc>
          <w:tcPr>
            <w:tcW w:w="1477" w:type="dxa"/>
            <w:shd w:val="clear" w:color="auto" w:fill="BDD6EE" w:themeFill="accent1" w:themeFillTint="66"/>
          </w:tcPr>
          <w:p w14:paraId="1B94D0FB" w14:textId="77777777" w:rsidR="00DD0CA7" w:rsidRPr="0038459F" w:rsidRDefault="00DD0CA7" w:rsidP="003B3D5E">
            <w:pPr>
              <w:spacing w:before="60" w:after="60"/>
              <w:ind w:firstLine="0"/>
              <w:jc w:val="center"/>
              <w:rPr>
                <w:rFonts w:eastAsia="Times New Roman" w:cs="Times New Roman"/>
                <w:b/>
                <w:bCs/>
                <w:color w:val="000000"/>
                <w:sz w:val="18"/>
                <w:szCs w:val="18"/>
                <w:highlight w:val="lightGray"/>
              </w:rPr>
            </w:pPr>
          </w:p>
        </w:tc>
        <w:tc>
          <w:tcPr>
            <w:tcW w:w="936" w:type="dxa"/>
            <w:shd w:val="clear" w:color="auto" w:fill="BDD6EE" w:themeFill="accent1" w:themeFillTint="66"/>
            <w:noWrap/>
            <w:vAlign w:val="bottom"/>
            <w:hideMark/>
          </w:tcPr>
          <w:p w14:paraId="7946534F" w14:textId="06057CE3" w:rsidR="00DD0CA7" w:rsidRPr="00B46249" w:rsidRDefault="00DD0CA7" w:rsidP="003B3D5E">
            <w:pPr>
              <w:spacing w:before="60" w:after="60"/>
              <w:ind w:firstLine="0"/>
              <w:jc w:val="center"/>
              <w:rPr>
                <w:rFonts w:eastAsia="Times New Roman" w:cs="Times New Roman"/>
                <w:b/>
                <w:bCs/>
                <w:color w:val="000000"/>
                <w:sz w:val="18"/>
                <w:szCs w:val="18"/>
              </w:rPr>
            </w:pPr>
            <w:r w:rsidRPr="00B46249">
              <w:rPr>
                <w:rFonts w:eastAsia="Times New Roman" w:cs="Times New Roman"/>
                <w:b/>
                <w:bCs/>
                <w:color w:val="000000"/>
                <w:sz w:val="18"/>
                <w:szCs w:val="18"/>
              </w:rPr>
              <w:t>2024</w:t>
            </w:r>
          </w:p>
        </w:tc>
        <w:tc>
          <w:tcPr>
            <w:tcW w:w="877" w:type="dxa"/>
            <w:shd w:val="clear" w:color="auto" w:fill="BDD6EE" w:themeFill="accent1" w:themeFillTint="66"/>
            <w:noWrap/>
            <w:vAlign w:val="bottom"/>
            <w:hideMark/>
          </w:tcPr>
          <w:p w14:paraId="19F7071F" w14:textId="2FFA104A" w:rsidR="00DD0CA7" w:rsidRPr="00B46249" w:rsidRDefault="00DD0CA7" w:rsidP="003B3D5E">
            <w:pPr>
              <w:spacing w:before="60" w:after="60"/>
              <w:ind w:firstLine="0"/>
              <w:jc w:val="center"/>
              <w:rPr>
                <w:rFonts w:eastAsia="Times New Roman" w:cs="Times New Roman"/>
                <w:b/>
                <w:bCs/>
                <w:color w:val="000000"/>
                <w:sz w:val="18"/>
                <w:szCs w:val="18"/>
              </w:rPr>
            </w:pPr>
            <w:r w:rsidRPr="00B46249">
              <w:rPr>
                <w:rFonts w:eastAsia="Times New Roman" w:cs="Times New Roman"/>
                <w:b/>
                <w:bCs/>
                <w:color w:val="000000"/>
                <w:sz w:val="18"/>
                <w:szCs w:val="18"/>
              </w:rPr>
              <w:t>2025</w:t>
            </w:r>
          </w:p>
        </w:tc>
        <w:tc>
          <w:tcPr>
            <w:tcW w:w="876" w:type="dxa"/>
            <w:shd w:val="clear" w:color="auto" w:fill="BDD6EE" w:themeFill="accent1" w:themeFillTint="66"/>
            <w:noWrap/>
            <w:vAlign w:val="bottom"/>
            <w:hideMark/>
          </w:tcPr>
          <w:p w14:paraId="34D8E8D5" w14:textId="362BF2B6" w:rsidR="00DD0CA7" w:rsidRPr="00B46249" w:rsidRDefault="00DD0CA7" w:rsidP="003B3D5E">
            <w:pPr>
              <w:spacing w:before="60" w:after="60"/>
              <w:ind w:firstLine="0"/>
              <w:jc w:val="center"/>
              <w:rPr>
                <w:rFonts w:eastAsia="Times New Roman" w:cs="Times New Roman"/>
                <w:b/>
                <w:bCs/>
                <w:color w:val="000000"/>
                <w:sz w:val="18"/>
                <w:szCs w:val="18"/>
              </w:rPr>
            </w:pPr>
            <w:r w:rsidRPr="00B46249">
              <w:rPr>
                <w:rFonts w:eastAsia="Times New Roman" w:cs="Times New Roman"/>
                <w:b/>
                <w:bCs/>
                <w:color w:val="000000"/>
                <w:sz w:val="18"/>
                <w:szCs w:val="18"/>
              </w:rPr>
              <w:t>2026</w:t>
            </w:r>
          </w:p>
        </w:tc>
      </w:tr>
      <w:tr w:rsidR="00DD0CA7" w:rsidRPr="0038459F" w14:paraId="618E4B36" w14:textId="77777777" w:rsidTr="00DD0CA7">
        <w:trPr>
          <w:trHeight w:val="190"/>
          <w:jc w:val="center"/>
        </w:trPr>
        <w:tc>
          <w:tcPr>
            <w:tcW w:w="4673" w:type="dxa"/>
            <w:shd w:val="clear" w:color="auto" w:fill="auto"/>
            <w:vAlign w:val="center"/>
          </w:tcPr>
          <w:p w14:paraId="59F905D5" w14:textId="043919F4" w:rsidR="00DD0CA7" w:rsidRPr="0038459F" w:rsidRDefault="00DD0CA7" w:rsidP="00DD0CA7">
            <w:pPr>
              <w:spacing w:before="60" w:after="60"/>
              <w:ind w:firstLine="0"/>
              <w:jc w:val="left"/>
              <w:rPr>
                <w:rFonts w:eastAsia="Times New Roman" w:cs="Times New Roman"/>
                <w:color w:val="000000"/>
                <w:sz w:val="18"/>
                <w:szCs w:val="18"/>
                <w:highlight w:val="lightGray"/>
              </w:rPr>
            </w:pPr>
            <w:r>
              <w:rPr>
                <w:rFonts w:eastAsia="Times New Roman" w:cs="Times New Roman"/>
                <w:color w:val="000000"/>
                <w:sz w:val="18"/>
                <w:szCs w:val="18"/>
              </w:rPr>
              <w:t>V</w:t>
            </w:r>
            <w:r w:rsidRPr="00F87F48">
              <w:rPr>
                <w:rFonts w:eastAsia="Times New Roman" w:cs="Times New Roman"/>
                <w:color w:val="000000"/>
                <w:sz w:val="18"/>
                <w:szCs w:val="18"/>
              </w:rPr>
              <w:t>ispārējās valdības nominālās bilances prognoze pie nemainīgas politikas, % no IKP</w:t>
            </w:r>
          </w:p>
        </w:tc>
        <w:tc>
          <w:tcPr>
            <w:tcW w:w="1477" w:type="dxa"/>
            <w:vAlign w:val="center"/>
          </w:tcPr>
          <w:p w14:paraId="2BF64B13" w14:textId="307D7732"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(1)</w:t>
            </w:r>
          </w:p>
        </w:tc>
        <w:tc>
          <w:tcPr>
            <w:tcW w:w="936" w:type="dxa"/>
            <w:shd w:val="clear" w:color="auto" w:fill="auto"/>
            <w:noWrap/>
            <w:vAlign w:val="center"/>
          </w:tcPr>
          <w:p w14:paraId="4161A415" w14:textId="58528763"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-2,2</w:t>
            </w:r>
          </w:p>
        </w:tc>
        <w:tc>
          <w:tcPr>
            <w:tcW w:w="877" w:type="dxa"/>
            <w:shd w:val="clear" w:color="auto" w:fill="auto"/>
            <w:noWrap/>
            <w:vAlign w:val="center"/>
          </w:tcPr>
          <w:p w14:paraId="59E08A7A" w14:textId="7120D314"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-1,3</w:t>
            </w:r>
          </w:p>
        </w:tc>
        <w:tc>
          <w:tcPr>
            <w:tcW w:w="876" w:type="dxa"/>
            <w:shd w:val="clear" w:color="auto" w:fill="auto"/>
            <w:noWrap/>
            <w:vAlign w:val="center"/>
          </w:tcPr>
          <w:p w14:paraId="162D43CA" w14:textId="134E989C"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0,1</w:t>
            </w:r>
          </w:p>
        </w:tc>
      </w:tr>
      <w:tr w:rsidR="00DD0CA7" w:rsidRPr="0038459F" w14:paraId="4B853F7A" w14:textId="77777777" w:rsidTr="00DD0CA7">
        <w:trPr>
          <w:trHeight w:val="54"/>
          <w:jc w:val="center"/>
        </w:trPr>
        <w:tc>
          <w:tcPr>
            <w:tcW w:w="4673" w:type="dxa"/>
            <w:shd w:val="clear" w:color="auto" w:fill="auto"/>
            <w:vAlign w:val="center"/>
          </w:tcPr>
          <w:p w14:paraId="2AE8449D" w14:textId="1DA56256"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Izlaižu starpība, % no potenciālā IKP</w:t>
            </w:r>
          </w:p>
        </w:tc>
        <w:tc>
          <w:tcPr>
            <w:tcW w:w="1477" w:type="dxa"/>
            <w:vAlign w:val="center"/>
          </w:tcPr>
          <w:p w14:paraId="0F909FA9" w14:textId="49415357"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(2)</w:t>
            </w:r>
          </w:p>
        </w:tc>
        <w:tc>
          <w:tcPr>
            <w:tcW w:w="936" w:type="dxa"/>
            <w:shd w:val="clear" w:color="auto" w:fill="auto"/>
            <w:noWrap/>
            <w:vAlign w:val="center"/>
          </w:tcPr>
          <w:p w14:paraId="2B9D0763" w14:textId="6A27130F" w:rsidR="00DD0CA7" w:rsidRPr="0038459F" w:rsidRDefault="00DD0CA7" w:rsidP="00DD0CA7">
            <w:pPr>
              <w:spacing w:before="60" w:after="60"/>
              <w:ind w:firstLine="0"/>
              <w:jc w:val="center"/>
              <w:rPr>
                <w:rFonts w:eastAsia="Times New Roman" w:cs="Times New Roman"/>
                <w:color w:val="000000"/>
                <w:sz w:val="18"/>
                <w:szCs w:val="18"/>
                <w:highlight w:val="lightGray"/>
              </w:rPr>
            </w:pPr>
            <w:r>
              <w:rPr>
                <w:color w:val="000000"/>
                <w:sz w:val="20"/>
                <w:szCs w:val="20"/>
              </w:rPr>
              <w:t>-1,3</w:t>
            </w:r>
          </w:p>
        </w:tc>
        <w:tc>
          <w:tcPr>
            <w:tcW w:w="877" w:type="dxa"/>
            <w:shd w:val="clear" w:color="auto" w:fill="auto"/>
            <w:noWrap/>
            <w:vAlign w:val="center"/>
          </w:tcPr>
          <w:p w14:paraId="42313E53" w14:textId="78131A36" w:rsidR="00DD0CA7" w:rsidRPr="0038459F" w:rsidRDefault="00DD0CA7" w:rsidP="00DD0CA7">
            <w:pPr>
              <w:spacing w:before="60" w:after="60"/>
              <w:ind w:firstLine="0"/>
              <w:jc w:val="center"/>
              <w:rPr>
                <w:rFonts w:eastAsia="Times New Roman" w:cs="Times New Roman"/>
                <w:color w:val="000000"/>
                <w:sz w:val="18"/>
                <w:szCs w:val="18"/>
                <w:highlight w:val="lightGray"/>
              </w:rPr>
            </w:pPr>
            <w:r>
              <w:rPr>
                <w:color w:val="000000"/>
                <w:sz w:val="20"/>
                <w:szCs w:val="20"/>
              </w:rPr>
              <w:t>-0,7</w:t>
            </w:r>
          </w:p>
        </w:tc>
        <w:tc>
          <w:tcPr>
            <w:tcW w:w="876" w:type="dxa"/>
            <w:shd w:val="clear" w:color="auto" w:fill="auto"/>
            <w:noWrap/>
            <w:vAlign w:val="center"/>
          </w:tcPr>
          <w:p w14:paraId="7630DC6D" w14:textId="0FE17BD0" w:rsidR="00DD0CA7" w:rsidRPr="0038459F" w:rsidRDefault="00DD0CA7" w:rsidP="00DD0CA7">
            <w:pPr>
              <w:spacing w:before="60" w:after="60"/>
              <w:ind w:firstLine="0"/>
              <w:jc w:val="center"/>
              <w:rPr>
                <w:rFonts w:eastAsia="Times New Roman" w:cs="Times New Roman"/>
                <w:color w:val="000000"/>
                <w:sz w:val="18"/>
                <w:szCs w:val="18"/>
                <w:highlight w:val="lightGray"/>
              </w:rPr>
            </w:pPr>
            <w:r>
              <w:rPr>
                <w:color w:val="000000"/>
                <w:sz w:val="20"/>
                <w:szCs w:val="20"/>
              </w:rPr>
              <w:t>-0,01</w:t>
            </w:r>
          </w:p>
        </w:tc>
      </w:tr>
      <w:tr w:rsidR="00DD0CA7" w:rsidRPr="0038459F" w14:paraId="260051B1" w14:textId="77777777" w:rsidTr="00DD0CA7">
        <w:trPr>
          <w:trHeight w:val="54"/>
          <w:jc w:val="center"/>
        </w:trPr>
        <w:tc>
          <w:tcPr>
            <w:tcW w:w="4673" w:type="dxa"/>
            <w:shd w:val="clear" w:color="auto" w:fill="auto"/>
            <w:vAlign w:val="center"/>
          </w:tcPr>
          <w:p w14:paraId="51E10B27" w14:textId="6CBA35A9"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Bilances cikliskā komponente, % no IKP</w:t>
            </w:r>
          </w:p>
        </w:tc>
        <w:tc>
          <w:tcPr>
            <w:tcW w:w="1477" w:type="dxa"/>
            <w:vAlign w:val="center"/>
          </w:tcPr>
          <w:p w14:paraId="3CDD95A8" w14:textId="58578725"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(3)=0,378*(2)</w:t>
            </w:r>
          </w:p>
        </w:tc>
        <w:tc>
          <w:tcPr>
            <w:tcW w:w="936" w:type="dxa"/>
            <w:shd w:val="clear" w:color="auto" w:fill="auto"/>
            <w:noWrap/>
            <w:vAlign w:val="center"/>
          </w:tcPr>
          <w:p w14:paraId="4175BD38" w14:textId="30E87334" w:rsidR="00DD0CA7" w:rsidRPr="0038459F" w:rsidRDefault="00DD0CA7" w:rsidP="00DD0CA7">
            <w:pPr>
              <w:spacing w:before="60" w:after="60"/>
              <w:ind w:firstLine="0"/>
              <w:jc w:val="center"/>
              <w:rPr>
                <w:rFonts w:eastAsia="Times New Roman" w:cs="Times New Roman"/>
                <w:color w:val="000000"/>
                <w:sz w:val="18"/>
                <w:szCs w:val="18"/>
                <w:highlight w:val="lightGray"/>
              </w:rPr>
            </w:pPr>
            <w:r>
              <w:rPr>
                <w:color w:val="000000"/>
                <w:sz w:val="20"/>
                <w:szCs w:val="20"/>
              </w:rPr>
              <w:t>-0,5</w:t>
            </w:r>
          </w:p>
        </w:tc>
        <w:tc>
          <w:tcPr>
            <w:tcW w:w="877" w:type="dxa"/>
            <w:shd w:val="clear" w:color="auto" w:fill="auto"/>
            <w:noWrap/>
            <w:vAlign w:val="center"/>
          </w:tcPr>
          <w:p w14:paraId="5CE8F651" w14:textId="609866C8" w:rsidR="00DD0CA7" w:rsidRPr="0038459F" w:rsidRDefault="00DD0CA7" w:rsidP="00DD0CA7">
            <w:pPr>
              <w:spacing w:before="60" w:after="60"/>
              <w:ind w:firstLine="0"/>
              <w:jc w:val="center"/>
              <w:rPr>
                <w:rFonts w:eastAsia="Times New Roman" w:cs="Times New Roman"/>
                <w:color w:val="000000"/>
                <w:sz w:val="18"/>
                <w:szCs w:val="18"/>
                <w:highlight w:val="lightGray"/>
              </w:rPr>
            </w:pPr>
            <w:r>
              <w:rPr>
                <w:color w:val="000000"/>
                <w:sz w:val="20"/>
                <w:szCs w:val="20"/>
              </w:rPr>
              <w:t>-0,2</w:t>
            </w:r>
          </w:p>
        </w:tc>
        <w:tc>
          <w:tcPr>
            <w:tcW w:w="876" w:type="dxa"/>
            <w:shd w:val="clear" w:color="auto" w:fill="auto"/>
            <w:noWrap/>
            <w:vAlign w:val="center"/>
          </w:tcPr>
          <w:p w14:paraId="703E6D9F" w14:textId="51ABFF24" w:rsidR="00DD0CA7" w:rsidRPr="0038459F" w:rsidRDefault="00DD0CA7" w:rsidP="00DD0CA7">
            <w:pPr>
              <w:spacing w:before="60" w:after="60"/>
              <w:ind w:firstLine="0"/>
              <w:jc w:val="center"/>
              <w:rPr>
                <w:rFonts w:eastAsia="Times New Roman" w:cs="Times New Roman"/>
                <w:color w:val="000000"/>
                <w:sz w:val="18"/>
                <w:szCs w:val="18"/>
                <w:highlight w:val="lightGray"/>
              </w:rPr>
            </w:pPr>
            <w:r>
              <w:rPr>
                <w:color w:val="000000"/>
                <w:sz w:val="20"/>
                <w:szCs w:val="20"/>
              </w:rPr>
              <w:t>0,0</w:t>
            </w:r>
          </w:p>
        </w:tc>
      </w:tr>
      <w:tr w:rsidR="00DD0CA7" w:rsidRPr="0038459F" w14:paraId="146EC2E2" w14:textId="77777777" w:rsidTr="00DD0CA7">
        <w:trPr>
          <w:trHeight w:val="231"/>
          <w:jc w:val="center"/>
        </w:trPr>
        <w:tc>
          <w:tcPr>
            <w:tcW w:w="4673" w:type="dxa"/>
            <w:shd w:val="clear" w:color="auto" w:fill="auto"/>
            <w:vAlign w:val="center"/>
          </w:tcPr>
          <w:p w14:paraId="754AC08D" w14:textId="3EA98BFB"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i/>
                <w:iCs/>
                <w:noProof/>
                <w:color w:val="000000"/>
                <w:sz w:val="18"/>
                <w:szCs w:val="18"/>
              </w:rPr>
              <w:t>One-off</w:t>
            </w:r>
            <w:r w:rsidRPr="00F87F48">
              <w:rPr>
                <w:rFonts w:eastAsia="Times New Roman" w:cs="Times New Roman"/>
                <w:noProof/>
                <w:color w:val="000000"/>
                <w:sz w:val="18"/>
                <w:szCs w:val="18"/>
              </w:rPr>
              <w:t xml:space="preserve"> un</w:t>
            </w:r>
            <w:r w:rsidRPr="00F87F48">
              <w:rPr>
                <w:rFonts w:eastAsia="Times New Roman" w:cs="Times New Roman"/>
                <w:color w:val="000000"/>
                <w:sz w:val="18"/>
                <w:szCs w:val="18"/>
              </w:rPr>
              <w:t xml:space="preserve"> citi īslaicīgie pasākumi, kas iekļauti nemainīgas politikas scenārijā % no IKP, tai skaitā</w:t>
            </w:r>
          </w:p>
        </w:tc>
        <w:tc>
          <w:tcPr>
            <w:tcW w:w="1477" w:type="dxa"/>
            <w:vAlign w:val="center"/>
          </w:tcPr>
          <w:p w14:paraId="28DA87D1" w14:textId="4E67E4EA"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(4)</w:t>
            </w:r>
          </w:p>
        </w:tc>
        <w:tc>
          <w:tcPr>
            <w:tcW w:w="936" w:type="dxa"/>
            <w:shd w:val="clear" w:color="auto" w:fill="auto"/>
            <w:noWrap/>
            <w:vAlign w:val="center"/>
          </w:tcPr>
          <w:p w14:paraId="4FC9C57A" w14:textId="02C5C0E0"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-1,7</w:t>
            </w:r>
          </w:p>
        </w:tc>
        <w:tc>
          <w:tcPr>
            <w:tcW w:w="877" w:type="dxa"/>
            <w:shd w:val="clear" w:color="auto" w:fill="auto"/>
            <w:noWrap/>
            <w:vAlign w:val="center"/>
          </w:tcPr>
          <w:p w14:paraId="0AA9B4A9" w14:textId="7784F902"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-1,6</w:t>
            </w:r>
          </w:p>
        </w:tc>
        <w:tc>
          <w:tcPr>
            <w:tcW w:w="876" w:type="dxa"/>
            <w:shd w:val="clear" w:color="auto" w:fill="auto"/>
            <w:noWrap/>
            <w:vAlign w:val="center"/>
          </w:tcPr>
          <w:p w14:paraId="2B847AFB" w14:textId="4351C54E"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-0,8</w:t>
            </w:r>
          </w:p>
        </w:tc>
      </w:tr>
      <w:tr w:rsidR="00DD0CA7" w:rsidRPr="0038459F" w14:paraId="092852FF" w14:textId="77777777" w:rsidTr="00DD0CA7">
        <w:trPr>
          <w:trHeight w:val="54"/>
          <w:jc w:val="center"/>
        </w:trPr>
        <w:tc>
          <w:tcPr>
            <w:tcW w:w="4673" w:type="dxa"/>
            <w:shd w:val="clear" w:color="auto" w:fill="auto"/>
            <w:vAlign w:val="bottom"/>
          </w:tcPr>
          <w:p w14:paraId="78370774" w14:textId="096BF221" w:rsidR="00DD0CA7" w:rsidRPr="0038459F" w:rsidRDefault="00DD0CA7" w:rsidP="00DD0CA7">
            <w:pPr>
              <w:spacing w:before="60" w:after="60"/>
              <w:ind w:firstLineChars="200" w:firstLine="360"/>
              <w:jc w:val="left"/>
              <w:rPr>
                <w:rFonts w:eastAsia="Times New Roman" w:cs="Times New Roman"/>
                <w:color w:val="000000"/>
                <w:sz w:val="18"/>
                <w:szCs w:val="18"/>
                <w:highlight w:val="lightGray"/>
              </w:rPr>
            </w:pPr>
            <w:r w:rsidRPr="00F87F48">
              <w:rPr>
                <w:rFonts w:eastAsia="Times New Roman" w:cs="Times New Roman"/>
                <w:color w:val="000000"/>
                <w:sz w:val="18"/>
                <w:szCs w:val="18"/>
              </w:rPr>
              <w:t>Covid-19 pandēmijas mazināšanas pasākumi</w:t>
            </w:r>
          </w:p>
        </w:tc>
        <w:tc>
          <w:tcPr>
            <w:tcW w:w="1477" w:type="dxa"/>
            <w:vAlign w:val="center"/>
          </w:tcPr>
          <w:p w14:paraId="25A3EAC1" w14:textId="330B0A64"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 </w:t>
            </w:r>
          </w:p>
        </w:tc>
        <w:tc>
          <w:tcPr>
            <w:tcW w:w="936" w:type="dxa"/>
            <w:shd w:val="clear" w:color="auto" w:fill="auto"/>
            <w:noWrap/>
            <w:vAlign w:val="center"/>
          </w:tcPr>
          <w:p w14:paraId="7225E58C" w14:textId="499A7BFD"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-0,02</w:t>
            </w:r>
          </w:p>
        </w:tc>
        <w:tc>
          <w:tcPr>
            <w:tcW w:w="877" w:type="dxa"/>
            <w:shd w:val="clear" w:color="auto" w:fill="auto"/>
            <w:noWrap/>
            <w:vAlign w:val="center"/>
          </w:tcPr>
          <w:p w14:paraId="32E4282B" w14:textId="469374B2"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-0,01</w:t>
            </w:r>
          </w:p>
        </w:tc>
        <w:tc>
          <w:tcPr>
            <w:tcW w:w="876" w:type="dxa"/>
            <w:shd w:val="clear" w:color="auto" w:fill="auto"/>
            <w:noWrap/>
            <w:vAlign w:val="center"/>
          </w:tcPr>
          <w:p w14:paraId="75E5BA48" w14:textId="21F0BE10"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-0,01</w:t>
            </w:r>
          </w:p>
        </w:tc>
      </w:tr>
      <w:tr w:rsidR="00DD0CA7" w:rsidRPr="0038459F" w14:paraId="2DF4DD64" w14:textId="77777777" w:rsidTr="00DD0CA7">
        <w:trPr>
          <w:trHeight w:val="54"/>
          <w:jc w:val="center"/>
        </w:trPr>
        <w:tc>
          <w:tcPr>
            <w:tcW w:w="4673" w:type="dxa"/>
            <w:shd w:val="clear" w:color="auto" w:fill="auto"/>
            <w:vAlign w:val="bottom"/>
          </w:tcPr>
          <w:p w14:paraId="6B04B768" w14:textId="0D349C94" w:rsidR="00DD0CA7" w:rsidRPr="0038459F" w:rsidRDefault="00DD0CA7" w:rsidP="00DD0CA7">
            <w:pPr>
              <w:spacing w:before="60" w:after="60"/>
              <w:ind w:firstLineChars="200" w:firstLine="360"/>
              <w:jc w:val="left"/>
              <w:rPr>
                <w:rFonts w:eastAsia="Times New Roman" w:cs="Times New Roman"/>
                <w:color w:val="000000"/>
                <w:sz w:val="18"/>
                <w:szCs w:val="18"/>
                <w:highlight w:val="lightGray"/>
              </w:rPr>
            </w:pPr>
            <w:r>
              <w:rPr>
                <w:rFonts w:eastAsia="Times New Roman" w:cs="Times New Roman"/>
                <w:color w:val="000000"/>
                <w:sz w:val="18"/>
                <w:szCs w:val="18"/>
              </w:rPr>
              <w:t>e</w:t>
            </w:r>
            <w:r w:rsidRPr="00F87F48">
              <w:rPr>
                <w:rFonts w:eastAsia="Times New Roman" w:cs="Times New Roman"/>
                <w:color w:val="000000"/>
                <w:sz w:val="18"/>
                <w:szCs w:val="18"/>
              </w:rPr>
              <w:t>nerģijas cenas pieauguma mazināšanas pasākumi</w:t>
            </w:r>
          </w:p>
        </w:tc>
        <w:tc>
          <w:tcPr>
            <w:tcW w:w="1477" w:type="dxa"/>
            <w:vAlign w:val="center"/>
          </w:tcPr>
          <w:p w14:paraId="527B5F8C" w14:textId="2BB826C8"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 </w:t>
            </w:r>
          </w:p>
        </w:tc>
        <w:tc>
          <w:tcPr>
            <w:tcW w:w="936" w:type="dxa"/>
            <w:shd w:val="clear" w:color="auto" w:fill="auto"/>
            <w:noWrap/>
            <w:vAlign w:val="center"/>
          </w:tcPr>
          <w:p w14:paraId="2EFD0885" w14:textId="52B49E9F"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w:t>
            </w:r>
          </w:p>
        </w:tc>
        <w:tc>
          <w:tcPr>
            <w:tcW w:w="877" w:type="dxa"/>
            <w:shd w:val="clear" w:color="auto" w:fill="auto"/>
            <w:noWrap/>
            <w:vAlign w:val="center"/>
          </w:tcPr>
          <w:p w14:paraId="3C3C93FC" w14:textId="76361D0A"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w:t>
            </w:r>
          </w:p>
        </w:tc>
        <w:tc>
          <w:tcPr>
            <w:tcW w:w="876" w:type="dxa"/>
            <w:shd w:val="clear" w:color="auto" w:fill="auto"/>
            <w:noWrap/>
            <w:vAlign w:val="center"/>
          </w:tcPr>
          <w:p w14:paraId="7B05F0D4" w14:textId="1504FC53"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w:t>
            </w:r>
          </w:p>
        </w:tc>
      </w:tr>
      <w:tr w:rsidR="00DD0CA7" w:rsidRPr="0038459F" w14:paraId="48E1D4F8" w14:textId="77777777" w:rsidTr="00DD0CA7">
        <w:trPr>
          <w:trHeight w:val="54"/>
          <w:jc w:val="center"/>
        </w:trPr>
        <w:tc>
          <w:tcPr>
            <w:tcW w:w="4673" w:type="dxa"/>
            <w:shd w:val="clear" w:color="auto" w:fill="auto"/>
            <w:vAlign w:val="bottom"/>
          </w:tcPr>
          <w:p w14:paraId="25DE2038" w14:textId="3667A345" w:rsidR="00DD0CA7" w:rsidRPr="0038459F" w:rsidRDefault="00DD0CA7" w:rsidP="00DD0CA7">
            <w:pPr>
              <w:spacing w:before="60" w:after="60"/>
              <w:ind w:firstLineChars="200" w:firstLine="360"/>
              <w:jc w:val="left"/>
              <w:rPr>
                <w:rFonts w:eastAsia="Times New Roman" w:cs="Times New Roman"/>
                <w:color w:val="000000"/>
                <w:sz w:val="18"/>
                <w:szCs w:val="18"/>
                <w:highlight w:val="lightGray"/>
              </w:rPr>
            </w:pPr>
            <w:r>
              <w:rPr>
                <w:rFonts w:eastAsia="Times New Roman" w:cs="Times New Roman"/>
                <w:color w:val="000000"/>
                <w:sz w:val="18"/>
                <w:szCs w:val="18"/>
              </w:rPr>
              <w:t>a</w:t>
            </w:r>
            <w:r w:rsidRPr="00F87F48">
              <w:rPr>
                <w:rFonts w:eastAsia="Times New Roman" w:cs="Times New Roman"/>
                <w:color w:val="000000"/>
                <w:sz w:val="18"/>
                <w:szCs w:val="18"/>
              </w:rPr>
              <w:t>izsardzības un iekšējās drošības finansējums</w:t>
            </w:r>
          </w:p>
        </w:tc>
        <w:tc>
          <w:tcPr>
            <w:tcW w:w="1477" w:type="dxa"/>
            <w:vAlign w:val="center"/>
          </w:tcPr>
          <w:p w14:paraId="35B096C7" w14:textId="7B50C102"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 </w:t>
            </w:r>
          </w:p>
        </w:tc>
        <w:tc>
          <w:tcPr>
            <w:tcW w:w="936" w:type="dxa"/>
            <w:shd w:val="clear" w:color="auto" w:fill="auto"/>
            <w:noWrap/>
            <w:vAlign w:val="center"/>
          </w:tcPr>
          <w:p w14:paraId="5586C47B" w14:textId="64096728"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-0,8</w:t>
            </w:r>
          </w:p>
        </w:tc>
        <w:tc>
          <w:tcPr>
            <w:tcW w:w="877" w:type="dxa"/>
            <w:shd w:val="clear" w:color="auto" w:fill="auto"/>
            <w:noWrap/>
            <w:vAlign w:val="center"/>
          </w:tcPr>
          <w:p w14:paraId="2E2C8F1B" w14:textId="57C74611"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-0,8</w:t>
            </w:r>
          </w:p>
        </w:tc>
        <w:tc>
          <w:tcPr>
            <w:tcW w:w="876" w:type="dxa"/>
            <w:shd w:val="clear" w:color="auto" w:fill="auto"/>
            <w:noWrap/>
            <w:vAlign w:val="center"/>
          </w:tcPr>
          <w:p w14:paraId="7E7AD246" w14:textId="12D7E088"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-0,7</w:t>
            </w:r>
          </w:p>
        </w:tc>
      </w:tr>
      <w:tr w:rsidR="00DD0CA7" w:rsidRPr="0038459F" w14:paraId="54D41AB3" w14:textId="77777777" w:rsidTr="00DD0CA7">
        <w:trPr>
          <w:trHeight w:val="54"/>
          <w:jc w:val="center"/>
        </w:trPr>
        <w:tc>
          <w:tcPr>
            <w:tcW w:w="4673" w:type="dxa"/>
            <w:shd w:val="clear" w:color="auto" w:fill="auto"/>
            <w:vAlign w:val="bottom"/>
          </w:tcPr>
          <w:p w14:paraId="1AB40C95" w14:textId="40EF6F2C" w:rsidR="00DD0CA7" w:rsidRPr="0038459F" w:rsidRDefault="00DD0CA7" w:rsidP="00DD0CA7">
            <w:pPr>
              <w:spacing w:before="60" w:after="60"/>
              <w:ind w:firstLineChars="200" w:firstLine="360"/>
              <w:jc w:val="left"/>
              <w:rPr>
                <w:rFonts w:eastAsia="Times New Roman" w:cs="Times New Roman"/>
                <w:color w:val="000000"/>
                <w:sz w:val="18"/>
                <w:szCs w:val="18"/>
                <w:highlight w:val="lightGray"/>
              </w:rPr>
            </w:pPr>
            <w:r w:rsidRPr="00255D47">
              <w:rPr>
                <w:rFonts w:eastAsia="Times New Roman" w:cs="Times New Roman"/>
                <w:color w:val="000000"/>
                <w:sz w:val="18"/>
                <w:szCs w:val="18"/>
              </w:rPr>
              <w:t>atbalsts bēgļiem no Ukrainas</w:t>
            </w:r>
          </w:p>
        </w:tc>
        <w:tc>
          <w:tcPr>
            <w:tcW w:w="1477" w:type="dxa"/>
            <w:vAlign w:val="center"/>
          </w:tcPr>
          <w:p w14:paraId="3D0E6816" w14:textId="77777777" w:rsidR="00DD0CA7" w:rsidRPr="0038459F" w:rsidRDefault="00DD0CA7" w:rsidP="00DD0CA7">
            <w:pPr>
              <w:spacing w:before="60" w:after="60"/>
              <w:ind w:firstLine="0"/>
              <w:jc w:val="left"/>
              <w:rPr>
                <w:rFonts w:eastAsia="Times New Roman" w:cs="Times New Roman"/>
                <w:color w:val="000000"/>
                <w:sz w:val="18"/>
                <w:szCs w:val="18"/>
                <w:highlight w:val="lightGray"/>
              </w:rPr>
            </w:pPr>
          </w:p>
        </w:tc>
        <w:tc>
          <w:tcPr>
            <w:tcW w:w="936" w:type="dxa"/>
            <w:shd w:val="clear" w:color="auto" w:fill="auto"/>
            <w:noWrap/>
            <w:vAlign w:val="center"/>
          </w:tcPr>
          <w:p w14:paraId="0853657B" w14:textId="7ECD7986"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w:t>
            </w:r>
          </w:p>
        </w:tc>
        <w:tc>
          <w:tcPr>
            <w:tcW w:w="877" w:type="dxa"/>
            <w:shd w:val="clear" w:color="auto" w:fill="auto"/>
            <w:noWrap/>
            <w:vAlign w:val="center"/>
          </w:tcPr>
          <w:p w14:paraId="0268DFC0" w14:textId="2BBC0BC2"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w:t>
            </w:r>
          </w:p>
        </w:tc>
        <w:tc>
          <w:tcPr>
            <w:tcW w:w="876" w:type="dxa"/>
            <w:shd w:val="clear" w:color="auto" w:fill="auto"/>
            <w:noWrap/>
            <w:vAlign w:val="center"/>
          </w:tcPr>
          <w:p w14:paraId="0C5C87D8" w14:textId="681BD18A"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w:t>
            </w:r>
          </w:p>
        </w:tc>
      </w:tr>
      <w:tr w:rsidR="00DD0CA7" w:rsidRPr="0038459F" w14:paraId="6E510F01" w14:textId="77777777" w:rsidTr="00DD0CA7">
        <w:trPr>
          <w:trHeight w:val="187"/>
          <w:jc w:val="center"/>
        </w:trPr>
        <w:tc>
          <w:tcPr>
            <w:tcW w:w="4673" w:type="dxa"/>
            <w:shd w:val="clear" w:color="auto" w:fill="auto"/>
            <w:vAlign w:val="bottom"/>
          </w:tcPr>
          <w:p w14:paraId="68111C75" w14:textId="3C88D469"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E301C4">
              <w:rPr>
                <w:rFonts w:eastAsia="Times New Roman" w:cs="Times New Roman"/>
                <w:color w:val="000000"/>
                <w:sz w:val="18"/>
                <w:szCs w:val="18"/>
              </w:rPr>
              <w:t>vienreizējie izdevumi valsts aizsardzībai un iekšējai drošībai</w:t>
            </w:r>
          </w:p>
        </w:tc>
        <w:tc>
          <w:tcPr>
            <w:tcW w:w="1477" w:type="dxa"/>
            <w:vAlign w:val="center"/>
          </w:tcPr>
          <w:p w14:paraId="0257A245" w14:textId="77777777" w:rsidR="00DD0CA7" w:rsidRPr="0038459F" w:rsidRDefault="00DD0CA7" w:rsidP="00DD0CA7">
            <w:pPr>
              <w:spacing w:before="60" w:after="60"/>
              <w:ind w:firstLine="0"/>
              <w:jc w:val="left"/>
              <w:rPr>
                <w:rFonts w:eastAsia="Times New Roman" w:cs="Times New Roman"/>
                <w:color w:val="000000"/>
                <w:sz w:val="18"/>
                <w:szCs w:val="18"/>
                <w:highlight w:val="lightGray"/>
              </w:rPr>
            </w:pPr>
          </w:p>
        </w:tc>
        <w:tc>
          <w:tcPr>
            <w:tcW w:w="936" w:type="dxa"/>
            <w:shd w:val="clear" w:color="auto" w:fill="auto"/>
            <w:noWrap/>
            <w:vAlign w:val="center"/>
          </w:tcPr>
          <w:p w14:paraId="737DA472" w14:textId="0E428097"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-0,9</w:t>
            </w:r>
          </w:p>
        </w:tc>
        <w:tc>
          <w:tcPr>
            <w:tcW w:w="877" w:type="dxa"/>
            <w:shd w:val="clear" w:color="auto" w:fill="auto"/>
            <w:noWrap/>
            <w:vAlign w:val="center"/>
          </w:tcPr>
          <w:p w14:paraId="361A917E" w14:textId="284BD216"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-0,8</w:t>
            </w:r>
          </w:p>
        </w:tc>
        <w:tc>
          <w:tcPr>
            <w:tcW w:w="876" w:type="dxa"/>
            <w:shd w:val="clear" w:color="auto" w:fill="auto"/>
            <w:noWrap/>
            <w:vAlign w:val="center"/>
          </w:tcPr>
          <w:p w14:paraId="344C4DCA" w14:textId="7FC7566D"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-0,05</w:t>
            </w:r>
          </w:p>
        </w:tc>
      </w:tr>
      <w:tr w:rsidR="00DD0CA7" w:rsidRPr="0038459F" w14:paraId="3621687C" w14:textId="77777777" w:rsidTr="00DD0CA7">
        <w:trPr>
          <w:trHeight w:val="54"/>
          <w:jc w:val="center"/>
        </w:trPr>
        <w:tc>
          <w:tcPr>
            <w:tcW w:w="4673" w:type="dxa"/>
            <w:shd w:val="clear" w:color="auto" w:fill="auto"/>
            <w:vAlign w:val="center"/>
          </w:tcPr>
          <w:p w14:paraId="36B98449" w14:textId="37D78B42" w:rsidR="00DD0CA7" w:rsidRPr="0038459F" w:rsidRDefault="00DD0CA7" w:rsidP="00DD0CA7">
            <w:pPr>
              <w:spacing w:before="60" w:after="60"/>
              <w:ind w:firstLine="0"/>
              <w:jc w:val="left"/>
              <w:rPr>
                <w:rFonts w:eastAsia="Times New Roman" w:cs="Times New Roman"/>
                <w:color w:val="000000"/>
                <w:sz w:val="18"/>
                <w:szCs w:val="18"/>
                <w:highlight w:val="lightGray"/>
              </w:rPr>
            </w:pPr>
            <w:r>
              <w:rPr>
                <w:rFonts w:eastAsia="Times New Roman" w:cs="Times New Roman"/>
                <w:color w:val="000000"/>
                <w:sz w:val="18"/>
                <w:szCs w:val="18"/>
              </w:rPr>
              <w:t>V</w:t>
            </w:r>
            <w:r w:rsidRPr="00F87F48">
              <w:rPr>
                <w:rFonts w:eastAsia="Times New Roman" w:cs="Times New Roman"/>
                <w:color w:val="000000"/>
                <w:sz w:val="18"/>
                <w:szCs w:val="18"/>
              </w:rPr>
              <w:t>ispārējās valdības budžeta strukturālās bilances prognozes nemainīgas politikas scenārijā, % no IKP</w:t>
            </w:r>
          </w:p>
        </w:tc>
        <w:tc>
          <w:tcPr>
            <w:tcW w:w="1477" w:type="dxa"/>
            <w:vAlign w:val="center"/>
          </w:tcPr>
          <w:p w14:paraId="42D517A8" w14:textId="63062822"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(5)=(1)-(3)-(4)</w:t>
            </w:r>
          </w:p>
        </w:tc>
        <w:tc>
          <w:tcPr>
            <w:tcW w:w="936" w:type="dxa"/>
            <w:shd w:val="clear" w:color="auto" w:fill="auto"/>
            <w:noWrap/>
            <w:vAlign w:val="center"/>
          </w:tcPr>
          <w:p w14:paraId="0614C628" w14:textId="7E3E934A"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-0,1</w:t>
            </w:r>
          </w:p>
        </w:tc>
        <w:tc>
          <w:tcPr>
            <w:tcW w:w="877" w:type="dxa"/>
            <w:shd w:val="clear" w:color="auto" w:fill="auto"/>
            <w:noWrap/>
            <w:vAlign w:val="center"/>
          </w:tcPr>
          <w:p w14:paraId="660293A4" w14:textId="41A57026"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0,5</w:t>
            </w:r>
          </w:p>
        </w:tc>
        <w:tc>
          <w:tcPr>
            <w:tcW w:w="876" w:type="dxa"/>
            <w:shd w:val="clear" w:color="auto" w:fill="auto"/>
            <w:noWrap/>
            <w:vAlign w:val="center"/>
          </w:tcPr>
          <w:p w14:paraId="0BE6F3BE" w14:textId="02CC3BCC"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0,9</w:t>
            </w:r>
          </w:p>
        </w:tc>
      </w:tr>
      <w:tr w:rsidR="00DD0CA7" w:rsidRPr="006634E0" w14:paraId="796D7741" w14:textId="77777777" w:rsidTr="00DD0CA7">
        <w:trPr>
          <w:trHeight w:val="54"/>
          <w:jc w:val="center"/>
        </w:trPr>
        <w:tc>
          <w:tcPr>
            <w:tcW w:w="4673" w:type="dxa"/>
            <w:shd w:val="clear" w:color="auto" w:fill="auto"/>
            <w:vAlign w:val="center"/>
          </w:tcPr>
          <w:p w14:paraId="3AB23A2F" w14:textId="701EBA5A" w:rsidR="00DD0CA7" w:rsidRPr="006634E0" w:rsidRDefault="00DD0CA7" w:rsidP="00DD0CA7">
            <w:pPr>
              <w:spacing w:before="60" w:after="60"/>
              <w:ind w:firstLine="0"/>
              <w:jc w:val="left"/>
              <w:rPr>
                <w:rFonts w:eastAsia="Times New Roman" w:cs="Times New Roman"/>
                <w:b/>
                <w:bCs/>
                <w:color w:val="000000"/>
                <w:sz w:val="18"/>
                <w:szCs w:val="18"/>
                <w:highlight w:val="lightGray"/>
              </w:rPr>
            </w:pPr>
            <w:r w:rsidRPr="006634E0">
              <w:rPr>
                <w:rFonts w:eastAsia="Times New Roman" w:cs="Times New Roman"/>
                <w:b/>
                <w:bCs/>
                <w:color w:val="000000"/>
                <w:sz w:val="18"/>
                <w:szCs w:val="18"/>
              </w:rPr>
              <w:t>Vispārējās valdības budžeta strukturālās bilances mērķi, % no IKP</w:t>
            </w:r>
          </w:p>
        </w:tc>
        <w:tc>
          <w:tcPr>
            <w:tcW w:w="1477" w:type="dxa"/>
            <w:vAlign w:val="center"/>
          </w:tcPr>
          <w:p w14:paraId="11A53441" w14:textId="65E00635" w:rsidR="00DD0CA7" w:rsidRPr="006634E0" w:rsidRDefault="00DD0CA7" w:rsidP="00DD0CA7">
            <w:pPr>
              <w:spacing w:before="60" w:after="60"/>
              <w:ind w:firstLine="0"/>
              <w:jc w:val="left"/>
              <w:rPr>
                <w:rFonts w:eastAsia="Times New Roman" w:cs="Times New Roman"/>
                <w:b/>
                <w:bCs/>
                <w:color w:val="000000"/>
                <w:sz w:val="18"/>
                <w:szCs w:val="18"/>
                <w:highlight w:val="lightGray"/>
              </w:rPr>
            </w:pPr>
            <w:r w:rsidRPr="006634E0">
              <w:rPr>
                <w:rFonts w:eastAsia="Times New Roman" w:cs="Times New Roman"/>
                <w:b/>
                <w:bCs/>
                <w:color w:val="000000"/>
                <w:sz w:val="18"/>
                <w:szCs w:val="18"/>
              </w:rPr>
              <w:t>(6)</w:t>
            </w:r>
          </w:p>
        </w:tc>
        <w:tc>
          <w:tcPr>
            <w:tcW w:w="936" w:type="dxa"/>
            <w:shd w:val="clear" w:color="auto" w:fill="auto"/>
            <w:noWrap/>
            <w:vAlign w:val="center"/>
          </w:tcPr>
          <w:p w14:paraId="626EEE72" w14:textId="5E5B053B" w:rsidR="00DD0CA7" w:rsidRPr="006634E0" w:rsidRDefault="00DD0CA7" w:rsidP="00DD0CA7">
            <w:pPr>
              <w:spacing w:before="60" w:after="60"/>
              <w:ind w:firstLine="0"/>
              <w:jc w:val="center"/>
              <w:rPr>
                <w:rFonts w:eastAsia="Times New Roman" w:cs="Times New Roman"/>
                <w:b/>
                <w:bCs/>
                <w:color w:val="000000"/>
                <w:sz w:val="18"/>
                <w:szCs w:val="18"/>
                <w:highlight w:val="lightGray"/>
              </w:rPr>
            </w:pPr>
            <w:r w:rsidRPr="006634E0">
              <w:rPr>
                <w:b/>
                <w:bCs/>
                <w:sz w:val="20"/>
                <w:szCs w:val="20"/>
              </w:rPr>
              <w:t>-0,5</w:t>
            </w:r>
          </w:p>
        </w:tc>
        <w:tc>
          <w:tcPr>
            <w:tcW w:w="877" w:type="dxa"/>
            <w:shd w:val="clear" w:color="auto" w:fill="auto"/>
            <w:noWrap/>
            <w:vAlign w:val="center"/>
          </w:tcPr>
          <w:p w14:paraId="54BE6F4B" w14:textId="64E48A70" w:rsidR="00DD0CA7" w:rsidRPr="006634E0" w:rsidRDefault="00DD0CA7" w:rsidP="00DD0CA7">
            <w:pPr>
              <w:spacing w:before="60" w:after="60"/>
              <w:ind w:firstLine="0"/>
              <w:jc w:val="center"/>
              <w:rPr>
                <w:rFonts w:eastAsia="Times New Roman" w:cs="Times New Roman"/>
                <w:b/>
                <w:bCs/>
                <w:color w:val="000000"/>
                <w:sz w:val="18"/>
                <w:szCs w:val="18"/>
                <w:highlight w:val="lightGray"/>
              </w:rPr>
            </w:pPr>
            <w:r w:rsidRPr="006634E0">
              <w:rPr>
                <w:b/>
                <w:bCs/>
                <w:sz w:val="20"/>
                <w:szCs w:val="20"/>
              </w:rPr>
              <w:t>-0,5</w:t>
            </w:r>
          </w:p>
        </w:tc>
        <w:tc>
          <w:tcPr>
            <w:tcW w:w="876" w:type="dxa"/>
            <w:shd w:val="clear" w:color="auto" w:fill="auto"/>
            <w:noWrap/>
            <w:vAlign w:val="center"/>
          </w:tcPr>
          <w:p w14:paraId="28C06EF5" w14:textId="2E9FDB02" w:rsidR="00DD0CA7" w:rsidRPr="006634E0" w:rsidRDefault="00DD0CA7" w:rsidP="00DD0CA7">
            <w:pPr>
              <w:spacing w:before="60" w:after="60"/>
              <w:ind w:firstLine="0"/>
              <w:jc w:val="center"/>
              <w:rPr>
                <w:rFonts w:eastAsia="Times New Roman" w:cs="Times New Roman"/>
                <w:b/>
                <w:bCs/>
                <w:color w:val="000000"/>
                <w:sz w:val="18"/>
                <w:szCs w:val="18"/>
                <w:highlight w:val="lightGray"/>
              </w:rPr>
            </w:pPr>
            <w:r w:rsidRPr="006634E0">
              <w:rPr>
                <w:b/>
                <w:bCs/>
                <w:sz w:val="20"/>
                <w:szCs w:val="20"/>
              </w:rPr>
              <w:t>-0,5</w:t>
            </w:r>
          </w:p>
        </w:tc>
      </w:tr>
      <w:tr w:rsidR="00DD0CA7" w:rsidRPr="0038459F" w14:paraId="576118BB" w14:textId="77777777" w:rsidTr="00DD0CA7">
        <w:trPr>
          <w:trHeight w:val="54"/>
          <w:jc w:val="center"/>
        </w:trPr>
        <w:tc>
          <w:tcPr>
            <w:tcW w:w="4673" w:type="dxa"/>
            <w:shd w:val="clear" w:color="auto" w:fill="auto"/>
            <w:vAlign w:val="center"/>
          </w:tcPr>
          <w:p w14:paraId="7784F90A" w14:textId="31FE036C" w:rsidR="00DD0CA7" w:rsidRPr="0038459F" w:rsidRDefault="00DD0CA7" w:rsidP="00DD0CA7">
            <w:pPr>
              <w:spacing w:before="60" w:after="60"/>
              <w:ind w:firstLine="0"/>
              <w:jc w:val="left"/>
              <w:rPr>
                <w:rFonts w:eastAsia="Times New Roman" w:cs="Times New Roman"/>
                <w:color w:val="000000"/>
                <w:sz w:val="18"/>
                <w:szCs w:val="18"/>
                <w:highlight w:val="lightGray"/>
              </w:rPr>
            </w:pPr>
            <w:r>
              <w:rPr>
                <w:rFonts w:eastAsia="Times New Roman" w:cs="Times New Roman"/>
                <w:color w:val="000000"/>
                <w:sz w:val="18"/>
                <w:szCs w:val="18"/>
              </w:rPr>
              <w:t>F</w:t>
            </w:r>
            <w:r w:rsidRPr="00F87F48">
              <w:rPr>
                <w:rFonts w:eastAsia="Times New Roman" w:cs="Times New Roman"/>
                <w:color w:val="000000"/>
                <w:sz w:val="18"/>
                <w:szCs w:val="18"/>
              </w:rPr>
              <w:t>iskālā nodrošinājuma rezerve, % no IKP</w:t>
            </w:r>
          </w:p>
        </w:tc>
        <w:tc>
          <w:tcPr>
            <w:tcW w:w="1477" w:type="dxa"/>
            <w:vAlign w:val="center"/>
          </w:tcPr>
          <w:p w14:paraId="67D48578" w14:textId="78D62491" w:rsidR="00DD0CA7" w:rsidRPr="0038459F" w:rsidRDefault="00DD0CA7" w:rsidP="00DD0CA7">
            <w:pPr>
              <w:spacing w:before="60" w:after="60"/>
              <w:ind w:firstLine="0"/>
              <w:jc w:val="left"/>
              <w:rPr>
                <w:rFonts w:eastAsia="Times New Roman" w:cs="Times New Roman"/>
                <w:color w:val="000000"/>
                <w:sz w:val="18"/>
                <w:szCs w:val="18"/>
                <w:highlight w:val="lightGray"/>
              </w:rPr>
            </w:pPr>
            <w:r w:rsidRPr="00F87F48">
              <w:rPr>
                <w:rFonts w:eastAsia="Times New Roman" w:cs="Times New Roman"/>
                <w:color w:val="000000"/>
                <w:sz w:val="18"/>
                <w:szCs w:val="18"/>
              </w:rPr>
              <w:t>(7)</w:t>
            </w:r>
          </w:p>
        </w:tc>
        <w:tc>
          <w:tcPr>
            <w:tcW w:w="936" w:type="dxa"/>
            <w:shd w:val="clear" w:color="auto" w:fill="auto"/>
            <w:noWrap/>
            <w:vAlign w:val="center"/>
          </w:tcPr>
          <w:p w14:paraId="4352DB5C" w14:textId="4A45C2D0"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0,1</w:t>
            </w:r>
          </w:p>
        </w:tc>
        <w:tc>
          <w:tcPr>
            <w:tcW w:w="877" w:type="dxa"/>
            <w:shd w:val="clear" w:color="auto" w:fill="auto"/>
            <w:noWrap/>
            <w:vAlign w:val="center"/>
          </w:tcPr>
          <w:p w14:paraId="5CB63375" w14:textId="714F9461"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0,1</w:t>
            </w:r>
          </w:p>
        </w:tc>
        <w:tc>
          <w:tcPr>
            <w:tcW w:w="876" w:type="dxa"/>
            <w:shd w:val="clear" w:color="auto" w:fill="auto"/>
            <w:noWrap/>
            <w:vAlign w:val="center"/>
          </w:tcPr>
          <w:p w14:paraId="54E103F1" w14:textId="14FC3FE2" w:rsidR="00DD0CA7" w:rsidRPr="0038459F" w:rsidRDefault="00DD0CA7" w:rsidP="00DD0CA7">
            <w:pPr>
              <w:spacing w:before="60" w:after="60"/>
              <w:ind w:firstLine="0"/>
              <w:jc w:val="center"/>
              <w:rPr>
                <w:rFonts w:eastAsia="Times New Roman" w:cs="Times New Roman"/>
                <w:color w:val="000000"/>
                <w:sz w:val="18"/>
                <w:szCs w:val="18"/>
                <w:highlight w:val="lightGray"/>
              </w:rPr>
            </w:pPr>
            <w:r>
              <w:rPr>
                <w:sz w:val="20"/>
                <w:szCs w:val="20"/>
              </w:rPr>
              <w:t>0,1</w:t>
            </w:r>
          </w:p>
        </w:tc>
      </w:tr>
      <w:tr w:rsidR="00DD0CA7" w:rsidRPr="0038459F" w14:paraId="3BDFC8AC" w14:textId="77777777" w:rsidTr="00DD0CA7">
        <w:trPr>
          <w:trHeight w:val="54"/>
          <w:jc w:val="center"/>
        </w:trPr>
        <w:tc>
          <w:tcPr>
            <w:tcW w:w="4673" w:type="dxa"/>
            <w:shd w:val="clear" w:color="auto" w:fill="BDD6EE" w:themeFill="accent1" w:themeFillTint="66"/>
            <w:vAlign w:val="center"/>
          </w:tcPr>
          <w:p w14:paraId="42FE9227" w14:textId="2C2B7148" w:rsidR="00DD0CA7" w:rsidRPr="0038459F" w:rsidRDefault="00DD0CA7" w:rsidP="00DD0CA7">
            <w:pPr>
              <w:spacing w:before="60" w:after="60"/>
              <w:ind w:firstLine="0"/>
              <w:jc w:val="left"/>
              <w:rPr>
                <w:rFonts w:eastAsia="Times New Roman" w:cs="Times New Roman"/>
                <w:b/>
                <w:bCs/>
                <w:noProof/>
                <w:color w:val="000000"/>
                <w:sz w:val="18"/>
                <w:szCs w:val="18"/>
                <w:highlight w:val="lightGray"/>
              </w:rPr>
            </w:pPr>
            <w:r>
              <w:rPr>
                <w:rFonts w:eastAsia="Times New Roman" w:cs="Times New Roman"/>
                <w:b/>
                <w:bCs/>
                <w:noProof/>
                <w:color w:val="000000"/>
                <w:sz w:val="18"/>
                <w:szCs w:val="18"/>
              </w:rPr>
              <w:t>F</w:t>
            </w:r>
            <w:r w:rsidRPr="00F87F48">
              <w:rPr>
                <w:rFonts w:eastAsia="Times New Roman" w:cs="Times New Roman"/>
                <w:b/>
                <w:bCs/>
                <w:noProof/>
                <w:color w:val="000000"/>
                <w:sz w:val="18"/>
                <w:szCs w:val="18"/>
              </w:rPr>
              <w:t>iskālā telpa, % no IKP</w:t>
            </w:r>
          </w:p>
        </w:tc>
        <w:tc>
          <w:tcPr>
            <w:tcW w:w="1477" w:type="dxa"/>
            <w:shd w:val="clear" w:color="auto" w:fill="BDD6EE" w:themeFill="accent1" w:themeFillTint="66"/>
            <w:vAlign w:val="center"/>
          </w:tcPr>
          <w:p w14:paraId="34744E87" w14:textId="19A5A921" w:rsidR="00DD0CA7" w:rsidRPr="0038459F" w:rsidRDefault="00DD0CA7" w:rsidP="00DD0CA7">
            <w:pPr>
              <w:spacing w:before="60" w:after="60"/>
              <w:ind w:firstLine="0"/>
              <w:jc w:val="left"/>
              <w:rPr>
                <w:rFonts w:eastAsia="Times New Roman" w:cs="Times New Roman"/>
                <w:b/>
                <w:bCs/>
                <w:color w:val="000000"/>
                <w:sz w:val="18"/>
                <w:szCs w:val="18"/>
                <w:highlight w:val="lightGray"/>
              </w:rPr>
            </w:pPr>
            <w:r w:rsidRPr="00F87F48">
              <w:rPr>
                <w:rFonts w:eastAsia="Times New Roman" w:cs="Times New Roman"/>
                <w:b/>
                <w:bCs/>
                <w:color w:val="000000"/>
                <w:sz w:val="18"/>
                <w:szCs w:val="18"/>
              </w:rPr>
              <w:t>(8)=(5)-(6)-(7)</w:t>
            </w:r>
          </w:p>
        </w:tc>
        <w:tc>
          <w:tcPr>
            <w:tcW w:w="936" w:type="dxa"/>
            <w:shd w:val="clear" w:color="auto" w:fill="BDD6EE" w:themeFill="accent1" w:themeFillTint="66"/>
            <w:noWrap/>
            <w:vAlign w:val="center"/>
          </w:tcPr>
          <w:p w14:paraId="3B39C24D" w14:textId="035625E4" w:rsidR="00DD0CA7" w:rsidRPr="0038459F" w:rsidRDefault="00DD0CA7" w:rsidP="00DD0CA7">
            <w:pPr>
              <w:spacing w:before="60" w:after="60"/>
              <w:ind w:firstLine="0"/>
              <w:jc w:val="center"/>
              <w:rPr>
                <w:rFonts w:eastAsia="Times New Roman" w:cs="Times New Roman"/>
                <w:b/>
                <w:bCs/>
                <w:color w:val="000000"/>
                <w:sz w:val="18"/>
                <w:szCs w:val="18"/>
                <w:highlight w:val="lightGray"/>
              </w:rPr>
            </w:pPr>
            <w:r w:rsidRPr="00E301C4">
              <w:rPr>
                <w:b/>
                <w:bCs/>
                <w:sz w:val="20"/>
                <w:szCs w:val="20"/>
              </w:rPr>
              <w:t>0,32</w:t>
            </w:r>
          </w:p>
        </w:tc>
        <w:tc>
          <w:tcPr>
            <w:tcW w:w="877" w:type="dxa"/>
            <w:shd w:val="clear" w:color="auto" w:fill="BDD6EE" w:themeFill="accent1" w:themeFillTint="66"/>
            <w:noWrap/>
            <w:vAlign w:val="center"/>
          </w:tcPr>
          <w:p w14:paraId="31DFDF89" w14:textId="1AF85992" w:rsidR="00DD0CA7" w:rsidRPr="0038459F" w:rsidRDefault="00DD0CA7" w:rsidP="00DD0CA7">
            <w:pPr>
              <w:spacing w:before="60" w:after="60"/>
              <w:ind w:firstLine="0"/>
              <w:jc w:val="center"/>
              <w:rPr>
                <w:rFonts w:eastAsia="Times New Roman" w:cs="Times New Roman"/>
                <w:b/>
                <w:bCs/>
                <w:color w:val="000000"/>
                <w:sz w:val="18"/>
                <w:szCs w:val="18"/>
                <w:highlight w:val="lightGray"/>
              </w:rPr>
            </w:pPr>
            <w:r w:rsidRPr="00E301C4">
              <w:rPr>
                <w:b/>
                <w:bCs/>
                <w:sz w:val="20"/>
                <w:szCs w:val="20"/>
              </w:rPr>
              <w:t>0,93</w:t>
            </w:r>
          </w:p>
        </w:tc>
        <w:tc>
          <w:tcPr>
            <w:tcW w:w="876" w:type="dxa"/>
            <w:shd w:val="clear" w:color="auto" w:fill="BDD6EE" w:themeFill="accent1" w:themeFillTint="66"/>
            <w:noWrap/>
            <w:vAlign w:val="center"/>
          </w:tcPr>
          <w:p w14:paraId="748F6342" w14:textId="4491034A" w:rsidR="00DD0CA7" w:rsidRPr="0038459F" w:rsidRDefault="00DD0CA7" w:rsidP="00DD0CA7">
            <w:pPr>
              <w:spacing w:before="60" w:after="60"/>
              <w:ind w:firstLine="0"/>
              <w:jc w:val="center"/>
              <w:rPr>
                <w:rFonts w:eastAsia="Times New Roman" w:cs="Times New Roman"/>
                <w:b/>
                <w:bCs/>
                <w:color w:val="000000"/>
                <w:sz w:val="18"/>
                <w:szCs w:val="18"/>
                <w:highlight w:val="lightGray"/>
              </w:rPr>
            </w:pPr>
            <w:r w:rsidRPr="00E301C4">
              <w:rPr>
                <w:b/>
                <w:bCs/>
                <w:sz w:val="20"/>
                <w:szCs w:val="20"/>
              </w:rPr>
              <w:t>1,33</w:t>
            </w:r>
          </w:p>
        </w:tc>
      </w:tr>
      <w:tr w:rsidR="00DD0CA7" w:rsidRPr="0038459F" w14:paraId="7D2918B2" w14:textId="77777777" w:rsidTr="00DD0CA7">
        <w:trPr>
          <w:trHeight w:val="54"/>
          <w:jc w:val="center"/>
        </w:trPr>
        <w:tc>
          <w:tcPr>
            <w:tcW w:w="4673" w:type="dxa"/>
            <w:shd w:val="clear" w:color="auto" w:fill="BDD6EE" w:themeFill="accent1" w:themeFillTint="66"/>
            <w:vAlign w:val="center"/>
          </w:tcPr>
          <w:p w14:paraId="13224554" w14:textId="0A381224" w:rsidR="00DD0CA7" w:rsidRPr="0038459F" w:rsidRDefault="00DD0CA7" w:rsidP="00DD0CA7">
            <w:pPr>
              <w:spacing w:before="60" w:after="60"/>
              <w:ind w:firstLine="0"/>
              <w:jc w:val="left"/>
              <w:rPr>
                <w:rFonts w:eastAsia="Times New Roman" w:cs="Times New Roman"/>
                <w:b/>
                <w:bCs/>
                <w:noProof/>
                <w:color w:val="000000"/>
                <w:sz w:val="18"/>
                <w:szCs w:val="18"/>
                <w:highlight w:val="lightGray"/>
              </w:rPr>
            </w:pPr>
            <w:r w:rsidRPr="00BE6193">
              <w:rPr>
                <w:rFonts w:eastAsia="Times New Roman" w:cs="Times New Roman"/>
                <w:b/>
                <w:bCs/>
                <w:noProof/>
                <w:color w:val="000000"/>
                <w:sz w:val="20"/>
                <w:szCs w:val="20"/>
              </w:rPr>
              <w:t xml:space="preserve">Fiskālā telpa, milj. </w:t>
            </w:r>
            <w:r w:rsidRPr="00BE6193">
              <w:rPr>
                <w:rFonts w:eastAsia="Times New Roman" w:cs="Times New Roman"/>
                <w:b/>
                <w:bCs/>
                <w:i/>
                <w:iCs/>
                <w:noProof/>
                <w:color w:val="000000"/>
                <w:sz w:val="20"/>
                <w:szCs w:val="20"/>
              </w:rPr>
              <w:t>euro</w:t>
            </w:r>
          </w:p>
        </w:tc>
        <w:tc>
          <w:tcPr>
            <w:tcW w:w="1477" w:type="dxa"/>
            <w:shd w:val="clear" w:color="auto" w:fill="BDD6EE" w:themeFill="accent1" w:themeFillTint="66"/>
            <w:vAlign w:val="center"/>
          </w:tcPr>
          <w:p w14:paraId="19AB6479" w14:textId="77777777" w:rsidR="00DD0CA7" w:rsidRPr="0038459F" w:rsidRDefault="00DD0CA7" w:rsidP="00DD0CA7">
            <w:pPr>
              <w:spacing w:before="60" w:after="60"/>
              <w:ind w:firstLine="0"/>
              <w:jc w:val="left"/>
              <w:rPr>
                <w:rFonts w:eastAsia="Times New Roman" w:cs="Times New Roman"/>
                <w:b/>
                <w:bCs/>
                <w:color w:val="000000"/>
                <w:sz w:val="18"/>
                <w:szCs w:val="18"/>
                <w:highlight w:val="lightGray"/>
              </w:rPr>
            </w:pPr>
          </w:p>
        </w:tc>
        <w:tc>
          <w:tcPr>
            <w:tcW w:w="936" w:type="dxa"/>
            <w:shd w:val="clear" w:color="auto" w:fill="BDD6EE" w:themeFill="accent1" w:themeFillTint="66"/>
            <w:noWrap/>
            <w:vAlign w:val="center"/>
          </w:tcPr>
          <w:p w14:paraId="24CA6F00" w14:textId="241CA3E8" w:rsidR="00DD0CA7" w:rsidRPr="0038459F" w:rsidRDefault="00DD0CA7" w:rsidP="00DD0CA7">
            <w:pPr>
              <w:spacing w:before="60" w:after="60"/>
              <w:ind w:firstLine="0"/>
              <w:jc w:val="center"/>
              <w:rPr>
                <w:rFonts w:eastAsia="Times New Roman" w:cs="Times New Roman"/>
                <w:b/>
                <w:bCs/>
                <w:color w:val="000000"/>
                <w:sz w:val="18"/>
                <w:szCs w:val="18"/>
                <w:highlight w:val="lightGray"/>
              </w:rPr>
            </w:pPr>
            <w:r w:rsidRPr="00BE6193">
              <w:rPr>
                <w:b/>
                <w:bCs/>
                <w:color w:val="000000"/>
                <w:sz w:val="20"/>
                <w:szCs w:val="20"/>
              </w:rPr>
              <w:t>148,4</w:t>
            </w:r>
          </w:p>
        </w:tc>
        <w:tc>
          <w:tcPr>
            <w:tcW w:w="877" w:type="dxa"/>
            <w:shd w:val="clear" w:color="auto" w:fill="BDD6EE" w:themeFill="accent1" w:themeFillTint="66"/>
            <w:noWrap/>
            <w:vAlign w:val="center"/>
          </w:tcPr>
          <w:p w14:paraId="0511116B" w14:textId="79C8B0ED" w:rsidR="00DD0CA7" w:rsidRPr="0038459F" w:rsidRDefault="00DD0CA7" w:rsidP="00DD0CA7">
            <w:pPr>
              <w:spacing w:before="60" w:after="60"/>
              <w:ind w:firstLine="0"/>
              <w:jc w:val="center"/>
              <w:rPr>
                <w:rFonts w:eastAsia="Times New Roman" w:cs="Times New Roman"/>
                <w:b/>
                <w:bCs/>
                <w:color w:val="000000"/>
                <w:sz w:val="18"/>
                <w:szCs w:val="18"/>
                <w:highlight w:val="lightGray"/>
              </w:rPr>
            </w:pPr>
            <w:r w:rsidRPr="00BE6193">
              <w:rPr>
                <w:b/>
                <w:bCs/>
                <w:color w:val="000000"/>
                <w:sz w:val="20"/>
                <w:szCs w:val="20"/>
              </w:rPr>
              <w:t>450,3</w:t>
            </w:r>
          </w:p>
        </w:tc>
        <w:tc>
          <w:tcPr>
            <w:tcW w:w="876" w:type="dxa"/>
            <w:shd w:val="clear" w:color="auto" w:fill="BDD6EE" w:themeFill="accent1" w:themeFillTint="66"/>
            <w:noWrap/>
            <w:vAlign w:val="center"/>
          </w:tcPr>
          <w:p w14:paraId="7AD5F51B" w14:textId="23387666" w:rsidR="00DD0CA7" w:rsidRPr="0038459F" w:rsidRDefault="00DD0CA7" w:rsidP="00DD0CA7">
            <w:pPr>
              <w:spacing w:before="60" w:after="60"/>
              <w:ind w:firstLine="0"/>
              <w:jc w:val="center"/>
              <w:rPr>
                <w:rFonts w:eastAsia="Times New Roman" w:cs="Times New Roman"/>
                <w:b/>
                <w:bCs/>
                <w:color w:val="000000"/>
                <w:sz w:val="18"/>
                <w:szCs w:val="18"/>
                <w:highlight w:val="lightGray"/>
              </w:rPr>
            </w:pPr>
            <w:r w:rsidRPr="00BE6193">
              <w:rPr>
                <w:b/>
                <w:bCs/>
                <w:color w:val="000000"/>
                <w:sz w:val="20"/>
                <w:szCs w:val="20"/>
              </w:rPr>
              <w:t>684,3</w:t>
            </w:r>
          </w:p>
        </w:tc>
      </w:tr>
    </w:tbl>
    <w:p w14:paraId="520C2EE4" w14:textId="77777777" w:rsidR="00B322CB" w:rsidRPr="0038459F" w:rsidRDefault="00B322CB" w:rsidP="00B322CB">
      <w:pPr>
        <w:rPr>
          <w:szCs w:val="20"/>
          <w:highlight w:val="lightGray"/>
        </w:rPr>
      </w:pPr>
    </w:p>
    <w:p w14:paraId="54805C21" w14:textId="736C5025" w:rsidR="006634E0" w:rsidRDefault="001C278C" w:rsidP="00B322CB">
      <w:pPr>
        <w:rPr>
          <w:noProof/>
          <w:szCs w:val="20"/>
        </w:rPr>
      </w:pPr>
      <w:r w:rsidRPr="00DD0CA7">
        <w:rPr>
          <w:szCs w:val="20"/>
        </w:rPr>
        <w:t>202</w:t>
      </w:r>
      <w:r w:rsidR="00DD0CA7" w:rsidRPr="00DD0CA7">
        <w:rPr>
          <w:szCs w:val="20"/>
        </w:rPr>
        <w:t>4</w:t>
      </w:r>
      <w:r w:rsidRPr="00DD0CA7">
        <w:rPr>
          <w:szCs w:val="20"/>
        </w:rPr>
        <w:t xml:space="preserve">. gadā fiskālās telpas apjoms ir </w:t>
      </w:r>
      <w:r w:rsidR="00DD0CA7" w:rsidRPr="00DD0CA7">
        <w:rPr>
          <w:b/>
          <w:bCs/>
          <w:noProof/>
          <w:szCs w:val="20"/>
        </w:rPr>
        <w:t>148,4</w:t>
      </w:r>
      <w:r w:rsidRPr="00DD0CA7">
        <w:rPr>
          <w:noProof/>
          <w:szCs w:val="20"/>
        </w:rPr>
        <w:t xml:space="preserve"> milj. </w:t>
      </w:r>
      <w:r w:rsidRPr="00DD0CA7">
        <w:rPr>
          <w:i/>
          <w:iCs/>
          <w:noProof/>
          <w:szCs w:val="20"/>
        </w:rPr>
        <w:t>euro</w:t>
      </w:r>
      <w:r w:rsidRPr="00DD0CA7">
        <w:rPr>
          <w:noProof/>
          <w:szCs w:val="20"/>
        </w:rPr>
        <w:t>, 202</w:t>
      </w:r>
      <w:r w:rsidR="00DD0CA7" w:rsidRPr="00DD0CA7">
        <w:rPr>
          <w:noProof/>
          <w:szCs w:val="20"/>
        </w:rPr>
        <w:t>5</w:t>
      </w:r>
      <w:r w:rsidRPr="00DD0CA7">
        <w:rPr>
          <w:noProof/>
          <w:szCs w:val="20"/>
        </w:rPr>
        <w:t xml:space="preserve">. gadā </w:t>
      </w:r>
      <w:r w:rsidRPr="00DD0CA7">
        <w:rPr>
          <w:b/>
          <w:bCs/>
          <w:noProof/>
          <w:szCs w:val="20"/>
        </w:rPr>
        <w:t>4</w:t>
      </w:r>
      <w:r w:rsidR="00DD0CA7" w:rsidRPr="00DD0CA7">
        <w:rPr>
          <w:b/>
          <w:bCs/>
          <w:noProof/>
          <w:szCs w:val="20"/>
        </w:rPr>
        <w:t>50,3</w:t>
      </w:r>
      <w:r w:rsidRPr="00DD0CA7">
        <w:rPr>
          <w:noProof/>
          <w:szCs w:val="20"/>
        </w:rPr>
        <w:t xml:space="preserve"> milj. </w:t>
      </w:r>
      <w:r w:rsidRPr="00DD0CA7">
        <w:rPr>
          <w:i/>
          <w:iCs/>
          <w:noProof/>
          <w:szCs w:val="20"/>
        </w:rPr>
        <w:t>euro</w:t>
      </w:r>
      <w:r w:rsidRPr="00DD0CA7">
        <w:rPr>
          <w:noProof/>
          <w:szCs w:val="20"/>
        </w:rPr>
        <w:t xml:space="preserve"> un 2025. gadā </w:t>
      </w:r>
      <w:r w:rsidR="00DD0CA7" w:rsidRPr="00DD0CA7">
        <w:rPr>
          <w:b/>
          <w:bCs/>
          <w:noProof/>
          <w:szCs w:val="20"/>
        </w:rPr>
        <w:t>684,3</w:t>
      </w:r>
      <w:r w:rsidRPr="00DD0CA7">
        <w:rPr>
          <w:noProof/>
          <w:szCs w:val="20"/>
        </w:rPr>
        <w:t xml:space="preserve"> milj. </w:t>
      </w:r>
      <w:r w:rsidRPr="00DD0CA7">
        <w:rPr>
          <w:i/>
          <w:iCs/>
          <w:noProof/>
          <w:szCs w:val="20"/>
        </w:rPr>
        <w:t>euro</w:t>
      </w:r>
      <w:r w:rsidRPr="00DD0CA7">
        <w:rPr>
          <w:noProof/>
          <w:szCs w:val="20"/>
        </w:rPr>
        <w:t xml:space="preserve">. </w:t>
      </w:r>
    </w:p>
    <w:p w14:paraId="4BEC436E" w14:textId="27757677" w:rsidR="006634E0" w:rsidRPr="00867C96" w:rsidRDefault="006B0A1E" w:rsidP="00867C96">
      <w:pPr>
        <w:rPr>
          <w:szCs w:val="20"/>
        </w:rPr>
      </w:pPr>
      <w:r w:rsidRPr="00DD0CA7">
        <w:rPr>
          <w:noProof/>
          <w:szCs w:val="20"/>
        </w:rPr>
        <w:t xml:space="preserve">Kā jau tika minēts, </w:t>
      </w:r>
      <w:r w:rsidR="00DD0CA7" w:rsidRPr="00DD0CA7">
        <w:rPr>
          <w:noProof/>
          <w:szCs w:val="20"/>
        </w:rPr>
        <w:t>saskaņā ar fiskālās politikas stratēģiju, ārpus fiskālās telpas ir iespējams finansēt vienreizējos no kara Ukrainā</w:t>
      </w:r>
      <w:r w:rsidR="00DD0CA7">
        <w:rPr>
          <w:noProof/>
          <w:szCs w:val="20"/>
        </w:rPr>
        <w:t xml:space="preserve"> izrietošos valsts iekšējās un ārējās drošības pasākumus, atbalstu Ukrainai un tās civiliedzīvotājiem Latvijā, kā arī, nepieciešamības gadījumā -  </w:t>
      </w:r>
      <w:r w:rsidR="00DD0CA7" w:rsidRPr="00266EF8">
        <w:rPr>
          <w:szCs w:val="20"/>
        </w:rPr>
        <w:t>enerģijas cenu būtiskā pieauguma kompensācij</w:t>
      </w:r>
      <w:r w:rsidR="00DD0CA7">
        <w:rPr>
          <w:szCs w:val="20"/>
        </w:rPr>
        <w:t>u.</w:t>
      </w:r>
    </w:p>
    <w:p w14:paraId="684EB4CA" w14:textId="418A2362" w:rsidR="003F3FCD" w:rsidRPr="00B93389" w:rsidRDefault="00941601" w:rsidP="00DB14A4">
      <w:pPr>
        <w:pStyle w:val="H3"/>
      </w:pPr>
      <w:bookmarkStart w:id="57" w:name="_Toc126236645"/>
      <w:r w:rsidRPr="00B93389">
        <w:t>2.1.2</w:t>
      </w:r>
      <w:r w:rsidR="00E8646E" w:rsidRPr="00B93389">
        <w:t xml:space="preserve">. </w:t>
      </w:r>
      <w:r w:rsidR="000548A5" w:rsidRPr="00B93389">
        <w:t>Koriģēto maksimāli pieļaujamo valsts budžeta izdevumu noteikšana</w:t>
      </w:r>
      <w:bookmarkEnd w:id="57"/>
    </w:p>
    <w:p w14:paraId="6DF6467C" w14:textId="77777777" w:rsidR="006B0A1E" w:rsidRPr="00DD0CA7" w:rsidRDefault="000226D6" w:rsidP="00C8209A">
      <w:pPr>
        <w:widowControl w:val="0"/>
        <w:rPr>
          <w:rFonts w:eastAsia="Times New Roman" w:cs="Times New Roman"/>
        </w:rPr>
      </w:pPr>
      <w:r w:rsidRPr="00DD0CA7">
        <w:rPr>
          <w:rFonts w:eastAsia="Times New Roman" w:cs="Times New Roman"/>
        </w:rPr>
        <w:t xml:space="preserve">Atbilstoši </w:t>
      </w:r>
      <w:r w:rsidR="001D14A4" w:rsidRPr="00DD0CA7">
        <w:rPr>
          <w:rFonts w:eastAsia="Times New Roman" w:cs="Times New Roman"/>
        </w:rPr>
        <w:t>FDL</w:t>
      </w:r>
      <w:r w:rsidR="00071293" w:rsidRPr="00DD0CA7">
        <w:rPr>
          <w:rFonts w:eastAsia="Times New Roman" w:cs="Times New Roman"/>
        </w:rPr>
        <w:t xml:space="preserve"> nosacījumiem, līdztekus citi</w:t>
      </w:r>
      <w:r w:rsidRPr="00DD0CA7">
        <w:rPr>
          <w:rFonts w:eastAsia="Times New Roman" w:cs="Times New Roman"/>
        </w:rPr>
        <w:t>em fiskālajiem rādītājiem, vidēja termiņa budžeta ietvara veidošanas</w:t>
      </w:r>
      <w:r w:rsidR="00071293" w:rsidRPr="00DD0CA7">
        <w:rPr>
          <w:rFonts w:eastAsia="Times New Roman" w:cs="Times New Roman"/>
        </w:rPr>
        <w:t xml:space="preserve"> ietvaros ir nepieciešams aprēķināt koriģētos maksimāli pieļaujamos valsts budžeta izdevumus. Šī fiskālā rādītāja aprēķināšanas</w:t>
      </w:r>
      <w:r w:rsidRPr="00DD0CA7">
        <w:rPr>
          <w:rFonts w:eastAsia="Times New Roman" w:cs="Times New Roman"/>
        </w:rPr>
        <w:t xml:space="preserve"> vispārējos principus nosaka </w:t>
      </w:r>
      <w:r w:rsidR="001D14A4" w:rsidRPr="00DD0CA7">
        <w:rPr>
          <w:rFonts w:eastAsia="Times New Roman" w:cs="Times New Roman"/>
        </w:rPr>
        <w:t>FDL</w:t>
      </w:r>
      <w:r w:rsidR="00071293" w:rsidRPr="00DD0CA7">
        <w:rPr>
          <w:rFonts w:eastAsia="Times New Roman" w:cs="Times New Roman"/>
        </w:rPr>
        <w:t xml:space="preserve"> 15.</w:t>
      </w:r>
      <w:r w:rsidRPr="00DD0CA7">
        <w:rPr>
          <w:rFonts w:eastAsia="Times New Roman" w:cs="Times New Roman"/>
        </w:rPr>
        <w:t xml:space="preserve"> </w:t>
      </w:r>
      <w:r w:rsidR="00071293" w:rsidRPr="00DD0CA7">
        <w:rPr>
          <w:rFonts w:eastAsia="Times New Roman" w:cs="Times New Roman"/>
        </w:rPr>
        <w:t>pants</w:t>
      </w:r>
      <w:r w:rsidR="006B0A1E" w:rsidRPr="00DD0CA7">
        <w:rPr>
          <w:rFonts w:eastAsia="Times New Roman" w:cs="Times New Roman"/>
        </w:rPr>
        <w:t>.</w:t>
      </w:r>
    </w:p>
    <w:p w14:paraId="19972401" w14:textId="2FAA05E7" w:rsidR="006B0A1E" w:rsidRPr="00DD0CA7" w:rsidRDefault="006B0A1E" w:rsidP="00C8209A">
      <w:pPr>
        <w:widowControl w:val="0"/>
        <w:rPr>
          <w:rFonts w:eastAsia="Times New Roman" w:cs="Times New Roman"/>
        </w:rPr>
      </w:pPr>
      <w:r w:rsidRPr="00DD0CA7">
        <w:rPr>
          <w:rFonts w:eastAsia="Times New Roman" w:cs="Times New Roman"/>
        </w:rPr>
        <w:t xml:space="preserve">Izdevumu izlīdzināšanas mērķis ir vidējā termiņā novērst augsti svārstīgu valsts budžeta izdevumu kategoriju ietekmi uz kopējo valsts budžeta izdevumu apmēru, tādejādi plānošanas fāzē nodrošinot izdevumu stabilitāti vidējā termiņā. Praksē ir pierādījies, ka šis mehānisms nestrādā, jo būtiskāku nenoteiktību rada fondu prognožu un izpildes atšķirības un </w:t>
      </w:r>
      <w:proofErr w:type="spellStart"/>
      <w:r w:rsidRPr="00DD0CA7">
        <w:rPr>
          <w:rFonts w:eastAsia="Times New Roman" w:cs="Times New Roman"/>
        </w:rPr>
        <w:t>virssaistību</w:t>
      </w:r>
      <w:proofErr w:type="spellEnd"/>
      <w:r w:rsidRPr="00DD0CA7">
        <w:rPr>
          <w:rFonts w:eastAsia="Times New Roman" w:cs="Times New Roman"/>
        </w:rPr>
        <w:t xml:space="preserve"> mehānisms.</w:t>
      </w:r>
    </w:p>
    <w:p w14:paraId="564CF4E2" w14:textId="5A39956E" w:rsidR="006B0A1E" w:rsidRPr="00DD0CA7" w:rsidRDefault="006B0A1E" w:rsidP="00C8209A">
      <w:pPr>
        <w:widowControl w:val="0"/>
        <w:rPr>
          <w:rFonts w:eastAsia="Times New Roman" w:cs="Times New Roman"/>
        </w:rPr>
      </w:pPr>
      <w:r w:rsidRPr="00DD0CA7">
        <w:rPr>
          <w:rFonts w:eastAsia="Times New Roman" w:cs="Times New Roman"/>
        </w:rPr>
        <w:t xml:space="preserve">Līdz ar to </w:t>
      </w:r>
      <w:r w:rsidR="005C2FAE" w:rsidRPr="00DD0CA7">
        <w:rPr>
          <w:rFonts w:eastAsia="Times New Roman" w:cs="Times New Roman"/>
        </w:rPr>
        <w:t xml:space="preserve">šā likuma </w:t>
      </w:r>
      <w:r w:rsidR="005C2FAE" w:rsidRPr="00273357">
        <w:rPr>
          <w:rFonts w:eastAsia="Times New Roman" w:cs="Times New Roman"/>
        </w:rPr>
        <w:t>9</w:t>
      </w:r>
      <w:r w:rsidR="005C2FAE" w:rsidRPr="00DD0CA7">
        <w:rPr>
          <w:rFonts w:eastAsia="Times New Roman" w:cs="Times New Roman"/>
        </w:rPr>
        <w:t>. pantā</w:t>
      </w:r>
      <w:r w:rsidRPr="00DD0CA7">
        <w:rPr>
          <w:rFonts w:eastAsia="Times New Roman" w:cs="Times New Roman"/>
        </w:rPr>
        <w:t xml:space="preserve"> ir ietverta norma, ka izlīdzinātie izdevumi tiek noteikti faktiski prognozēto izdevumu apjomā, tādā veidā faktiski neveicot izdevumu izlīdzināšanu.</w:t>
      </w:r>
    </w:p>
    <w:p w14:paraId="17BA19F3" w14:textId="441BC197" w:rsidR="00071293" w:rsidRPr="00DD0CA7" w:rsidRDefault="006B0A1E" w:rsidP="00C8209A">
      <w:pPr>
        <w:widowControl w:val="0"/>
        <w:rPr>
          <w:rFonts w:eastAsia="Times New Roman" w:cs="Times New Roman"/>
        </w:rPr>
      </w:pPr>
      <w:r w:rsidRPr="002D1772">
        <w:rPr>
          <w:rFonts w:eastAsia="Times New Roman" w:cs="Times New Roman"/>
        </w:rPr>
        <w:t>2.</w:t>
      </w:r>
      <w:r w:rsidR="002D1772" w:rsidRPr="002D1772">
        <w:rPr>
          <w:rFonts w:eastAsia="Times New Roman" w:cs="Times New Roman"/>
        </w:rPr>
        <w:t>5</w:t>
      </w:r>
      <w:r w:rsidRPr="002D1772">
        <w:rPr>
          <w:rFonts w:eastAsia="Times New Roman" w:cs="Times New Roman"/>
        </w:rPr>
        <w:t>.</w:t>
      </w:r>
      <w:r w:rsidRPr="00DD0CA7">
        <w:rPr>
          <w:rFonts w:eastAsia="Times New Roman" w:cs="Times New Roman"/>
        </w:rPr>
        <w:t xml:space="preserve"> tabulā ir parādīta koriģēto izdevumu aprēķināšana saskaņā ar FDL noteikto kārtību ar to atšķirību, ka izlīdzināto izdevumu vietā tiek ņemti faktiskie attiecīgajā gadā prognozētie izdevumi.   </w:t>
      </w:r>
    </w:p>
    <w:p w14:paraId="59823B98" w14:textId="6A057ADA" w:rsidR="00071293" w:rsidRPr="00DD0CA7" w:rsidRDefault="00071293" w:rsidP="00C8209A">
      <w:pPr>
        <w:widowControl w:val="0"/>
        <w:rPr>
          <w:rFonts w:ascii="Calibri" w:eastAsia="Calibri" w:hAnsi="Calibri" w:cs="Calibri"/>
          <w:sz w:val="22"/>
        </w:rPr>
      </w:pPr>
      <w:r w:rsidRPr="00DD0CA7">
        <w:rPr>
          <w:rFonts w:eastAsia="Times New Roman" w:cs="Times New Roman"/>
        </w:rPr>
        <w:t xml:space="preserve">Aprēķinu algoritms tiek uzsākts ar minimāli plānojamās vispārējās valdības strukturālās bilances mērķa definēšanu, kas saskaņā ar iepriekšējās sadaļas aprakstu </w:t>
      </w:r>
      <w:r w:rsidRPr="00DD0CA7">
        <w:rPr>
          <w:rFonts w:eastAsia="Times New Roman" w:cs="Times New Roman"/>
          <w:color w:val="000000"/>
        </w:rPr>
        <w:t>202</w:t>
      </w:r>
      <w:r w:rsidR="00DD0CA7">
        <w:rPr>
          <w:rFonts w:eastAsia="Times New Roman" w:cs="Times New Roman"/>
          <w:color w:val="000000"/>
        </w:rPr>
        <w:t>4</w:t>
      </w:r>
      <w:r w:rsidRPr="00DD0CA7">
        <w:rPr>
          <w:rFonts w:eastAsia="Times New Roman" w:cs="Times New Roman"/>
          <w:color w:val="000000"/>
        </w:rPr>
        <w:t>.</w:t>
      </w:r>
      <w:r w:rsidR="000226D6" w:rsidRPr="00DD0CA7">
        <w:rPr>
          <w:rFonts w:eastAsia="Times New Roman" w:cs="Times New Roman"/>
          <w:color w:val="000000"/>
        </w:rPr>
        <w:t xml:space="preserve"> </w:t>
      </w:r>
      <w:r w:rsidRPr="00DD0CA7">
        <w:rPr>
          <w:rFonts w:eastAsia="Times New Roman" w:cs="Times New Roman"/>
          <w:color w:val="000000"/>
        </w:rPr>
        <w:t>gadā ir -</w:t>
      </w:r>
      <w:r w:rsidR="00623500" w:rsidRPr="00DD0CA7">
        <w:rPr>
          <w:rFonts w:eastAsia="Times New Roman" w:cs="Times New Roman"/>
          <w:color w:val="000000"/>
        </w:rPr>
        <w:t>0,5</w:t>
      </w:r>
      <w:r w:rsidR="000226D6" w:rsidRPr="00DD0CA7">
        <w:rPr>
          <w:rFonts w:eastAsia="Times New Roman" w:cs="Times New Roman"/>
          <w:color w:val="000000"/>
        </w:rPr>
        <w:t xml:space="preserve">% no </w:t>
      </w:r>
      <w:r w:rsidR="00623500" w:rsidRPr="00DD0CA7">
        <w:rPr>
          <w:rFonts w:eastAsia="Times New Roman" w:cs="Times New Roman"/>
          <w:color w:val="000000"/>
        </w:rPr>
        <w:t>IKP</w:t>
      </w:r>
      <w:r w:rsidRPr="00DD0CA7">
        <w:rPr>
          <w:rFonts w:eastAsia="Times New Roman" w:cs="Times New Roman"/>
          <w:color w:val="000000"/>
        </w:rPr>
        <w:t>, 202</w:t>
      </w:r>
      <w:r w:rsidR="00DD0CA7">
        <w:rPr>
          <w:rFonts w:eastAsia="Times New Roman" w:cs="Times New Roman"/>
          <w:color w:val="000000"/>
        </w:rPr>
        <w:t>5</w:t>
      </w:r>
      <w:r w:rsidRPr="00DD0CA7">
        <w:rPr>
          <w:rFonts w:eastAsia="Times New Roman" w:cs="Times New Roman"/>
          <w:color w:val="000000"/>
        </w:rPr>
        <w:t>.</w:t>
      </w:r>
      <w:r w:rsidR="000226D6" w:rsidRPr="00DD0CA7">
        <w:rPr>
          <w:rFonts w:eastAsia="Times New Roman" w:cs="Times New Roman"/>
          <w:color w:val="000000"/>
        </w:rPr>
        <w:t xml:space="preserve"> </w:t>
      </w:r>
      <w:r w:rsidRPr="00DD0CA7">
        <w:rPr>
          <w:rFonts w:eastAsia="Times New Roman" w:cs="Times New Roman"/>
          <w:color w:val="000000"/>
        </w:rPr>
        <w:t>gadā ir -</w:t>
      </w:r>
      <w:r w:rsidR="00623500" w:rsidRPr="00DD0CA7">
        <w:rPr>
          <w:rFonts w:eastAsia="Times New Roman" w:cs="Times New Roman"/>
          <w:color w:val="000000"/>
        </w:rPr>
        <w:t>0,5</w:t>
      </w:r>
      <w:r w:rsidR="000226D6" w:rsidRPr="00DD0CA7">
        <w:rPr>
          <w:rFonts w:eastAsia="Times New Roman" w:cs="Times New Roman"/>
          <w:color w:val="000000"/>
        </w:rPr>
        <w:t xml:space="preserve">% no </w:t>
      </w:r>
      <w:r w:rsidR="00623500" w:rsidRPr="00DD0CA7">
        <w:rPr>
          <w:rFonts w:eastAsia="Times New Roman" w:cs="Times New Roman"/>
          <w:color w:val="000000"/>
        </w:rPr>
        <w:t>IKP</w:t>
      </w:r>
      <w:r w:rsidRPr="00DD0CA7">
        <w:rPr>
          <w:rFonts w:eastAsia="Times New Roman" w:cs="Times New Roman"/>
          <w:color w:val="000000"/>
        </w:rPr>
        <w:t xml:space="preserve"> un 202</w:t>
      </w:r>
      <w:r w:rsidR="00DD0CA7">
        <w:rPr>
          <w:rFonts w:eastAsia="Times New Roman" w:cs="Times New Roman"/>
          <w:color w:val="000000"/>
        </w:rPr>
        <w:t>6</w:t>
      </w:r>
      <w:r w:rsidRPr="00DD0CA7">
        <w:rPr>
          <w:rFonts w:eastAsia="Times New Roman" w:cs="Times New Roman"/>
          <w:color w:val="000000"/>
        </w:rPr>
        <w:t>.</w:t>
      </w:r>
      <w:r w:rsidR="000226D6" w:rsidRPr="00DD0CA7">
        <w:rPr>
          <w:rFonts w:eastAsia="Times New Roman" w:cs="Times New Roman"/>
          <w:color w:val="000000"/>
        </w:rPr>
        <w:t xml:space="preserve"> </w:t>
      </w:r>
      <w:r w:rsidRPr="00DD0CA7">
        <w:rPr>
          <w:rFonts w:eastAsia="Times New Roman" w:cs="Times New Roman"/>
          <w:color w:val="000000"/>
        </w:rPr>
        <w:t>gadā ir -</w:t>
      </w:r>
      <w:r w:rsidR="00623500" w:rsidRPr="00DD0CA7">
        <w:rPr>
          <w:rFonts w:eastAsia="Times New Roman" w:cs="Times New Roman"/>
          <w:color w:val="000000"/>
        </w:rPr>
        <w:t>0,5</w:t>
      </w:r>
      <w:r w:rsidR="000226D6" w:rsidRPr="00DD0CA7">
        <w:rPr>
          <w:rFonts w:eastAsia="Times New Roman" w:cs="Times New Roman"/>
          <w:color w:val="000000"/>
        </w:rPr>
        <w:t xml:space="preserve">% no </w:t>
      </w:r>
      <w:r w:rsidR="00623500" w:rsidRPr="00DD0CA7">
        <w:rPr>
          <w:rFonts w:eastAsia="Times New Roman" w:cs="Times New Roman"/>
          <w:color w:val="000000"/>
        </w:rPr>
        <w:t>IKP</w:t>
      </w:r>
      <w:r w:rsidRPr="00DD0CA7">
        <w:rPr>
          <w:rFonts w:eastAsia="Times New Roman" w:cs="Times New Roman"/>
          <w:color w:val="000000"/>
        </w:rPr>
        <w:t>.</w:t>
      </w:r>
    </w:p>
    <w:p w14:paraId="74351886" w14:textId="6ABD3E29" w:rsidR="00071293" w:rsidRPr="00DD0CA7" w:rsidRDefault="00071293" w:rsidP="00C8209A">
      <w:pPr>
        <w:widowControl w:val="0"/>
        <w:rPr>
          <w:rFonts w:ascii="Calibri" w:eastAsia="Calibri" w:hAnsi="Calibri" w:cs="Calibri"/>
          <w:sz w:val="22"/>
        </w:rPr>
      </w:pPr>
      <w:r w:rsidRPr="00DD0CA7">
        <w:rPr>
          <w:rFonts w:eastAsia="Times New Roman" w:cs="Times New Roman"/>
        </w:rPr>
        <w:t>Turpmākie algoritma soļi paredz aprēķināt vispārējās valdības budžeta bilances apmēru, kas atbilst minimāli plānojamam vispārējās valdības strukturālās bilances mērķim. To aprēķina pie minimāli plānojamā vispārējās valdības strukturālās bilances mērķa pieskaitot vispārējās valdības budžeta bilances ciklisko komponenti un</w:t>
      </w:r>
      <w:r w:rsidR="006B0A1E" w:rsidRPr="00DD0CA7">
        <w:rPr>
          <w:rFonts w:eastAsia="Times New Roman" w:cs="Times New Roman"/>
        </w:rPr>
        <w:t xml:space="preserve"> </w:t>
      </w:r>
      <w:r w:rsidRPr="00DD0CA7">
        <w:rPr>
          <w:rFonts w:eastAsia="Times New Roman" w:cs="Times New Roman"/>
        </w:rPr>
        <w:t>vienreizējos un citus pagaidu pasākumus (</w:t>
      </w:r>
      <w:proofErr w:type="spellStart"/>
      <w:r w:rsidRPr="00DD0CA7">
        <w:rPr>
          <w:rFonts w:eastAsia="Times New Roman" w:cs="Times New Roman"/>
          <w:i/>
        </w:rPr>
        <w:t>one-off</w:t>
      </w:r>
      <w:proofErr w:type="spellEnd"/>
      <w:r w:rsidRPr="00DD0CA7">
        <w:rPr>
          <w:rFonts w:eastAsia="Times New Roman" w:cs="Times New Roman"/>
          <w:i/>
        </w:rPr>
        <w:t xml:space="preserve"> </w:t>
      </w:r>
      <w:proofErr w:type="spellStart"/>
      <w:r w:rsidRPr="00DD0CA7">
        <w:rPr>
          <w:rFonts w:eastAsia="Times New Roman" w:cs="Times New Roman"/>
          <w:i/>
        </w:rPr>
        <w:t>and</w:t>
      </w:r>
      <w:proofErr w:type="spellEnd"/>
      <w:r w:rsidRPr="00DD0CA7">
        <w:rPr>
          <w:rFonts w:eastAsia="Times New Roman" w:cs="Times New Roman"/>
          <w:i/>
        </w:rPr>
        <w:t xml:space="preserve"> </w:t>
      </w:r>
      <w:proofErr w:type="spellStart"/>
      <w:r w:rsidRPr="00DD0CA7">
        <w:rPr>
          <w:rFonts w:eastAsia="Times New Roman" w:cs="Times New Roman"/>
          <w:i/>
        </w:rPr>
        <w:t>other</w:t>
      </w:r>
      <w:proofErr w:type="spellEnd"/>
      <w:r w:rsidRPr="00DD0CA7">
        <w:rPr>
          <w:rFonts w:eastAsia="Times New Roman" w:cs="Times New Roman"/>
          <w:i/>
        </w:rPr>
        <w:t xml:space="preserve"> </w:t>
      </w:r>
      <w:proofErr w:type="spellStart"/>
      <w:r w:rsidRPr="00DD0CA7">
        <w:rPr>
          <w:rFonts w:eastAsia="Times New Roman" w:cs="Times New Roman"/>
          <w:i/>
        </w:rPr>
        <w:t>temporary</w:t>
      </w:r>
      <w:proofErr w:type="spellEnd"/>
      <w:r w:rsidRPr="00DD0CA7">
        <w:rPr>
          <w:rFonts w:eastAsia="Times New Roman" w:cs="Times New Roman"/>
          <w:i/>
        </w:rPr>
        <w:t xml:space="preserve"> </w:t>
      </w:r>
      <w:proofErr w:type="spellStart"/>
      <w:r w:rsidRPr="00DD0CA7">
        <w:rPr>
          <w:rFonts w:eastAsia="Times New Roman" w:cs="Times New Roman"/>
          <w:i/>
        </w:rPr>
        <w:t>measures</w:t>
      </w:r>
      <w:proofErr w:type="spellEnd"/>
      <w:r w:rsidRPr="00DD0CA7">
        <w:rPr>
          <w:rFonts w:eastAsia="Times New Roman" w:cs="Times New Roman"/>
        </w:rPr>
        <w:t>). Līdz ar to tiek iegūta vispārējās valdības budžeta bilance monetārajā izteiksmē, kas 202</w:t>
      </w:r>
      <w:r w:rsidR="00DD0CA7" w:rsidRPr="00DD0CA7">
        <w:rPr>
          <w:rFonts w:eastAsia="Times New Roman" w:cs="Times New Roman"/>
        </w:rPr>
        <w:t>4</w:t>
      </w:r>
      <w:r w:rsidRPr="00DD0CA7">
        <w:rPr>
          <w:rFonts w:eastAsia="Times New Roman" w:cs="Times New Roman"/>
        </w:rPr>
        <w:t>.</w:t>
      </w:r>
      <w:r w:rsidR="000226D6" w:rsidRPr="00DD0CA7">
        <w:rPr>
          <w:rFonts w:eastAsia="Times New Roman" w:cs="Times New Roman"/>
        </w:rPr>
        <w:t xml:space="preserve"> </w:t>
      </w:r>
      <w:r w:rsidRPr="00DD0CA7">
        <w:rPr>
          <w:rFonts w:eastAsia="Times New Roman" w:cs="Times New Roman"/>
        </w:rPr>
        <w:t xml:space="preserve">gadā ir </w:t>
      </w:r>
      <w:r w:rsidRPr="00C00C97">
        <w:rPr>
          <w:rFonts w:eastAsia="Times New Roman" w:cs="Times New Roman"/>
        </w:rPr>
        <w:t>-</w:t>
      </w:r>
      <w:r w:rsidR="00C00C97">
        <w:rPr>
          <w:rFonts w:eastAsia="Times New Roman" w:cs="Times New Roman"/>
        </w:rPr>
        <w:t>1 332,4</w:t>
      </w:r>
      <w:r w:rsidRPr="00DD0CA7">
        <w:rPr>
          <w:rFonts w:eastAsia="Times New Roman" w:cs="Times New Roman"/>
        </w:rPr>
        <w:t xml:space="preserve"> milj. </w:t>
      </w:r>
      <w:proofErr w:type="spellStart"/>
      <w:r w:rsidRPr="00DD0CA7">
        <w:rPr>
          <w:rFonts w:eastAsia="Times New Roman" w:cs="Times New Roman"/>
          <w:i/>
        </w:rPr>
        <w:t>euro</w:t>
      </w:r>
      <w:proofErr w:type="spellEnd"/>
      <w:r w:rsidRPr="00DD0CA7">
        <w:rPr>
          <w:rFonts w:eastAsia="Times New Roman" w:cs="Times New Roman"/>
        </w:rPr>
        <w:t>, 202</w:t>
      </w:r>
      <w:r w:rsidR="00DD0CA7" w:rsidRPr="00DD0CA7">
        <w:rPr>
          <w:rFonts w:eastAsia="Times New Roman" w:cs="Times New Roman"/>
        </w:rPr>
        <w:t>5</w:t>
      </w:r>
      <w:r w:rsidRPr="00DD0CA7">
        <w:rPr>
          <w:rFonts w:eastAsia="Times New Roman" w:cs="Times New Roman"/>
        </w:rPr>
        <w:t>.</w:t>
      </w:r>
      <w:r w:rsidR="000226D6" w:rsidRPr="00DD0CA7">
        <w:rPr>
          <w:rFonts w:eastAsia="Times New Roman" w:cs="Times New Roman"/>
        </w:rPr>
        <w:t xml:space="preserve"> </w:t>
      </w:r>
      <w:r w:rsidRPr="00DD0CA7">
        <w:rPr>
          <w:rFonts w:eastAsia="Times New Roman" w:cs="Times New Roman"/>
        </w:rPr>
        <w:t>gadā ir -</w:t>
      </w:r>
      <w:r w:rsidR="00C00C97">
        <w:rPr>
          <w:rFonts w:eastAsia="Times New Roman" w:cs="Times New Roman"/>
        </w:rPr>
        <w:t>1 247,3</w:t>
      </w:r>
      <w:r w:rsidR="000226D6" w:rsidRPr="00DD0CA7">
        <w:rPr>
          <w:rFonts w:eastAsia="Times New Roman" w:cs="Times New Roman"/>
        </w:rPr>
        <w:t xml:space="preserve"> </w:t>
      </w:r>
      <w:r w:rsidRPr="00DD0CA7">
        <w:rPr>
          <w:rFonts w:eastAsia="Times New Roman" w:cs="Times New Roman"/>
        </w:rPr>
        <w:t xml:space="preserve">milj. </w:t>
      </w:r>
      <w:proofErr w:type="spellStart"/>
      <w:r w:rsidRPr="00DD0CA7">
        <w:rPr>
          <w:rFonts w:eastAsia="Times New Roman" w:cs="Times New Roman"/>
          <w:i/>
        </w:rPr>
        <w:t>euro</w:t>
      </w:r>
      <w:proofErr w:type="spellEnd"/>
      <w:r w:rsidRPr="00DD0CA7">
        <w:rPr>
          <w:rFonts w:eastAsia="Times New Roman" w:cs="Times New Roman"/>
        </w:rPr>
        <w:t xml:space="preserve"> un 202</w:t>
      </w:r>
      <w:r w:rsidR="00DD0CA7" w:rsidRPr="00DD0CA7">
        <w:rPr>
          <w:rFonts w:eastAsia="Times New Roman" w:cs="Times New Roman"/>
        </w:rPr>
        <w:t>6</w:t>
      </w:r>
      <w:r w:rsidRPr="00DD0CA7">
        <w:rPr>
          <w:rFonts w:eastAsia="Times New Roman" w:cs="Times New Roman"/>
        </w:rPr>
        <w:t>.</w:t>
      </w:r>
      <w:r w:rsidR="000226D6" w:rsidRPr="00DD0CA7">
        <w:rPr>
          <w:rFonts w:eastAsia="Times New Roman" w:cs="Times New Roman"/>
        </w:rPr>
        <w:t xml:space="preserve"> </w:t>
      </w:r>
      <w:r w:rsidRPr="00DD0CA7">
        <w:rPr>
          <w:rFonts w:eastAsia="Times New Roman" w:cs="Times New Roman"/>
        </w:rPr>
        <w:t>gadā ir -</w:t>
      </w:r>
      <w:r w:rsidR="00C00C97">
        <w:rPr>
          <w:rFonts w:eastAsia="Times New Roman" w:cs="Times New Roman"/>
        </w:rPr>
        <w:t>859,3</w:t>
      </w:r>
      <w:r w:rsidRPr="00DD0CA7">
        <w:rPr>
          <w:rFonts w:eastAsia="Times New Roman" w:cs="Times New Roman"/>
        </w:rPr>
        <w:t xml:space="preserve"> milj. </w:t>
      </w:r>
      <w:proofErr w:type="spellStart"/>
      <w:r w:rsidRPr="00DD0CA7">
        <w:rPr>
          <w:rFonts w:eastAsia="Times New Roman" w:cs="Times New Roman"/>
          <w:i/>
        </w:rPr>
        <w:t>euro</w:t>
      </w:r>
      <w:proofErr w:type="spellEnd"/>
      <w:r w:rsidRPr="00DD0CA7">
        <w:rPr>
          <w:rFonts w:eastAsia="Times New Roman" w:cs="Times New Roman"/>
        </w:rPr>
        <w:t>.</w:t>
      </w:r>
    </w:p>
    <w:p w14:paraId="33FAB282" w14:textId="2FFE1F28" w:rsidR="00071293" w:rsidRPr="00DD0CA7" w:rsidRDefault="006B0A1E" w:rsidP="00C8209A">
      <w:pPr>
        <w:widowControl w:val="0"/>
        <w:rPr>
          <w:rFonts w:ascii="Calibri" w:eastAsia="Calibri" w:hAnsi="Calibri" w:cs="Calibri"/>
          <w:sz w:val="22"/>
        </w:rPr>
      </w:pPr>
      <w:r w:rsidRPr="00DD0CA7">
        <w:rPr>
          <w:rFonts w:eastAsia="Times New Roman" w:cs="Times New Roman"/>
        </w:rPr>
        <w:t>Tālāk tiek aprēķināta valsts budžeta bilance pēc naudas plūsmas metodes</w:t>
      </w:r>
      <w:r w:rsidR="00071293" w:rsidRPr="00DD0CA7">
        <w:rPr>
          <w:rFonts w:eastAsia="Times New Roman" w:cs="Times New Roman"/>
        </w:rPr>
        <w:t xml:space="preserve">, ko iegūst no iepriekš aprēķinātās vispārējās valdības budžeta bilances atskaitot prognozēto pašvaldību budžeta bilanci, prognozēto atvasināto publisko personu un budžeta nefinansēto iestāžu budžeta bilanci, kā arī EKS korekciju apjomu. Veicot iepriekš minētās darbības, tiek iegūta valsts budžeta bilance </w:t>
      </w:r>
      <w:r w:rsidR="00C00C97">
        <w:rPr>
          <w:rFonts w:eastAsia="Times New Roman" w:cs="Times New Roman"/>
        </w:rPr>
        <w:t xml:space="preserve"> </w:t>
      </w:r>
      <w:r w:rsidR="00071293" w:rsidRPr="00DD0CA7">
        <w:rPr>
          <w:rFonts w:eastAsia="Times New Roman" w:cs="Times New Roman"/>
        </w:rPr>
        <w:t xml:space="preserve">katram </w:t>
      </w:r>
      <w:r w:rsidR="00C00C97">
        <w:rPr>
          <w:rFonts w:eastAsia="Times New Roman" w:cs="Times New Roman"/>
        </w:rPr>
        <w:t xml:space="preserve"> </w:t>
      </w:r>
      <w:r w:rsidR="00071293" w:rsidRPr="00DD0CA7">
        <w:rPr>
          <w:rFonts w:eastAsia="Times New Roman" w:cs="Times New Roman"/>
        </w:rPr>
        <w:t>gadam. Tās apmērs 202</w:t>
      </w:r>
      <w:r w:rsidR="00DD0CA7">
        <w:rPr>
          <w:rFonts w:eastAsia="Times New Roman" w:cs="Times New Roman"/>
        </w:rPr>
        <w:t>4</w:t>
      </w:r>
      <w:r w:rsidR="00071293" w:rsidRPr="00DD0CA7">
        <w:rPr>
          <w:rFonts w:eastAsia="Times New Roman" w:cs="Times New Roman"/>
        </w:rPr>
        <w:t>.</w:t>
      </w:r>
      <w:r w:rsidR="000226D6" w:rsidRPr="00DD0CA7">
        <w:rPr>
          <w:rFonts w:eastAsia="Times New Roman" w:cs="Times New Roman"/>
        </w:rPr>
        <w:t xml:space="preserve"> </w:t>
      </w:r>
      <w:r w:rsidR="00071293" w:rsidRPr="00DD0CA7">
        <w:rPr>
          <w:rFonts w:eastAsia="Times New Roman" w:cs="Times New Roman"/>
        </w:rPr>
        <w:t xml:space="preserve">gadā </w:t>
      </w:r>
      <w:r w:rsidR="00C00C97">
        <w:rPr>
          <w:rFonts w:eastAsia="Times New Roman" w:cs="Times New Roman"/>
        </w:rPr>
        <w:t xml:space="preserve"> </w:t>
      </w:r>
      <w:r w:rsidR="00071293" w:rsidRPr="00DD0CA7">
        <w:rPr>
          <w:rFonts w:eastAsia="Times New Roman" w:cs="Times New Roman"/>
        </w:rPr>
        <w:t xml:space="preserve">ir </w:t>
      </w:r>
      <w:r w:rsidR="00071293" w:rsidRPr="00C00C97">
        <w:rPr>
          <w:rFonts w:eastAsia="Times New Roman" w:cs="Times New Roman"/>
        </w:rPr>
        <w:t>-</w:t>
      </w:r>
      <w:r w:rsidR="00C00C97" w:rsidRPr="00C00C97">
        <w:rPr>
          <w:rFonts w:eastAsia="Times New Roman" w:cs="Times New Roman"/>
        </w:rPr>
        <w:t>1</w:t>
      </w:r>
      <w:r w:rsidR="00C00C97">
        <w:rPr>
          <w:rFonts w:eastAsia="Times New Roman" w:cs="Times New Roman"/>
        </w:rPr>
        <w:t> 772,1</w:t>
      </w:r>
      <w:r w:rsidR="00071293" w:rsidRPr="00DD0CA7">
        <w:rPr>
          <w:rFonts w:eastAsia="Times New Roman" w:cs="Times New Roman"/>
        </w:rPr>
        <w:t xml:space="preserve"> milj. </w:t>
      </w:r>
      <w:proofErr w:type="spellStart"/>
      <w:r w:rsidR="00071293" w:rsidRPr="00DD0CA7">
        <w:rPr>
          <w:rFonts w:eastAsia="Times New Roman" w:cs="Times New Roman"/>
          <w:i/>
        </w:rPr>
        <w:t>euro</w:t>
      </w:r>
      <w:proofErr w:type="spellEnd"/>
      <w:r w:rsidR="00071293" w:rsidRPr="00DD0CA7">
        <w:rPr>
          <w:rFonts w:eastAsia="Times New Roman" w:cs="Times New Roman"/>
        </w:rPr>
        <w:t xml:space="preserve">, </w:t>
      </w:r>
      <w:r w:rsidR="00C00C97">
        <w:rPr>
          <w:rFonts w:eastAsia="Times New Roman" w:cs="Times New Roman"/>
        </w:rPr>
        <w:t xml:space="preserve"> </w:t>
      </w:r>
      <w:r w:rsidR="00071293" w:rsidRPr="00DD0CA7">
        <w:rPr>
          <w:rFonts w:eastAsia="Times New Roman" w:cs="Times New Roman"/>
        </w:rPr>
        <w:t>202</w:t>
      </w:r>
      <w:r w:rsidR="00DD0CA7">
        <w:rPr>
          <w:rFonts w:eastAsia="Times New Roman" w:cs="Times New Roman"/>
        </w:rPr>
        <w:t>5</w:t>
      </w:r>
      <w:r w:rsidR="00071293" w:rsidRPr="00DD0CA7">
        <w:rPr>
          <w:rFonts w:eastAsia="Times New Roman" w:cs="Times New Roman"/>
        </w:rPr>
        <w:t>.</w:t>
      </w:r>
      <w:r w:rsidR="000226D6" w:rsidRPr="00DD0CA7">
        <w:rPr>
          <w:rFonts w:eastAsia="Times New Roman" w:cs="Times New Roman"/>
        </w:rPr>
        <w:t xml:space="preserve"> </w:t>
      </w:r>
      <w:r w:rsidR="00071293" w:rsidRPr="00DD0CA7">
        <w:rPr>
          <w:rFonts w:eastAsia="Times New Roman" w:cs="Times New Roman"/>
        </w:rPr>
        <w:t>gadā ir -</w:t>
      </w:r>
      <w:r w:rsidR="00C00C97">
        <w:rPr>
          <w:rFonts w:eastAsia="Times New Roman" w:cs="Times New Roman"/>
        </w:rPr>
        <w:t>1 589,6</w:t>
      </w:r>
      <w:r w:rsidR="00071293" w:rsidRPr="00DD0CA7">
        <w:rPr>
          <w:rFonts w:eastAsia="Times New Roman" w:cs="Times New Roman"/>
        </w:rPr>
        <w:t xml:space="preserve"> milj. </w:t>
      </w:r>
      <w:proofErr w:type="spellStart"/>
      <w:r w:rsidR="00071293" w:rsidRPr="00DD0CA7">
        <w:rPr>
          <w:rFonts w:eastAsia="Times New Roman" w:cs="Times New Roman"/>
          <w:i/>
        </w:rPr>
        <w:t>euro</w:t>
      </w:r>
      <w:proofErr w:type="spellEnd"/>
      <w:r w:rsidR="00071293" w:rsidRPr="00DD0CA7">
        <w:rPr>
          <w:rFonts w:eastAsia="Times New Roman" w:cs="Times New Roman"/>
        </w:rPr>
        <w:t xml:space="preserve"> un 202</w:t>
      </w:r>
      <w:r w:rsidR="00DD0CA7">
        <w:rPr>
          <w:rFonts w:eastAsia="Times New Roman" w:cs="Times New Roman"/>
        </w:rPr>
        <w:t>6</w:t>
      </w:r>
      <w:r w:rsidR="00071293" w:rsidRPr="00DD0CA7">
        <w:rPr>
          <w:rFonts w:eastAsia="Times New Roman" w:cs="Times New Roman"/>
        </w:rPr>
        <w:t>.</w:t>
      </w:r>
      <w:r w:rsidR="000226D6" w:rsidRPr="00DD0CA7">
        <w:rPr>
          <w:rFonts w:eastAsia="Times New Roman" w:cs="Times New Roman"/>
        </w:rPr>
        <w:t xml:space="preserve"> </w:t>
      </w:r>
      <w:r w:rsidR="00071293" w:rsidRPr="00DD0CA7">
        <w:rPr>
          <w:rFonts w:eastAsia="Times New Roman" w:cs="Times New Roman"/>
        </w:rPr>
        <w:t>gadā ir -</w:t>
      </w:r>
      <w:r w:rsidR="00C00C97">
        <w:rPr>
          <w:rFonts w:eastAsia="Times New Roman" w:cs="Times New Roman"/>
        </w:rPr>
        <w:t>1 279,4</w:t>
      </w:r>
      <w:r w:rsidR="00071293" w:rsidRPr="00DD0CA7">
        <w:rPr>
          <w:rFonts w:eastAsia="Times New Roman" w:cs="Times New Roman"/>
        </w:rPr>
        <w:t xml:space="preserve"> milj. </w:t>
      </w:r>
      <w:proofErr w:type="spellStart"/>
      <w:r w:rsidR="00071293" w:rsidRPr="00DD0CA7">
        <w:rPr>
          <w:rFonts w:eastAsia="Times New Roman" w:cs="Times New Roman"/>
          <w:i/>
        </w:rPr>
        <w:t>euro</w:t>
      </w:r>
      <w:proofErr w:type="spellEnd"/>
      <w:r w:rsidR="00071293" w:rsidRPr="00DD0CA7">
        <w:rPr>
          <w:rFonts w:eastAsia="Times New Roman" w:cs="Times New Roman"/>
        </w:rPr>
        <w:t>.</w:t>
      </w:r>
    </w:p>
    <w:p w14:paraId="339EF95F" w14:textId="1A8CD7F4" w:rsidR="00071293" w:rsidRPr="00DD0CA7" w:rsidRDefault="006B0A1E" w:rsidP="00C8209A">
      <w:pPr>
        <w:widowControl w:val="0"/>
        <w:rPr>
          <w:rFonts w:ascii="Calibri" w:eastAsia="Calibri" w:hAnsi="Calibri" w:cs="Calibri"/>
          <w:sz w:val="22"/>
        </w:rPr>
      </w:pPr>
      <w:r w:rsidRPr="00DD0CA7">
        <w:rPr>
          <w:rFonts w:eastAsia="Times New Roman" w:cs="Times New Roman"/>
        </w:rPr>
        <w:t>L</w:t>
      </w:r>
      <w:r w:rsidR="00071293" w:rsidRPr="00DD0CA7">
        <w:rPr>
          <w:rFonts w:eastAsia="Times New Roman" w:cs="Times New Roman"/>
        </w:rPr>
        <w:t>ai aprēķinātu maksimāli pieļaujamos valsts budžeta izdevumus, no prognozētajiem valsts budžeta ieņēmumiem</w:t>
      </w:r>
      <w:r w:rsidRPr="00DD0CA7">
        <w:rPr>
          <w:rFonts w:eastAsia="Times New Roman" w:cs="Times New Roman"/>
        </w:rPr>
        <w:t xml:space="preserve"> tiek atskaitīta</w:t>
      </w:r>
      <w:r w:rsidR="00071293" w:rsidRPr="00DD0CA7">
        <w:rPr>
          <w:rFonts w:eastAsia="Times New Roman" w:cs="Times New Roman"/>
        </w:rPr>
        <w:t xml:space="preserve"> iepriekš aprēķināt</w:t>
      </w:r>
      <w:r w:rsidRPr="00DD0CA7">
        <w:rPr>
          <w:rFonts w:eastAsia="Times New Roman" w:cs="Times New Roman"/>
        </w:rPr>
        <w:t>ā</w:t>
      </w:r>
      <w:r w:rsidR="00071293" w:rsidRPr="00DD0CA7">
        <w:rPr>
          <w:rFonts w:eastAsia="Times New Roman" w:cs="Times New Roman"/>
        </w:rPr>
        <w:t xml:space="preserve"> valsts budžeta bilanc</w:t>
      </w:r>
      <w:r w:rsidRPr="00DD0CA7">
        <w:rPr>
          <w:rFonts w:eastAsia="Times New Roman" w:cs="Times New Roman"/>
        </w:rPr>
        <w:t>e</w:t>
      </w:r>
      <w:r w:rsidR="00071293" w:rsidRPr="00DD0CA7">
        <w:rPr>
          <w:rFonts w:eastAsia="Times New Roman" w:cs="Times New Roman"/>
        </w:rPr>
        <w:t xml:space="preserve">. Tādejādi, </w:t>
      </w:r>
      <w:r w:rsidRPr="00DD0CA7">
        <w:rPr>
          <w:rFonts w:eastAsia="Times New Roman" w:cs="Times New Roman"/>
        </w:rPr>
        <w:t>tiek iegūti</w:t>
      </w:r>
      <w:r w:rsidR="00071293" w:rsidRPr="00DD0CA7">
        <w:rPr>
          <w:rFonts w:eastAsia="Times New Roman" w:cs="Times New Roman"/>
        </w:rPr>
        <w:t xml:space="preserve"> maksimāli pieļaujam</w:t>
      </w:r>
      <w:r w:rsidRPr="00DD0CA7">
        <w:rPr>
          <w:rFonts w:eastAsia="Times New Roman" w:cs="Times New Roman"/>
        </w:rPr>
        <w:t>ie</w:t>
      </w:r>
      <w:r w:rsidR="00071293" w:rsidRPr="00DD0CA7">
        <w:rPr>
          <w:rFonts w:eastAsia="Times New Roman" w:cs="Times New Roman"/>
        </w:rPr>
        <w:t xml:space="preserve"> valsts budžeta izdevum</w:t>
      </w:r>
      <w:r w:rsidRPr="00DD0CA7">
        <w:rPr>
          <w:rFonts w:eastAsia="Times New Roman" w:cs="Times New Roman"/>
        </w:rPr>
        <w:t>i</w:t>
      </w:r>
      <w:r w:rsidR="00071293" w:rsidRPr="00DD0CA7">
        <w:rPr>
          <w:rFonts w:eastAsia="Times New Roman" w:cs="Times New Roman"/>
        </w:rPr>
        <w:t>, kas 202</w:t>
      </w:r>
      <w:r w:rsidR="00DD0CA7" w:rsidRPr="00DD0CA7">
        <w:rPr>
          <w:rFonts w:eastAsia="Times New Roman" w:cs="Times New Roman"/>
        </w:rPr>
        <w:t>4</w:t>
      </w:r>
      <w:r w:rsidR="00071293" w:rsidRPr="00DD0CA7">
        <w:rPr>
          <w:rFonts w:eastAsia="Times New Roman" w:cs="Times New Roman"/>
        </w:rPr>
        <w:t>.</w:t>
      </w:r>
      <w:r w:rsidR="000226D6" w:rsidRPr="00DD0CA7">
        <w:rPr>
          <w:rFonts w:eastAsia="Times New Roman" w:cs="Times New Roman"/>
        </w:rPr>
        <w:t xml:space="preserve"> </w:t>
      </w:r>
      <w:r w:rsidR="00071293" w:rsidRPr="00DD0CA7">
        <w:rPr>
          <w:rFonts w:eastAsia="Times New Roman" w:cs="Times New Roman"/>
        </w:rPr>
        <w:t xml:space="preserve">gadā ir </w:t>
      </w:r>
      <w:r w:rsidR="00C00C97">
        <w:rPr>
          <w:rFonts w:eastAsia="Times New Roman" w:cs="Times New Roman"/>
        </w:rPr>
        <w:t>16 257,7</w:t>
      </w:r>
      <w:r w:rsidR="00071293" w:rsidRPr="00DD0CA7">
        <w:rPr>
          <w:rFonts w:eastAsia="Times New Roman" w:cs="Times New Roman"/>
        </w:rPr>
        <w:t xml:space="preserve"> milj. </w:t>
      </w:r>
      <w:proofErr w:type="spellStart"/>
      <w:r w:rsidR="00071293" w:rsidRPr="00DD0CA7">
        <w:rPr>
          <w:rFonts w:eastAsia="Times New Roman" w:cs="Times New Roman"/>
          <w:i/>
        </w:rPr>
        <w:t>euro</w:t>
      </w:r>
      <w:proofErr w:type="spellEnd"/>
      <w:r w:rsidR="00071293" w:rsidRPr="00DD0CA7">
        <w:rPr>
          <w:rFonts w:eastAsia="Times New Roman" w:cs="Times New Roman"/>
        </w:rPr>
        <w:t>, 202</w:t>
      </w:r>
      <w:r w:rsidR="00DD0CA7" w:rsidRPr="00DD0CA7">
        <w:rPr>
          <w:rFonts w:eastAsia="Times New Roman" w:cs="Times New Roman"/>
        </w:rPr>
        <w:t>5</w:t>
      </w:r>
      <w:r w:rsidR="00071293" w:rsidRPr="00DD0CA7">
        <w:rPr>
          <w:rFonts w:eastAsia="Times New Roman" w:cs="Times New Roman"/>
        </w:rPr>
        <w:t>.</w:t>
      </w:r>
      <w:r w:rsidR="000226D6" w:rsidRPr="00DD0CA7">
        <w:rPr>
          <w:rFonts w:eastAsia="Times New Roman" w:cs="Times New Roman"/>
        </w:rPr>
        <w:t xml:space="preserve"> </w:t>
      </w:r>
      <w:r w:rsidR="00071293" w:rsidRPr="00DD0CA7">
        <w:rPr>
          <w:rFonts w:eastAsia="Times New Roman" w:cs="Times New Roman"/>
        </w:rPr>
        <w:t xml:space="preserve">gadā ir </w:t>
      </w:r>
      <w:r w:rsidR="00C00C97">
        <w:rPr>
          <w:rFonts w:eastAsia="Times New Roman" w:cs="Times New Roman"/>
        </w:rPr>
        <w:t>16 518,3</w:t>
      </w:r>
      <w:r w:rsidR="00071293" w:rsidRPr="00DD0CA7">
        <w:rPr>
          <w:rFonts w:eastAsia="Times New Roman" w:cs="Times New Roman"/>
        </w:rPr>
        <w:t xml:space="preserve"> milj. </w:t>
      </w:r>
      <w:proofErr w:type="spellStart"/>
      <w:r w:rsidR="00071293" w:rsidRPr="00DD0CA7">
        <w:rPr>
          <w:rFonts w:eastAsia="Times New Roman" w:cs="Times New Roman"/>
          <w:i/>
        </w:rPr>
        <w:t>euro</w:t>
      </w:r>
      <w:proofErr w:type="spellEnd"/>
      <w:r w:rsidR="00071293" w:rsidRPr="00DD0CA7">
        <w:rPr>
          <w:rFonts w:eastAsia="Times New Roman" w:cs="Times New Roman"/>
        </w:rPr>
        <w:t xml:space="preserve"> un 202</w:t>
      </w:r>
      <w:r w:rsidR="00DD0CA7" w:rsidRPr="00DD0CA7">
        <w:rPr>
          <w:rFonts w:eastAsia="Times New Roman" w:cs="Times New Roman"/>
        </w:rPr>
        <w:t>6</w:t>
      </w:r>
      <w:r w:rsidR="00071293" w:rsidRPr="00DD0CA7">
        <w:rPr>
          <w:rFonts w:eastAsia="Times New Roman" w:cs="Times New Roman"/>
        </w:rPr>
        <w:t>.</w:t>
      </w:r>
      <w:r w:rsidR="000226D6" w:rsidRPr="00DD0CA7">
        <w:rPr>
          <w:rFonts w:eastAsia="Times New Roman" w:cs="Times New Roman"/>
        </w:rPr>
        <w:t xml:space="preserve"> </w:t>
      </w:r>
      <w:r w:rsidR="00071293" w:rsidRPr="00DD0CA7">
        <w:rPr>
          <w:rFonts w:eastAsia="Times New Roman" w:cs="Times New Roman"/>
        </w:rPr>
        <w:t xml:space="preserve">gadā attiecīgi </w:t>
      </w:r>
      <w:r w:rsidR="00635FC4">
        <w:rPr>
          <w:rFonts w:eastAsia="Times New Roman" w:cs="Times New Roman"/>
        </w:rPr>
        <w:t>16 637,0</w:t>
      </w:r>
      <w:r w:rsidR="00071293" w:rsidRPr="00DD0CA7">
        <w:rPr>
          <w:rFonts w:eastAsia="Times New Roman" w:cs="Times New Roman"/>
        </w:rPr>
        <w:t xml:space="preserve"> milj. </w:t>
      </w:r>
      <w:proofErr w:type="spellStart"/>
      <w:r w:rsidR="00071293" w:rsidRPr="00DD0CA7">
        <w:rPr>
          <w:rFonts w:eastAsia="Times New Roman" w:cs="Times New Roman"/>
          <w:i/>
        </w:rPr>
        <w:t>euro</w:t>
      </w:r>
      <w:proofErr w:type="spellEnd"/>
      <w:r w:rsidR="00071293" w:rsidRPr="00DD0CA7">
        <w:rPr>
          <w:rFonts w:eastAsia="Times New Roman" w:cs="Times New Roman"/>
        </w:rPr>
        <w:t>.</w:t>
      </w:r>
    </w:p>
    <w:p w14:paraId="74D18AAC" w14:textId="37D56E7B" w:rsidR="00071293" w:rsidRPr="00DD0CA7" w:rsidRDefault="00775F9E" w:rsidP="00C8209A">
      <w:pPr>
        <w:widowControl w:val="0"/>
        <w:rPr>
          <w:rFonts w:ascii="Calibri" w:eastAsia="Calibri" w:hAnsi="Calibri" w:cs="Calibri"/>
          <w:sz w:val="22"/>
        </w:rPr>
      </w:pPr>
      <w:r w:rsidRPr="00DD0CA7">
        <w:rPr>
          <w:rFonts w:eastAsia="Times New Roman" w:cs="Times New Roman"/>
        </w:rPr>
        <w:t>Lai aprēķinātu koriģētos maksimāli pieļaujamos valsts budžeta izdevumus saskaņā ar FDL</w:t>
      </w:r>
      <w:r w:rsidR="00B93389">
        <w:rPr>
          <w:rFonts w:eastAsia="Times New Roman" w:cs="Times New Roman"/>
        </w:rPr>
        <w:t xml:space="preserve"> </w:t>
      </w:r>
      <w:r w:rsidRPr="00DD0CA7">
        <w:rPr>
          <w:rFonts w:eastAsia="Times New Roman" w:cs="Times New Roman"/>
        </w:rPr>
        <w:t xml:space="preserve">no maksimāli pieļaujamajiem valsts budžeta izdevumiem tiek atskaitīti izlīdzinātie </w:t>
      </w:r>
      <w:r w:rsidRPr="00DD0CA7">
        <w:rPr>
          <w:rFonts w:eastAsia="Times New Roman" w:cs="Times New Roman"/>
        </w:rPr>
        <w:lastRenderedPageBreak/>
        <w:t xml:space="preserve">izdevumi, kurus nosaka FDL 18. pants. </w:t>
      </w:r>
      <w:r w:rsidR="00071293" w:rsidRPr="00DD0CA7">
        <w:rPr>
          <w:rFonts w:eastAsia="Times New Roman" w:cs="Times New Roman"/>
        </w:rPr>
        <w:t xml:space="preserve">Atbilstoši </w:t>
      </w:r>
      <w:r w:rsidR="00623500" w:rsidRPr="00DD0CA7">
        <w:rPr>
          <w:rFonts w:eastAsia="Times New Roman" w:cs="Times New Roman"/>
        </w:rPr>
        <w:t>FDL</w:t>
      </w:r>
      <w:r w:rsidR="00071293" w:rsidRPr="00DD0CA7">
        <w:rPr>
          <w:rFonts w:eastAsia="Times New Roman" w:cs="Times New Roman"/>
        </w:rPr>
        <w:t xml:space="preserve"> 18.</w:t>
      </w:r>
      <w:r w:rsidR="000226D6" w:rsidRPr="00DD0CA7">
        <w:rPr>
          <w:rFonts w:eastAsia="Times New Roman" w:cs="Times New Roman"/>
        </w:rPr>
        <w:t xml:space="preserve"> </w:t>
      </w:r>
      <w:r w:rsidR="00071293" w:rsidRPr="00DD0CA7">
        <w:rPr>
          <w:rFonts w:eastAsia="Times New Roman" w:cs="Times New Roman"/>
        </w:rPr>
        <w:t xml:space="preserve">panta otrajā daļā noteiktajam, izdevumu izlīdzināšana tiek piemērota: </w:t>
      </w:r>
    </w:p>
    <w:p w14:paraId="25C1EE88" w14:textId="0CA7E017" w:rsidR="00071293" w:rsidRPr="00DD0CA7" w:rsidRDefault="00775F9E" w:rsidP="00C032A1">
      <w:pPr>
        <w:pStyle w:val="ListParagraph"/>
        <w:widowControl w:val="0"/>
        <w:numPr>
          <w:ilvl w:val="0"/>
          <w:numId w:val="25"/>
        </w:numPr>
        <w:rPr>
          <w:rFonts w:eastAsia="Times New Roman" w:cs="Times New Roman"/>
        </w:rPr>
      </w:pPr>
      <w:r w:rsidRPr="00DD0CA7">
        <w:rPr>
          <w:rFonts w:eastAsia="Times New Roman" w:cs="Times New Roman"/>
        </w:rPr>
        <w:t>ES</w:t>
      </w:r>
      <w:r w:rsidR="00071293" w:rsidRPr="00DD0CA7">
        <w:rPr>
          <w:rFonts w:eastAsia="Times New Roman" w:cs="Times New Roman"/>
        </w:rPr>
        <w:t xml:space="preserve"> struktūrfondu, Kohēzijas fonda, kopējās lauksaimniecības politikas un kopējās zivsaimniecības politikas izdevumiem; </w:t>
      </w:r>
    </w:p>
    <w:p w14:paraId="2E0039C7" w14:textId="1D3644FD" w:rsidR="00775F9E" w:rsidRPr="00DD0CA7" w:rsidRDefault="00071293" w:rsidP="00C032A1">
      <w:pPr>
        <w:pStyle w:val="ListParagraph"/>
        <w:widowControl w:val="0"/>
        <w:numPr>
          <w:ilvl w:val="0"/>
          <w:numId w:val="25"/>
        </w:numPr>
        <w:rPr>
          <w:rFonts w:eastAsia="Times New Roman" w:cs="Times New Roman"/>
        </w:rPr>
      </w:pPr>
      <w:r w:rsidRPr="00DD0CA7">
        <w:rPr>
          <w:rFonts w:eastAsia="Times New Roman" w:cs="Times New Roman"/>
        </w:rPr>
        <w:t xml:space="preserve">valsts budžeta izdevumiem, kas saistīti ar tās valsts parāda daļas apkalpošanu, kura ietilpst Valsts kases kompetencē. </w:t>
      </w:r>
    </w:p>
    <w:p w14:paraId="5BBC0B6F" w14:textId="64FAA2F7" w:rsidR="00775F9E" w:rsidRPr="00DD0CA7" w:rsidRDefault="00775F9E" w:rsidP="00C8209A">
      <w:pPr>
        <w:widowControl w:val="0"/>
        <w:rPr>
          <w:rFonts w:eastAsia="Times New Roman" w:cs="Times New Roman"/>
        </w:rPr>
      </w:pPr>
      <w:r w:rsidRPr="00DD0CA7">
        <w:rPr>
          <w:rFonts w:eastAsia="Times New Roman" w:cs="Times New Roman"/>
        </w:rPr>
        <w:t>Lai arī FDL to neparedz, izlīdzināmo izdevumu grupā šajā likumā tiek ietverts arī Atveseļošanas un noturības fonds</w:t>
      </w:r>
      <w:r w:rsidR="00B93389">
        <w:rPr>
          <w:rFonts w:eastAsia="Times New Roman" w:cs="Times New Roman"/>
        </w:rPr>
        <w:t xml:space="preserve"> </w:t>
      </w:r>
      <w:r w:rsidRPr="00DD0CA7">
        <w:rPr>
          <w:rFonts w:eastAsia="Times New Roman" w:cs="Times New Roman"/>
        </w:rPr>
        <w:t>un Taisnīgas pārkārtošanās fonds. Šie mehānismi ir jauni un tāpēc tie nebija paredzēti izstrādājot FDL, Tomēr pēc sava rakstura tie atbilst tiem gadījumiem, kad FDL paredzēja izdevumu izlīdzināšanu.</w:t>
      </w:r>
    </w:p>
    <w:p w14:paraId="095720BF" w14:textId="2EE32DC6" w:rsidR="00071293" w:rsidRPr="00DD0CA7" w:rsidRDefault="000226D6" w:rsidP="00C8209A">
      <w:pPr>
        <w:widowControl w:val="0"/>
        <w:rPr>
          <w:rFonts w:eastAsia="Times New Roman" w:cs="Times New Roman"/>
        </w:rPr>
      </w:pPr>
      <w:r w:rsidRPr="00DD0CA7">
        <w:rPr>
          <w:rFonts w:eastAsia="Times New Roman" w:cs="Times New Roman"/>
        </w:rPr>
        <w:t xml:space="preserve">Izdevumu izlīdzināšana </w:t>
      </w:r>
      <w:r w:rsidR="00775F9E" w:rsidRPr="00DD0CA7">
        <w:rPr>
          <w:rFonts w:eastAsia="Times New Roman" w:cs="Times New Roman"/>
        </w:rPr>
        <w:t>ES</w:t>
      </w:r>
      <w:r w:rsidR="00071293" w:rsidRPr="00DD0CA7">
        <w:rPr>
          <w:rFonts w:eastAsia="Times New Roman" w:cs="Times New Roman"/>
        </w:rPr>
        <w:t xml:space="preserve"> struktūrfondu</w:t>
      </w:r>
      <w:r w:rsidR="00775F9E" w:rsidRPr="00DD0CA7">
        <w:rPr>
          <w:rFonts w:eastAsia="Times New Roman" w:cs="Times New Roman"/>
        </w:rPr>
        <w:t>,</w:t>
      </w:r>
      <w:r w:rsidR="00EA07A8" w:rsidRPr="00DD0CA7">
        <w:rPr>
          <w:rFonts w:eastAsia="Times New Roman" w:cs="Times New Roman"/>
        </w:rPr>
        <w:t xml:space="preserve"> </w:t>
      </w:r>
      <w:r w:rsidR="00B27104" w:rsidRPr="00B27104">
        <w:rPr>
          <w:rFonts w:eastAsia="Times New Roman" w:cs="Times New Roman"/>
        </w:rPr>
        <w:t>Atveseļošanas un noturības fonds</w:t>
      </w:r>
      <w:r w:rsidR="00EA07A8" w:rsidRPr="00DD0CA7">
        <w:rPr>
          <w:rFonts w:eastAsia="Times New Roman" w:cs="Times New Roman"/>
        </w:rPr>
        <w:t xml:space="preserve">, </w:t>
      </w:r>
      <w:r w:rsidR="00EA07A8" w:rsidRPr="00DD0CA7">
        <w:rPr>
          <w:rFonts w:eastAsia="Times New Roman" w:cs="Times New Roman"/>
          <w:lang w:bidi="lv-LV"/>
        </w:rPr>
        <w:t>Taisnīgas pārkārtošanās fond</w:t>
      </w:r>
      <w:r w:rsidR="00775F9E" w:rsidRPr="00DD0CA7">
        <w:rPr>
          <w:rFonts w:eastAsia="Times New Roman" w:cs="Times New Roman"/>
          <w:lang w:bidi="lv-LV"/>
        </w:rPr>
        <w:t>a</w:t>
      </w:r>
      <w:r w:rsidR="00071293" w:rsidRPr="00DD0CA7">
        <w:rPr>
          <w:rFonts w:eastAsia="Times New Roman" w:cs="Times New Roman"/>
        </w:rPr>
        <w:t>, Kohēzijas fonda, kopējās lauksaimniecības politikas un kopējās zivsaimniecības politik</w:t>
      </w:r>
      <w:r w:rsidRPr="00DD0CA7">
        <w:rPr>
          <w:rFonts w:eastAsia="Times New Roman" w:cs="Times New Roman"/>
        </w:rPr>
        <w:t>as izdevumiem tiek veikta 2014.-</w:t>
      </w:r>
      <w:r w:rsidR="00071293" w:rsidRPr="00DD0CA7">
        <w:rPr>
          <w:rFonts w:eastAsia="Times New Roman" w:cs="Times New Roman"/>
        </w:rPr>
        <w:t>2020.</w:t>
      </w:r>
      <w:r w:rsidRPr="00DD0CA7">
        <w:rPr>
          <w:rFonts w:eastAsia="Times New Roman" w:cs="Times New Roman"/>
        </w:rPr>
        <w:t xml:space="preserve"> </w:t>
      </w:r>
      <w:r w:rsidR="00071293" w:rsidRPr="00DD0CA7">
        <w:rPr>
          <w:rFonts w:eastAsia="Times New Roman" w:cs="Times New Roman"/>
        </w:rPr>
        <w:t>gada un 2021.-2027.</w:t>
      </w:r>
      <w:r w:rsidRPr="00DD0CA7">
        <w:rPr>
          <w:rFonts w:eastAsia="Times New Roman" w:cs="Times New Roman"/>
        </w:rPr>
        <w:t xml:space="preserve"> gada </w:t>
      </w:r>
      <w:r w:rsidR="00775F9E" w:rsidRPr="00DD0CA7">
        <w:rPr>
          <w:rFonts w:eastAsia="Times New Roman" w:cs="Times New Roman"/>
        </w:rPr>
        <w:t>ES</w:t>
      </w:r>
      <w:r w:rsidR="00071293" w:rsidRPr="00DD0CA7">
        <w:rPr>
          <w:rFonts w:eastAsia="Times New Roman" w:cs="Times New Roman"/>
        </w:rPr>
        <w:t xml:space="preserve"> plānošanas periodam.</w:t>
      </w:r>
    </w:p>
    <w:p w14:paraId="6B7A19BF" w14:textId="35C7F203" w:rsidR="00775F9E" w:rsidRPr="00DD0CA7" w:rsidRDefault="00775F9E" w:rsidP="00C8209A">
      <w:pPr>
        <w:widowControl w:val="0"/>
        <w:rPr>
          <w:rFonts w:eastAsia="Times New Roman" w:cs="Times New Roman"/>
        </w:rPr>
      </w:pPr>
      <w:r w:rsidRPr="00DD0CA7">
        <w:rPr>
          <w:rFonts w:eastAsia="Times New Roman" w:cs="Times New Roman"/>
        </w:rPr>
        <w:t>Kā jau tika minēts augstāk, 202</w:t>
      </w:r>
      <w:r w:rsidR="00DD0CA7">
        <w:rPr>
          <w:rFonts w:eastAsia="Times New Roman" w:cs="Times New Roman"/>
        </w:rPr>
        <w:t>4.</w:t>
      </w:r>
      <w:r w:rsidRPr="00DD0CA7">
        <w:rPr>
          <w:rFonts w:eastAsia="Times New Roman" w:cs="Times New Roman"/>
        </w:rPr>
        <w:t>, 202</w:t>
      </w:r>
      <w:r w:rsidR="00094B7B">
        <w:rPr>
          <w:rFonts w:eastAsia="Times New Roman" w:cs="Times New Roman"/>
        </w:rPr>
        <w:t>5</w:t>
      </w:r>
      <w:r w:rsidRPr="00DD0CA7">
        <w:rPr>
          <w:rFonts w:eastAsia="Times New Roman" w:cs="Times New Roman"/>
        </w:rPr>
        <w:t>. un 202</w:t>
      </w:r>
      <w:r w:rsidR="00094B7B">
        <w:rPr>
          <w:rFonts w:eastAsia="Times New Roman" w:cs="Times New Roman"/>
        </w:rPr>
        <w:t>6</w:t>
      </w:r>
      <w:r w:rsidRPr="00DD0CA7">
        <w:rPr>
          <w:rFonts w:eastAsia="Times New Roman" w:cs="Times New Roman"/>
        </w:rPr>
        <w:t>. gadā izlīdzināto izdevumu apmērs tiek noteikts attiecīgajā gadā faktiski attiecīgajos fondos prognozēto izdevumu apmērā.</w:t>
      </w:r>
    </w:p>
    <w:p w14:paraId="463AA36E" w14:textId="5C9224B6" w:rsidR="00775F9E" w:rsidRPr="0048284B" w:rsidRDefault="00775F9E" w:rsidP="00C8209A">
      <w:pPr>
        <w:widowControl w:val="0"/>
        <w:rPr>
          <w:rFonts w:eastAsia="Times New Roman" w:cs="Times New Roman"/>
        </w:rPr>
      </w:pPr>
      <w:r w:rsidRPr="0048284B">
        <w:rPr>
          <w:rFonts w:eastAsia="Times New Roman" w:cs="Times New Roman"/>
        </w:rPr>
        <w:t>Pēc izlīdzināto izdevumu noteikšanas ir iespējams noteikt koriģētos maksimāli pieļaujamos valsts budžeta izdevumus, no maksimāli pieļaujamiem valsts budžeta izdevumiem atskaitot izlīdzināto izdevumu apmēru. Koriģētie maksimāli pieļaujamie valsts budžeta izdevumi 202</w:t>
      </w:r>
      <w:r w:rsidR="0048284B">
        <w:rPr>
          <w:rFonts w:eastAsia="Times New Roman" w:cs="Times New Roman"/>
        </w:rPr>
        <w:t>4</w:t>
      </w:r>
      <w:r w:rsidRPr="0048284B">
        <w:rPr>
          <w:rFonts w:eastAsia="Times New Roman" w:cs="Times New Roman"/>
        </w:rPr>
        <w:t xml:space="preserve">. gadā ir </w:t>
      </w:r>
      <w:r w:rsidR="00635FC4">
        <w:rPr>
          <w:rFonts w:eastAsia="Times New Roman" w:cs="Times New Roman"/>
        </w:rPr>
        <w:t>13 577,7</w:t>
      </w:r>
      <w:r w:rsidRPr="0048284B">
        <w:rPr>
          <w:rFonts w:eastAsia="Times New Roman" w:cs="Times New Roman"/>
        </w:rPr>
        <w:t xml:space="preserve"> milj. </w:t>
      </w:r>
      <w:proofErr w:type="spellStart"/>
      <w:r w:rsidRPr="0048284B">
        <w:rPr>
          <w:rFonts w:eastAsia="Times New Roman" w:cs="Times New Roman"/>
          <w:i/>
          <w:iCs/>
        </w:rPr>
        <w:t>euro</w:t>
      </w:r>
      <w:proofErr w:type="spellEnd"/>
      <w:r w:rsidRPr="0048284B">
        <w:rPr>
          <w:rFonts w:eastAsia="Times New Roman" w:cs="Times New Roman"/>
        </w:rPr>
        <w:t>, 202</w:t>
      </w:r>
      <w:r w:rsidR="0048284B">
        <w:rPr>
          <w:rFonts w:eastAsia="Times New Roman" w:cs="Times New Roman"/>
        </w:rPr>
        <w:t>5</w:t>
      </w:r>
      <w:r w:rsidRPr="0048284B">
        <w:rPr>
          <w:rFonts w:eastAsia="Times New Roman" w:cs="Times New Roman"/>
        </w:rPr>
        <w:t xml:space="preserve">. gadā ir </w:t>
      </w:r>
      <w:r w:rsidR="00635FC4">
        <w:rPr>
          <w:rFonts w:eastAsia="Times New Roman" w:cs="Times New Roman"/>
        </w:rPr>
        <w:t xml:space="preserve">13 725,0 </w:t>
      </w:r>
      <w:r w:rsidRPr="0048284B">
        <w:rPr>
          <w:rFonts w:eastAsia="Times New Roman" w:cs="Times New Roman"/>
        </w:rPr>
        <w:t xml:space="preserve">milj. </w:t>
      </w:r>
      <w:proofErr w:type="spellStart"/>
      <w:r w:rsidRPr="0048284B">
        <w:rPr>
          <w:rFonts w:eastAsia="Times New Roman" w:cs="Times New Roman"/>
          <w:i/>
          <w:iCs/>
        </w:rPr>
        <w:t>euro</w:t>
      </w:r>
      <w:proofErr w:type="spellEnd"/>
      <w:r w:rsidRPr="0048284B">
        <w:rPr>
          <w:rFonts w:eastAsia="Times New Roman" w:cs="Times New Roman"/>
        </w:rPr>
        <w:t xml:space="preserve"> un 202</w:t>
      </w:r>
      <w:r w:rsidR="0048284B">
        <w:rPr>
          <w:rFonts w:eastAsia="Times New Roman" w:cs="Times New Roman"/>
        </w:rPr>
        <w:t>6</w:t>
      </w:r>
      <w:r w:rsidRPr="0048284B">
        <w:rPr>
          <w:rFonts w:eastAsia="Times New Roman" w:cs="Times New Roman"/>
        </w:rPr>
        <w:t xml:space="preserve">. gadā attiecīgi </w:t>
      </w:r>
      <w:r w:rsidR="00635FC4">
        <w:rPr>
          <w:rFonts w:eastAsia="Times New Roman" w:cs="Times New Roman"/>
        </w:rPr>
        <w:t>14 115,9</w:t>
      </w:r>
      <w:r w:rsidRPr="0048284B">
        <w:rPr>
          <w:rFonts w:eastAsia="Times New Roman" w:cs="Times New Roman"/>
        </w:rPr>
        <w:t xml:space="preserve"> milj. </w:t>
      </w:r>
      <w:proofErr w:type="spellStart"/>
      <w:r w:rsidRPr="0048284B">
        <w:rPr>
          <w:rFonts w:eastAsia="Times New Roman" w:cs="Times New Roman"/>
          <w:i/>
          <w:iCs/>
        </w:rPr>
        <w:t>euro</w:t>
      </w:r>
      <w:proofErr w:type="spellEnd"/>
      <w:r w:rsidRPr="0048284B">
        <w:rPr>
          <w:rFonts w:eastAsia="Times New Roman" w:cs="Times New Roman"/>
        </w:rPr>
        <w:t>.</w:t>
      </w:r>
    </w:p>
    <w:p w14:paraId="529C944B" w14:textId="6137AE0A" w:rsidR="00775F9E" w:rsidRPr="0048284B" w:rsidRDefault="00775F9E" w:rsidP="00C8209A">
      <w:pPr>
        <w:widowControl w:val="0"/>
        <w:rPr>
          <w:rFonts w:ascii="Calibri" w:eastAsia="Calibri" w:hAnsi="Calibri" w:cs="Calibri"/>
          <w:sz w:val="22"/>
        </w:rPr>
      </w:pPr>
      <w:r w:rsidRPr="0048284B">
        <w:rPr>
          <w:rFonts w:eastAsia="Times New Roman" w:cs="Times New Roman"/>
        </w:rPr>
        <w:t xml:space="preserve">Koriģētie maksimāli pieļaujamie valsts budžeta izdevumi turpmākajiem trim gadiem ir maksimālais izdevumu slieksnis, kuru var atļauties sasniegt valsts budžetā, neskaitot ES fondu izdevumus un valsts parāda apkalpošanas izdevumus, kā arī </w:t>
      </w:r>
      <w:r w:rsidR="00EE1956" w:rsidRPr="00635FC4">
        <w:rPr>
          <w:rFonts w:eastAsia="Times New Roman" w:cs="Times New Roman"/>
        </w:rPr>
        <w:t>5</w:t>
      </w:r>
      <w:r w:rsidRPr="00635FC4">
        <w:rPr>
          <w:rFonts w:eastAsia="Times New Roman" w:cs="Times New Roman"/>
        </w:rPr>
        <w:t>. pantā noteiktos izdevumus (skat. zemāk sadaļu “Pasākumu finansēšana virs maksimāli pieļaujamiem valsts budžeta izdevumiem”).</w:t>
      </w:r>
    </w:p>
    <w:p w14:paraId="061194FA" w14:textId="79BD1CFB" w:rsidR="002F18F9" w:rsidRDefault="00775F9E" w:rsidP="00D201CE">
      <w:pPr>
        <w:widowControl w:val="0"/>
        <w:rPr>
          <w:rFonts w:eastAsia="Times New Roman" w:cs="Times New Roman"/>
        </w:rPr>
      </w:pPr>
      <w:r w:rsidRPr="0048284B">
        <w:rPr>
          <w:rFonts w:eastAsia="Times New Roman" w:cs="Times New Roman"/>
        </w:rPr>
        <w:t>Maksimāli pieļaujamie valsts budžeta izdevumi atbilstoši FDL tiek noteikti pie koriģētajiem maksimāli pieļaujamajiem valsts budžeta izdevumiem pieskaitot faktiskos ES fondu un faktiskos valsts parāda apkalpošanas izdevumus. Kā parādīts 2.</w:t>
      </w:r>
      <w:r w:rsidR="00635FC4">
        <w:rPr>
          <w:rFonts w:eastAsia="Times New Roman" w:cs="Times New Roman"/>
        </w:rPr>
        <w:t>5</w:t>
      </w:r>
      <w:r w:rsidRPr="0048284B">
        <w:rPr>
          <w:rFonts w:eastAsia="Times New Roman" w:cs="Times New Roman"/>
        </w:rPr>
        <w:t>. tabulā, maksimāli pieļaujamie valsts budžeta izdevumi atbilstoši FDL 202</w:t>
      </w:r>
      <w:r w:rsidR="0048284B" w:rsidRPr="0048284B">
        <w:rPr>
          <w:rFonts w:eastAsia="Times New Roman" w:cs="Times New Roman"/>
        </w:rPr>
        <w:t>4</w:t>
      </w:r>
      <w:r w:rsidRPr="0048284B">
        <w:rPr>
          <w:rFonts w:eastAsia="Times New Roman" w:cs="Times New Roman"/>
        </w:rPr>
        <w:t xml:space="preserve">. gadā ir </w:t>
      </w:r>
      <w:r w:rsidR="00635FC4">
        <w:rPr>
          <w:rFonts w:eastAsia="Times New Roman" w:cs="Times New Roman"/>
        </w:rPr>
        <w:t>16 257,7</w:t>
      </w:r>
      <w:r w:rsidR="0048284B" w:rsidRPr="0048284B">
        <w:rPr>
          <w:rFonts w:eastAsia="Times New Roman" w:cs="Times New Roman"/>
        </w:rPr>
        <w:t xml:space="preserve"> </w:t>
      </w:r>
      <w:r w:rsidRPr="0048284B">
        <w:rPr>
          <w:rFonts w:eastAsia="Times New Roman" w:cs="Times New Roman"/>
        </w:rPr>
        <w:t xml:space="preserve">milj. </w:t>
      </w:r>
      <w:proofErr w:type="spellStart"/>
      <w:r w:rsidRPr="0048284B">
        <w:rPr>
          <w:rFonts w:eastAsia="Times New Roman" w:cs="Times New Roman"/>
          <w:i/>
        </w:rPr>
        <w:t>euro</w:t>
      </w:r>
      <w:proofErr w:type="spellEnd"/>
      <w:r w:rsidRPr="0048284B">
        <w:rPr>
          <w:rFonts w:eastAsia="Times New Roman" w:cs="Times New Roman"/>
        </w:rPr>
        <w:t>, 202</w:t>
      </w:r>
      <w:r w:rsidR="0048284B">
        <w:rPr>
          <w:rFonts w:eastAsia="Times New Roman" w:cs="Times New Roman"/>
        </w:rPr>
        <w:t>5</w:t>
      </w:r>
      <w:r w:rsidRPr="0048284B">
        <w:rPr>
          <w:rFonts w:eastAsia="Times New Roman" w:cs="Times New Roman"/>
        </w:rPr>
        <w:t xml:space="preserve">. gadā ir </w:t>
      </w:r>
      <w:r w:rsidR="00635FC4">
        <w:rPr>
          <w:rFonts w:eastAsia="Times New Roman" w:cs="Times New Roman"/>
        </w:rPr>
        <w:t>16 518,3</w:t>
      </w:r>
      <w:r w:rsidRPr="0048284B">
        <w:rPr>
          <w:rFonts w:eastAsia="Times New Roman" w:cs="Times New Roman"/>
        </w:rPr>
        <w:t xml:space="preserve"> milj. </w:t>
      </w:r>
      <w:proofErr w:type="spellStart"/>
      <w:r w:rsidRPr="0048284B">
        <w:rPr>
          <w:rFonts w:eastAsia="Times New Roman" w:cs="Times New Roman"/>
          <w:i/>
        </w:rPr>
        <w:t>euro</w:t>
      </w:r>
      <w:proofErr w:type="spellEnd"/>
      <w:r w:rsidRPr="0048284B">
        <w:rPr>
          <w:rFonts w:eastAsia="Times New Roman" w:cs="Times New Roman"/>
        </w:rPr>
        <w:t xml:space="preserve"> un 202</w:t>
      </w:r>
      <w:r w:rsidR="0048284B">
        <w:rPr>
          <w:rFonts w:eastAsia="Times New Roman" w:cs="Times New Roman"/>
        </w:rPr>
        <w:t>6</w:t>
      </w:r>
      <w:r w:rsidRPr="0048284B">
        <w:rPr>
          <w:rFonts w:eastAsia="Times New Roman" w:cs="Times New Roman"/>
        </w:rPr>
        <w:t xml:space="preserve">. gadā attiecīgi </w:t>
      </w:r>
      <w:r w:rsidR="00635FC4">
        <w:rPr>
          <w:rFonts w:eastAsia="Times New Roman" w:cs="Times New Roman"/>
        </w:rPr>
        <w:t>16 637,0</w:t>
      </w:r>
      <w:r w:rsidRPr="0048284B">
        <w:rPr>
          <w:rFonts w:eastAsia="Times New Roman" w:cs="Times New Roman"/>
        </w:rPr>
        <w:t xml:space="preserve"> milj. </w:t>
      </w:r>
      <w:proofErr w:type="spellStart"/>
      <w:r w:rsidRPr="0048284B">
        <w:rPr>
          <w:rFonts w:eastAsia="Times New Roman" w:cs="Times New Roman"/>
          <w:i/>
        </w:rPr>
        <w:t>euro</w:t>
      </w:r>
      <w:proofErr w:type="spellEnd"/>
      <w:r w:rsidRPr="0048284B">
        <w:rPr>
          <w:rFonts w:eastAsia="Times New Roman" w:cs="Times New Roman"/>
        </w:rPr>
        <w:t>. Savukārt, faktiskie valsts budžeta izdevumi 202</w:t>
      </w:r>
      <w:r w:rsidR="0048284B">
        <w:rPr>
          <w:rFonts w:eastAsia="Times New Roman" w:cs="Times New Roman"/>
        </w:rPr>
        <w:t>4</w:t>
      </w:r>
      <w:r w:rsidRPr="0048284B">
        <w:rPr>
          <w:rFonts w:eastAsia="Times New Roman" w:cs="Times New Roman"/>
        </w:rPr>
        <w:t xml:space="preserve">. gadā ir </w:t>
      </w:r>
      <w:r w:rsidR="00635FC4">
        <w:rPr>
          <w:rFonts w:eastAsia="Times New Roman" w:cs="Times New Roman"/>
        </w:rPr>
        <w:t>16 212,2</w:t>
      </w:r>
      <w:r w:rsidRPr="0048284B">
        <w:rPr>
          <w:rFonts w:eastAsia="Times New Roman" w:cs="Times New Roman"/>
        </w:rPr>
        <w:t xml:space="preserve"> milj. </w:t>
      </w:r>
      <w:proofErr w:type="spellStart"/>
      <w:r w:rsidRPr="0048284B">
        <w:rPr>
          <w:rFonts w:eastAsia="Times New Roman" w:cs="Times New Roman"/>
          <w:i/>
        </w:rPr>
        <w:t>euro</w:t>
      </w:r>
      <w:proofErr w:type="spellEnd"/>
      <w:r w:rsidRPr="0048284B">
        <w:rPr>
          <w:rFonts w:eastAsia="Times New Roman" w:cs="Times New Roman"/>
        </w:rPr>
        <w:t>, 202</w:t>
      </w:r>
      <w:r w:rsidR="0048284B">
        <w:rPr>
          <w:rFonts w:eastAsia="Times New Roman" w:cs="Times New Roman"/>
        </w:rPr>
        <w:t>5</w:t>
      </w:r>
      <w:r w:rsidRPr="0048284B">
        <w:rPr>
          <w:rFonts w:eastAsia="Times New Roman" w:cs="Times New Roman"/>
        </w:rPr>
        <w:t>.</w:t>
      </w:r>
      <w:r w:rsidR="0048284B">
        <w:rPr>
          <w:rFonts w:eastAsia="Times New Roman" w:cs="Times New Roman"/>
        </w:rPr>
        <w:t xml:space="preserve"> </w:t>
      </w:r>
      <w:r w:rsidRPr="0048284B">
        <w:rPr>
          <w:rFonts w:eastAsia="Times New Roman" w:cs="Times New Roman"/>
        </w:rPr>
        <w:t xml:space="preserve">gadā ir </w:t>
      </w:r>
      <w:r w:rsidR="00635FC4">
        <w:rPr>
          <w:rFonts w:eastAsia="Times New Roman" w:cs="Times New Roman"/>
        </w:rPr>
        <w:t>16 406,4</w:t>
      </w:r>
      <w:r w:rsidRPr="0048284B">
        <w:rPr>
          <w:rFonts w:eastAsia="Times New Roman" w:cs="Times New Roman"/>
        </w:rPr>
        <w:t xml:space="preserve"> milj. </w:t>
      </w:r>
      <w:proofErr w:type="spellStart"/>
      <w:r w:rsidRPr="0048284B">
        <w:rPr>
          <w:rFonts w:eastAsia="Times New Roman" w:cs="Times New Roman"/>
          <w:i/>
        </w:rPr>
        <w:t>euro</w:t>
      </w:r>
      <w:proofErr w:type="spellEnd"/>
      <w:r w:rsidRPr="0048284B">
        <w:rPr>
          <w:rFonts w:eastAsia="Times New Roman" w:cs="Times New Roman"/>
        </w:rPr>
        <w:t xml:space="preserve"> un 202</w:t>
      </w:r>
      <w:r w:rsidR="0048284B">
        <w:rPr>
          <w:rFonts w:eastAsia="Times New Roman" w:cs="Times New Roman"/>
        </w:rPr>
        <w:t>6</w:t>
      </w:r>
      <w:r w:rsidRPr="0048284B">
        <w:rPr>
          <w:rFonts w:eastAsia="Times New Roman" w:cs="Times New Roman"/>
        </w:rPr>
        <w:t xml:space="preserve">. gadā attiecīgi </w:t>
      </w:r>
      <w:r w:rsidR="00635FC4">
        <w:rPr>
          <w:rFonts w:eastAsia="Times New Roman" w:cs="Times New Roman"/>
        </w:rPr>
        <w:t>16 240,4</w:t>
      </w:r>
      <w:r w:rsidRPr="0048284B">
        <w:rPr>
          <w:rFonts w:eastAsia="Times New Roman" w:cs="Times New Roman"/>
        </w:rPr>
        <w:t xml:space="preserve"> milj. </w:t>
      </w:r>
      <w:proofErr w:type="spellStart"/>
      <w:r w:rsidRPr="0048284B">
        <w:rPr>
          <w:rFonts w:eastAsia="Times New Roman" w:cs="Times New Roman"/>
          <w:i/>
        </w:rPr>
        <w:t>euro</w:t>
      </w:r>
      <w:proofErr w:type="spellEnd"/>
      <w:r w:rsidRPr="0048284B">
        <w:rPr>
          <w:rFonts w:eastAsia="Times New Roman" w:cs="Times New Roman"/>
        </w:rPr>
        <w:t xml:space="preserve">. Starpību starp šiem diviem lielumiem, veido fiskālā nodrošinājuma rezerve un vispārīgā gadījumā atlikusī fiskālā telpa pēc lēmumiem par fiskālās telpas sadali </w:t>
      </w:r>
      <w:r w:rsidR="006634E0">
        <w:rPr>
          <w:rFonts w:eastAsia="Times New Roman" w:cs="Times New Roman"/>
        </w:rPr>
        <w:t>l</w:t>
      </w:r>
      <w:r w:rsidR="006634E0" w:rsidRPr="006634E0">
        <w:rPr>
          <w:rFonts w:eastAsia="Times New Roman" w:cs="Times New Roman"/>
        </w:rPr>
        <w:t>ikumprojekta “Par valsts budžetu 2024.gadam un budžeta ietvaru 2024., 2025. un 2026. gadiem”</w:t>
      </w:r>
      <w:r w:rsidR="006634E0">
        <w:rPr>
          <w:rFonts w:eastAsia="Times New Roman" w:cs="Times New Roman"/>
        </w:rPr>
        <w:t xml:space="preserve"> </w:t>
      </w:r>
      <w:r w:rsidRPr="0048284B">
        <w:rPr>
          <w:rFonts w:eastAsia="Times New Roman" w:cs="Times New Roman"/>
        </w:rPr>
        <w:t>sagatavošanas procesā. Jāatzīmē, ka šogad tika sadalīta visa fiskālā telpa 202</w:t>
      </w:r>
      <w:r w:rsidR="0048284B">
        <w:rPr>
          <w:rFonts w:eastAsia="Times New Roman" w:cs="Times New Roman"/>
        </w:rPr>
        <w:t>4</w:t>
      </w:r>
      <w:r w:rsidRPr="0048284B">
        <w:rPr>
          <w:rFonts w:eastAsia="Times New Roman" w:cs="Times New Roman"/>
        </w:rPr>
        <w:t>.</w:t>
      </w:r>
      <w:r w:rsidR="006634E0">
        <w:rPr>
          <w:rFonts w:eastAsia="Times New Roman" w:cs="Times New Roman"/>
        </w:rPr>
        <w:t xml:space="preserve"> </w:t>
      </w:r>
      <w:r w:rsidRPr="0048284B">
        <w:rPr>
          <w:rFonts w:eastAsia="Times New Roman" w:cs="Times New Roman"/>
        </w:rPr>
        <w:t xml:space="preserve">gadam, </w:t>
      </w:r>
      <w:r w:rsidR="0048284B">
        <w:rPr>
          <w:rFonts w:eastAsia="Times New Roman" w:cs="Times New Roman"/>
        </w:rPr>
        <w:t>attiecīgi</w:t>
      </w:r>
      <w:r w:rsidR="00B93389">
        <w:rPr>
          <w:rFonts w:eastAsia="Times New Roman" w:cs="Times New Roman"/>
        </w:rPr>
        <w:t>,</w:t>
      </w:r>
      <w:r w:rsidRPr="0048284B">
        <w:rPr>
          <w:rFonts w:eastAsia="Times New Roman" w:cs="Times New Roman"/>
        </w:rPr>
        <w:t xml:space="preserve"> atlikusī fiskālā telpa 202</w:t>
      </w:r>
      <w:r w:rsidR="0048284B">
        <w:rPr>
          <w:rFonts w:eastAsia="Times New Roman" w:cs="Times New Roman"/>
        </w:rPr>
        <w:t>4.</w:t>
      </w:r>
      <w:r w:rsidRPr="0048284B">
        <w:rPr>
          <w:rFonts w:eastAsia="Times New Roman" w:cs="Times New Roman"/>
        </w:rPr>
        <w:t xml:space="preserve"> gadā</w:t>
      </w:r>
      <w:r w:rsidR="0048284B">
        <w:rPr>
          <w:rFonts w:eastAsia="Times New Roman" w:cs="Times New Roman"/>
        </w:rPr>
        <w:t xml:space="preserve"> ir nulle, savukārt, </w:t>
      </w:r>
      <w:r w:rsidR="006634E0">
        <w:rPr>
          <w:rFonts w:eastAsia="Times New Roman" w:cs="Times New Roman"/>
        </w:rPr>
        <w:t xml:space="preserve">2025. un </w:t>
      </w:r>
      <w:r w:rsidR="0048284B">
        <w:rPr>
          <w:rFonts w:eastAsia="Times New Roman" w:cs="Times New Roman"/>
        </w:rPr>
        <w:t xml:space="preserve">2026. gadā fiskālās telpas </w:t>
      </w:r>
      <w:r w:rsidR="00400015">
        <w:rPr>
          <w:rFonts w:eastAsia="Times New Roman" w:cs="Times New Roman"/>
        </w:rPr>
        <w:t>apjoms</w:t>
      </w:r>
      <w:r w:rsidR="00893F60">
        <w:rPr>
          <w:rFonts w:eastAsia="Times New Roman" w:cs="Times New Roman"/>
        </w:rPr>
        <w:t xml:space="preserve"> nākamo periodu izdevumiem</w:t>
      </w:r>
      <w:r w:rsidR="0048284B">
        <w:rPr>
          <w:rFonts w:eastAsia="Times New Roman" w:cs="Times New Roman"/>
        </w:rPr>
        <w:t xml:space="preserve"> </w:t>
      </w:r>
      <w:r w:rsidR="006634E0">
        <w:rPr>
          <w:rFonts w:eastAsia="Times New Roman" w:cs="Times New Roman"/>
        </w:rPr>
        <w:t xml:space="preserve">attiecīgi </w:t>
      </w:r>
      <w:r w:rsidR="0048284B">
        <w:rPr>
          <w:rFonts w:eastAsia="Times New Roman" w:cs="Times New Roman"/>
        </w:rPr>
        <w:t xml:space="preserve">ir </w:t>
      </w:r>
      <w:r w:rsidR="0048284B" w:rsidRPr="0048284B">
        <w:rPr>
          <w:rFonts w:eastAsia="Times New Roman" w:cs="Times New Roman"/>
        </w:rPr>
        <w:t>6</w:t>
      </w:r>
      <w:r w:rsidR="006634E0">
        <w:rPr>
          <w:rFonts w:eastAsia="Times New Roman" w:cs="Times New Roman"/>
        </w:rPr>
        <w:t>3,5</w:t>
      </w:r>
      <w:r w:rsidR="0048284B">
        <w:rPr>
          <w:rFonts w:eastAsia="Times New Roman" w:cs="Times New Roman"/>
        </w:rPr>
        <w:t xml:space="preserve"> </w:t>
      </w:r>
      <w:r w:rsidR="0048284B" w:rsidRPr="0048284B">
        <w:rPr>
          <w:rFonts w:eastAsia="Times New Roman" w:cs="Times New Roman"/>
        </w:rPr>
        <w:t xml:space="preserve">milj. </w:t>
      </w:r>
      <w:proofErr w:type="spellStart"/>
      <w:r w:rsidR="0048284B" w:rsidRPr="0048284B">
        <w:rPr>
          <w:rFonts w:eastAsia="Times New Roman" w:cs="Times New Roman"/>
          <w:i/>
        </w:rPr>
        <w:t>euro</w:t>
      </w:r>
      <w:proofErr w:type="spellEnd"/>
      <w:r w:rsidR="006634E0">
        <w:rPr>
          <w:rFonts w:eastAsia="Times New Roman" w:cs="Times New Roman"/>
          <w:i/>
        </w:rPr>
        <w:t xml:space="preserve"> </w:t>
      </w:r>
      <w:r w:rsidR="006634E0">
        <w:rPr>
          <w:rFonts w:eastAsia="Times New Roman" w:cs="Times New Roman"/>
          <w:iCs/>
        </w:rPr>
        <w:t xml:space="preserve">un 345,5 milj. </w:t>
      </w:r>
      <w:proofErr w:type="spellStart"/>
      <w:r w:rsidR="006634E0" w:rsidRPr="006634E0">
        <w:rPr>
          <w:rFonts w:eastAsia="Times New Roman" w:cs="Times New Roman"/>
          <w:i/>
        </w:rPr>
        <w:t>euro</w:t>
      </w:r>
      <w:proofErr w:type="spellEnd"/>
      <w:r w:rsidRPr="0048284B">
        <w:rPr>
          <w:rFonts w:eastAsia="Times New Roman" w:cs="Times New Roman"/>
        </w:rPr>
        <w:t xml:space="preserve">.   </w:t>
      </w:r>
    </w:p>
    <w:p w14:paraId="2F92BF36" w14:textId="77777777" w:rsidR="00400015" w:rsidRDefault="00400015" w:rsidP="00D201CE">
      <w:pPr>
        <w:widowControl w:val="0"/>
        <w:rPr>
          <w:rFonts w:eastAsia="Times New Roman" w:cs="Times New Roman"/>
        </w:rPr>
      </w:pPr>
    </w:p>
    <w:p w14:paraId="3F4DA317" w14:textId="77777777" w:rsidR="00400015" w:rsidRDefault="00400015" w:rsidP="00D201CE">
      <w:pPr>
        <w:widowControl w:val="0"/>
        <w:rPr>
          <w:rFonts w:eastAsia="Times New Roman" w:cs="Times New Roman"/>
        </w:rPr>
      </w:pPr>
    </w:p>
    <w:p w14:paraId="010DB01A" w14:textId="77777777" w:rsidR="004A74DD" w:rsidRDefault="004A74DD" w:rsidP="00D201CE">
      <w:pPr>
        <w:widowControl w:val="0"/>
        <w:rPr>
          <w:rFonts w:eastAsia="Times New Roman" w:cs="Times New Roman"/>
        </w:rPr>
      </w:pPr>
    </w:p>
    <w:p w14:paraId="66885A96" w14:textId="77777777" w:rsidR="00FF3DFF" w:rsidRDefault="00FF3DFF" w:rsidP="00D201CE">
      <w:pPr>
        <w:widowControl w:val="0"/>
        <w:rPr>
          <w:rFonts w:eastAsia="Times New Roman" w:cs="Times New Roman"/>
        </w:rPr>
      </w:pPr>
    </w:p>
    <w:p w14:paraId="6FAB672A" w14:textId="77777777" w:rsidR="00FF3DFF" w:rsidRDefault="00FF3DFF" w:rsidP="00D201CE">
      <w:pPr>
        <w:widowControl w:val="0"/>
        <w:rPr>
          <w:rFonts w:eastAsia="Times New Roman" w:cs="Times New Roman"/>
        </w:rPr>
      </w:pPr>
    </w:p>
    <w:p w14:paraId="6810382C" w14:textId="77777777" w:rsidR="00915CB6" w:rsidRDefault="00915CB6" w:rsidP="00D201CE">
      <w:pPr>
        <w:widowControl w:val="0"/>
        <w:rPr>
          <w:rFonts w:eastAsia="Times New Roman" w:cs="Times New Roman"/>
        </w:rPr>
      </w:pPr>
    </w:p>
    <w:p w14:paraId="6C15B79A" w14:textId="77777777" w:rsidR="004A74DD" w:rsidRPr="0048284B" w:rsidRDefault="004A74DD" w:rsidP="00D201CE">
      <w:pPr>
        <w:widowControl w:val="0"/>
        <w:rPr>
          <w:rFonts w:eastAsia="Times New Roman" w:cs="Times New Roman"/>
        </w:rPr>
      </w:pPr>
    </w:p>
    <w:p w14:paraId="1304BA1C" w14:textId="57961519" w:rsidR="002519DD" w:rsidRPr="0038459F" w:rsidRDefault="00EE5424" w:rsidP="006C5310">
      <w:pPr>
        <w:widowControl w:val="0"/>
        <w:spacing w:before="120"/>
        <w:ind w:right="142" w:firstLine="709"/>
        <w:jc w:val="right"/>
        <w:rPr>
          <w:rFonts w:eastAsia="Times New Roman" w:cs="Times New Roman"/>
          <w:b/>
          <w:i/>
          <w:highlight w:val="lightGray"/>
        </w:rPr>
      </w:pPr>
      <w:r w:rsidRPr="006634E0">
        <w:rPr>
          <w:rFonts w:eastAsia="Times New Roman" w:cs="Times New Roman"/>
          <w:b/>
          <w:i/>
          <w:color w:val="000000"/>
        </w:rPr>
        <w:lastRenderedPageBreak/>
        <w:t>2.</w:t>
      </w:r>
      <w:r w:rsidR="00635FC4" w:rsidRPr="006634E0">
        <w:rPr>
          <w:rFonts w:eastAsia="Times New Roman" w:cs="Times New Roman"/>
          <w:b/>
          <w:i/>
          <w:color w:val="000000"/>
        </w:rPr>
        <w:t>5</w:t>
      </w:r>
      <w:r w:rsidR="00071293" w:rsidRPr="006634E0">
        <w:rPr>
          <w:rFonts w:eastAsia="Times New Roman" w:cs="Times New Roman"/>
          <w:b/>
          <w:i/>
          <w:color w:val="000000"/>
        </w:rPr>
        <w:t>.</w:t>
      </w:r>
      <w:r w:rsidRPr="006634E0">
        <w:rPr>
          <w:rFonts w:eastAsia="Times New Roman" w:cs="Times New Roman"/>
          <w:b/>
          <w:i/>
          <w:color w:val="000000"/>
        </w:rPr>
        <w:t xml:space="preserve"> </w:t>
      </w:r>
      <w:r w:rsidR="00071293" w:rsidRPr="006634E0">
        <w:rPr>
          <w:rFonts w:eastAsia="Times New Roman" w:cs="Times New Roman"/>
          <w:b/>
          <w:i/>
          <w:color w:val="000000"/>
        </w:rPr>
        <w:t xml:space="preserve">tabula. </w:t>
      </w:r>
      <w:r w:rsidR="00071293" w:rsidRPr="006634E0">
        <w:rPr>
          <w:rFonts w:eastAsia="Times New Roman" w:cs="Times New Roman"/>
          <w:b/>
          <w:i/>
        </w:rPr>
        <w:t>Fiskālie rādītāji, kas tiek izmantoti koriģēto</w:t>
      </w:r>
      <w:r w:rsidR="00071293" w:rsidRPr="006634E0">
        <w:rPr>
          <w:rFonts w:ascii="Calibri" w:eastAsia="Calibri" w:hAnsi="Calibri" w:cs="Calibri"/>
        </w:rPr>
        <w:t xml:space="preserve"> </w:t>
      </w:r>
      <w:r w:rsidR="00071293" w:rsidRPr="006634E0">
        <w:rPr>
          <w:rFonts w:eastAsia="Times New Roman" w:cs="Times New Roman"/>
          <w:b/>
          <w:i/>
        </w:rPr>
        <w:t>maksimāli pieļaujamo valsts</w:t>
      </w:r>
      <w:r w:rsidR="006C5310" w:rsidRPr="006634E0">
        <w:rPr>
          <w:rFonts w:eastAsia="Times New Roman" w:cs="Times New Roman"/>
          <w:b/>
          <w:i/>
        </w:rPr>
        <w:t xml:space="preserve"> budžeta izdevumu aprēķināšana</w:t>
      </w:r>
    </w:p>
    <w:tbl>
      <w:tblPr>
        <w:tblW w:w="9066" w:type="dxa"/>
        <w:jc w:val="center"/>
        <w:tblLook w:val="04A0" w:firstRow="1" w:lastRow="0" w:firstColumn="1" w:lastColumn="0" w:noHBand="0" w:noVBand="1"/>
      </w:tblPr>
      <w:tblGrid>
        <w:gridCol w:w="1230"/>
        <w:gridCol w:w="4872"/>
        <w:gridCol w:w="1016"/>
        <w:gridCol w:w="979"/>
        <w:gridCol w:w="969"/>
      </w:tblGrid>
      <w:tr w:rsidR="002519DD" w:rsidRPr="00400015" w14:paraId="0731FD87" w14:textId="77777777" w:rsidTr="00117F48">
        <w:trPr>
          <w:trHeight w:val="300"/>
          <w:tblHeader/>
          <w:jc w:val="center"/>
        </w:trPr>
        <w:tc>
          <w:tcPr>
            <w:tcW w:w="1230" w:type="dxa"/>
            <w:tcBorders>
              <w:top w:val="nil"/>
              <w:left w:val="nil"/>
              <w:bottom w:val="nil"/>
              <w:right w:val="nil"/>
            </w:tcBorders>
            <w:shd w:val="clear" w:color="auto" w:fill="auto"/>
            <w:noWrap/>
            <w:vAlign w:val="bottom"/>
            <w:hideMark/>
          </w:tcPr>
          <w:p w14:paraId="23B0A7ED" w14:textId="77777777" w:rsidR="002519DD" w:rsidRPr="00400015" w:rsidRDefault="002519DD" w:rsidP="002519DD">
            <w:pPr>
              <w:spacing w:after="0"/>
              <w:ind w:firstLine="0"/>
              <w:jc w:val="left"/>
              <w:rPr>
                <w:rFonts w:eastAsia="Times New Roman" w:cs="Times New Roman"/>
                <w:sz w:val="18"/>
                <w:szCs w:val="18"/>
              </w:rPr>
            </w:pPr>
          </w:p>
        </w:tc>
        <w:tc>
          <w:tcPr>
            <w:tcW w:w="4872"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p w14:paraId="4B2700FE" w14:textId="77777777" w:rsidR="002519DD" w:rsidRPr="00400015" w:rsidRDefault="002519DD" w:rsidP="002519DD">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w:t>
            </w:r>
          </w:p>
        </w:tc>
        <w:tc>
          <w:tcPr>
            <w:tcW w:w="1016" w:type="dxa"/>
            <w:tcBorders>
              <w:top w:val="single" w:sz="4" w:space="0" w:color="auto"/>
              <w:left w:val="nil"/>
              <w:bottom w:val="single" w:sz="4" w:space="0" w:color="auto"/>
              <w:right w:val="single" w:sz="4" w:space="0" w:color="auto"/>
            </w:tcBorders>
            <w:shd w:val="clear" w:color="000000" w:fill="B8CCE4"/>
            <w:noWrap/>
            <w:vAlign w:val="bottom"/>
            <w:hideMark/>
          </w:tcPr>
          <w:p w14:paraId="325DFE92" w14:textId="07284DD0" w:rsidR="002519DD" w:rsidRPr="00400015" w:rsidRDefault="002519DD" w:rsidP="002519DD">
            <w:pPr>
              <w:spacing w:after="0"/>
              <w:ind w:firstLine="0"/>
              <w:jc w:val="center"/>
              <w:rPr>
                <w:rFonts w:eastAsia="Times New Roman" w:cs="Times New Roman"/>
                <w:b/>
                <w:bCs/>
                <w:color w:val="000000"/>
                <w:sz w:val="18"/>
                <w:szCs w:val="18"/>
              </w:rPr>
            </w:pPr>
            <w:r w:rsidRPr="00400015">
              <w:rPr>
                <w:rFonts w:eastAsia="Times New Roman" w:cs="Times New Roman"/>
                <w:b/>
                <w:bCs/>
                <w:color w:val="000000"/>
                <w:sz w:val="18"/>
                <w:szCs w:val="18"/>
              </w:rPr>
              <w:t>202</w:t>
            </w:r>
            <w:r w:rsidR="0048284B" w:rsidRPr="00400015">
              <w:rPr>
                <w:rFonts w:eastAsia="Times New Roman" w:cs="Times New Roman"/>
                <w:b/>
                <w:bCs/>
                <w:color w:val="000000"/>
                <w:sz w:val="18"/>
                <w:szCs w:val="18"/>
              </w:rPr>
              <w:t>4</w:t>
            </w:r>
          </w:p>
        </w:tc>
        <w:tc>
          <w:tcPr>
            <w:tcW w:w="979" w:type="dxa"/>
            <w:tcBorders>
              <w:top w:val="single" w:sz="4" w:space="0" w:color="auto"/>
              <w:left w:val="nil"/>
              <w:bottom w:val="single" w:sz="4" w:space="0" w:color="auto"/>
              <w:right w:val="single" w:sz="4" w:space="0" w:color="auto"/>
            </w:tcBorders>
            <w:shd w:val="clear" w:color="000000" w:fill="B8CCE4"/>
            <w:noWrap/>
            <w:vAlign w:val="bottom"/>
            <w:hideMark/>
          </w:tcPr>
          <w:p w14:paraId="5AFBE8E6" w14:textId="513ACF5D" w:rsidR="002519DD" w:rsidRPr="00400015" w:rsidRDefault="002519DD" w:rsidP="002519DD">
            <w:pPr>
              <w:spacing w:after="0"/>
              <w:ind w:firstLine="0"/>
              <w:jc w:val="center"/>
              <w:rPr>
                <w:rFonts w:eastAsia="Times New Roman" w:cs="Times New Roman"/>
                <w:b/>
                <w:bCs/>
                <w:color w:val="000000"/>
                <w:sz w:val="18"/>
                <w:szCs w:val="18"/>
              </w:rPr>
            </w:pPr>
            <w:r w:rsidRPr="00400015">
              <w:rPr>
                <w:rFonts w:eastAsia="Times New Roman" w:cs="Times New Roman"/>
                <w:b/>
                <w:bCs/>
                <w:color w:val="000000"/>
                <w:sz w:val="18"/>
                <w:szCs w:val="18"/>
              </w:rPr>
              <w:t>202</w:t>
            </w:r>
            <w:r w:rsidR="0048284B" w:rsidRPr="00400015">
              <w:rPr>
                <w:rFonts w:eastAsia="Times New Roman" w:cs="Times New Roman"/>
                <w:b/>
                <w:bCs/>
                <w:color w:val="000000"/>
                <w:sz w:val="18"/>
                <w:szCs w:val="18"/>
              </w:rPr>
              <w:t>5</w:t>
            </w:r>
          </w:p>
        </w:tc>
        <w:tc>
          <w:tcPr>
            <w:tcW w:w="969" w:type="dxa"/>
            <w:tcBorders>
              <w:top w:val="single" w:sz="4" w:space="0" w:color="auto"/>
              <w:left w:val="nil"/>
              <w:bottom w:val="single" w:sz="4" w:space="0" w:color="auto"/>
              <w:right w:val="single" w:sz="4" w:space="0" w:color="auto"/>
            </w:tcBorders>
            <w:shd w:val="clear" w:color="000000" w:fill="B8CCE4"/>
            <w:noWrap/>
            <w:vAlign w:val="bottom"/>
            <w:hideMark/>
          </w:tcPr>
          <w:p w14:paraId="0D22B2CC" w14:textId="12EB9E53" w:rsidR="002519DD" w:rsidRPr="00400015" w:rsidRDefault="002519DD" w:rsidP="002519DD">
            <w:pPr>
              <w:spacing w:after="0"/>
              <w:ind w:firstLine="0"/>
              <w:jc w:val="center"/>
              <w:rPr>
                <w:rFonts w:eastAsia="Times New Roman" w:cs="Times New Roman"/>
                <w:b/>
                <w:bCs/>
                <w:sz w:val="18"/>
                <w:szCs w:val="18"/>
              </w:rPr>
            </w:pPr>
            <w:r w:rsidRPr="00400015">
              <w:rPr>
                <w:rFonts w:eastAsia="Times New Roman" w:cs="Times New Roman"/>
                <w:b/>
                <w:bCs/>
                <w:color w:val="000000"/>
                <w:sz w:val="18"/>
                <w:szCs w:val="18"/>
              </w:rPr>
              <w:t>202</w:t>
            </w:r>
            <w:r w:rsidR="0048284B" w:rsidRPr="00400015">
              <w:rPr>
                <w:rFonts w:eastAsia="Times New Roman" w:cs="Times New Roman"/>
                <w:b/>
                <w:bCs/>
                <w:color w:val="000000"/>
                <w:sz w:val="18"/>
                <w:szCs w:val="18"/>
              </w:rPr>
              <w:t>6</w:t>
            </w:r>
          </w:p>
        </w:tc>
      </w:tr>
      <w:tr w:rsidR="006634E0" w:rsidRPr="00400015" w14:paraId="605EEA9F"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23D7C71D"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0</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27FE5750" w14:textId="12072EB5"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IKP, faktiskajās cenas, milj. </w:t>
            </w:r>
            <w:proofErr w:type="spellStart"/>
            <w:r w:rsidRPr="00400015">
              <w:rPr>
                <w:rFonts w:eastAsia="Times New Roman" w:cs="Times New Roman"/>
                <w:i/>
                <w:iCs/>
                <w:color w:val="000000"/>
                <w:sz w:val="18"/>
                <w:szCs w:val="18"/>
              </w:rPr>
              <w:t>euro</w:t>
            </w:r>
            <w:proofErr w:type="spellEnd"/>
          </w:p>
        </w:tc>
        <w:tc>
          <w:tcPr>
            <w:tcW w:w="101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3685F3E" w14:textId="53255DAE" w:rsidR="006634E0" w:rsidRPr="00400015" w:rsidRDefault="006634E0" w:rsidP="006634E0">
            <w:pPr>
              <w:spacing w:after="0"/>
              <w:ind w:firstLine="0"/>
              <w:jc w:val="center"/>
              <w:rPr>
                <w:rFonts w:eastAsia="Times New Roman" w:cs="Times New Roman"/>
                <w:sz w:val="18"/>
                <w:szCs w:val="18"/>
              </w:rPr>
            </w:pPr>
            <w:r w:rsidRPr="00400015">
              <w:rPr>
                <w:sz w:val="20"/>
                <w:szCs w:val="20"/>
              </w:rPr>
              <w:t>45 524</w:t>
            </w:r>
          </w:p>
        </w:tc>
        <w:tc>
          <w:tcPr>
            <w:tcW w:w="979" w:type="dxa"/>
            <w:tcBorders>
              <w:top w:val="single" w:sz="4" w:space="0" w:color="auto"/>
              <w:left w:val="nil"/>
              <w:bottom w:val="single" w:sz="4" w:space="0" w:color="auto"/>
              <w:right w:val="single" w:sz="4" w:space="0" w:color="auto"/>
            </w:tcBorders>
            <w:shd w:val="clear" w:color="000000" w:fill="FFFFFF"/>
            <w:noWrap/>
            <w:vAlign w:val="bottom"/>
            <w:hideMark/>
          </w:tcPr>
          <w:p w14:paraId="361ABCCB" w14:textId="00A7BF2A" w:rsidR="006634E0" w:rsidRPr="00400015" w:rsidRDefault="006634E0" w:rsidP="006634E0">
            <w:pPr>
              <w:spacing w:after="0"/>
              <w:ind w:firstLine="0"/>
              <w:jc w:val="center"/>
              <w:rPr>
                <w:rFonts w:eastAsia="Times New Roman" w:cs="Times New Roman"/>
                <w:sz w:val="18"/>
                <w:szCs w:val="18"/>
              </w:rPr>
            </w:pPr>
            <w:r w:rsidRPr="00400015">
              <w:rPr>
                <w:sz w:val="20"/>
                <w:szCs w:val="20"/>
              </w:rPr>
              <w:t>48 338</w:t>
            </w:r>
          </w:p>
        </w:tc>
        <w:tc>
          <w:tcPr>
            <w:tcW w:w="969" w:type="dxa"/>
            <w:tcBorders>
              <w:top w:val="single" w:sz="4" w:space="0" w:color="auto"/>
              <w:left w:val="nil"/>
              <w:bottom w:val="single" w:sz="4" w:space="0" w:color="auto"/>
              <w:right w:val="single" w:sz="4" w:space="0" w:color="auto"/>
            </w:tcBorders>
            <w:shd w:val="clear" w:color="000000" w:fill="FFFFFF"/>
            <w:noWrap/>
            <w:vAlign w:val="bottom"/>
            <w:hideMark/>
          </w:tcPr>
          <w:p w14:paraId="3AC98778" w14:textId="2138C6ED" w:rsidR="006634E0" w:rsidRPr="00400015" w:rsidRDefault="006634E0" w:rsidP="006634E0">
            <w:pPr>
              <w:spacing w:after="0"/>
              <w:ind w:firstLine="0"/>
              <w:jc w:val="center"/>
              <w:rPr>
                <w:rFonts w:eastAsia="Times New Roman" w:cs="Times New Roman"/>
                <w:sz w:val="18"/>
                <w:szCs w:val="18"/>
              </w:rPr>
            </w:pPr>
            <w:r w:rsidRPr="00400015">
              <w:rPr>
                <w:sz w:val="20"/>
                <w:szCs w:val="20"/>
              </w:rPr>
              <w:t>51 122</w:t>
            </w:r>
          </w:p>
        </w:tc>
      </w:tr>
      <w:tr w:rsidR="006634E0" w:rsidRPr="00400015" w14:paraId="1C223818"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345BC269"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w:t>
            </w:r>
          </w:p>
        </w:tc>
        <w:tc>
          <w:tcPr>
            <w:tcW w:w="4872" w:type="dxa"/>
            <w:tcBorders>
              <w:top w:val="nil"/>
              <w:left w:val="single" w:sz="4" w:space="0" w:color="auto"/>
              <w:bottom w:val="single" w:sz="4" w:space="0" w:color="auto"/>
              <w:right w:val="single" w:sz="4" w:space="0" w:color="auto"/>
            </w:tcBorders>
            <w:shd w:val="clear" w:color="000000" w:fill="DCE6F1"/>
            <w:noWrap/>
            <w:vAlign w:val="bottom"/>
            <w:hideMark/>
          </w:tcPr>
          <w:p w14:paraId="3F3DF828" w14:textId="523E36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Strukturālās bilances mērķis,  % no IKP</w:t>
            </w:r>
          </w:p>
        </w:tc>
        <w:tc>
          <w:tcPr>
            <w:tcW w:w="1016" w:type="dxa"/>
            <w:tcBorders>
              <w:top w:val="nil"/>
              <w:left w:val="single" w:sz="4" w:space="0" w:color="auto"/>
              <w:bottom w:val="single" w:sz="4" w:space="0" w:color="auto"/>
              <w:right w:val="single" w:sz="4" w:space="0" w:color="auto"/>
            </w:tcBorders>
            <w:shd w:val="clear" w:color="000000" w:fill="DCE6F1"/>
            <w:noWrap/>
            <w:vAlign w:val="bottom"/>
            <w:hideMark/>
          </w:tcPr>
          <w:p w14:paraId="4765F158" w14:textId="613B5FEA" w:rsidR="006634E0" w:rsidRPr="00400015" w:rsidRDefault="006634E0" w:rsidP="006634E0">
            <w:pPr>
              <w:spacing w:after="0"/>
              <w:ind w:firstLine="0"/>
              <w:jc w:val="center"/>
              <w:rPr>
                <w:rFonts w:eastAsia="Times New Roman" w:cs="Times New Roman"/>
                <w:sz w:val="18"/>
                <w:szCs w:val="18"/>
              </w:rPr>
            </w:pPr>
            <w:r w:rsidRPr="00400015">
              <w:rPr>
                <w:sz w:val="20"/>
                <w:szCs w:val="20"/>
              </w:rPr>
              <w:t>-0,5</w:t>
            </w:r>
          </w:p>
        </w:tc>
        <w:tc>
          <w:tcPr>
            <w:tcW w:w="979" w:type="dxa"/>
            <w:tcBorders>
              <w:top w:val="nil"/>
              <w:left w:val="nil"/>
              <w:bottom w:val="single" w:sz="4" w:space="0" w:color="auto"/>
              <w:right w:val="single" w:sz="4" w:space="0" w:color="auto"/>
            </w:tcBorders>
            <w:shd w:val="clear" w:color="000000" w:fill="DCE6F1"/>
            <w:noWrap/>
            <w:vAlign w:val="bottom"/>
            <w:hideMark/>
          </w:tcPr>
          <w:p w14:paraId="2CE89C81" w14:textId="25E3F193" w:rsidR="006634E0" w:rsidRPr="00400015" w:rsidRDefault="006634E0" w:rsidP="006634E0">
            <w:pPr>
              <w:spacing w:after="0"/>
              <w:ind w:firstLine="0"/>
              <w:jc w:val="center"/>
              <w:rPr>
                <w:rFonts w:eastAsia="Times New Roman" w:cs="Times New Roman"/>
                <w:sz w:val="18"/>
                <w:szCs w:val="18"/>
              </w:rPr>
            </w:pPr>
            <w:r w:rsidRPr="00400015">
              <w:rPr>
                <w:sz w:val="20"/>
                <w:szCs w:val="20"/>
              </w:rPr>
              <w:t>-0,5</w:t>
            </w:r>
          </w:p>
        </w:tc>
        <w:tc>
          <w:tcPr>
            <w:tcW w:w="969" w:type="dxa"/>
            <w:tcBorders>
              <w:top w:val="nil"/>
              <w:left w:val="nil"/>
              <w:bottom w:val="single" w:sz="4" w:space="0" w:color="auto"/>
              <w:right w:val="single" w:sz="4" w:space="0" w:color="auto"/>
            </w:tcBorders>
            <w:shd w:val="clear" w:color="000000" w:fill="DCE6F1"/>
            <w:noWrap/>
            <w:vAlign w:val="bottom"/>
            <w:hideMark/>
          </w:tcPr>
          <w:p w14:paraId="72C8CB0A" w14:textId="7A5DE597" w:rsidR="006634E0" w:rsidRPr="00400015" w:rsidRDefault="006634E0" w:rsidP="006634E0">
            <w:pPr>
              <w:spacing w:after="0"/>
              <w:ind w:firstLine="0"/>
              <w:jc w:val="center"/>
              <w:rPr>
                <w:rFonts w:eastAsia="Times New Roman" w:cs="Times New Roman"/>
                <w:sz w:val="18"/>
                <w:szCs w:val="18"/>
              </w:rPr>
            </w:pPr>
            <w:r w:rsidRPr="00400015">
              <w:rPr>
                <w:sz w:val="20"/>
                <w:szCs w:val="20"/>
              </w:rPr>
              <w:t>-0,5</w:t>
            </w:r>
          </w:p>
        </w:tc>
      </w:tr>
      <w:tr w:rsidR="006634E0" w:rsidRPr="00400015" w14:paraId="708CE89C"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67CEB520"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2</w:t>
            </w:r>
          </w:p>
        </w:tc>
        <w:tc>
          <w:tcPr>
            <w:tcW w:w="4872" w:type="dxa"/>
            <w:tcBorders>
              <w:top w:val="nil"/>
              <w:left w:val="single" w:sz="4" w:space="0" w:color="auto"/>
              <w:bottom w:val="single" w:sz="4" w:space="0" w:color="auto"/>
              <w:right w:val="single" w:sz="4" w:space="0" w:color="auto"/>
            </w:tcBorders>
            <w:shd w:val="clear" w:color="auto" w:fill="auto"/>
            <w:noWrap/>
            <w:vAlign w:val="bottom"/>
            <w:hideMark/>
          </w:tcPr>
          <w:p w14:paraId="0007869D" w14:textId="6E36B9D5"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Cikliskā komponente, % no IKP</w:t>
            </w:r>
          </w:p>
        </w:tc>
        <w:tc>
          <w:tcPr>
            <w:tcW w:w="1016" w:type="dxa"/>
            <w:tcBorders>
              <w:top w:val="nil"/>
              <w:left w:val="single" w:sz="4" w:space="0" w:color="auto"/>
              <w:bottom w:val="single" w:sz="4" w:space="0" w:color="auto"/>
              <w:right w:val="single" w:sz="4" w:space="0" w:color="auto"/>
            </w:tcBorders>
            <w:shd w:val="clear" w:color="auto" w:fill="auto"/>
            <w:noWrap/>
            <w:vAlign w:val="bottom"/>
            <w:hideMark/>
          </w:tcPr>
          <w:p w14:paraId="3BC3DD6C" w14:textId="0245D47A" w:rsidR="006634E0" w:rsidRPr="00400015" w:rsidRDefault="006634E0" w:rsidP="006634E0">
            <w:pPr>
              <w:spacing w:after="0"/>
              <w:ind w:firstLine="0"/>
              <w:jc w:val="center"/>
              <w:rPr>
                <w:rFonts w:eastAsia="Times New Roman" w:cs="Times New Roman"/>
                <w:sz w:val="18"/>
                <w:szCs w:val="18"/>
              </w:rPr>
            </w:pPr>
            <w:r w:rsidRPr="00400015">
              <w:rPr>
                <w:sz w:val="20"/>
                <w:szCs w:val="20"/>
              </w:rPr>
              <w:t>-0,5</w:t>
            </w:r>
          </w:p>
        </w:tc>
        <w:tc>
          <w:tcPr>
            <w:tcW w:w="979" w:type="dxa"/>
            <w:tcBorders>
              <w:top w:val="nil"/>
              <w:left w:val="nil"/>
              <w:bottom w:val="single" w:sz="4" w:space="0" w:color="auto"/>
              <w:right w:val="single" w:sz="4" w:space="0" w:color="auto"/>
            </w:tcBorders>
            <w:shd w:val="clear" w:color="auto" w:fill="auto"/>
            <w:noWrap/>
            <w:vAlign w:val="bottom"/>
            <w:hideMark/>
          </w:tcPr>
          <w:p w14:paraId="64124E67" w14:textId="0EA4A234" w:rsidR="006634E0" w:rsidRPr="00400015" w:rsidRDefault="006634E0" w:rsidP="006634E0">
            <w:pPr>
              <w:spacing w:after="0"/>
              <w:ind w:firstLine="0"/>
              <w:jc w:val="center"/>
              <w:rPr>
                <w:rFonts w:eastAsia="Times New Roman" w:cs="Times New Roman"/>
                <w:sz w:val="18"/>
                <w:szCs w:val="18"/>
              </w:rPr>
            </w:pPr>
            <w:r w:rsidRPr="00400015">
              <w:rPr>
                <w:sz w:val="20"/>
                <w:szCs w:val="20"/>
              </w:rPr>
              <w:t>-0,2</w:t>
            </w:r>
          </w:p>
        </w:tc>
        <w:tc>
          <w:tcPr>
            <w:tcW w:w="969" w:type="dxa"/>
            <w:tcBorders>
              <w:top w:val="nil"/>
              <w:left w:val="nil"/>
              <w:bottom w:val="single" w:sz="4" w:space="0" w:color="auto"/>
              <w:right w:val="single" w:sz="4" w:space="0" w:color="auto"/>
            </w:tcBorders>
            <w:shd w:val="clear" w:color="auto" w:fill="auto"/>
            <w:noWrap/>
            <w:vAlign w:val="bottom"/>
            <w:hideMark/>
          </w:tcPr>
          <w:p w14:paraId="2D56A88D" w14:textId="6731A7E5" w:rsidR="006634E0" w:rsidRPr="00400015" w:rsidRDefault="006634E0" w:rsidP="006634E0">
            <w:pPr>
              <w:spacing w:after="0"/>
              <w:ind w:firstLine="0"/>
              <w:jc w:val="center"/>
              <w:rPr>
                <w:rFonts w:eastAsia="Times New Roman" w:cs="Times New Roman"/>
                <w:sz w:val="18"/>
                <w:szCs w:val="18"/>
              </w:rPr>
            </w:pPr>
            <w:r w:rsidRPr="00400015">
              <w:rPr>
                <w:sz w:val="20"/>
                <w:szCs w:val="20"/>
              </w:rPr>
              <w:t>0,0</w:t>
            </w:r>
          </w:p>
        </w:tc>
      </w:tr>
      <w:tr w:rsidR="006634E0" w:rsidRPr="00400015" w14:paraId="626C1599"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68C49C22"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3</w:t>
            </w:r>
          </w:p>
        </w:tc>
        <w:tc>
          <w:tcPr>
            <w:tcW w:w="4872" w:type="dxa"/>
            <w:tcBorders>
              <w:top w:val="nil"/>
              <w:left w:val="single" w:sz="4" w:space="0" w:color="auto"/>
              <w:bottom w:val="single" w:sz="4" w:space="0" w:color="auto"/>
              <w:right w:val="single" w:sz="4" w:space="0" w:color="auto"/>
            </w:tcBorders>
            <w:shd w:val="clear" w:color="auto" w:fill="auto"/>
            <w:noWrap/>
            <w:vAlign w:val="bottom"/>
            <w:hideMark/>
          </w:tcPr>
          <w:p w14:paraId="59A6C11B" w14:textId="7EB1A86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Vienreizējie un pagaidu pasākumi, % no IKP</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B1334" w14:textId="43835AF3" w:rsidR="006634E0" w:rsidRPr="00400015" w:rsidRDefault="006634E0" w:rsidP="006634E0">
            <w:pPr>
              <w:spacing w:after="0"/>
              <w:ind w:firstLine="0"/>
              <w:jc w:val="center"/>
              <w:rPr>
                <w:rFonts w:eastAsia="Times New Roman" w:cs="Times New Roman"/>
                <w:sz w:val="18"/>
                <w:szCs w:val="18"/>
              </w:rPr>
            </w:pPr>
            <w:r w:rsidRPr="00400015">
              <w:rPr>
                <w:sz w:val="20"/>
                <w:szCs w:val="20"/>
              </w:rPr>
              <w:t>-1,9</w:t>
            </w:r>
          </w:p>
        </w:tc>
        <w:tc>
          <w:tcPr>
            <w:tcW w:w="979" w:type="dxa"/>
            <w:tcBorders>
              <w:top w:val="single" w:sz="4" w:space="0" w:color="auto"/>
              <w:left w:val="nil"/>
              <w:bottom w:val="single" w:sz="4" w:space="0" w:color="auto"/>
              <w:right w:val="single" w:sz="4" w:space="0" w:color="auto"/>
            </w:tcBorders>
            <w:shd w:val="clear" w:color="auto" w:fill="auto"/>
            <w:noWrap/>
            <w:vAlign w:val="bottom"/>
          </w:tcPr>
          <w:p w14:paraId="742CAF65" w14:textId="6BA30597" w:rsidR="006634E0" w:rsidRPr="00400015" w:rsidRDefault="006634E0" w:rsidP="006634E0">
            <w:pPr>
              <w:spacing w:after="0"/>
              <w:ind w:firstLine="0"/>
              <w:jc w:val="center"/>
              <w:rPr>
                <w:rFonts w:eastAsia="Times New Roman" w:cs="Times New Roman"/>
                <w:sz w:val="18"/>
                <w:szCs w:val="18"/>
              </w:rPr>
            </w:pPr>
            <w:r w:rsidRPr="00400015">
              <w:rPr>
                <w:sz w:val="20"/>
                <w:szCs w:val="20"/>
              </w:rPr>
              <w:t>-1,8</w:t>
            </w:r>
          </w:p>
        </w:tc>
        <w:tc>
          <w:tcPr>
            <w:tcW w:w="969" w:type="dxa"/>
            <w:tcBorders>
              <w:top w:val="single" w:sz="4" w:space="0" w:color="auto"/>
              <w:left w:val="nil"/>
              <w:bottom w:val="single" w:sz="4" w:space="0" w:color="auto"/>
              <w:right w:val="single" w:sz="4" w:space="0" w:color="auto"/>
            </w:tcBorders>
            <w:shd w:val="clear" w:color="auto" w:fill="auto"/>
            <w:noWrap/>
            <w:vAlign w:val="bottom"/>
          </w:tcPr>
          <w:p w14:paraId="7151991E" w14:textId="5477B62B" w:rsidR="006634E0" w:rsidRPr="00400015" w:rsidRDefault="006634E0" w:rsidP="006634E0">
            <w:pPr>
              <w:spacing w:after="0"/>
              <w:ind w:firstLine="0"/>
              <w:jc w:val="center"/>
              <w:rPr>
                <w:rFonts w:eastAsia="Times New Roman" w:cs="Times New Roman"/>
                <w:sz w:val="18"/>
                <w:szCs w:val="18"/>
              </w:rPr>
            </w:pPr>
            <w:r w:rsidRPr="00400015">
              <w:rPr>
                <w:sz w:val="20"/>
                <w:szCs w:val="20"/>
              </w:rPr>
              <w:t>-1,2</w:t>
            </w:r>
          </w:p>
        </w:tc>
      </w:tr>
      <w:tr w:rsidR="006634E0" w:rsidRPr="00400015" w14:paraId="283D64DB"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6785789A"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4=1+2+3</w:t>
            </w:r>
          </w:p>
        </w:tc>
        <w:tc>
          <w:tcPr>
            <w:tcW w:w="4872" w:type="dxa"/>
            <w:tcBorders>
              <w:top w:val="nil"/>
              <w:left w:val="single" w:sz="4" w:space="0" w:color="auto"/>
              <w:bottom w:val="single" w:sz="4" w:space="0" w:color="auto"/>
              <w:right w:val="single" w:sz="4" w:space="0" w:color="auto"/>
            </w:tcBorders>
            <w:shd w:val="clear" w:color="000000" w:fill="DCE6F1"/>
            <w:noWrap/>
            <w:vAlign w:val="bottom"/>
            <w:hideMark/>
          </w:tcPr>
          <w:p w14:paraId="0670ACFA" w14:textId="1978F77A"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Vispārējās valdības budžeta nominālā bilance, % no IKP</w:t>
            </w:r>
          </w:p>
        </w:tc>
        <w:tc>
          <w:tcPr>
            <w:tcW w:w="1016" w:type="dxa"/>
            <w:tcBorders>
              <w:top w:val="nil"/>
              <w:left w:val="single" w:sz="4" w:space="0" w:color="auto"/>
              <w:bottom w:val="single" w:sz="4" w:space="0" w:color="auto"/>
              <w:right w:val="single" w:sz="4" w:space="0" w:color="auto"/>
            </w:tcBorders>
            <w:shd w:val="clear" w:color="000000" w:fill="DCE6F1"/>
            <w:noWrap/>
            <w:vAlign w:val="bottom"/>
          </w:tcPr>
          <w:p w14:paraId="2BA89E0E" w14:textId="4C81BB52" w:rsidR="006634E0" w:rsidRPr="00400015" w:rsidRDefault="006634E0" w:rsidP="006634E0">
            <w:pPr>
              <w:spacing w:after="0"/>
              <w:ind w:firstLine="0"/>
              <w:jc w:val="center"/>
              <w:rPr>
                <w:rFonts w:eastAsia="Times New Roman" w:cs="Times New Roman"/>
                <w:sz w:val="18"/>
                <w:szCs w:val="18"/>
              </w:rPr>
            </w:pPr>
            <w:r w:rsidRPr="00400015">
              <w:rPr>
                <w:sz w:val="20"/>
                <w:szCs w:val="20"/>
              </w:rPr>
              <w:t>-2,9</w:t>
            </w:r>
          </w:p>
        </w:tc>
        <w:tc>
          <w:tcPr>
            <w:tcW w:w="979" w:type="dxa"/>
            <w:tcBorders>
              <w:top w:val="nil"/>
              <w:left w:val="nil"/>
              <w:bottom w:val="single" w:sz="4" w:space="0" w:color="auto"/>
              <w:right w:val="single" w:sz="4" w:space="0" w:color="auto"/>
            </w:tcBorders>
            <w:shd w:val="clear" w:color="000000" w:fill="DCE6F1"/>
            <w:noWrap/>
            <w:vAlign w:val="bottom"/>
          </w:tcPr>
          <w:p w14:paraId="7EC45181" w14:textId="0F463AED" w:rsidR="006634E0" w:rsidRPr="00400015" w:rsidRDefault="006634E0" w:rsidP="006634E0">
            <w:pPr>
              <w:spacing w:after="0"/>
              <w:ind w:firstLine="0"/>
              <w:jc w:val="center"/>
              <w:rPr>
                <w:rFonts w:eastAsia="Times New Roman" w:cs="Times New Roman"/>
                <w:sz w:val="18"/>
                <w:szCs w:val="18"/>
              </w:rPr>
            </w:pPr>
            <w:r w:rsidRPr="00400015">
              <w:rPr>
                <w:sz w:val="20"/>
                <w:szCs w:val="20"/>
              </w:rPr>
              <w:t>-2,6</w:t>
            </w:r>
          </w:p>
        </w:tc>
        <w:tc>
          <w:tcPr>
            <w:tcW w:w="969" w:type="dxa"/>
            <w:tcBorders>
              <w:top w:val="nil"/>
              <w:left w:val="nil"/>
              <w:bottom w:val="single" w:sz="4" w:space="0" w:color="auto"/>
              <w:right w:val="single" w:sz="4" w:space="0" w:color="auto"/>
            </w:tcBorders>
            <w:shd w:val="clear" w:color="000000" w:fill="DCE6F1"/>
            <w:noWrap/>
            <w:vAlign w:val="bottom"/>
          </w:tcPr>
          <w:p w14:paraId="4C77BA93" w14:textId="42F6E4DB" w:rsidR="006634E0" w:rsidRPr="00400015" w:rsidRDefault="006634E0" w:rsidP="006634E0">
            <w:pPr>
              <w:spacing w:after="0"/>
              <w:ind w:firstLine="0"/>
              <w:jc w:val="center"/>
              <w:rPr>
                <w:rFonts w:eastAsia="Times New Roman" w:cs="Times New Roman"/>
                <w:sz w:val="18"/>
                <w:szCs w:val="18"/>
              </w:rPr>
            </w:pPr>
            <w:r w:rsidRPr="00400015">
              <w:rPr>
                <w:sz w:val="20"/>
                <w:szCs w:val="20"/>
              </w:rPr>
              <w:t>-1,7</w:t>
            </w:r>
          </w:p>
        </w:tc>
      </w:tr>
      <w:tr w:rsidR="006634E0" w:rsidRPr="00400015" w14:paraId="7F1B8BA4"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5652FC06"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5=4*0</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489B638C" w14:textId="777777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Vispārējās valdības nominālā bilance, milj. </w:t>
            </w:r>
            <w:proofErr w:type="spellStart"/>
            <w:r w:rsidRPr="00400015">
              <w:rPr>
                <w:rFonts w:eastAsia="Times New Roman" w:cs="Times New Roman"/>
                <w:i/>
                <w:iCs/>
                <w:color w:val="000000"/>
                <w:sz w:val="18"/>
                <w:szCs w:val="18"/>
              </w:rPr>
              <w:t>euro</w:t>
            </w:r>
            <w:proofErr w:type="spellEnd"/>
          </w:p>
        </w:tc>
        <w:tc>
          <w:tcPr>
            <w:tcW w:w="1016" w:type="dxa"/>
            <w:tcBorders>
              <w:top w:val="nil"/>
              <w:left w:val="single" w:sz="4" w:space="0" w:color="auto"/>
              <w:bottom w:val="single" w:sz="4" w:space="0" w:color="auto"/>
              <w:right w:val="single" w:sz="4" w:space="0" w:color="auto"/>
            </w:tcBorders>
            <w:shd w:val="clear" w:color="000000" w:fill="FFFFFF"/>
            <w:noWrap/>
            <w:vAlign w:val="bottom"/>
          </w:tcPr>
          <w:p w14:paraId="0C46C4E2" w14:textId="387E9B03"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-1 332,4</w:t>
            </w:r>
          </w:p>
        </w:tc>
        <w:tc>
          <w:tcPr>
            <w:tcW w:w="979" w:type="dxa"/>
            <w:tcBorders>
              <w:top w:val="nil"/>
              <w:left w:val="nil"/>
              <w:bottom w:val="single" w:sz="4" w:space="0" w:color="auto"/>
              <w:right w:val="single" w:sz="4" w:space="0" w:color="auto"/>
            </w:tcBorders>
            <w:shd w:val="clear" w:color="000000" w:fill="FFFFFF"/>
            <w:noWrap/>
            <w:vAlign w:val="bottom"/>
          </w:tcPr>
          <w:p w14:paraId="11FBCF79" w14:textId="5F99FCD9"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-1 247,3</w:t>
            </w:r>
          </w:p>
        </w:tc>
        <w:tc>
          <w:tcPr>
            <w:tcW w:w="969" w:type="dxa"/>
            <w:tcBorders>
              <w:top w:val="nil"/>
              <w:left w:val="nil"/>
              <w:bottom w:val="single" w:sz="4" w:space="0" w:color="auto"/>
              <w:right w:val="single" w:sz="4" w:space="0" w:color="auto"/>
            </w:tcBorders>
            <w:shd w:val="clear" w:color="000000" w:fill="FFFFFF"/>
            <w:noWrap/>
            <w:vAlign w:val="bottom"/>
          </w:tcPr>
          <w:p w14:paraId="0452FF5F" w14:textId="7D992B56"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-859,3</w:t>
            </w:r>
          </w:p>
        </w:tc>
      </w:tr>
      <w:tr w:rsidR="006634E0" w:rsidRPr="00400015" w14:paraId="587163D1"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5EC91241"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6</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62CE353B" w14:textId="777777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Pašvaldību budžeta bilance, milj. </w:t>
            </w:r>
            <w:proofErr w:type="spellStart"/>
            <w:r w:rsidRPr="00400015">
              <w:rPr>
                <w:rFonts w:eastAsia="Times New Roman" w:cs="Times New Roman"/>
                <w:i/>
                <w:iCs/>
                <w:color w:val="000000"/>
                <w:sz w:val="18"/>
                <w:szCs w:val="18"/>
              </w:rPr>
              <w:t>euro</w:t>
            </w:r>
            <w:proofErr w:type="spellEnd"/>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1BDD0EAC" w14:textId="1DB69B4E"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-65,8</w:t>
            </w:r>
          </w:p>
        </w:tc>
        <w:tc>
          <w:tcPr>
            <w:tcW w:w="979" w:type="dxa"/>
            <w:tcBorders>
              <w:top w:val="nil"/>
              <w:left w:val="nil"/>
              <w:bottom w:val="single" w:sz="4" w:space="0" w:color="auto"/>
              <w:right w:val="single" w:sz="4" w:space="0" w:color="auto"/>
            </w:tcBorders>
            <w:shd w:val="clear" w:color="auto" w:fill="auto"/>
            <w:noWrap/>
            <w:vAlign w:val="bottom"/>
          </w:tcPr>
          <w:p w14:paraId="0A88A817" w14:textId="5B29CB80"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34,2</w:t>
            </w:r>
          </w:p>
        </w:tc>
        <w:tc>
          <w:tcPr>
            <w:tcW w:w="969" w:type="dxa"/>
            <w:tcBorders>
              <w:top w:val="nil"/>
              <w:left w:val="nil"/>
              <w:bottom w:val="single" w:sz="4" w:space="0" w:color="auto"/>
              <w:right w:val="single" w:sz="4" w:space="0" w:color="auto"/>
            </w:tcBorders>
            <w:shd w:val="clear" w:color="auto" w:fill="auto"/>
            <w:noWrap/>
            <w:vAlign w:val="bottom"/>
          </w:tcPr>
          <w:p w14:paraId="37A53866" w14:textId="1DACEE70"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46,5</w:t>
            </w:r>
          </w:p>
        </w:tc>
      </w:tr>
      <w:tr w:rsidR="006634E0" w:rsidRPr="00400015" w14:paraId="42C3E909"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110F1CB3"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7</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0BCCB55B" w14:textId="777777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Atvasināto personu un budžeta nefinansētu iestāžu budžeta bilance, milj. </w:t>
            </w:r>
            <w:proofErr w:type="spellStart"/>
            <w:r w:rsidRPr="00400015">
              <w:rPr>
                <w:rFonts w:eastAsia="Times New Roman" w:cs="Times New Roman"/>
                <w:i/>
                <w:iCs/>
                <w:color w:val="000000"/>
                <w:sz w:val="18"/>
                <w:szCs w:val="18"/>
              </w:rPr>
              <w:t>euro</w:t>
            </w:r>
            <w:proofErr w:type="spellEnd"/>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47560B9F" w14:textId="6248E8ED"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3,2</w:t>
            </w:r>
          </w:p>
        </w:tc>
        <w:tc>
          <w:tcPr>
            <w:tcW w:w="979" w:type="dxa"/>
            <w:tcBorders>
              <w:top w:val="nil"/>
              <w:left w:val="nil"/>
              <w:bottom w:val="single" w:sz="4" w:space="0" w:color="auto"/>
              <w:right w:val="single" w:sz="4" w:space="0" w:color="auto"/>
            </w:tcBorders>
            <w:shd w:val="clear" w:color="auto" w:fill="auto"/>
            <w:noWrap/>
            <w:vAlign w:val="bottom"/>
          </w:tcPr>
          <w:p w14:paraId="4B08A901" w14:textId="40787576"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-3,6</w:t>
            </w:r>
          </w:p>
        </w:tc>
        <w:tc>
          <w:tcPr>
            <w:tcW w:w="969" w:type="dxa"/>
            <w:tcBorders>
              <w:top w:val="nil"/>
              <w:left w:val="nil"/>
              <w:bottom w:val="single" w:sz="4" w:space="0" w:color="auto"/>
              <w:right w:val="single" w:sz="4" w:space="0" w:color="auto"/>
            </w:tcBorders>
            <w:shd w:val="clear" w:color="auto" w:fill="auto"/>
            <w:noWrap/>
            <w:vAlign w:val="bottom"/>
          </w:tcPr>
          <w:p w14:paraId="264867D4" w14:textId="5752A02E"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-6,8</w:t>
            </w:r>
          </w:p>
        </w:tc>
      </w:tr>
      <w:tr w:rsidR="006634E0" w:rsidRPr="00400015" w14:paraId="77D2E512"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70CFE0DF"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8</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71F2CCB6" w14:textId="777777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EKS korekcijas, milj. </w:t>
            </w:r>
            <w:proofErr w:type="spellStart"/>
            <w:r w:rsidRPr="00400015">
              <w:rPr>
                <w:rFonts w:eastAsia="Times New Roman" w:cs="Times New Roman"/>
                <w:i/>
                <w:iCs/>
                <w:color w:val="000000"/>
                <w:sz w:val="18"/>
                <w:szCs w:val="18"/>
              </w:rPr>
              <w:t>euro</w:t>
            </w:r>
            <w:proofErr w:type="spellEnd"/>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0AA44C25" w14:textId="5272B703" w:rsidR="006634E0" w:rsidRPr="00400015" w:rsidRDefault="006634E0" w:rsidP="006634E0">
            <w:pPr>
              <w:spacing w:after="0"/>
              <w:ind w:firstLine="0"/>
              <w:jc w:val="center"/>
              <w:rPr>
                <w:rFonts w:eastAsia="Times New Roman" w:cs="Times New Roman"/>
                <w:sz w:val="18"/>
                <w:szCs w:val="18"/>
              </w:rPr>
            </w:pPr>
            <w:r w:rsidRPr="00400015">
              <w:rPr>
                <w:sz w:val="20"/>
                <w:szCs w:val="20"/>
              </w:rPr>
              <w:t>502,3</w:t>
            </w:r>
          </w:p>
        </w:tc>
        <w:tc>
          <w:tcPr>
            <w:tcW w:w="979" w:type="dxa"/>
            <w:tcBorders>
              <w:top w:val="nil"/>
              <w:left w:val="nil"/>
              <w:bottom w:val="single" w:sz="4" w:space="0" w:color="auto"/>
              <w:right w:val="single" w:sz="4" w:space="0" w:color="auto"/>
            </w:tcBorders>
            <w:shd w:val="clear" w:color="auto" w:fill="auto"/>
            <w:noWrap/>
            <w:vAlign w:val="center"/>
          </w:tcPr>
          <w:p w14:paraId="5C09DBD1" w14:textId="5D93D17A" w:rsidR="006634E0" w:rsidRPr="00400015" w:rsidRDefault="006634E0" w:rsidP="006634E0">
            <w:pPr>
              <w:spacing w:after="0"/>
              <w:ind w:firstLine="0"/>
              <w:jc w:val="center"/>
              <w:rPr>
                <w:rFonts w:eastAsia="Times New Roman" w:cs="Times New Roman"/>
                <w:sz w:val="18"/>
                <w:szCs w:val="18"/>
              </w:rPr>
            </w:pPr>
            <w:r w:rsidRPr="00400015">
              <w:rPr>
                <w:sz w:val="20"/>
                <w:szCs w:val="20"/>
              </w:rPr>
              <w:t>311,8</w:t>
            </w:r>
          </w:p>
        </w:tc>
        <w:tc>
          <w:tcPr>
            <w:tcW w:w="969" w:type="dxa"/>
            <w:tcBorders>
              <w:top w:val="nil"/>
              <w:left w:val="nil"/>
              <w:bottom w:val="single" w:sz="4" w:space="0" w:color="auto"/>
              <w:right w:val="single" w:sz="4" w:space="0" w:color="auto"/>
            </w:tcBorders>
            <w:shd w:val="clear" w:color="auto" w:fill="auto"/>
            <w:noWrap/>
            <w:vAlign w:val="center"/>
          </w:tcPr>
          <w:p w14:paraId="0142B97F" w14:textId="21230308" w:rsidR="006634E0" w:rsidRPr="00400015" w:rsidRDefault="006634E0" w:rsidP="006634E0">
            <w:pPr>
              <w:spacing w:after="0"/>
              <w:ind w:firstLine="0"/>
              <w:jc w:val="center"/>
              <w:rPr>
                <w:rFonts w:eastAsia="Times New Roman" w:cs="Times New Roman"/>
                <w:sz w:val="18"/>
                <w:szCs w:val="18"/>
              </w:rPr>
            </w:pPr>
            <w:r w:rsidRPr="00400015">
              <w:rPr>
                <w:sz w:val="20"/>
                <w:szCs w:val="20"/>
              </w:rPr>
              <w:t>380,4</w:t>
            </w:r>
          </w:p>
        </w:tc>
      </w:tr>
      <w:tr w:rsidR="006634E0" w:rsidRPr="00400015" w14:paraId="560F5ED1"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70AADC9F"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9=5-6-7-8</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65DEB985" w14:textId="777777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Valsts budžeta bilance, milj. </w:t>
            </w:r>
            <w:proofErr w:type="spellStart"/>
            <w:r w:rsidRPr="00400015">
              <w:rPr>
                <w:rFonts w:eastAsia="Times New Roman" w:cs="Times New Roman"/>
                <w:i/>
                <w:iCs/>
                <w:color w:val="000000"/>
                <w:sz w:val="18"/>
                <w:szCs w:val="18"/>
              </w:rPr>
              <w:t>euro</w:t>
            </w:r>
            <w:proofErr w:type="spellEnd"/>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2C80039A" w14:textId="19DDEBD4"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-1 772,1</w:t>
            </w:r>
          </w:p>
        </w:tc>
        <w:tc>
          <w:tcPr>
            <w:tcW w:w="979" w:type="dxa"/>
            <w:tcBorders>
              <w:top w:val="nil"/>
              <w:left w:val="nil"/>
              <w:bottom w:val="single" w:sz="4" w:space="0" w:color="auto"/>
              <w:right w:val="single" w:sz="4" w:space="0" w:color="auto"/>
            </w:tcBorders>
            <w:shd w:val="clear" w:color="auto" w:fill="auto"/>
            <w:noWrap/>
            <w:vAlign w:val="bottom"/>
          </w:tcPr>
          <w:p w14:paraId="4616EE15" w14:textId="106BFC16"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-1 589,6</w:t>
            </w:r>
          </w:p>
        </w:tc>
        <w:tc>
          <w:tcPr>
            <w:tcW w:w="969" w:type="dxa"/>
            <w:tcBorders>
              <w:top w:val="nil"/>
              <w:left w:val="nil"/>
              <w:bottom w:val="single" w:sz="4" w:space="0" w:color="auto"/>
              <w:right w:val="single" w:sz="4" w:space="0" w:color="auto"/>
            </w:tcBorders>
            <w:shd w:val="clear" w:color="auto" w:fill="auto"/>
            <w:noWrap/>
            <w:vAlign w:val="bottom"/>
          </w:tcPr>
          <w:p w14:paraId="78B86BE0" w14:textId="70165DDA" w:rsidR="006634E0" w:rsidRPr="00400015" w:rsidRDefault="006634E0" w:rsidP="006634E0">
            <w:pPr>
              <w:spacing w:after="0"/>
              <w:ind w:firstLine="0"/>
              <w:jc w:val="center"/>
              <w:rPr>
                <w:rFonts w:eastAsia="Times New Roman" w:cs="Times New Roman"/>
                <w:color w:val="000000"/>
                <w:sz w:val="18"/>
                <w:szCs w:val="18"/>
              </w:rPr>
            </w:pPr>
            <w:r w:rsidRPr="00400015">
              <w:rPr>
                <w:color w:val="000000"/>
                <w:sz w:val="20"/>
                <w:szCs w:val="20"/>
              </w:rPr>
              <w:t>-1 279,4</w:t>
            </w:r>
          </w:p>
        </w:tc>
      </w:tr>
      <w:tr w:rsidR="006634E0" w:rsidRPr="00400015" w14:paraId="2A47E7E8"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26B56E3D"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10</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1952ECBC" w14:textId="777777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Valsts budžeta ieņēmumi, milj. </w:t>
            </w:r>
            <w:proofErr w:type="spellStart"/>
            <w:r w:rsidRPr="00400015">
              <w:rPr>
                <w:rFonts w:eastAsia="Times New Roman" w:cs="Times New Roman"/>
                <w:i/>
                <w:iCs/>
                <w:color w:val="000000"/>
                <w:sz w:val="18"/>
                <w:szCs w:val="18"/>
              </w:rPr>
              <w:t>euro</w:t>
            </w:r>
            <w:proofErr w:type="spellEnd"/>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1D50A238" w14:textId="26FD1972" w:rsidR="006634E0" w:rsidRPr="00400015" w:rsidRDefault="006634E0" w:rsidP="006634E0">
            <w:pPr>
              <w:spacing w:after="0"/>
              <w:ind w:firstLine="0"/>
              <w:jc w:val="center"/>
              <w:rPr>
                <w:rFonts w:eastAsia="Times New Roman" w:cs="Times New Roman"/>
                <w:sz w:val="18"/>
                <w:szCs w:val="18"/>
              </w:rPr>
            </w:pPr>
            <w:r w:rsidRPr="00400015">
              <w:rPr>
                <w:sz w:val="20"/>
                <w:szCs w:val="20"/>
              </w:rPr>
              <w:t>14 485,6</w:t>
            </w:r>
          </w:p>
        </w:tc>
        <w:tc>
          <w:tcPr>
            <w:tcW w:w="979" w:type="dxa"/>
            <w:tcBorders>
              <w:top w:val="nil"/>
              <w:left w:val="nil"/>
              <w:bottom w:val="single" w:sz="4" w:space="0" w:color="auto"/>
              <w:right w:val="single" w:sz="4" w:space="0" w:color="auto"/>
            </w:tcBorders>
            <w:shd w:val="clear" w:color="auto" w:fill="auto"/>
            <w:noWrap/>
            <w:vAlign w:val="bottom"/>
          </w:tcPr>
          <w:p w14:paraId="396C017B" w14:textId="019611B8" w:rsidR="006634E0" w:rsidRPr="00400015" w:rsidRDefault="006634E0" w:rsidP="006634E0">
            <w:pPr>
              <w:spacing w:after="0"/>
              <w:ind w:firstLine="0"/>
              <w:jc w:val="center"/>
              <w:rPr>
                <w:rFonts w:eastAsia="Times New Roman" w:cs="Times New Roman"/>
                <w:sz w:val="18"/>
                <w:szCs w:val="18"/>
              </w:rPr>
            </w:pPr>
            <w:r w:rsidRPr="00400015">
              <w:rPr>
                <w:sz w:val="20"/>
                <w:szCs w:val="20"/>
              </w:rPr>
              <w:t>14 928,7</w:t>
            </w:r>
          </w:p>
        </w:tc>
        <w:tc>
          <w:tcPr>
            <w:tcW w:w="969" w:type="dxa"/>
            <w:tcBorders>
              <w:top w:val="nil"/>
              <w:left w:val="nil"/>
              <w:bottom w:val="single" w:sz="4" w:space="0" w:color="auto"/>
              <w:right w:val="single" w:sz="4" w:space="0" w:color="auto"/>
            </w:tcBorders>
            <w:shd w:val="clear" w:color="auto" w:fill="auto"/>
            <w:noWrap/>
            <w:vAlign w:val="bottom"/>
          </w:tcPr>
          <w:p w14:paraId="7F819BEE" w14:textId="28ECA014" w:rsidR="006634E0" w:rsidRPr="00400015" w:rsidRDefault="006634E0" w:rsidP="006634E0">
            <w:pPr>
              <w:spacing w:after="0"/>
              <w:ind w:firstLine="0"/>
              <w:jc w:val="center"/>
              <w:rPr>
                <w:rFonts w:eastAsia="Times New Roman" w:cs="Times New Roman"/>
                <w:sz w:val="18"/>
                <w:szCs w:val="18"/>
              </w:rPr>
            </w:pPr>
            <w:r w:rsidRPr="00400015">
              <w:rPr>
                <w:sz w:val="20"/>
                <w:szCs w:val="20"/>
              </w:rPr>
              <w:t>15 357,6</w:t>
            </w:r>
          </w:p>
        </w:tc>
      </w:tr>
      <w:tr w:rsidR="006634E0" w:rsidRPr="00400015" w14:paraId="139D2B22" w14:textId="77777777" w:rsidTr="002F18F9">
        <w:trPr>
          <w:trHeight w:val="315"/>
          <w:jc w:val="center"/>
        </w:trPr>
        <w:tc>
          <w:tcPr>
            <w:tcW w:w="1230" w:type="dxa"/>
            <w:tcBorders>
              <w:top w:val="nil"/>
              <w:left w:val="nil"/>
              <w:bottom w:val="nil"/>
              <w:right w:val="nil"/>
            </w:tcBorders>
            <w:shd w:val="clear" w:color="auto" w:fill="auto"/>
            <w:noWrap/>
            <w:vAlign w:val="center"/>
            <w:hideMark/>
          </w:tcPr>
          <w:p w14:paraId="23987F3B"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11=10-9</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2C55CD02" w14:textId="777777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Maksimāli pieļaujamie valsts budžeta izdevumi, milj. </w:t>
            </w:r>
            <w:proofErr w:type="spellStart"/>
            <w:r w:rsidRPr="00400015">
              <w:rPr>
                <w:rFonts w:eastAsia="Times New Roman" w:cs="Times New Roman"/>
                <w:i/>
                <w:iCs/>
                <w:color w:val="000000"/>
                <w:sz w:val="18"/>
                <w:szCs w:val="18"/>
              </w:rPr>
              <w:t>euro</w:t>
            </w:r>
            <w:proofErr w:type="spellEnd"/>
            <w:r w:rsidRPr="00400015">
              <w:rPr>
                <w:rFonts w:eastAsia="Times New Roman" w:cs="Times New Roman"/>
                <w:color w:val="000000"/>
                <w:sz w:val="18"/>
                <w:szCs w:val="18"/>
              </w:rPr>
              <w:t xml:space="preserve"> </w:t>
            </w:r>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72A67FA5" w14:textId="7D5159B8" w:rsidR="006634E0" w:rsidRPr="00400015" w:rsidRDefault="006634E0" w:rsidP="006634E0">
            <w:pPr>
              <w:spacing w:after="0"/>
              <w:ind w:firstLine="0"/>
              <w:jc w:val="center"/>
              <w:rPr>
                <w:rFonts w:eastAsia="Times New Roman" w:cs="Times New Roman"/>
                <w:sz w:val="18"/>
                <w:szCs w:val="18"/>
              </w:rPr>
            </w:pPr>
            <w:r w:rsidRPr="00400015">
              <w:rPr>
                <w:sz w:val="20"/>
                <w:szCs w:val="20"/>
              </w:rPr>
              <w:t>16 257,7</w:t>
            </w:r>
          </w:p>
        </w:tc>
        <w:tc>
          <w:tcPr>
            <w:tcW w:w="979" w:type="dxa"/>
            <w:tcBorders>
              <w:top w:val="nil"/>
              <w:left w:val="nil"/>
              <w:bottom w:val="single" w:sz="4" w:space="0" w:color="auto"/>
              <w:right w:val="single" w:sz="4" w:space="0" w:color="auto"/>
            </w:tcBorders>
            <w:shd w:val="clear" w:color="auto" w:fill="auto"/>
            <w:noWrap/>
            <w:vAlign w:val="bottom"/>
          </w:tcPr>
          <w:p w14:paraId="787BC670" w14:textId="5937A5D9" w:rsidR="006634E0" w:rsidRPr="00400015" w:rsidRDefault="006634E0" w:rsidP="006634E0">
            <w:pPr>
              <w:spacing w:after="0"/>
              <w:ind w:firstLine="0"/>
              <w:jc w:val="center"/>
              <w:rPr>
                <w:rFonts w:eastAsia="Times New Roman" w:cs="Times New Roman"/>
                <w:sz w:val="18"/>
                <w:szCs w:val="18"/>
              </w:rPr>
            </w:pPr>
            <w:r w:rsidRPr="00400015">
              <w:rPr>
                <w:sz w:val="20"/>
                <w:szCs w:val="20"/>
              </w:rPr>
              <w:t>16 518,3</w:t>
            </w:r>
          </w:p>
        </w:tc>
        <w:tc>
          <w:tcPr>
            <w:tcW w:w="969" w:type="dxa"/>
            <w:tcBorders>
              <w:top w:val="nil"/>
              <w:left w:val="nil"/>
              <w:bottom w:val="single" w:sz="4" w:space="0" w:color="auto"/>
              <w:right w:val="single" w:sz="4" w:space="0" w:color="auto"/>
            </w:tcBorders>
            <w:shd w:val="clear" w:color="auto" w:fill="auto"/>
            <w:noWrap/>
            <w:vAlign w:val="bottom"/>
          </w:tcPr>
          <w:p w14:paraId="3F78AD4D" w14:textId="72D52E21" w:rsidR="006634E0" w:rsidRPr="00400015" w:rsidRDefault="006634E0" w:rsidP="006634E0">
            <w:pPr>
              <w:spacing w:after="0"/>
              <w:ind w:firstLine="0"/>
              <w:jc w:val="center"/>
              <w:rPr>
                <w:rFonts w:eastAsia="Times New Roman" w:cs="Times New Roman"/>
                <w:sz w:val="18"/>
                <w:szCs w:val="18"/>
              </w:rPr>
            </w:pPr>
            <w:r w:rsidRPr="00400015">
              <w:rPr>
                <w:sz w:val="20"/>
                <w:szCs w:val="20"/>
              </w:rPr>
              <w:t>16 637,0</w:t>
            </w:r>
          </w:p>
        </w:tc>
      </w:tr>
      <w:tr w:rsidR="006634E0" w:rsidRPr="00400015" w14:paraId="3885D41B"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0F8C67C2"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12=12.1+12.2</w:t>
            </w:r>
          </w:p>
        </w:tc>
        <w:tc>
          <w:tcPr>
            <w:tcW w:w="4872" w:type="dxa"/>
            <w:tcBorders>
              <w:top w:val="nil"/>
              <w:left w:val="single" w:sz="4" w:space="0" w:color="auto"/>
              <w:bottom w:val="single" w:sz="4" w:space="0" w:color="auto"/>
              <w:right w:val="single" w:sz="4" w:space="0" w:color="auto"/>
            </w:tcBorders>
            <w:shd w:val="clear" w:color="000000" w:fill="DCE6F1"/>
            <w:noWrap/>
            <w:vAlign w:val="bottom"/>
            <w:hideMark/>
          </w:tcPr>
          <w:p w14:paraId="18753DFE" w14:textId="777777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 Izlīdzinātie izdevumi, milj. </w:t>
            </w:r>
            <w:proofErr w:type="spellStart"/>
            <w:r w:rsidRPr="00400015">
              <w:rPr>
                <w:rFonts w:eastAsia="Times New Roman" w:cs="Times New Roman"/>
                <w:i/>
                <w:iCs/>
                <w:color w:val="000000"/>
                <w:sz w:val="18"/>
                <w:szCs w:val="18"/>
              </w:rPr>
              <w:t>euro</w:t>
            </w:r>
            <w:proofErr w:type="spellEnd"/>
            <w:r w:rsidRPr="00400015">
              <w:rPr>
                <w:rFonts w:eastAsia="Times New Roman" w:cs="Times New Roman"/>
                <w:i/>
                <w:iCs/>
                <w:color w:val="000000"/>
                <w:sz w:val="18"/>
                <w:szCs w:val="18"/>
              </w:rPr>
              <w:t xml:space="preserve"> </w:t>
            </w:r>
          </w:p>
        </w:tc>
        <w:tc>
          <w:tcPr>
            <w:tcW w:w="1016" w:type="dxa"/>
            <w:tcBorders>
              <w:top w:val="nil"/>
              <w:left w:val="single" w:sz="4" w:space="0" w:color="auto"/>
              <w:bottom w:val="single" w:sz="4" w:space="0" w:color="auto"/>
              <w:right w:val="single" w:sz="4" w:space="0" w:color="auto"/>
            </w:tcBorders>
            <w:shd w:val="clear" w:color="000000" w:fill="DCE6F1"/>
            <w:noWrap/>
            <w:vAlign w:val="bottom"/>
          </w:tcPr>
          <w:p w14:paraId="64D7FBCF" w14:textId="75BFF571" w:rsidR="006634E0" w:rsidRPr="00400015" w:rsidRDefault="006634E0" w:rsidP="006634E0">
            <w:pPr>
              <w:spacing w:after="0"/>
              <w:ind w:firstLine="0"/>
              <w:jc w:val="center"/>
              <w:rPr>
                <w:rFonts w:eastAsia="Times New Roman" w:cs="Times New Roman"/>
                <w:sz w:val="18"/>
                <w:szCs w:val="18"/>
              </w:rPr>
            </w:pPr>
            <w:r w:rsidRPr="00400015">
              <w:rPr>
                <w:sz w:val="20"/>
                <w:szCs w:val="20"/>
              </w:rPr>
              <w:t>2 680,0</w:t>
            </w:r>
          </w:p>
        </w:tc>
        <w:tc>
          <w:tcPr>
            <w:tcW w:w="979" w:type="dxa"/>
            <w:tcBorders>
              <w:top w:val="nil"/>
              <w:left w:val="nil"/>
              <w:bottom w:val="single" w:sz="4" w:space="0" w:color="auto"/>
              <w:right w:val="single" w:sz="4" w:space="0" w:color="auto"/>
            </w:tcBorders>
            <w:shd w:val="clear" w:color="000000" w:fill="DCE6F1"/>
            <w:noWrap/>
            <w:vAlign w:val="bottom"/>
          </w:tcPr>
          <w:p w14:paraId="4CE4196D" w14:textId="5DA9B81E" w:rsidR="006634E0" w:rsidRPr="00400015" w:rsidRDefault="006634E0" w:rsidP="006634E0">
            <w:pPr>
              <w:spacing w:after="0"/>
              <w:ind w:firstLine="0"/>
              <w:jc w:val="center"/>
              <w:rPr>
                <w:rFonts w:eastAsia="Times New Roman" w:cs="Times New Roman"/>
                <w:sz w:val="18"/>
                <w:szCs w:val="18"/>
              </w:rPr>
            </w:pPr>
            <w:r w:rsidRPr="00400015">
              <w:rPr>
                <w:sz w:val="20"/>
                <w:szCs w:val="20"/>
              </w:rPr>
              <w:t>2 793,3</w:t>
            </w:r>
          </w:p>
        </w:tc>
        <w:tc>
          <w:tcPr>
            <w:tcW w:w="969" w:type="dxa"/>
            <w:tcBorders>
              <w:top w:val="nil"/>
              <w:left w:val="nil"/>
              <w:bottom w:val="single" w:sz="4" w:space="0" w:color="auto"/>
              <w:right w:val="single" w:sz="4" w:space="0" w:color="auto"/>
            </w:tcBorders>
            <w:shd w:val="clear" w:color="000000" w:fill="DCE6F1"/>
            <w:noWrap/>
            <w:vAlign w:val="bottom"/>
          </w:tcPr>
          <w:p w14:paraId="65B053A5" w14:textId="2382AA1E" w:rsidR="006634E0" w:rsidRPr="00400015" w:rsidRDefault="006634E0" w:rsidP="006634E0">
            <w:pPr>
              <w:spacing w:after="0"/>
              <w:ind w:firstLine="0"/>
              <w:jc w:val="center"/>
              <w:rPr>
                <w:rFonts w:eastAsia="Times New Roman" w:cs="Times New Roman"/>
                <w:sz w:val="18"/>
                <w:szCs w:val="18"/>
              </w:rPr>
            </w:pPr>
            <w:r w:rsidRPr="00400015">
              <w:rPr>
                <w:sz w:val="20"/>
                <w:szCs w:val="20"/>
              </w:rPr>
              <w:t>2 521,2</w:t>
            </w:r>
          </w:p>
        </w:tc>
      </w:tr>
      <w:tr w:rsidR="006634E0" w:rsidRPr="00400015" w14:paraId="2C07C342"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0126F09F"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12.1</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4DE9AAF3" w14:textId="22495D78" w:rsidR="006634E0" w:rsidRPr="00400015" w:rsidRDefault="006634E0" w:rsidP="006634E0">
            <w:pPr>
              <w:spacing w:after="0"/>
              <w:ind w:firstLineChars="100" w:firstLine="180"/>
              <w:jc w:val="left"/>
              <w:rPr>
                <w:rFonts w:eastAsia="Times New Roman" w:cs="Times New Roman"/>
                <w:color w:val="000000"/>
                <w:sz w:val="18"/>
                <w:szCs w:val="18"/>
              </w:rPr>
            </w:pPr>
            <w:r w:rsidRPr="00400015">
              <w:rPr>
                <w:rFonts w:eastAsia="Times New Roman" w:cs="Times New Roman"/>
                <w:color w:val="000000"/>
                <w:sz w:val="18"/>
                <w:szCs w:val="18"/>
              </w:rPr>
              <w:t xml:space="preserve"> t.sk. izlīdzinātie ES fondu izdevumi</w:t>
            </w:r>
            <w:r w:rsidRPr="00400015">
              <w:rPr>
                <w:rFonts w:eastAsia="Times New Roman" w:cs="Times New Roman"/>
                <w:i/>
                <w:iCs/>
                <w:color w:val="000000"/>
                <w:sz w:val="18"/>
                <w:szCs w:val="18"/>
              </w:rPr>
              <w:t xml:space="preserve"> </w:t>
            </w:r>
          </w:p>
        </w:tc>
        <w:tc>
          <w:tcPr>
            <w:tcW w:w="1016" w:type="dxa"/>
            <w:tcBorders>
              <w:top w:val="nil"/>
              <w:left w:val="single" w:sz="4" w:space="0" w:color="auto"/>
              <w:bottom w:val="single" w:sz="4" w:space="0" w:color="auto"/>
              <w:right w:val="single" w:sz="4" w:space="0" w:color="auto"/>
            </w:tcBorders>
            <w:shd w:val="clear" w:color="000000" w:fill="FFFFFF"/>
            <w:noWrap/>
            <w:vAlign w:val="bottom"/>
          </w:tcPr>
          <w:p w14:paraId="1850060C" w14:textId="2FC29750" w:rsidR="006634E0" w:rsidRPr="00400015" w:rsidRDefault="006634E0" w:rsidP="006634E0">
            <w:pPr>
              <w:spacing w:after="0"/>
              <w:ind w:firstLine="0"/>
              <w:jc w:val="center"/>
              <w:rPr>
                <w:rFonts w:eastAsia="Times New Roman" w:cs="Times New Roman"/>
                <w:sz w:val="18"/>
                <w:szCs w:val="18"/>
              </w:rPr>
            </w:pPr>
            <w:r w:rsidRPr="00400015">
              <w:rPr>
                <w:sz w:val="20"/>
                <w:szCs w:val="20"/>
              </w:rPr>
              <w:t>2 321,4</w:t>
            </w:r>
          </w:p>
        </w:tc>
        <w:tc>
          <w:tcPr>
            <w:tcW w:w="979" w:type="dxa"/>
            <w:tcBorders>
              <w:top w:val="nil"/>
              <w:left w:val="nil"/>
              <w:bottom w:val="single" w:sz="4" w:space="0" w:color="auto"/>
              <w:right w:val="single" w:sz="4" w:space="0" w:color="auto"/>
            </w:tcBorders>
            <w:shd w:val="clear" w:color="000000" w:fill="FFFFFF"/>
            <w:noWrap/>
            <w:vAlign w:val="bottom"/>
          </w:tcPr>
          <w:p w14:paraId="5104AA2A" w14:textId="71AD8595" w:rsidR="006634E0" w:rsidRPr="00400015" w:rsidRDefault="006634E0" w:rsidP="006634E0">
            <w:pPr>
              <w:spacing w:after="0"/>
              <w:ind w:firstLine="0"/>
              <w:jc w:val="center"/>
              <w:rPr>
                <w:rFonts w:eastAsia="Times New Roman" w:cs="Times New Roman"/>
                <w:sz w:val="18"/>
                <w:szCs w:val="18"/>
              </w:rPr>
            </w:pPr>
            <w:r w:rsidRPr="00400015">
              <w:rPr>
                <w:sz w:val="20"/>
                <w:szCs w:val="20"/>
              </w:rPr>
              <w:t>2 299,4</w:t>
            </w:r>
          </w:p>
        </w:tc>
        <w:tc>
          <w:tcPr>
            <w:tcW w:w="969" w:type="dxa"/>
            <w:tcBorders>
              <w:top w:val="nil"/>
              <w:left w:val="nil"/>
              <w:bottom w:val="single" w:sz="4" w:space="0" w:color="auto"/>
              <w:right w:val="single" w:sz="4" w:space="0" w:color="auto"/>
            </w:tcBorders>
            <w:shd w:val="clear" w:color="000000" w:fill="FFFFFF"/>
            <w:noWrap/>
            <w:vAlign w:val="bottom"/>
          </w:tcPr>
          <w:p w14:paraId="3B00E2C0" w14:textId="4D11DCD6" w:rsidR="006634E0" w:rsidRPr="00400015" w:rsidRDefault="006634E0" w:rsidP="006634E0">
            <w:pPr>
              <w:spacing w:after="0"/>
              <w:ind w:firstLine="0"/>
              <w:jc w:val="center"/>
              <w:rPr>
                <w:rFonts w:eastAsia="Times New Roman" w:cs="Times New Roman"/>
                <w:sz w:val="18"/>
                <w:szCs w:val="18"/>
              </w:rPr>
            </w:pPr>
            <w:r w:rsidRPr="00400015">
              <w:rPr>
                <w:sz w:val="20"/>
                <w:szCs w:val="20"/>
              </w:rPr>
              <w:t>2 026,1</w:t>
            </w:r>
          </w:p>
        </w:tc>
      </w:tr>
      <w:tr w:rsidR="006634E0" w:rsidRPr="00400015" w14:paraId="0446ABEC"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40DA76D8"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12.1.1</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180E1B55" w14:textId="77777777" w:rsidR="006634E0" w:rsidRPr="00400015" w:rsidRDefault="006634E0" w:rsidP="006634E0">
            <w:pPr>
              <w:spacing w:after="0"/>
              <w:ind w:firstLineChars="200" w:firstLine="360"/>
              <w:jc w:val="left"/>
              <w:rPr>
                <w:rFonts w:eastAsia="Times New Roman" w:cs="Times New Roman"/>
                <w:color w:val="000000"/>
                <w:sz w:val="18"/>
                <w:szCs w:val="18"/>
              </w:rPr>
            </w:pPr>
            <w:r w:rsidRPr="00400015">
              <w:rPr>
                <w:rFonts w:eastAsia="Times New Roman" w:cs="Times New Roman"/>
                <w:color w:val="000000"/>
                <w:sz w:val="18"/>
                <w:szCs w:val="18"/>
              </w:rPr>
              <w:t xml:space="preserve"> t.sk. neatmaksājamā daļa </w:t>
            </w:r>
          </w:p>
        </w:tc>
        <w:tc>
          <w:tcPr>
            <w:tcW w:w="1016" w:type="dxa"/>
            <w:tcBorders>
              <w:top w:val="nil"/>
              <w:left w:val="single" w:sz="4" w:space="0" w:color="auto"/>
              <w:bottom w:val="single" w:sz="4" w:space="0" w:color="auto"/>
              <w:right w:val="single" w:sz="4" w:space="0" w:color="auto"/>
            </w:tcBorders>
            <w:shd w:val="clear" w:color="000000" w:fill="FFFFFF"/>
            <w:noWrap/>
            <w:vAlign w:val="bottom"/>
          </w:tcPr>
          <w:p w14:paraId="703B3DB4" w14:textId="7A3E7284" w:rsidR="006634E0" w:rsidRPr="00400015" w:rsidRDefault="006634E0" w:rsidP="006634E0">
            <w:pPr>
              <w:spacing w:after="0"/>
              <w:ind w:firstLine="0"/>
              <w:jc w:val="center"/>
              <w:rPr>
                <w:rFonts w:eastAsia="Times New Roman" w:cs="Times New Roman"/>
                <w:sz w:val="18"/>
                <w:szCs w:val="18"/>
              </w:rPr>
            </w:pPr>
            <w:r w:rsidRPr="00400015">
              <w:rPr>
                <w:sz w:val="20"/>
                <w:szCs w:val="20"/>
              </w:rPr>
              <w:t>345,6</w:t>
            </w:r>
          </w:p>
        </w:tc>
        <w:tc>
          <w:tcPr>
            <w:tcW w:w="979" w:type="dxa"/>
            <w:tcBorders>
              <w:top w:val="nil"/>
              <w:left w:val="nil"/>
              <w:bottom w:val="single" w:sz="4" w:space="0" w:color="auto"/>
              <w:right w:val="single" w:sz="4" w:space="0" w:color="auto"/>
            </w:tcBorders>
            <w:shd w:val="clear" w:color="000000" w:fill="FFFFFF"/>
            <w:noWrap/>
            <w:vAlign w:val="bottom"/>
          </w:tcPr>
          <w:p w14:paraId="2BBB1A94" w14:textId="752AEDBA" w:rsidR="006634E0" w:rsidRPr="00400015" w:rsidRDefault="006634E0" w:rsidP="006634E0">
            <w:pPr>
              <w:spacing w:after="0"/>
              <w:ind w:firstLine="0"/>
              <w:jc w:val="center"/>
              <w:rPr>
                <w:rFonts w:eastAsia="Times New Roman" w:cs="Times New Roman"/>
                <w:sz w:val="18"/>
                <w:szCs w:val="18"/>
              </w:rPr>
            </w:pPr>
            <w:r w:rsidRPr="00400015">
              <w:rPr>
                <w:sz w:val="20"/>
                <w:szCs w:val="20"/>
              </w:rPr>
              <w:t>267,4</w:t>
            </w:r>
          </w:p>
        </w:tc>
        <w:tc>
          <w:tcPr>
            <w:tcW w:w="969" w:type="dxa"/>
            <w:tcBorders>
              <w:top w:val="nil"/>
              <w:left w:val="nil"/>
              <w:bottom w:val="single" w:sz="4" w:space="0" w:color="auto"/>
              <w:right w:val="single" w:sz="4" w:space="0" w:color="auto"/>
            </w:tcBorders>
            <w:shd w:val="clear" w:color="000000" w:fill="FFFFFF"/>
            <w:noWrap/>
            <w:vAlign w:val="bottom"/>
          </w:tcPr>
          <w:p w14:paraId="43F760BB" w14:textId="0DFE27EB" w:rsidR="006634E0" w:rsidRPr="00400015" w:rsidRDefault="006634E0" w:rsidP="006634E0">
            <w:pPr>
              <w:spacing w:after="0"/>
              <w:ind w:firstLine="0"/>
              <w:jc w:val="center"/>
              <w:rPr>
                <w:rFonts w:eastAsia="Times New Roman" w:cs="Times New Roman"/>
                <w:sz w:val="18"/>
                <w:szCs w:val="18"/>
              </w:rPr>
            </w:pPr>
            <w:r w:rsidRPr="00400015">
              <w:rPr>
                <w:sz w:val="20"/>
                <w:szCs w:val="20"/>
              </w:rPr>
              <w:t>213,1</w:t>
            </w:r>
          </w:p>
        </w:tc>
      </w:tr>
      <w:tr w:rsidR="006634E0" w:rsidRPr="00400015" w14:paraId="13EFB9A7"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263E22E0"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12.1.2</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38CCB04F" w14:textId="081CEC51" w:rsidR="006634E0" w:rsidRPr="00400015" w:rsidRDefault="006634E0" w:rsidP="006634E0">
            <w:pPr>
              <w:spacing w:after="0"/>
              <w:ind w:firstLineChars="200" w:firstLine="360"/>
              <w:jc w:val="left"/>
              <w:rPr>
                <w:rFonts w:eastAsia="Times New Roman" w:cs="Times New Roman"/>
                <w:color w:val="000000"/>
                <w:sz w:val="18"/>
                <w:szCs w:val="18"/>
              </w:rPr>
            </w:pPr>
            <w:r w:rsidRPr="00400015">
              <w:rPr>
                <w:rFonts w:eastAsia="Times New Roman" w:cs="Times New Roman"/>
                <w:color w:val="000000"/>
                <w:sz w:val="18"/>
                <w:szCs w:val="18"/>
              </w:rPr>
              <w:t xml:space="preserve"> </w:t>
            </w:r>
            <w:r w:rsidR="00B97B18">
              <w:rPr>
                <w:rFonts w:eastAsia="Times New Roman" w:cs="Times New Roman"/>
                <w:color w:val="000000"/>
                <w:sz w:val="18"/>
                <w:szCs w:val="18"/>
              </w:rPr>
              <w:t xml:space="preserve">t.sk. </w:t>
            </w:r>
            <w:r w:rsidRPr="00400015">
              <w:rPr>
                <w:rFonts w:eastAsia="Times New Roman" w:cs="Times New Roman"/>
                <w:color w:val="000000"/>
                <w:sz w:val="18"/>
                <w:szCs w:val="18"/>
              </w:rPr>
              <w:t xml:space="preserve">atmaksājamā daļa </w:t>
            </w:r>
          </w:p>
        </w:tc>
        <w:tc>
          <w:tcPr>
            <w:tcW w:w="1016" w:type="dxa"/>
            <w:tcBorders>
              <w:top w:val="nil"/>
              <w:left w:val="single" w:sz="4" w:space="0" w:color="auto"/>
              <w:bottom w:val="single" w:sz="4" w:space="0" w:color="auto"/>
              <w:right w:val="single" w:sz="4" w:space="0" w:color="auto"/>
            </w:tcBorders>
            <w:shd w:val="clear" w:color="000000" w:fill="FFFFFF"/>
            <w:noWrap/>
            <w:vAlign w:val="bottom"/>
          </w:tcPr>
          <w:p w14:paraId="1F94A4BD" w14:textId="4FD720F2" w:rsidR="006634E0" w:rsidRPr="00400015" w:rsidRDefault="006634E0" w:rsidP="006634E0">
            <w:pPr>
              <w:spacing w:after="0"/>
              <w:ind w:firstLine="0"/>
              <w:jc w:val="center"/>
              <w:rPr>
                <w:rFonts w:eastAsia="Times New Roman" w:cs="Times New Roman"/>
                <w:sz w:val="18"/>
                <w:szCs w:val="18"/>
              </w:rPr>
            </w:pPr>
            <w:r w:rsidRPr="00400015">
              <w:rPr>
                <w:sz w:val="20"/>
                <w:szCs w:val="20"/>
              </w:rPr>
              <w:t>1 975,8</w:t>
            </w:r>
          </w:p>
        </w:tc>
        <w:tc>
          <w:tcPr>
            <w:tcW w:w="979" w:type="dxa"/>
            <w:tcBorders>
              <w:top w:val="nil"/>
              <w:left w:val="nil"/>
              <w:bottom w:val="single" w:sz="4" w:space="0" w:color="auto"/>
              <w:right w:val="single" w:sz="4" w:space="0" w:color="auto"/>
            </w:tcBorders>
            <w:shd w:val="clear" w:color="000000" w:fill="FFFFFF"/>
            <w:noWrap/>
            <w:vAlign w:val="bottom"/>
          </w:tcPr>
          <w:p w14:paraId="24809890" w14:textId="27DD520A" w:rsidR="006634E0" w:rsidRPr="00400015" w:rsidRDefault="006634E0" w:rsidP="006634E0">
            <w:pPr>
              <w:spacing w:after="0"/>
              <w:ind w:firstLine="0"/>
              <w:jc w:val="center"/>
              <w:rPr>
                <w:rFonts w:eastAsia="Times New Roman" w:cs="Times New Roman"/>
                <w:sz w:val="18"/>
                <w:szCs w:val="18"/>
              </w:rPr>
            </w:pPr>
            <w:r w:rsidRPr="00400015">
              <w:rPr>
                <w:sz w:val="20"/>
                <w:szCs w:val="20"/>
              </w:rPr>
              <w:t>2 032,0</w:t>
            </w:r>
          </w:p>
        </w:tc>
        <w:tc>
          <w:tcPr>
            <w:tcW w:w="969" w:type="dxa"/>
            <w:tcBorders>
              <w:top w:val="nil"/>
              <w:left w:val="nil"/>
              <w:bottom w:val="single" w:sz="4" w:space="0" w:color="auto"/>
              <w:right w:val="single" w:sz="4" w:space="0" w:color="auto"/>
            </w:tcBorders>
            <w:shd w:val="clear" w:color="000000" w:fill="FFFFFF"/>
            <w:noWrap/>
            <w:vAlign w:val="bottom"/>
          </w:tcPr>
          <w:p w14:paraId="7469A51A" w14:textId="6D0676BA" w:rsidR="006634E0" w:rsidRPr="00400015" w:rsidRDefault="006634E0" w:rsidP="006634E0">
            <w:pPr>
              <w:spacing w:after="0"/>
              <w:ind w:firstLine="0"/>
              <w:jc w:val="center"/>
              <w:rPr>
                <w:rFonts w:eastAsia="Times New Roman" w:cs="Times New Roman"/>
                <w:sz w:val="18"/>
                <w:szCs w:val="18"/>
              </w:rPr>
            </w:pPr>
            <w:r w:rsidRPr="00400015">
              <w:rPr>
                <w:sz w:val="20"/>
                <w:szCs w:val="20"/>
              </w:rPr>
              <w:t>1 813,0</w:t>
            </w:r>
          </w:p>
        </w:tc>
      </w:tr>
      <w:tr w:rsidR="006634E0" w:rsidRPr="00400015" w14:paraId="3F1E0316"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6EB20206"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12.2</w:t>
            </w:r>
          </w:p>
        </w:tc>
        <w:tc>
          <w:tcPr>
            <w:tcW w:w="4872" w:type="dxa"/>
            <w:tcBorders>
              <w:top w:val="nil"/>
              <w:left w:val="single" w:sz="4" w:space="0" w:color="auto"/>
              <w:bottom w:val="single" w:sz="4" w:space="0" w:color="auto"/>
              <w:right w:val="single" w:sz="4" w:space="0" w:color="auto"/>
            </w:tcBorders>
            <w:shd w:val="clear" w:color="000000" w:fill="FFFFFF"/>
            <w:noWrap/>
            <w:vAlign w:val="bottom"/>
            <w:hideMark/>
          </w:tcPr>
          <w:p w14:paraId="3E048F86" w14:textId="4D9ADDAA" w:rsidR="006634E0" w:rsidRPr="00400015" w:rsidRDefault="006634E0" w:rsidP="006634E0">
            <w:pPr>
              <w:spacing w:after="0"/>
              <w:ind w:firstLineChars="100" w:firstLine="180"/>
              <w:jc w:val="left"/>
              <w:rPr>
                <w:rFonts w:eastAsia="Times New Roman" w:cs="Times New Roman"/>
                <w:sz w:val="18"/>
                <w:szCs w:val="18"/>
              </w:rPr>
            </w:pPr>
            <w:r w:rsidRPr="00400015">
              <w:rPr>
                <w:rFonts w:eastAsia="Times New Roman" w:cs="Times New Roman"/>
                <w:sz w:val="18"/>
                <w:szCs w:val="18"/>
              </w:rPr>
              <w:t xml:space="preserve"> </w:t>
            </w:r>
            <w:r w:rsidR="00B97B18">
              <w:rPr>
                <w:rFonts w:eastAsia="Times New Roman" w:cs="Times New Roman"/>
                <w:sz w:val="18"/>
                <w:szCs w:val="18"/>
              </w:rPr>
              <w:t>t.sk. i</w:t>
            </w:r>
            <w:r w:rsidRPr="00400015">
              <w:rPr>
                <w:rFonts w:eastAsia="Times New Roman" w:cs="Times New Roman"/>
                <w:sz w:val="18"/>
                <w:szCs w:val="18"/>
              </w:rPr>
              <w:t xml:space="preserve">zlīdzinātie valsts parāda apkalpošanas izdevumi </w:t>
            </w:r>
          </w:p>
        </w:tc>
        <w:tc>
          <w:tcPr>
            <w:tcW w:w="1016" w:type="dxa"/>
            <w:tcBorders>
              <w:top w:val="nil"/>
              <w:left w:val="single" w:sz="4" w:space="0" w:color="auto"/>
              <w:bottom w:val="single" w:sz="4" w:space="0" w:color="auto"/>
              <w:right w:val="single" w:sz="4" w:space="0" w:color="auto"/>
            </w:tcBorders>
            <w:shd w:val="clear" w:color="000000" w:fill="FFFFFF"/>
            <w:noWrap/>
            <w:vAlign w:val="bottom"/>
          </w:tcPr>
          <w:p w14:paraId="5002DE85" w14:textId="71207FC3" w:rsidR="006634E0" w:rsidRPr="00400015" w:rsidRDefault="006634E0" w:rsidP="006634E0">
            <w:pPr>
              <w:spacing w:after="0"/>
              <w:ind w:firstLine="0"/>
              <w:jc w:val="center"/>
              <w:rPr>
                <w:rFonts w:eastAsia="Times New Roman" w:cs="Times New Roman"/>
                <w:sz w:val="18"/>
                <w:szCs w:val="18"/>
              </w:rPr>
            </w:pPr>
            <w:r w:rsidRPr="00400015">
              <w:rPr>
                <w:sz w:val="20"/>
                <w:szCs w:val="20"/>
              </w:rPr>
              <w:t>358,6</w:t>
            </w:r>
          </w:p>
        </w:tc>
        <w:tc>
          <w:tcPr>
            <w:tcW w:w="979" w:type="dxa"/>
            <w:tcBorders>
              <w:top w:val="nil"/>
              <w:left w:val="nil"/>
              <w:bottom w:val="single" w:sz="4" w:space="0" w:color="auto"/>
              <w:right w:val="single" w:sz="4" w:space="0" w:color="auto"/>
            </w:tcBorders>
            <w:shd w:val="clear" w:color="000000" w:fill="FFFFFF"/>
            <w:noWrap/>
            <w:vAlign w:val="bottom"/>
          </w:tcPr>
          <w:p w14:paraId="191F822A" w14:textId="4F304305" w:rsidR="006634E0" w:rsidRPr="00400015" w:rsidRDefault="006634E0" w:rsidP="006634E0">
            <w:pPr>
              <w:spacing w:after="0"/>
              <w:ind w:firstLine="0"/>
              <w:jc w:val="center"/>
              <w:rPr>
                <w:rFonts w:eastAsia="Times New Roman" w:cs="Times New Roman"/>
                <w:sz w:val="18"/>
                <w:szCs w:val="18"/>
              </w:rPr>
            </w:pPr>
            <w:r w:rsidRPr="00400015">
              <w:rPr>
                <w:sz w:val="20"/>
                <w:szCs w:val="20"/>
              </w:rPr>
              <w:t>493,8</w:t>
            </w:r>
          </w:p>
        </w:tc>
        <w:tc>
          <w:tcPr>
            <w:tcW w:w="969" w:type="dxa"/>
            <w:tcBorders>
              <w:top w:val="nil"/>
              <w:left w:val="nil"/>
              <w:bottom w:val="single" w:sz="4" w:space="0" w:color="auto"/>
              <w:right w:val="single" w:sz="4" w:space="0" w:color="auto"/>
            </w:tcBorders>
            <w:shd w:val="clear" w:color="000000" w:fill="FFFFFF"/>
            <w:noWrap/>
            <w:vAlign w:val="bottom"/>
          </w:tcPr>
          <w:p w14:paraId="68D143AC" w14:textId="41C030D4" w:rsidR="006634E0" w:rsidRPr="00400015" w:rsidRDefault="006634E0" w:rsidP="006634E0">
            <w:pPr>
              <w:spacing w:after="0"/>
              <w:ind w:firstLine="0"/>
              <w:jc w:val="center"/>
              <w:rPr>
                <w:rFonts w:eastAsia="Times New Roman" w:cs="Times New Roman"/>
                <w:sz w:val="18"/>
                <w:szCs w:val="18"/>
              </w:rPr>
            </w:pPr>
            <w:r w:rsidRPr="00400015">
              <w:rPr>
                <w:sz w:val="20"/>
                <w:szCs w:val="20"/>
              </w:rPr>
              <w:t>495,1</w:t>
            </w:r>
          </w:p>
        </w:tc>
      </w:tr>
      <w:tr w:rsidR="006634E0" w:rsidRPr="00400015" w14:paraId="53251801"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7D694884"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13=11-12</w:t>
            </w:r>
          </w:p>
        </w:tc>
        <w:tc>
          <w:tcPr>
            <w:tcW w:w="4872" w:type="dxa"/>
            <w:tcBorders>
              <w:top w:val="nil"/>
              <w:left w:val="single" w:sz="4" w:space="0" w:color="auto"/>
              <w:bottom w:val="single" w:sz="4" w:space="0" w:color="auto"/>
              <w:right w:val="single" w:sz="4" w:space="0" w:color="auto"/>
            </w:tcBorders>
            <w:shd w:val="clear" w:color="000000" w:fill="FFC000"/>
            <w:noWrap/>
            <w:vAlign w:val="bottom"/>
            <w:hideMark/>
          </w:tcPr>
          <w:p w14:paraId="4B0FF4E0" w14:textId="77777777"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b/>
                <w:bCs/>
                <w:color w:val="000000"/>
                <w:sz w:val="18"/>
                <w:szCs w:val="18"/>
              </w:rPr>
              <w:t>Koriģētie maksimāli pieļaujamie valsts budžeta izdevumi,</w:t>
            </w:r>
            <w:r w:rsidRPr="00400015">
              <w:rPr>
                <w:rFonts w:eastAsia="Times New Roman" w:cs="Times New Roman"/>
                <w:color w:val="000000"/>
                <w:sz w:val="18"/>
                <w:szCs w:val="18"/>
              </w:rPr>
              <w:t xml:space="preserve"> milj. </w:t>
            </w:r>
            <w:proofErr w:type="spellStart"/>
            <w:r w:rsidRPr="00400015">
              <w:rPr>
                <w:rFonts w:eastAsia="Times New Roman" w:cs="Times New Roman"/>
                <w:i/>
                <w:iCs/>
                <w:color w:val="000000"/>
                <w:sz w:val="18"/>
                <w:szCs w:val="18"/>
              </w:rPr>
              <w:t>euro</w:t>
            </w:r>
            <w:proofErr w:type="spellEnd"/>
            <w:r w:rsidRPr="00400015">
              <w:rPr>
                <w:rFonts w:eastAsia="Times New Roman" w:cs="Times New Roman"/>
                <w:color w:val="000000"/>
                <w:sz w:val="18"/>
                <w:szCs w:val="18"/>
              </w:rPr>
              <w:t xml:space="preserve"> </w:t>
            </w:r>
          </w:p>
        </w:tc>
        <w:tc>
          <w:tcPr>
            <w:tcW w:w="1016" w:type="dxa"/>
            <w:tcBorders>
              <w:top w:val="nil"/>
              <w:left w:val="single" w:sz="4" w:space="0" w:color="auto"/>
              <w:bottom w:val="single" w:sz="4" w:space="0" w:color="auto"/>
              <w:right w:val="single" w:sz="4" w:space="0" w:color="auto"/>
            </w:tcBorders>
            <w:shd w:val="clear" w:color="000000" w:fill="FFC000"/>
            <w:noWrap/>
            <w:vAlign w:val="bottom"/>
          </w:tcPr>
          <w:p w14:paraId="3E321835" w14:textId="6E2C8DB8" w:rsidR="006634E0" w:rsidRPr="00400015" w:rsidRDefault="006634E0" w:rsidP="006634E0">
            <w:pPr>
              <w:spacing w:after="0"/>
              <w:ind w:firstLine="0"/>
              <w:jc w:val="center"/>
              <w:rPr>
                <w:rFonts w:eastAsia="Times New Roman" w:cs="Times New Roman"/>
                <w:b/>
                <w:bCs/>
                <w:sz w:val="18"/>
                <w:szCs w:val="18"/>
              </w:rPr>
            </w:pPr>
            <w:r w:rsidRPr="00400015">
              <w:rPr>
                <w:b/>
                <w:bCs/>
                <w:sz w:val="20"/>
                <w:szCs w:val="20"/>
              </w:rPr>
              <w:t>13 577,7</w:t>
            </w:r>
          </w:p>
        </w:tc>
        <w:tc>
          <w:tcPr>
            <w:tcW w:w="979" w:type="dxa"/>
            <w:tcBorders>
              <w:top w:val="nil"/>
              <w:left w:val="nil"/>
              <w:bottom w:val="single" w:sz="4" w:space="0" w:color="auto"/>
              <w:right w:val="single" w:sz="4" w:space="0" w:color="auto"/>
            </w:tcBorders>
            <w:shd w:val="clear" w:color="000000" w:fill="FFC000"/>
            <w:noWrap/>
            <w:vAlign w:val="bottom"/>
          </w:tcPr>
          <w:p w14:paraId="22D77323" w14:textId="13678014" w:rsidR="006634E0" w:rsidRPr="00400015" w:rsidRDefault="006634E0" w:rsidP="006634E0">
            <w:pPr>
              <w:spacing w:after="0"/>
              <w:ind w:firstLine="0"/>
              <w:jc w:val="center"/>
              <w:rPr>
                <w:rFonts w:eastAsia="Times New Roman" w:cs="Times New Roman"/>
                <w:b/>
                <w:bCs/>
                <w:sz w:val="18"/>
                <w:szCs w:val="18"/>
              </w:rPr>
            </w:pPr>
            <w:r w:rsidRPr="00400015">
              <w:rPr>
                <w:b/>
                <w:bCs/>
                <w:sz w:val="20"/>
                <w:szCs w:val="20"/>
              </w:rPr>
              <w:t>13 725,0</w:t>
            </w:r>
          </w:p>
        </w:tc>
        <w:tc>
          <w:tcPr>
            <w:tcW w:w="969" w:type="dxa"/>
            <w:tcBorders>
              <w:top w:val="nil"/>
              <w:left w:val="nil"/>
              <w:bottom w:val="single" w:sz="4" w:space="0" w:color="auto"/>
              <w:right w:val="single" w:sz="4" w:space="0" w:color="auto"/>
            </w:tcBorders>
            <w:shd w:val="clear" w:color="000000" w:fill="FFC000"/>
            <w:noWrap/>
            <w:vAlign w:val="bottom"/>
          </w:tcPr>
          <w:p w14:paraId="3E68BCF0" w14:textId="690CA034" w:rsidR="006634E0" w:rsidRPr="00400015" w:rsidRDefault="006634E0" w:rsidP="006634E0">
            <w:pPr>
              <w:spacing w:after="0"/>
              <w:ind w:firstLine="0"/>
              <w:jc w:val="center"/>
              <w:rPr>
                <w:rFonts w:eastAsia="Times New Roman" w:cs="Times New Roman"/>
                <w:b/>
                <w:bCs/>
                <w:sz w:val="18"/>
                <w:szCs w:val="18"/>
              </w:rPr>
            </w:pPr>
            <w:r w:rsidRPr="00400015">
              <w:rPr>
                <w:b/>
                <w:bCs/>
                <w:sz w:val="20"/>
                <w:szCs w:val="20"/>
              </w:rPr>
              <w:t>14 115,9</w:t>
            </w:r>
          </w:p>
        </w:tc>
      </w:tr>
      <w:tr w:rsidR="006634E0" w:rsidRPr="00400015" w14:paraId="5283AD79" w14:textId="77777777" w:rsidTr="00B97B18">
        <w:trPr>
          <w:trHeight w:val="300"/>
          <w:jc w:val="center"/>
        </w:trPr>
        <w:tc>
          <w:tcPr>
            <w:tcW w:w="1230" w:type="dxa"/>
            <w:tcBorders>
              <w:top w:val="nil"/>
              <w:left w:val="nil"/>
              <w:bottom w:val="nil"/>
              <w:right w:val="nil"/>
            </w:tcBorders>
            <w:shd w:val="clear" w:color="auto" w:fill="auto"/>
            <w:noWrap/>
            <w:vAlign w:val="center"/>
            <w:hideMark/>
          </w:tcPr>
          <w:p w14:paraId="5116CFE1"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14=15+16</w:t>
            </w:r>
          </w:p>
        </w:tc>
        <w:tc>
          <w:tcPr>
            <w:tcW w:w="4872" w:type="dxa"/>
            <w:tcBorders>
              <w:top w:val="nil"/>
              <w:left w:val="single" w:sz="4" w:space="0" w:color="auto"/>
              <w:bottom w:val="single" w:sz="4" w:space="0" w:color="auto"/>
              <w:right w:val="single" w:sz="4" w:space="0" w:color="auto"/>
            </w:tcBorders>
            <w:shd w:val="clear" w:color="auto" w:fill="DEEAF6" w:themeFill="accent1" w:themeFillTint="33"/>
            <w:noWrap/>
            <w:vAlign w:val="bottom"/>
            <w:hideMark/>
          </w:tcPr>
          <w:p w14:paraId="7331CBB1" w14:textId="5EF1AEFA"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Faktiskie izdevumi</w:t>
            </w:r>
            <w:r w:rsidR="00400015">
              <w:rPr>
                <w:rFonts w:eastAsia="Times New Roman" w:cs="Times New Roman"/>
                <w:color w:val="000000"/>
                <w:sz w:val="18"/>
                <w:szCs w:val="18"/>
              </w:rPr>
              <w:t xml:space="preserve">, milj. </w:t>
            </w:r>
            <w:proofErr w:type="spellStart"/>
            <w:r w:rsidR="00400015" w:rsidRPr="00400015">
              <w:rPr>
                <w:rFonts w:eastAsia="Times New Roman" w:cs="Times New Roman"/>
                <w:i/>
                <w:iCs/>
                <w:color w:val="000000"/>
                <w:sz w:val="18"/>
                <w:szCs w:val="18"/>
              </w:rPr>
              <w:t>euro</w:t>
            </w:r>
            <w:proofErr w:type="spellEnd"/>
          </w:p>
        </w:tc>
        <w:tc>
          <w:tcPr>
            <w:tcW w:w="1016" w:type="dxa"/>
            <w:tcBorders>
              <w:top w:val="nil"/>
              <w:left w:val="single" w:sz="4" w:space="0" w:color="auto"/>
              <w:bottom w:val="single" w:sz="4" w:space="0" w:color="auto"/>
              <w:right w:val="single" w:sz="4" w:space="0" w:color="auto"/>
            </w:tcBorders>
            <w:shd w:val="clear" w:color="auto" w:fill="DEEAF6" w:themeFill="accent1" w:themeFillTint="33"/>
            <w:noWrap/>
            <w:vAlign w:val="bottom"/>
          </w:tcPr>
          <w:p w14:paraId="58604726" w14:textId="3231C744" w:rsidR="006634E0" w:rsidRPr="00400015" w:rsidRDefault="006634E0" w:rsidP="006634E0">
            <w:pPr>
              <w:spacing w:after="0"/>
              <w:ind w:firstLine="0"/>
              <w:jc w:val="center"/>
              <w:rPr>
                <w:rFonts w:eastAsia="Times New Roman" w:cs="Times New Roman"/>
                <w:sz w:val="18"/>
                <w:szCs w:val="18"/>
              </w:rPr>
            </w:pPr>
            <w:r w:rsidRPr="00400015">
              <w:rPr>
                <w:sz w:val="20"/>
                <w:szCs w:val="20"/>
              </w:rPr>
              <w:t>2 680,0</w:t>
            </w:r>
          </w:p>
        </w:tc>
        <w:tc>
          <w:tcPr>
            <w:tcW w:w="979" w:type="dxa"/>
            <w:tcBorders>
              <w:top w:val="nil"/>
              <w:left w:val="nil"/>
              <w:bottom w:val="single" w:sz="4" w:space="0" w:color="auto"/>
              <w:right w:val="single" w:sz="4" w:space="0" w:color="auto"/>
            </w:tcBorders>
            <w:shd w:val="clear" w:color="auto" w:fill="DEEAF6" w:themeFill="accent1" w:themeFillTint="33"/>
            <w:noWrap/>
            <w:vAlign w:val="bottom"/>
          </w:tcPr>
          <w:p w14:paraId="009674C5" w14:textId="7EDA343A" w:rsidR="006634E0" w:rsidRPr="00400015" w:rsidRDefault="006634E0" w:rsidP="006634E0">
            <w:pPr>
              <w:spacing w:after="0"/>
              <w:ind w:firstLine="0"/>
              <w:jc w:val="center"/>
              <w:rPr>
                <w:rFonts w:eastAsia="Times New Roman" w:cs="Times New Roman"/>
                <w:sz w:val="18"/>
                <w:szCs w:val="18"/>
              </w:rPr>
            </w:pPr>
            <w:r w:rsidRPr="00400015">
              <w:rPr>
                <w:sz w:val="20"/>
                <w:szCs w:val="20"/>
              </w:rPr>
              <w:t>2 793,3</w:t>
            </w:r>
          </w:p>
        </w:tc>
        <w:tc>
          <w:tcPr>
            <w:tcW w:w="969" w:type="dxa"/>
            <w:tcBorders>
              <w:top w:val="nil"/>
              <w:left w:val="nil"/>
              <w:bottom w:val="single" w:sz="4" w:space="0" w:color="auto"/>
              <w:right w:val="single" w:sz="4" w:space="0" w:color="auto"/>
            </w:tcBorders>
            <w:shd w:val="clear" w:color="auto" w:fill="DEEAF6" w:themeFill="accent1" w:themeFillTint="33"/>
            <w:noWrap/>
            <w:vAlign w:val="bottom"/>
          </w:tcPr>
          <w:p w14:paraId="270A55A0" w14:textId="2706DAD6" w:rsidR="006634E0" w:rsidRPr="00400015" w:rsidRDefault="006634E0" w:rsidP="006634E0">
            <w:pPr>
              <w:spacing w:after="0"/>
              <w:ind w:firstLine="0"/>
              <w:jc w:val="center"/>
              <w:rPr>
                <w:rFonts w:eastAsia="Times New Roman" w:cs="Times New Roman"/>
                <w:sz w:val="18"/>
                <w:szCs w:val="18"/>
              </w:rPr>
            </w:pPr>
            <w:r w:rsidRPr="00400015">
              <w:rPr>
                <w:sz w:val="20"/>
                <w:szCs w:val="20"/>
              </w:rPr>
              <w:t>2 521,2</w:t>
            </w:r>
          </w:p>
        </w:tc>
      </w:tr>
      <w:tr w:rsidR="006634E0" w:rsidRPr="00400015" w14:paraId="67F1075F"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20A2D1D7"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15</w:t>
            </w:r>
          </w:p>
        </w:tc>
        <w:tc>
          <w:tcPr>
            <w:tcW w:w="4872" w:type="dxa"/>
            <w:tcBorders>
              <w:top w:val="nil"/>
              <w:left w:val="single" w:sz="4" w:space="0" w:color="auto"/>
              <w:bottom w:val="single" w:sz="4" w:space="0" w:color="auto"/>
              <w:right w:val="single" w:sz="4" w:space="0" w:color="auto"/>
            </w:tcBorders>
            <w:shd w:val="clear" w:color="auto" w:fill="auto"/>
            <w:noWrap/>
            <w:vAlign w:val="bottom"/>
            <w:hideMark/>
          </w:tcPr>
          <w:p w14:paraId="2158DCDB" w14:textId="7666E568" w:rsidR="006634E0" w:rsidRPr="00400015" w:rsidRDefault="006634E0" w:rsidP="006634E0">
            <w:pPr>
              <w:spacing w:after="0"/>
              <w:ind w:firstLineChars="100" w:firstLine="180"/>
              <w:jc w:val="left"/>
              <w:rPr>
                <w:rFonts w:eastAsia="Times New Roman" w:cs="Times New Roman"/>
                <w:color w:val="000000"/>
                <w:sz w:val="18"/>
                <w:szCs w:val="18"/>
              </w:rPr>
            </w:pPr>
            <w:r w:rsidRPr="00400015">
              <w:rPr>
                <w:rFonts w:eastAsia="Times New Roman" w:cs="Times New Roman"/>
                <w:color w:val="000000"/>
                <w:sz w:val="18"/>
                <w:szCs w:val="18"/>
              </w:rPr>
              <w:t>t.sk. Eiropas Savienības fondu izdevumi – augšup vērstā metode</w:t>
            </w:r>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691D766D" w14:textId="7E1CD522" w:rsidR="006634E0" w:rsidRPr="00400015" w:rsidRDefault="006634E0" w:rsidP="006634E0">
            <w:pPr>
              <w:spacing w:after="0"/>
              <w:ind w:firstLine="0"/>
              <w:jc w:val="center"/>
              <w:rPr>
                <w:rFonts w:eastAsia="Times New Roman" w:cs="Times New Roman"/>
                <w:sz w:val="18"/>
                <w:szCs w:val="18"/>
              </w:rPr>
            </w:pPr>
            <w:r w:rsidRPr="00400015">
              <w:rPr>
                <w:sz w:val="20"/>
                <w:szCs w:val="20"/>
              </w:rPr>
              <w:t>2 321,4</w:t>
            </w:r>
          </w:p>
        </w:tc>
        <w:tc>
          <w:tcPr>
            <w:tcW w:w="979" w:type="dxa"/>
            <w:tcBorders>
              <w:top w:val="nil"/>
              <w:left w:val="nil"/>
              <w:bottom w:val="single" w:sz="4" w:space="0" w:color="auto"/>
              <w:right w:val="single" w:sz="4" w:space="0" w:color="auto"/>
            </w:tcBorders>
            <w:shd w:val="clear" w:color="auto" w:fill="auto"/>
            <w:noWrap/>
            <w:vAlign w:val="bottom"/>
          </w:tcPr>
          <w:p w14:paraId="2A552EA2" w14:textId="5A9BDD93" w:rsidR="006634E0" w:rsidRPr="00400015" w:rsidRDefault="006634E0" w:rsidP="006634E0">
            <w:pPr>
              <w:spacing w:after="0"/>
              <w:ind w:firstLine="0"/>
              <w:jc w:val="center"/>
              <w:rPr>
                <w:rFonts w:eastAsia="Times New Roman" w:cs="Times New Roman"/>
                <w:sz w:val="18"/>
                <w:szCs w:val="18"/>
              </w:rPr>
            </w:pPr>
            <w:r w:rsidRPr="00400015">
              <w:rPr>
                <w:sz w:val="20"/>
                <w:szCs w:val="20"/>
              </w:rPr>
              <w:t>2 299,4</w:t>
            </w:r>
          </w:p>
        </w:tc>
        <w:tc>
          <w:tcPr>
            <w:tcW w:w="969" w:type="dxa"/>
            <w:tcBorders>
              <w:top w:val="nil"/>
              <w:left w:val="nil"/>
              <w:bottom w:val="single" w:sz="4" w:space="0" w:color="auto"/>
              <w:right w:val="single" w:sz="4" w:space="0" w:color="auto"/>
            </w:tcBorders>
            <w:shd w:val="clear" w:color="auto" w:fill="auto"/>
            <w:noWrap/>
            <w:vAlign w:val="bottom"/>
          </w:tcPr>
          <w:p w14:paraId="20EABA12" w14:textId="3E71F588" w:rsidR="006634E0" w:rsidRPr="00400015" w:rsidRDefault="006634E0" w:rsidP="006634E0">
            <w:pPr>
              <w:spacing w:after="0"/>
              <w:ind w:firstLine="0"/>
              <w:jc w:val="center"/>
              <w:rPr>
                <w:rFonts w:eastAsia="Times New Roman" w:cs="Times New Roman"/>
                <w:sz w:val="18"/>
                <w:szCs w:val="18"/>
              </w:rPr>
            </w:pPr>
            <w:r w:rsidRPr="00400015">
              <w:rPr>
                <w:sz w:val="20"/>
                <w:szCs w:val="20"/>
              </w:rPr>
              <w:t>2 026,1</w:t>
            </w:r>
          </w:p>
        </w:tc>
      </w:tr>
      <w:tr w:rsidR="006634E0" w:rsidRPr="00400015" w14:paraId="3590604D"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24B4C89D"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15.1</w:t>
            </w:r>
          </w:p>
        </w:tc>
        <w:tc>
          <w:tcPr>
            <w:tcW w:w="4872" w:type="dxa"/>
            <w:tcBorders>
              <w:top w:val="nil"/>
              <w:left w:val="single" w:sz="4" w:space="0" w:color="auto"/>
              <w:bottom w:val="single" w:sz="4" w:space="0" w:color="auto"/>
              <w:right w:val="single" w:sz="4" w:space="0" w:color="auto"/>
            </w:tcBorders>
            <w:shd w:val="clear" w:color="auto" w:fill="auto"/>
            <w:noWrap/>
            <w:vAlign w:val="bottom"/>
            <w:hideMark/>
          </w:tcPr>
          <w:p w14:paraId="4681079A" w14:textId="77777777" w:rsidR="006634E0" w:rsidRPr="00400015" w:rsidRDefault="006634E0" w:rsidP="006634E0">
            <w:pPr>
              <w:spacing w:after="0"/>
              <w:ind w:firstLineChars="200" w:firstLine="360"/>
              <w:jc w:val="left"/>
              <w:rPr>
                <w:rFonts w:eastAsia="Times New Roman" w:cs="Times New Roman"/>
                <w:color w:val="000000"/>
                <w:sz w:val="18"/>
                <w:szCs w:val="18"/>
              </w:rPr>
            </w:pPr>
            <w:r w:rsidRPr="00400015">
              <w:rPr>
                <w:rFonts w:eastAsia="Times New Roman" w:cs="Times New Roman"/>
                <w:color w:val="000000"/>
                <w:sz w:val="18"/>
                <w:szCs w:val="18"/>
              </w:rPr>
              <w:t>t.sk. neatmaksājamā daļa</w:t>
            </w:r>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5F0D6D3E" w14:textId="58117C65" w:rsidR="006634E0" w:rsidRPr="00400015" w:rsidRDefault="006634E0" w:rsidP="006634E0">
            <w:pPr>
              <w:spacing w:after="0"/>
              <w:ind w:firstLine="0"/>
              <w:jc w:val="center"/>
              <w:rPr>
                <w:rFonts w:eastAsia="Times New Roman" w:cs="Times New Roman"/>
                <w:sz w:val="18"/>
                <w:szCs w:val="18"/>
              </w:rPr>
            </w:pPr>
            <w:r w:rsidRPr="00400015">
              <w:rPr>
                <w:sz w:val="20"/>
                <w:szCs w:val="20"/>
              </w:rPr>
              <w:t>345,6</w:t>
            </w:r>
          </w:p>
        </w:tc>
        <w:tc>
          <w:tcPr>
            <w:tcW w:w="979" w:type="dxa"/>
            <w:tcBorders>
              <w:top w:val="nil"/>
              <w:left w:val="nil"/>
              <w:bottom w:val="single" w:sz="4" w:space="0" w:color="auto"/>
              <w:right w:val="single" w:sz="4" w:space="0" w:color="auto"/>
            </w:tcBorders>
            <w:shd w:val="clear" w:color="auto" w:fill="auto"/>
            <w:noWrap/>
            <w:vAlign w:val="bottom"/>
          </w:tcPr>
          <w:p w14:paraId="2124DC9C" w14:textId="30C01B23" w:rsidR="006634E0" w:rsidRPr="00400015" w:rsidRDefault="006634E0" w:rsidP="006634E0">
            <w:pPr>
              <w:spacing w:after="0"/>
              <w:ind w:firstLine="0"/>
              <w:jc w:val="center"/>
              <w:rPr>
                <w:rFonts w:eastAsia="Times New Roman" w:cs="Times New Roman"/>
                <w:sz w:val="18"/>
                <w:szCs w:val="18"/>
              </w:rPr>
            </w:pPr>
            <w:r w:rsidRPr="00400015">
              <w:rPr>
                <w:sz w:val="20"/>
                <w:szCs w:val="20"/>
              </w:rPr>
              <w:t>267,4</w:t>
            </w:r>
          </w:p>
        </w:tc>
        <w:tc>
          <w:tcPr>
            <w:tcW w:w="969" w:type="dxa"/>
            <w:tcBorders>
              <w:top w:val="nil"/>
              <w:left w:val="nil"/>
              <w:bottom w:val="single" w:sz="4" w:space="0" w:color="auto"/>
              <w:right w:val="single" w:sz="4" w:space="0" w:color="auto"/>
            </w:tcBorders>
            <w:shd w:val="clear" w:color="auto" w:fill="auto"/>
            <w:noWrap/>
            <w:vAlign w:val="bottom"/>
          </w:tcPr>
          <w:p w14:paraId="1E301488" w14:textId="5CE70857" w:rsidR="006634E0" w:rsidRPr="00400015" w:rsidRDefault="006634E0" w:rsidP="006634E0">
            <w:pPr>
              <w:spacing w:after="0"/>
              <w:ind w:firstLine="0"/>
              <w:jc w:val="center"/>
              <w:rPr>
                <w:rFonts w:eastAsia="Times New Roman" w:cs="Times New Roman"/>
                <w:sz w:val="18"/>
                <w:szCs w:val="18"/>
              </w:rPr>
            </w:pPr>
            <w:r w:rsidRPr="00400015">
              <w:rPr>
                <w:sz w:val="20"/>
                <w:szCs w:val="20"/>
              </w:rPr>
              <w:t>213,1</w:t>
            </w:r>
          </w:p>
        </w:tc>
      </w:tr>
      <w:tr w:rsidR="006634E0" w:rsidRPr="00400015" w14:paraId="0D93A59C"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7ECB3AF7"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15.2</w:t>
            </w:r>
          </w:p>
        </w:tc>
        <w:tc>
          <w:tcPr>
            <w:tcW w:w="4872" w:type="dxa"/>
            <w:tcBorders>
              <w:top w:val="nil"/>
              <w:left w:val="single" w:sz="4" w:space="0" w:color="auto"/>
              <w:bottom w:val="single" w:sz="4" w:space="0" w:color="auto"/>
              <w:right w:val="single" w:sz="4" w:space="0" w:color="auto"/>
            </w:tcBorders>
            <w:shd w:val="clear" w:color="auto" w:fill="auto"/>
            <w:noWrap/>
            <w:vAlign w:val="bottom"/>
            <w:hideMark/>
          </w:tcPr>
          <w:p w14:paraId="55A2237E" w14:textId="6BA71E3C" w:rsidR="006634E0" w:rsidRPr="00400015" w:rsidRDefault="00B97B18" w:rsidP="006634E0">
            <w:pPr>
              <w:spacing w:after="0"/>
              <w:ind w:firstLineChars="200" w:firstLine="360"/>
              <w:jc w:val="left"/>
              <w:rPr>
                <w:rFonts w:eastAsia="Times New Roman" w:cs="Times New Roman"/>
                <w:color w:val="000000"/>
                <w:sz w:val="18"/>
                <w:szCs w:val="18"/>
              </w:rPr>
            </w:pPr>
            <w:r>
              <w:rPr>
                <w:rFonts w:eastAsia="Times New Roman" w:cs="Times New Roman"/>
                <w:color w:val="000000"/>
                <w:sz w:val="18"/>
                <w:szCs w:val="18"/>
              </w:rPr>
              <w:t xml:space="preserve">t.sk. </w:t>
            </w:r>
            <w:r w:rsidR="006634E0" w:rsidRPr="00400015">
              <w:rPr>
                <w:rFonts w:eastAsia="Times New Roman" w:cs="Times New Roman"/>
                <w:color w:val="000000"/>
                <w:sz w:val="18"/>
                <w:szCs w:val="18"/>
              </w:rPr>
              <w:t>atmaksājamā daļa</w:t>
            </w:r>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48388C17" w14:textId="454848CD" w:rsidR="006634E0" w:rsidRPr="00400015" w:rsidRDefault="006634E0" w:rsidP="006634E0">
            <w:pPr>
              <w:spacing w:after="0"/>
              <w:ind w:firstLine="0"/>
              <w:jc w:val="center"/>
              <w:rPr>
                <w:rFonts w:eastAsia="Times New Roman" w:cs="Times New Roman"/>
                <w:sz w:val="18"/>
                <w:szCs w:val="18"/>
              </w:rPr>
            </w:pPr>
            <w:r w:rsidRPr="00400015">
              <w:rPr>
                <w:sz w:val="20"/>
                <w:szCs w:val="20"/>
              </w:rPr>
              <w:t>1 975,8</w:t>
            </w:r>
          </w:p>
        </w:tc>
        <w:tc>
          <w:tcPr>
            <w:tcW w:w="979" w:type="dxa"/>
            <w:tcBorders>
              <w:top w:val="nil"/>
              <w:left w:val="nil"/>
              <w:bottom w:val="single" w:sz="4" w:space="0" w:color="auto"/>
              <w:right w:val="single" w:sz="4" w:space="0" w:color="auto"/>
            </w:tcBorders>
            <w:shd w:val="clear" w:color="auto" w:fill="auto"/>
            <w:noWrap/>
            <w:vAlign w:val="bottom"/>
          </w:tcPr>
          <w:p w14:paraId="3C6316BD" w14:textId="6DE8B091" w:rsidR="006634E0" w:rsidRPr="00400015" w:rsidRDefault="006634E0" w:rsidP="006634E0">
            <w:pPr>
              <w:spacing w:after="0"/>
              <w:ind w:firstLine="0"/>
              <w:jc w:val="center"/>
              <w:rPr>
                <w:rFonts w:eastAsia="Times New Roman" w:cs="Times New Roman"/>
                <w:sz w:val="18"/>
                <w:szCs w:val="18"/>
              </w:rPr>
            </w:pPr>
            <w:r w:rsidRPr="00400015">
              <w:rPr>
                <w:sz w:val="20"/>
                <w:szCs w:val="20"/>
              </w:rPr>
              <w:t>2 032,0</w:t>
            </w:r>
          </w:p>
        </w:tc>
        <w:tc>
          <w:tcPr>
            <w:tcW w:w="969" w:type="dxa"/>
            <w:tcBorders>
              <w:top w:val="nil"/>
              <w:left w:val="nil"/>
              <w:bottom w:val="single" w:sz="4" w:space="0" w:color="auto"/>
              <w:right w:val="single" w:sz="4" w:space="0" w:color="auto"/>
            </w:tcBorders>
            <w:shd w:val="clear" w:color="auto" w:fill="auto"/>
            <w:noWrap/>
            <w:vAlign w:val="bottom"/>
          </w:tcPr>
          <w:p w14:paraId="406C15F8" w14:textId="0183940D" w:rsidR="006634E0" w:rsidRPr="00400015" w:rsidRDefault="006634E0" w:rsidP="006634E0">
            <w:pPr>
              <w:spacing w:after="0"/>
              <w:ind w:firstLine="0"/>
              <w:jc w:val="center"/>
              <w:rPr>
                <w:rFonts w:eastAsia="Times New Roman" w:cs="Times New Roman"/>
                <w:sz w:val="18"/>
                <w:szCs w:val="18"/>
              </w:rPr>
            </w:pPr>
            <w:r w:rsidRPr="00400015">
              <w:rPr>
                <w:sz w:val="20"/>
                <w:szCs w:val="20"/>
              </w:rPr>
              <w:t>1 813,0</w:t>
            </w:r>
          </w:p>
        </w:tc>
      </w:tr>
      <w:tr w:rsidR="006634E0" w:rsidRPr="00400015" w14:paraId="73BEB561"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74451554"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16</w:t>
            </w:r>
          </w:p>
        </w:tc>
        <w:tc>
          <w:tcPr>
            <w:tcW w:w="4872" w:type="dxa"/>
            <w:tcBorders>
              <w:top w:val="nil"/>
              <w:left w:val="single" w:sz="4" w:space="0" w:color="auto"/>
              <w:bottom w:val="single" w:sz="4" w:space="0" w:color="auto"/>
              <w:right w:val="single" w:sz="4" w:space="0" w:color="auto"/>
            </w:tcBorders>
            <w:shd w:val="clear" w:color="auto" w:fill="auto"/>
            <w:noWrap/>
            <w:vAlign w:val="bottom"/>
            <w:hideMark/>
          </w:tcPr>
          <w:p w14:paraId="1950388B" w14:textId="4027F688" w:rsidR="006634E0" w:rsidRPr="00400015" w:rsidRDefault="00B97B18" w:rsidP="006634E0">
            <w:pPr>
              <w:spacing w:after="0"/>
              <w:ind w:firstLineChars="100" w:firstLine="180"/>
              <w:jc w:val="left"/>
              <w:rPr>
                <w:rFonts w:eastAsia="Times New Roman" w:cs="Times New Roman"/>
                <w:sz w:val="18"/>
                <w:szCs w:val="18"/>
              </w:rPr>
            </w:pPr>
            <w:r>
              <w:rPr>
                <w:rFonts w:eastAsia="Times New Roman" w:cs="Times New Roman"/>
                <w:sz w:val="18"/>
                <w:szCs w:val="18"/>
              </w:rPr>
              <w:t>t.sk. v</w:t>
            </w:r>
            <w:r w:rsidR="006634E0" w:rsidRPr="00400015">
              <w:rPr>
                <w:rFonts w:eastAsia="Times New Roman" w:cs="Times New Roman"/>
                <w:sz w:val="18"/>
                <w:szCs w:val="18"/>
              </w:rPr>
              <w:t>alsts parāda apkalpošanas izdevumi</w:t>
            </w:r>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3595FE3E" w14:textId="5D5E8F89" w:rsidR="006634E0" w:rsidRPr="00400015" w:rsidRDefault="006634E0" w:rsidP="006634E0">
            <w:pPr>
              <w:spacing w:after="0"/>
              <w:ind w:firstLine="0"/>
              <w:jc w:val="center"/>
              <w:rPr>
                <w:rFonts w:eastAsia="Times New Roman" w:cs="Times New Roman"/>
                <w:sz w:val="18"/>
                <w:szCs w:val="18"/>
              </w:rPr>
            </w:pPr>
            <w:r w:rsidRPr="00400015">
              <w:rPr>
                <w:sz w:val="20"/>
                <w:szCs w:val="20"/>
              </w:rPr>
              <w:t>358,6</w:t>
            </w:r>
          </w:p>
        </w:tc>
        <w:tc>
          <w:tcPr>
            <w:tcW w:w="979" w:type="dxa"/>
            <w:tcBorders>
              <w:top w:val="nil"/>
              <w:left w:val="nil"/>
              <w:bottom w:val="single" w:sz="4" w:space="0" w:color="auto"/>
              <w:right w:val="single" w:sz="4" w:space="0" w:color="auto"/>
            </w:tcBorders>
            <w:shd w:val="clear" w:color="auto" w:fill="auto"/>
            <w:noWrap/>
            <w:vAlign w:val="bottom"/>
          </w:tcPr>
          <w:p w14:paraId="564770E1" w14:textId="3B01604B" w:rsidR="006634E0" w:rsidRPr="00400015" w:rsidRDefault="006634E0" w:rsidP="006634E0">
            <w:pPr>
              <w:spacing w:after="0"/>
              <w:ind w:firstLine="0"/>
              <w:jc w:val="center"/>
              <w:rPr>
                <w:rFonts w:eastAsia="Times New Roman" w:cs="Times New Roman"/>
                <w:sz w:val="18"/>
                <w:szCs w:val="18"/>
              </w:rPr>
            </w:pPr>
            <w:r w:rsidRPr="00400015">
              <w:rPr>
                <w:sz w:val="20"/>
                <w:szCs w:val="20"/>
              </w:rPr>
              <w:t>493,8</w:t>
            </w:r>
          </w:p>
        </w:tc>
        <w:tc>
          <w:tcPr>
            <w:tcW w:w="969" w:type="dxa"/>
            <w:tcBorders>
              <w:top w:val="nil"/>
              <w:left w:val="nil"/>
              <w:bottom w:val="single" w:sz="4" w:space="0" w:color="auto"/>
              <w:right w:val="single" w:sz="4" w:space="0" w:color="auto"/>
            </w:tcBorders>
            <w:shd w:val="clear" w:color="auto" w:fill="auto"/>
            <w:noWrap/>
            <w:vAlign w:val="bottom"/>
          </w:tcPr>
          <w:p w14:paraId="0DC25836" w14:textId="7D9F1F20" w:rsidR="006634E0" w:rsidRPr="00400015" w:rsidRDefault="006634E0" w:rsidP="006634E0">
            <w:pPr>
              <w:spacing w:after="0"/>
              <w:ind w:firstLine="0"/>
              <w:jc w:val="center"/>
              <w:rPr>
                <w:rFonts w:eastAsia="Times New Roman" w:cs="Times New Roman"/>
                <w:sz w:val="18"/>
                <w:szCs w:val="18"/>
              </w:rPr>
            </w:pPr>
            <w:r w:rsidRPr="00400015">
              <w:rPr>
                <w:sz w:val="20"/>
                <w:szCs w:val="20"/>
              </w:rPr>
              <w:t>495,1</w:t>
            </w:r>
          </w:p>
        </w:tc>
      </w:tr>
      <w:tr w:rsidR="006634E0" w:rsidRPr="00400015" w14:paraId="018760E6"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7641390E"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17=13+14</w:t>
            </w:r>
          </w:p>
        </w:tc>
        <w:tc>
          <w:tcPr>
            <w:tcW w:w="4872" w:type="dxa"/>
            <w:tcBorders>
              <w:top w:val="nil"/>
              <w:left w:val="single" w:sz="4" w:space="0" w:color="auto"/>
              <w:bottom w:val="single" w:sz="4" w:space="0" w:color="auto"/>
              <w:right w:val="single" w:sz="4" w:space="0" w:color="auto"/>
            </w:tcBorders>
            <w:shd w:val="clear" w:color="000000" w:fill="DCE6F1"/>
            <w:noWrap/>
            <w:vAlign w:val="bottom"/>
            <w:hideMark/>
          </w:tcPr>
          <w:p w14:paraId="3F36C0CD" w14:textId="21AE4333"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Valsts budžeta izdevumi, milj. </w:t>
            </w:r>
            <w:proofErr w:type="spellStart"/>
            <w:r w:rsidRPr="00400015">
              <w:rPr>
                <w:rFonts w:eastAsia="Times New Roman" w:cs="Times New Roman"/>
                <w:i/>
                <w:iCs/>
                <w:color w:val="000000"/>
                <w:sz w:val="18"/>
                <w:szCs w:val="18"/>
              </w:rPr>
              <w:t>euro</w:t>
            </w:r>
            <w:proofErr w:type="spellEnd"/>
            <w:r w:rsidRPr="00400015">
              <w:rPr>
                <w:rFonts w:eastAsia="Times New Roman" w:cs="Times New Roman"/>
                <w:color w:val="000000"/>
                <w:sz w:val="18"/>
                <w:szCs w:val="18"/>
              </w:rPr>
              <w:t xml:space="preserve">  - lejup vērstā metode</w:t>
            </w:r>
          </w:p>
        </w:tc>
        <w:tc>
          <w:tcPr>
            <w:tcW w:w="1016" w:type="dxa"/>
            <w:tcBorders>
              <w:top w:val="nil"/>
              <w:left w:val="single" w:sz="4" w:space="0" w:color="auto"/>
              <w:bottom w:val="single" w:sz="4" w:space="0" w:color="auto"/>
              <w:right w:val="single" w:sz="4" w:space="0" w:color="auto"/>
            </w:tcBorders>
            <w:shd w:val="clear" w:color="000000" w:fill="DCE6F1"/>
            <w:noWrap/>
            <w:vAlign w:val="bottom"/>
          </w:tcPr>
          <w:p w14:paraId="328F55E9" w14:textId="53A894F7" w:rsidR="006634E0" w:rsidRPr="00400015" w:rsidRDefault="006634E0" w:rsidP="006634E0">
            <w:pPr>
              <w:spacing w:after="0"/>
              <w:ind w:firstLine="0"/>
              <w:jc w:val="center"/>
              <w:rPr>
                <w:rFonts w:eastAsia="Times New Roman" w:cs="Times New Roman"/>
                <w:sz w:val="18"/>
                <w:szCs w:val="18"/>
              </w:rPr>
            </w:pPr>
            <w:r w:rsidRPr="00400015">
              <w:rPr>
                <w:sz w:val="20"/>
                <w:szCs w:val="20"/>
              </w:rPr>
              <w:t>16 257,7</w:t>
            </w:r>
          </w:p>
        </w:tc>
        <w:tc>
          <w:tcPr>
            <w:tcW w:w="979" w:type="dxa"/>
            <w:tcBorders>
              <w:top w:val="nil"/>
              <w:left w:val="nil"/>
              <w:bottom w:val="single" w:sz="4" w:space="0" w:color="auto"/>
              <w:right w:val="single" w:sz="4" w:space="0" w:color="auto"/>
            </w:tcBorders>
            <w:shd w:val="clear" w:color="000000" w:fill="DCE6F1"/>
            <w:noWrap/>
            <w:vAlign w:val="bottom"/>
          </w:tcPr>
          <w:p w14:paraId="3FDF9287" w14:textId="760134F0" w:rsidR="006634E0" w:rsidRPr="00400015" w:rsidRDefault="006634E0" w:rsidP="006634E0">
            <w:pPr>
              <w:spacing w:after="0"/>
              <w:ind w:firstLine="0"/>
              <w:jc w:val="center"/>
              <w:rPr>
                <w:rFonts w:eastAsia="Times New Roman" w:cs="Times New Roman"/>
                <w:sz w:val="18"/>
                <w:szCs w:val="18"/>
              </w:rPr>
            </w:pPr>
            <w:r w:rsidRPr="00400015">
              <w:rPr>
                <w:sz w:val="20"/>
                <w:szCs w:val="20"/>
              </w:rPr>
              <w:t>16 518,3</w:t>
            </w:r>
          </w:p>
        </w:tc>
        <w:tc>
          <w:tcPr>
            <w:tcW w:w="969" w:type="dxa"/>
            <w:tcBorders>
              <w:top w:val="nil"/>
              <w:left w:val="nil"/>
              <w:bottom w:val="single" w:sz="4" w:space="0" w:color="auto"/>
              <w:right w:val="single" w:sz="4" w:space="0" w:color="auto"/>
            </w:tcBorders>
            <w:shd w:val="clear" w:color="000000" w:fill="DCE6F1"/>
            <w:noWrap/>
            <w:vAlign w:val="bottom"/>
          </w:tcPr>
          <w:p w14:paraId="7F05186F" w14:textId="15784D6D" w:rsidR="006634E0" w:rsidRPr="00400015" w:rsidRDefault="006634E0" w:rsidP="006634E0">
            <w:pPr>
              <w:spacing w:after="0"/>
              <w:ind w:firstLine="0"/>
              <w:jc w:val="center"/>
              <w:rPr>
                <w:rFonts w:eastAsia="Times New Roman" w:cs="Times New Roman"/>
                <w:sz w:val="18"/>
                <w:szCs w:val="18"/>
              </w:rPr>
            </w:pPr>
            <w:r w:rsidRPr="00400015">
              <w:rPr>
                <w:sz w:val="20"/>
                <w:szCs w:val="20"/>
              </w:rPr>
              <w:t>16 637,0</w:t>
            </w:r>
          </w:p>
        </w:tc>
      </w:tr>
      <w:tr w:rsidR="006634E0" w:rsidRPr="00400015" w14:paraId="3E3B4B95" w14:textId="77777777" w:rsidTr="002F18F9">
        <w:trPr>
          <w:trHeight w:val="323"/>
          <w:jc w:val="center"/>
        </w:trPr>
        <w:tc>
          <w:tcPr>
            <w:tcW w:w="1230" w:type="dxa"/>
            <w:tcBorders>
              <w:top w:val="nil"/>
              <w:left w:val="nil"/>
              <w:bottom w:val="nil"/>
              <w:right w:val="nil"/>
            </w:tcBorders>
            <w:shd w:val="clear" w:color="auto" w:fill="auto"/>
            <w:noWrap/>
            <w:vAlign w:val="center"/>
            <w:hideMark/>
          </w:tcPr>
          <w:p w14:paraId="419D13B9"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18</w:t>
            </w:r>
          </w:p>
        </w:tc>
        <w:tc>
          <w:tcPr>
            <w:tcW w:w="4872" w:type="dxa"/>
            <w:tcBorders>
              <w:top w:val="nil"/>
              <w:left w:val="single" w:sz="4" w:space="0" w:color="auto"/>
              <w:bottom w:val="single" w:sz="4" w:space="0" w:color="auto"/>
              <w:right w:val="single" w:sz="4" w:space="0" w:color="auto"/>
            </w:tcBorders>
            <w:shd w:val="clear" w:color="000000" w:fill="DCE6F1"/>
            <w:noWrap/>
            <w:vAlign w:val="bottom"/>
            <w:hideMark/>
          </w:tcPr>
          <w:p w14:paraId="420A7494" w14:textId="4773AC81" w:rsidR="006634E0" w:rsidRPr="00400015" w:rsidRDefault="006634E0" w:rsidP="006634E0">
            <w:pPr>
              <w:spacing w:after="0"/>
              <w:ind w:firstLine="0"/>
              <w:jc w:val="left"/>
              <w:rPr>
                <w:rFonts w:eastAsia="Times New Roman" w:cs="Times New Roman"/>
                <w:color w:val="000000"/>
                <w:sz w:val="18"/>
                <w:szCs w:val="18"/>
              </w:rPr>
            </w:pPr>
            <w:r w:rsidRPr="00400015">
              <w:rPr>
                <w:rFonts w:eastAsia="Times New Roman" w:cs="Times New Roman"/>
                <w:color w:val="000000"/>
                <w:sz w:val="18"/>
                <w:szCs w:val="18"/>
              </w:rPr>
              <w:t xml:space="preserve">Valsts budžeta izdevumi, milj. </w:t>
            </w:r>
            <w:proofErr w:type="spellStart"/>
            <w:r w:rsidRPr="00400015">
              <w:rPr>
                <w:rFonts w:eastAsia="Times New Roman" w:cs="Times New Roman"/>
                <w:i/>
                <w:iCs/>
                <w:color w:val="000000"/>
                <w:sz w:val="18"/>
                <w:szCs w:val="18"/>
              </w:rPr>
              <w:t>euro</w:t>
            </w:r>
            <w:proofErr w:type="spellEnd"/>
            <w:r w:rsidRPr="00400015">
              <w:rPr>
                <w:rFonts w:eastAsia="Times New Roman" w:cs="Times New Roman"/>
                <w:color w:val="000000"/>
                <w:sz w:val="18"/>
                <w:szCs w:val="18"/>
              </w:rPr>
              <w:t xml:space="preserve"> - augšup vērstā metode</w:t>
            </w:r>
          </w:p>
        </w:tc>
        <w:tc>
          <w:tcPr>
            <w:tcW w:w="1016" w:type="dxa"/>
            <w:tcBorders>
              <w:top w:val="nil"/>
              <w:left w:val="single" w:sz="4" w:space="0" w:color="auto"/>
              <w:bottom w:val="single" w:sz="4" w:space="0" w:color="auto"/>
              <w:right w:val="single" w:sz="4" w:space="0" w:color="auto"/>
            </w:tcBorders>
            <w:shd w:val="clear" w:color="000000" w:fill="DCE6F1"/>
            <w:noWrap/>
            <w:vAlign w:val="bottom"/>
          </w:tcPr>
          <w:p w14:paraId="262724F0" w14:textId="66DFDACD" w:rsidR="006634E0" w:rsidRPr="00400015" w:rsidRDefault="006634E0" w:rsidP="006634E0">
            <w:pPr>
              <w:spacing w:after="0"/>
              <w:ind w:firstLine="0"/>
              <w:jc w:val="center"/>
              <w:rPr>
                <w:rFonts w:eastAsia="Times New Roman" w:cs="Times New Roman"/>
                <w:sz w:val="18"/>
                <w:szCs w:val="18"/>
              </w:rPr>
            </w:pPr>
            <w:r w:rsidRPr="00400015">
              <w:rPr>
                <w:sz w:val="20"/>
                <w:szCs w:val="20"/>
              </w:rPr>
              <w:t>16 212,2</w:t>
            </w:r>
          </w:p>
        </w:tc>
        <w:tc>
          <w:tcPr>
            <w:tcW w:w="979" w:type="dxa"/>
            <w:tcBorders>
              <w:top w:val="nil"/>
              <w:left w:val="nil"/>
              <w:bottom w:val="single" w:sz="4" w:space="0" w:color="auto"/>
              <w:right w:val="single" w:sz="4" w:space="0" w:color="auto"/>
            </w:tcBorders>
            <w:shd w:val="clear" w:color="000000" w:fill="DCE6F1"/>
            <w:noWrap/>
            <w:vAlign w:val="bottom"/>
          </w:tcPr>
          <w:p w14:paraId="46C0D67E" w14:textId="22F94F78" w:rsidR="006634E0" w:rsidRPr="00400015" w:rsidRDefault="006634E0" w:rsidP="006634E0">
            <w:pPr>
              <w:spacing w:after="0"/>
              <w:ind w:firstLine="0"/>
              <w:jc w:val="center"/>
              <w:rPr>
                <w:rFonts w:eastAsia="Times New Roman" w:cs="Times New Roman"/>
                <w:sz w:val="18"/>
                <w:szCs w:val="18"/>
              </w:rPr>
            </w:pPr>
            <w:r w:rsidRPr="00400015">
              <w:rPr>
                <w:sz w:val="20"/>
                <w:szCs w:val="20"/>
              </w:rPr>
              <w:t>16 406,4</w:t>
            </w:r>
          </w:p>
        </w:tc>
        <w:tc>
          <w:tcPr>
            <w:tcW w:w="969" w:type="dxa"/>
            <w:tcBorders>
              <w:top w:val="nil"/>
              <w:left w:val="nil"/>
              <w:bottom w:val="single" w:sz="4" w:space="0" w:color="auto"/>
              <w:right w:val="single" w:sz="4" w:space="0" w:color="auto"/>
            </w:tcBorders>
            <w:shd w:val="clear" w:color="000000" w:fill="DCE6F1"/>
            <w:noWrap/>
            <w:vAlign w:val="bottom"/>
          </w:tcPr>
          <w:p w14:paraId="6EF1684D" w14:textId="79273F5F" w:rsidR="006634E0" w:rsidRPr="00400015" w:rsidRDefault="006634E0" w:rsidP="006634E0">
            <w:pPr>
              <w:spacing w:after="0"/>
              <w:ind w:firstLine="0"/>
              <w:jc w:val="center"/>
              <w:rPr>
                <w:rFonts w:eastAsia="Times New Roman" w:cs="Times New Roman"/>
                <w:sz w:val="18"/>
                <w:szCs w:val="18"/>
              </w:rPr>
            </w:pPr>
            <w:r w:rsidRPr="00400015">
              <w:rPr>
                <w:sz w:val="20"/>
                <w:szCs w:val="20"/>
              </w:rPr>
              <w:t>16 240,4</w:t>
            </w:r>
          </w:p>
        </w:tc>
      </w:tr>
      <w:tr w:rsidR="006634E0" w:rsidRPr="00400015" w14:paraId="7907D3F3"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03CF657B"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19=17-18</w:t>
            </w:r>
          </w:p>
        </w:tc>
        <w:tc>
          <w:tcPr>
            <w:tcW w:w="4872" w:type="dxa"/>
            <w:tcBorders>
              <w:top w:val="nil"/>
              <w:left w:val="single" w:sz="4" w:space="0" w:color="auto"/>
              <w:bottom w:val="single" w:sz="4" w:space="0" w:color="auto"/>
              <w:right w:val="single" w:sz="4" w:space="0" w:color="auto"/>
            </w:tcBorders>
            <w:shd w:val="clear" w:color="auto" w:fill="auto"/>
            <w:noWrap/>
            <w:vAlign w:val="bottom"/>
            <w:hideMark/>
          </w:tcPr>
          <w:p w14:paraId="4674C4B3" w14:textId="77777777" w:rsidR="006634E0" w:rsidRPr="00400015" w:rsidRDefault="006634E0" w:rsidP="006634E0">
            <w:pPr>
              <w:spacing w:after="0"/>
              <w:ind w:firstLine="0"/>
              <w:jc w:val="left"/>
              <w:rPr>
                <w:rFonts w:eastAsia="Times New Roman" w:cs="Times New Roman"/>
                <w:b/>
                <w:bCs/>
                <w:i/>
                <w:iCs/>
                <w:color w:val="000000"/>
                <w:sz w:val="18"/>
                <w:szCs w:val="18"/>
              </w:rPr>
            </w:pPr>
            <w:r w:rsidRPr="00400015">
              <w:rPr>
                <w:rFonts w:eastAsia="Times New Roman" w:cs="Times New Roman"/>
                <w:b/>
                <w:bCs/>
                <w:i/>
                <w:iCs/>
                <w:color w:val="000000"/>
                <w:sz w:val="18"/>
                <w:szCs w:val="18"/>
              </w:rPr>
              <w:t>Starpība</w:t>
            </w:r>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08AAD688" w14:textId="19066421" w:rsidR="006634E0" w:rsidRPr="00400015" w:rsidRDefault="006634E0" w:rsidP="006634E0">
            <w:pPr>
              <w:spacing w:after="0"/>
              <w:ind w:firstLine="0"/>
              <w:jc w:val="center"/>
              <w:rPr>
                <w:rFonts w:eastAsia="Times New Roman" w:cs="Times New Roman"/>
                <w:b/>
                <w:bCs/>
                <w:i/>
                <w:iCs/>
                <w:color w:val="000000"/>
                <w:sz w:val="18"/>
                <w:szCs w:val="18"/>
              </w:rPr>
            </w:pPr>
            <w:r w:rsidRPr="00400015">
              <w:rPr>
                <w:b/>
                <w:bCs/>
                <w:i/>
                <w:iCs/>
                <w:color w:val="000000"/>
                <w:sz w:val="20"/>
                <w:szCs w:val="20"/>
              </w:rPr>
              <w:t>45,5</w:t>
            </w:r>
          </w:p>
        </w:tc>
        <w:tc>
          <w:tcPr>
            <w:tcW w:w="979" w:type="dxa"/>
            <w:tcBorders>
              <w:top w:val="nil"/>
              <w:left w:val="nil"/>
              <w:bottom w:val="single" w:sz="4" w:space="0" w:color="auto"/>
              <w:right w:val="single" w:sz="4" w:space="0" w:color="auto"/>
            </w:tcBorders>
            <w:shd w:val="clear" w:color="auto" w:fill="auto"/>
            <w:noWrap/>
            <w:vAlign w:val="bottom"/>
          </w:tcPr>
          <w:p w14:paraId="1CF4C82B" w14:textId="0B847D63" w:rsidR="006634E0" w:rsidRPr="00400015" w:rsidRDefault="006634E0" w:rsidP="006634E0">
            <w:pPr>
              <w:spacing w:after="0"/>
              <w:ind w:firstLine="0"/>
              <w:jc w:val="center"/>
              <w:rPr>
                <w:rFonts w:eastAsia="Times New Roman" w:cs="Times New Roman"/>
                <w:b/>
                <w:bCs/>
                <w:i/>
                <w:iCs/>
                <w:color w:val="000000"/>
                <w:sz w:val="18"/>
                <w:szCs w:val="18"/>
              </w:rPr>
            </w:pPr>
            <w:r w:rsidRPr="00400015">
              <w:rPr>
                <w:b/>
                <w:bCs/>
                <w:i/>
                <w:iCs/>
                <w:color w:val="000000"/>
                <w:sz w:val="20"/>
                <w:szCs w:val="20"/>
              </w:rPr>
              <w:t>111,9</w:t>
            </w:r>
          </w:p>
        </w:tc>
        <w:tc>
          <w:tcPr>
            <w:tcW w:w="969" w:type="dxa"/>
            <w:tcBorders>
              <w:top w:val="nil"/>
              <w:left w:val="nil"/>
              <w:bottom w:val="single" w:sz="4" w:space="0" w:color="auto"/>
              <w:right w:val="single" w:sz="4" w:space="0" w:color="auto"/>
            </w:tcBorders>
            <w:shd w:val="clear" w:color="auto" w:fill="auto"/>
            <w:noWrap/>
            <w:vAlign w:val="bottom"/>
          </w:tcPr>
          <w:p w14:paraId="75AFEC44" w14:textId="26AD02C7" w:rsidR="006634E0" w:rsidRPr="00400015" w:rsidRDefault="006634E0" w:rsidP="006634E0">
            <w:pPr>
              <w:spacing w:after="0"/>
              <w:ind w:firstLine="0"/>
              <w:jc w:val="center"/>
              <w:rPr>
                <w:rFonts w:eastAsia="Times New Roman" w:cs="Times New Roman"/>
                <w:b/>
                <w:bCs/>
                <w:i/>
                <w:iCs/>
                <w:color w:val="000000"/>
                <w:sz w:val="18"/>
                <w:szCs w:val="18"/>
              </w:rPr>
            </w:pPr>
            <w:r w:rsidRPr="00400015">
              <w:rPr>
                <w:b/>
                <w:bCs/>
                <w:i/>
                <w:iCs/>
                <w:color w:val="000000"/>
                <w:sz w:val="20"/>
                <w:szCs w:val="20"/>
              </w:rPr>
              <w:t>396,7</w:t>
            </w:r>
          </w:p>
        </w:tc>
      </w:tr>
      <w:tr w:rsidR="006634E0" w:rsidRPr="00400015" w14:paraId="600D14A6"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3C5B1D2B"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20</w:t>
            </w:r>
          </w:p>
        </w:tc>
        <w:tc>
          <w:tcPr>
            <w:tcW w:w="4872" w:type="dxa"/>
            <w:tcBorders>
              <w:top w:val="nil"/>
              <w:left w:val="single" w:sz="4" w:space="0" w:color="auto"/>
              <w:bottom w:val="single" w:sz="4" w:space="0" w:color="auto"/>
              <w:right w:val="single" w:sz="4" w:space="0" w:color="auto"/>
            </w:tcBorders>
            <w:shd w:val="clear" w:color="auto" w:fill="auto"/>
            <w:noWrap/>
            <w:vAlign w:val="bottom"/>
            <w:hideMark/>
          </w:tcPr>
          <w:p w14:paraId="0E7AD942" w14:textId="715E893E" w:rsidR="006634E0" w:rsidRPr="00400015" w:rsidRDefault="006634E0" w:rsidP="006634E0">
            <w:pPr>
              <w:spacing w:after="0"/>
              <w:ind w:firstLineChars="100" w:firstLine="180"/>
              <w:jc w:val="left"/>
              <w:rPr>
                <w:rFonts w:eastAsia="Times New Roman" w:cs="Times New Roman"/>
                <w:i/>
                <w:iCs/>
                <w:color w:val="000000"/>
                <w:sz w:val="18"/>
                <w:szCs w:val="18"/>
              </w:rPr>
            </w:pPr>
            <w:r w:rsidRPr="00400015">
              <w:rPr>
                <w:rFonts w:eastAsia="Times New Roman" w:cs="Times New Roman"/>
                <w:i/>
                <w:iCs/>
                <w:color w:val="000000"/>
                <w:sz w:val="18"/>
                <w:szCs w:val="18"/>
              </w:rPr>
              <w:t xml:space="preserve">Fiskālā nodrošinājuma rezerve atbilstoši FDL, milj. </w:t>
            </w:r>
            <w:proofErr w:type="spellStart"/>
            <w:r w:rsidRPr="00400015">
              <w:rPr>
                <w:rFonts w:eastAsia="Times New Roman" w:cs="Times New Roman"/>
                <w:i/>
                <w:iCs/>
                <w:color w:val="000000"/>
                <w:sz w:val="18"/>
                <w:szCs w:val="18"/>
              </w:rPr>
              <w:t>euro</w:t>
            </w:r>
            <w:proofErr w:type="spellEnd"/>
          </w:p>
        </w:tc>
        <w:tc>
          <w:tcPr>
            <w:tcW w:w="1016" w:type="dxa"/>
            <w:tcBorders>
              <w:top w:val="nil"/>
              <w:left w:val="single" w:sz="4" w:space="0" w:color="auto"/>
              <w:bottom w:val="single" w:sz="4" w:space="0" w:color="auto"/>
              <w:right w:val="single" w:sz="4" w:space="0" w:color="auto"/>
            </w:tcBorders>
            <w:shd w:val="clear" w:color="auto" w:fill="auto"/>
            <w:noWrap/>
            <w:vAlign w:val="bottom"/>
          </w:tcPr>
          <w:p w14:paraId="19ED7C44" w14:textId="653CFA17" w:rsidR="006634E0" w:rsidRPr="00400015" w:rsidRDefault="006634E0" w:rsidP="006634E0">
            <w:pPr>
              <w:spacing w:after="0"/>
              <w:ind w:firstLine="0"/>
              <w:jc w:val="center"/>
              <w:rPr>
                <w:rFonts w:eastAsia="Times New Roman" w:cs="Times New Roman"/>
                <w:i/>
                <w:iCs/>
                <w:sz w:val="18"/>
                <w:szCs w:val="18"/>
              </w:rPr>
            </w:pPr>
            <w:r w:rsidRPr="00400015">
              <w:rPr>
                <w:i/>
                <w:iCs/>
                <w:sz w:val="20"/>
                <w:szCs w:val="20"/>
              </w:rPr>
              <w:t>45,5</w:t>
            </w:r>
          </w:p>
        </w:tc>
        <w:tc>
          <w:tcPr>
            <w:tcW w:w="979" w:type="dxa"/>
            <w:tcBorders>
              <w:top w:val="nil"/>
              <w:left w:val="nil"/>
              <w:bottom w:val="single" w:sz="4" w:space="0" w:color="auto"/>
              <w:right w:val="single" w:sz="4" w:space="0" w:color="auto"/>
            </w:tcBorders>
            <w:shd w:val="clear" w:color="auto" w:fill="auto"/>
            <w:noWrap/>
            <w:vAlign w:val="bottom"/>
          </w:tcPr>
          <w:p w14:paraId="46C4F486" w14:textId="66CAC705" w:rsidR="006634E0" w:rsidRPr="00400015" w:rsidRDefault="006634E0" w:rsidP="006634E0">
            <w:pPr>
              <w:spacing w:after="0"/>
              <w:ind w:firstLine="0"/>
              <w:jc w:val="center"/>
              <w:rPr>
                <w:rFonts w:eastAsia="Times New Roman" w:cs="Times New Roman"/>
                <w:i/>
                <w:iCs/>
                <w:sz w:val="18"/>
                <w:szCs w:val="18"/>
              </w:rPr>
            </w:pPr>
            <w:r w:rsidRPr="00400015">
              <w:rPr>
                <w:i/>
                <w:iCs/>
                <w:sz w:val="20"/>
                <w:szCs w:val="20"/>
              </w:rPr>
              <w:t>48,3</w:t>
            </w:r>
          </w:p>
        </w:tc>
        <w:tc>
          <w:tcPr>
            <w:tcW w:w="969" w:type="dxa"/>
            <w:tcBorders>
              <w:top w:val="nil"/>
              <w:left w:val="nil"/>
              <w:bottom w:val="single" w:sz="4" w:space="0" w:color="auto"/>
              <w:right w:val="single" w:sz="4" w:space="0" w:color="auto"/>
            </w:tcBorders>
            <w:shd w:val="clear" w:color="auto" w:fill="auto"/>
            <w:noWrap/>
            <w:vAlign w:val="bottom"/>
          </w:tcPr>
          <w:p w14:paraId="0CE59EE3" w14:textId="57834BFA" w:rsidR="006634E0" w:rsidRPr="00400015" w:rsidRDefault="006634E0" w:rsidP="006634E0">
            <w:pPr>
              <w:spacing w:after="0"/>
              <w:ind w:firstLine="0"/>
              <w:jc w:val="center"/>
              <w:rPr>
                <w:rFonts w:eastAsia="Times New Roman" w:cs="Times New Roman"/>
                <w:i/>
                <w:iCs/>
                <w:sz w:val="18"/>
                <w:szCs w:val="18"/>
              </w:rPr>
            </w:pPr>
            <w:r w:rsidRPr="00400015">
              <w:rPr>
                <w:i/>
                <w:iCs/>
                <w:sz w:val="20"/>
                <w:szCs w:val="20"/>
              </w:rPr>
              <w:t>51,1</w:t>
            </w:r>
          </w:p>
        </w:tc>
      </w:tr>
      <w:tr w:rsidR="006634E0" w:rsidRPr="0038459F" w14:paraId="34E301E8" w14:textId="77777777" w:rsidTr="002F18F9">
        <w:trPr>
          <w:trHeight w:val="300"/>
          <w:jc w:val="center"/>
        </w:trPr>
        <w:tc>
          <w:tcPr>
            <w:tcW w:w="1230" w:type="dxa"/>
            <w:tcBorders>
              <w:top w:val="nil"/>
              <w:left w:val="nil"/>
              <w:bottom w:val="nil"/>
              <w:right w:val="nil"/>
            </w:tcBorders>
            <w:shd w:val="clear" w:color="auto" w:fill="auto"/>
            <w:noWrap/>
            <w:vAlign w:val="center"/>
            <w:hideMark/>
          </w:tcPr>
          <w:p w14:paraId="70DE0842" w14:textId="77777777" w:rsidR="006634E0" w:rsidRPr="00400015" w:rsidRDefault="006634E0" w:rsidP="006634E0">
            <w:pPr>
              <w:spacing w:after="0"/>
              <w:ind w:firstLine="0"/>
              <w:jc w:val="right"/>
              <w:rPr>
                <w:rFonts w:eastAsia="Times New Roman" w:cs="Times New Roman"/>
                <w:color w:val="000000"/>
                <w:sz w:val="18"/>
                <w:szCs w:val="18"/>
              </w:rPr>
            </w:pPr>
            <w:r w:rsidRPr="00400015">
              <w:rPr>
                <w:rFonts w:eastAsia="Times New Roman" w:cs="Times New Roman"/>
                <w:color w:val="000000"/>
                <w:sz w:val="18"/>
                <w:szCs w:val="18"/>
              </w:rPr>
              <w:t>21</w:t>
            </w:r>
          </w:p>
        </w:tc>
        <w:tc>
          <w:tcPr>
            <w:tcW w:w="4872" w:type="dxa"/>
            <w:tcBorders>
              <w:top w:val="nil"/>
              <w:left w:val="single" w:sz="4" w:space="0" w:color="auto"/>
              <w:bottom w:val="single" w:sz="4" w:space="0" w:color="auto"/>
              <w:right w:val="single" w:sz="4" w:space="0" w:color="auto"/>
            </w:tcBorders>
            <w:shd w:val="clear" w:color="auto" w:fill="auto"/>
            <w:noWrap/>
            <w:vAlign w:val="bottom"/>
            <w:hideMark/>
          </w:tcPr>
          <w:p w14:paraId="10EFB1A8" w14:textId="6A882B03" w:rsidR="006634E0" w:rsidRPr="00400015" w:rsidRDefault="006634E0" w:rsidP="006634E0">
            <w:pPr>
              <w:spacing w:after="0"/>
              <w:ind w:firstLineChars="100" w:firstLine="180"/>
              <w:jc w:val="left"/>
              <w:rPr>
                <w:rFonts w:eastAsia="Times New Roman" w:cs="Times New Roman"/>
                <w:i/>
                <w:iCs/>
                <w:color w:val="000000"/>
                <w:sz w:val="18"/>
                <w:szCs w:val="18"/>
              </w:rPr>
            </w:pPr>
            <w:r w:rsidRPr="00400015">
              <w:rPr>
                <w:rFonts w:eastAsia="Times New Roman" w:cs="Times New Roman"/>
                <w:i/>
                <w:iCs/>
                <w:color w:val="000000"/>
                <w:sz w:val="18"/>
                <w:szCs w:val="18"/>
              </w:rPr>
              <w:t>Fiskālā telpa</w:t>
            </w:r>
            <w:r w:rsidR="008207CD">
              <w:rPr>
                <w:rFonts w:eastAsia="Times New Roman" w:cs="Times New Roman"/>
                <w:i/>
                <w:iCs/>
                <w:color w:val="000000"/>
                <w:sz w:val="18"/>
                <w:szCs w:val="18"/>
              </w:rPr>
              <w:t xml:space="preserve"> nākamo periodu izdevumiem</w:t>
            </w:r>
            <w:r w:rsidRPr="00400015">
              <w:rPr>
                <w:rFonts w:eastAsia="Times New Roman" w:cs="Times New Roman"/>
                <w:i/>
                <w:iCs/>
                <w:color w:val="000000"/>
                <w:sz w:val="18"/>
                <w:szCs w:val="18"/>
              </w:rPr>
              <w:t xml:space="preserve">, milj. </w:t>
            </w:r>
            <w:proofErr w:type="spellStart"/>
            <w:r w:rsidRPr="00400015">
              <w:rPr>
                <w:rFonts w:eastAsia="Times New Roman" w:cs="Times New Roman"/>
                <w:i/>
                <w:iCs/>
                <w:color w:val="000000"/>
                <w:sz w:val="18"/>
                <w:szCs w:val="18"/>
              </w:rPr>
              <w:t>euro</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567F403D" w14:textId="10123D6E" w:rsidR="006634E0" w:rsidRPr="00400015" w:rsidRDefault="006634E0" w:rsidP="006634E0">
            <w:pPr>
              <w:spacing w:after="0"/>
              <w:ind w:firstLine="0"/>
              <w:jc w:val="center"/>
              <w:rPr>
                <w:rFonts w:eastAsia="Times New Roman" w:cs="Times New Roman"/>
                <w:i/>
                <w:iCs/>
                <w:sz w:val="18"/>
                <w:szCs w:val="18"/>
              </w:rPr>
            </w:pPr>
            <w:r w:rsidRPr="00400015">
              <w:rPr>
                <w:i/>
                <w:iCs/>
                <w:sz w:val="20"/>
                <w:szCs w:val="20"/>
              </w:rPr>
              <w:t>0,0</w:t>
            </w:r>
          </w:p>
        </w:tc>
        <w:tc>
          <w:tcPr>
            <w:tcW w:w="979" w:type="dxa"/>
            <w:tcBorders>
              <w:top w:val="nil"/>
              <w:left w:val="nil"/>
              <w:bottom w:val="single" w:sz="4" w:space="0" w:color="auto"/>
              <w:right w:val="single" w:sz="4" w:space="0" w:color="auto"/>
            </w:tcBorders>
            <w:shd w:val="clear" w:color="auto" w:fill="auto"/>
            <w:noWrap/>
            <w:vAlign w:val="bottom"/>
            <w:hideMark/>
          </w:tcPr>
          <w:p w14:paraId="6AD04591" w14:textId="613D9BAB" w:rsidR="006634E0" w:rsidRPr="00400015" w:rsidRDefault="006634E0" w:rsidP="006634E0">
            <w:pPr>
              <w:spacing w:after="0"/>
              <w:ind w:firstLine="0"/>
              <w:jc w:val="center"/>
              <w:rPr>
                <w:rFonts w:eastAsia="Times New Roman" w:cs="Times New Roman"/>
                <w:i/>
                <w:iCs/>
                <w:sz w:val="18"/>
                <w:szCs w:val="18"/>
              </w:rPr>
            </w:pPr>
            <w:r w:rsidRPr="00400015">
              <w:rPr>
                <w:i/>
                <w:iCs/>
                <w:sz w:val="20"/>
                <w:szCs w:val="20"/>
              </w:rPr>
              <w:t>63,5</w:t>
            </w:r>
          </w:p>
        </w:tc>
        <w:tc>
          <w:tcPr>
            <w:tcW w:w="969" w:type="dxa"/>
            <w:tcBorders>
              <w:top w:val="nil"/>
              <w:left w:val="nil"/>
              <w:bottom w:val="single" w:sz="4" w:space="0" w:color="auto"/>
              <w:right w:val="single" w:sz="4" w:space="0" w:color="auto"/>
            </w:tcBorders>
            <w:shd w:val="clear" w:color="auto" w:fill="auto"/>
            <w:noWrap/>
            <w:vAlign w:val="bottom"/>
            <w:hideMark/>
          </w:tcPr>
          <w:p w14:paraId="5309AA9C" w14:textId="2C16E731" w:rsidR="006634E0" w:rsidRPr="00400015" w:rsidRDefault="006634E0" w:rsidP="006634E0">
            <w:pPr>
              <w:spacing w:after="0"/>
              <w:ind w:firstLine="0"/>
              <w:jc w:val="center"/>
              <w:rPr>
                <w:rFonts w:eastAsia="Times New Roman" w:cs="Times New Roman"/>
                <w:i/>
                <w:iCs/>
                <w:sz w:val="18"/>
                <w:szCs w:val="18"/>
              </w:rPr>
            </w:pPr>
            <w:r w:rsidRPr="00400015">
              <w:rPr>
                <w:i/>
                <w:iCs/>
                <w:sz w:val="20"/>
                <w:szCs w:val="20"/>
              </w:rPr>
              <w:t>345,5</w:t>
            </w:r>
          </w:p>
        </w:tc>
      </w:tr>
    </w:tbl>
    <w:p w14:paraId="6DAFADB9" w14:textId="22E2814C" w:rsidR="00071293" w:rsidRPr="0038459F" w:rsidRDefault="00071293" w:rsidP="00071293">
      <w:pPr>
        <w:widowControl w:val="0"/>
        <w:ind w:firstLine="0"/>
        <w:rPr>
          <w:rFonts w:eastAsia="Times New Roman" w:cs="Times New Roman"/>
          <w:b/>
          <w:highlight w:val="lightGray"/>
        </w:rPr>
      </w:pPr>
    </w:p>
    <w:p w14:paraId="682E0184" w14:textId="255B7670" w:rsidR="00071293" w:rsidRPr="0048284B" w:rsidRDefault="00071293" w:rsidP="006F1373">
      <w:pPr>
        <w:pStyle w:val="H5"/>
      </w:pPr>
      <w:r w:rsidRPr="0048284B">
        <w:t>Maksimāli pieļaujamo valsts budžeta izdevumu precizēšana budžeta izpildes laikā</w:t>
      </w:r>
    </w:p>
    <w:p w14:paraId="5009A071" w14:textId="21898ED0" w:rsidR="00071293" w:rsidRPr="0048284B" w:rsidRDefault="001D14A4" w:rsidP="00C8209A">
      <w:pPr>
        <w:widowControl w:val="0"/>
        <w:rPr>
          <w:rFonts w:eastAsia="Times New Roman" w:cs="Times New Roman"/>
        </w:rPr>
      </w:pPr>
      <w:r w:rsidRPr="0048284B">
        <w:rPr>
          <w:rFonts w:eastAsia="Times New Roman" w:cs="Times New Roman"/>
        </w:rPr>
        <w:t>FDL</w:t>
      </w:r>
      <w:r w:rsidR="00071293" w:rsidRPr="0048284B">
        <w:rPr>
          <w:rFonts w:eastAsia="Times New Roman" w:cs="Times New Roman"/>
        </w:rPr>
        <w:t xml:space="preserve"> 5.</w:t>
      </w:r>
      <w:r w:rsidR="00112C33" w:rsidRPr="0048284B">
        <w:rPr>
          <w:rFonts w:eastAsia="Times New Roman" w:cs="Times New Roman"/>
        </w:rPr>
        <w:t xml:space="preserve"> </w:t>
      </w:r>
      <w:r w:rsidR="00071293" w:rsidRPr="0048284B">
        <w:rPr>
          <w:rFonts w:eastAsia="Times New Roman" w:cs="Times New Roman"/>
        </w:rPr>
        <w:t>panta pirmās daļas 1.</w:t>
      </w:r>
      <w:r w:rsidR="00112C33" w:rsidRPr="0048284B">
        <w:rPr>
          <w:rFonts w:eastAsia="Times New Roman" w:cs="Times New Roman"/>
        </w:rPr>
        <w:t xml:space="preserve"> </w:t>
      </w:r>
      <w:r w:rsidR="00071293" w:rsidRPr="0048284B">
        <w:rPr>
          <w:rFonts w:eastAsia="Times New Roman" w:cs="Times New Roman"/>
        </w:rPr>
        <w:t xml:space="preserve">punkts nosaka, ka koriģētos maksimāli pieļaujamos valsts budžeta izdevumus precizē, ja rodas izmaiņas valsts pamatbudžeta izdevumos sakarā ar aktuālākām valsts sociālo pabalstu un pensiju saņēmēju kontingenta prognozēm. </w:t>
      </w:r>
    </w:p>
    <w:p w14:paraId="0FB758EB" w14:textId="5303395B" w:rsidR="00071293" w:rsidRPr="0048284B" w:rsidRDefault="008364F3" w:rsidP="00C8209A">
      <w:pPr>
        <w:widowControl w:val="0"/>
        <w:rPr>
          <w:rFonts w:eastAsia="Times New Roman" w:cs="Times New Roman"/>
        </w:rPr>
      </w:pPr>
      <w:r w:rsidRPr="0048284B">
        <w:rPr>
          <w:rFonts w:eastAsia="Times New Roman" w:cs="Times New Roman"/>
        </w:rPr>
        <w:t xml:space="preserve"> Lai šo likuma normu varētu pielietot,</w:t>
      </w:r>
      <w:r w:rsidR="00071293" w:rsidRPr="0048284B">
        <w:rPr>
          <w:rFonts w:eastAsia="Times New Roman" w:cs="Times New Roman"/>
        </w:rPr>
        <w:t xml:space="preserve"> ir nepieciešams fiksēt valsts sociālo pabalstu un pensiju saņēmēju kontingenta prognozes koriģēto maksimāli pieļaujamo valsts budžeta izdevumu aprēķināšanas brīdī, tātad prognozes, saskaņā ar kurām, ir izstrādāts likumprojekts  “</w:t>
      </w:r>
      <w:r w:rsidRPr="0048284B">
        <w:rPr>
          <w:rFonts w:eastAsia="Times New Roman" w:cs="Times New Roman"/>
        </w:rPr>
        <w:t>Par valsts budžetu 202</w:t>
      </w:r>
      <w:r w:rsidR="0048284B">
        <w:rPr>
          <w:rFonts w:eastAsia="Times New Roman" w:cs="Times New Roman"/>
        </w:rPr>
        <w:t>4</w:t>
      </w:r>
      <w:r w:rsidRPr="0048284B">
        <w:rPr>
          <w:rFonts w:eastAsia="Times New Roman" w:cs="Times New Roman"/>
        </w:rPr>
        <w:t>.</w:t>
      </w:r>
      <w:r w:rsidR="003C02EC" w:rsidRPr="0048284B">
        <w:rPr>
          <w:rFonts w:eastAsia="Times New Roman" w:cs="Times New Roman"/>
        </w:rPr>
        <w:t xml:space="preserve"> </w:t>
      </w:r>
      <w:r w:rsidRPr="0048284B">
        <w:rPr>
          <w:rFonts w:eastAsia="Times New Roman" w:cs="Times New Roman"/>
        </w:rPr>
        <w:t>gadam un budžeta ietvaru 202</w:t>
      </w:r>
      <w:r w:rsidR="0048284B">
        <w:rPr>
          <w:rFonts w:eastAsia="Times New Roman" w:cs="Times New Roman"/>
        </w:rPr>
        <w:t>4</w:t>
      </w:r>
      <w:r w:rsidRPr="0048284B">
        <w:rPr>
          <w:rFonts w:eastAsia="Times New Roman" w:cs="Times New Roman"/>
        </w:rPr>
        <w:t>., 202</w:t>
      </w:r>
      <w:r w:rsidR="0048284B">
        <w:rPr>
          <w:rFonts w:eastAsia="Times New Roman" w:cs="Times New Roman"/>
        </w:rPr>
        <w:t>5</w:t>
      </w:r>
      <w:r w:rsidRPr="0048284B">
        <w:rPr>
          <w:rFonts w:eastAsia="Times New Roman" w:cs="Times New Roman"/>
        </w:rPr>
        <w:t>. un 202</w:t>
      </w:r>
      <w:r w:rsidR="0048284B">
        <w:rPr>
          <w:rFonts w:eastAsia="Times New Roman" w:cs="Times New Roman"/>
        </w:rPr>
        <w:t>6</w:t>
      </w:r>
      <w:r w:rsidRPr="0048284B">
        <w:rPr>
          <w:rFonts w:eastAsia="Times New Roman" w:cs="Times New Roman"/>
        </w:rPr>
        <w:t>.</w:t>
      </w:r>
      <w:r w:rsidR="003C02EC" w:rsidRPr="0048284B">
        <w:rPr>
          <w:rFonts w:eastAsia="Times New Roman" w:cs="Times New Roman"/>
        </w:rPr>
        <w:t xml:space="preserve"> </w:t>
      </w:r>
      <w:r w:rsidRPr="0048284B">
        <w:rPr>
          <w:rFonts w:eastAsia="Times New Roman" w:cs="Times New Roman"/>
        </w:rPr>
        <w:t>gadiem</w:t>
      </w:r>
      <w:r w:rsidR="00071293" w:rsidRPr="0048284B">
        <w:rPr>
          <w:rFonts w:eastAsia="Times New Roman" w:cs="Times New Roman"/>
        </w:rPr>
        <w:t>”. Līdz ar to šo paskaidrojumu:</w:t>
      </w:r>
    </w:p>
    <w:p w14:paraId="07DAEDCA" w14:textId="6D7A80EE" w:rsidR="00071293" w:rsidRPr="004C4833" w:rsidRDefault="00193502" w:rsidP="0097121F">
      <w:pPr>
        <w:pStyle w:val="ListParagraph"/>
        <w:widowControl w:val="0"/>
        <w:numPr>
          <w:ilvl w:val="0"/>
          <w:numId w:val="3"/>
        </w:numPr>
        <w:tabs>
          <w:tab w:val="left" w:pos="720"/>
          <w:tab w:val="left" w:pos="851"/>
        </w:tabs>
        <w:spacing w:after="0"/>
        <w:rPr>
          <w:rFonts w:eastAsia="Times New Roman" w:cs="Times New Roman"/>
        </w:rPr>
      </w:pPr>
      <w:r w:rsidRPr="004C4833">
        <w:rPr>
          <w:rFonts w:eastAsia="Times New Roman" w:cs="Times New Roman"/>
        </w:rPr>
        <w:t>4</w:t>
      </w:r>
      <w:r w:rsidR="00973305" w:rsidRPr="004C4833">
        <w:rPr>
          <w:rFonts w:eastAsia="Times New Roman" w:cs="Times New Roman"/>
        </w:rPr>
        <w:t xml:space="preserve"> </w:t>
      </w:r>
      <w:r w:rsidR="00071293" w:rsidRPr="004C4833">
        <w:rPr>
          <w:rFonts w:eastAsia="Times New Roman" w:cs="Times New Roman"/>
        </w:rPr>
        <w:t xml:space="preserve">.pielikumā ir sniegta informācija par no Aizsardzības ministrijas pamatbudžeta programmas “Militārpersonu pensiju fonds” izmaksājamo izdienas pensiju </w:t>
      </w:r>
      <w:r w:rsidR="00071293" w:rsidRPr="004C4833">
        <w:rPr>
          <w:rFonts w:eastAsia="Times New Roman" w:cs="Times New Roman"/>
        </w:rPr>
        <w:lastRenderedPageBreak/>
        <w:t>saņēmēju prognozēm;</w:t>
      </w:r>
    </w:p>
    <w:p w14:paraId="74E11D9F" w14:textId="4196EA18" w:rsidR="00071293" w:rsidRPr="004C4833" w:rsidRDefault="00193502" w:rsidP="0097121F">
      <w:pPr>
        <w:pStyle w:val="ListParagraph"/>
        <w:widowControl w:val="0"/>
        <w:numPr>
          <w:ilvl w:val="0"/>
          <w:numId w:val="3"/>
        </w:numPr>
        <w:tabs>
          <w:tab w:val="left" w:pos="720"/>
          <w:tab w:val="left" w:pos="851"/>
        </w:tabs>
        <w:spacing w:after="0"/>
        <w:rPr>
          <w:rFonts w:eastAsia="Times New Roman" w:cs="Times New Roman"/>
        </w:rPr>
      </w:pPr>
      <w:r w:rsidRPr="004C4833">
        <w:rPr>
          <w:rFonts w:eastAsia="Times New Roman" w:cs="Times New Roman"/>
        </w:rPr>
        <w:t>5</w:t>
      </w:r>
      <w:r w:rsidR="00071293" w:rsidRPr="004C4833">
        <w:rPr>
          <w:rFonts w:eastAsia="Times New Roman" w:cs="Times New Roman"/>
        </w:rPr>
        <w:t>.</w:t>
      </w:r>
      <w:r w:rsidR="00973305" w:rsidRPr="004C4833">
        <w:rPr>
          <w:rFonts w:eastAsia="Times New Roman" w:cs="Times New Roman"/>
        </w:rPr>
        <w:t xml:space="preserve"> </w:t>
      </w:r>
      <w:r w:rsidR="00071293" w:rsidRPr="004C4833">
        <w:rPr>
          <w:rFonts w:eastAsia="Times New Roman" w:cs="Times New Roman"/>
        </w:rPr>
        <w:t xml:space="preserve">pielikumā </w:t>
      </w:r>
      <w:r w:rsidR="00973305" w:rsidRPr="004C4833">
        <w:rPr>
          <w:rFonts w:eastAsia="Times New Roman" w:cs="Times New Roman"/>
        </w:rPr>
        <w:t>ir sniegta informācija par no Labklājības ministrijas</w:t>
      </w:r>
      <w:r w:rsidR="00071293" w:rsidRPr="004C4833">
        <w:rPr>
          <w:rFonts w:eastAsia="Times New Roman" w:cs="Times New Roman"/>
        </w:rPr>
        <w:t xml:space="preserve"> pamatbudžeta izmaksājamo valsts sociālo pabalstu saņēmēju prognozēm; </w:t>
      </w:r>
    </w:p>
    <w:p w14:paraId="7B3A4249" w14:textId="17EEE312" w:rsidR="00071293" w:rsidRPr="004C4833" w:rsidRDefault="00193502" w:rsidP="0097121F">
      <w:pPr>
        <w:pStyle w:val="ListParagraph"/>
        <w:widowControl w:val="0"/>
        <w:numPr>
          <w:ilvl w:val="0"/>
          <w:numId w:val="3"/>
        </w:numPr>
        <w:tabs>
          <w:tab w:val="left" w:pos="720"/>
          <w:tab w:val="left" w:pos="851"/>
        </w:tabs>
        <w:spacing w:after="0"/>
        <w:rPr>
          <w:rFonts w:eastAsia="Times New Roman" w:cs="Times New Roman"/>
        </w:rPr>
      </w:pPr>
      <w:r w:rsidRPr="004C4833">
        <w:rPr>
          <w:rFonts w:eastAsia="Times New Roman" w:cs="Times New Roman"/>
        </w:rPr>
        <w:t>6</w:t>
      </w:r>
      <w:r w:rsidR="00071293" w:rsidRPr="004C4833">
        <w:rPr>
          <w:rFonts w:eastAsia="Times New Roman" w:cs="Times New Roman"/>
        </w:rPr>
        <w:t>.</w:t>
      </w:r>
      <w:r w:rsidR="00973305" w:rsidRPr="004C4833">
        <w:rPr>
          <w:rFonts w:eastAsia="Times New Roman" w:cs="Times New Roman"/>
        </w:rPr>
        <w:t xml:space="preserve"> </w:t>
      </w:r>
      <w:r w:rsidR="00071293" w:rsidRPr="004C4833">
        <w:rPr>
          <w:rFonts w:eastAsia="Times New Roman" w:cs="Times New Roman"/>
        </w:rPr>
        <w:t xml:space="preserve">pielikumā ir sniegta informācija par no </w:t>
      </w:r>
      <w:r w:rsidR="00973305" w:rsidRPr="004C4833">
        <w:rPr>
          <w:rFonts w:eastAsia="Times New Roman" w:cs="Times New Roman"/>
        </w:rPr>
        <w:t>Labklājības ministrijas</w:t>
      </w:r>
      <w:r w:rsidR="00071293" w:rsidRPr="004C4833">
        <w:rPr>
          <w:rFonts w:eastAsia="Times New Roman" w:cs="Times New Roman"/>
        </w:rPr>
        <w:t xml:space="preserve"> pamatbudžeta izmaksājamo izdienas pensiju saņēmēju prognozēm;</w:t>
      </w:r>
    </w:p>
    <w:p w14:paraId="050DEF85" w14:textId="21BDB18D" w:rsidR="00071293" w:rsidRPr="0048284B" w:rsidRDefault="00193502" w:rsidP="009967E7">
      <w:pPr>
        <w:pStyle w:val="ListParagraph"/>
        <w:widowControl w:val="0"/>
        <w:numPr>
          <w:ilvl w:val="0"/>
          <w:numId w:val="3"/>
        </w:numPr>
        <w:tabs>
          <w:tab w:val="left" w:pos="720"/>
          <w:tab w:val="left" w:pos="851"/>
        </w:tabs>
        <w:ind w:hanging="357"/>
        <w:rPr>
          <w:rFonts w:eastAsia="Times New Roman" w:cs="Times New Roman"/>
        </w:rPr>
      </w:pPr>
      <w:r w:rsidRPr="004C4833">
        <w:rPr>
          <w:rFonts w:eastAsia="Times New Roman" w:cs="Times New Roman"/>
        </w:rPr>
        <w:t>7</w:t>
      </w:r>
      <w:r w:rsidR="00071293" w:rsidRPr="004C4833">
        <w:rPr>
          <w:rFonts w:eastAsia="Times New Roman" w:cs="Times New Roman"/>
        </w:rPr>
        <w:t>.</w:t>
      </w:r>
      <w:r w:rsidR="00973305" w:rsidRPr="004C4833">
        <w:rPr>
          <w:rFonts w:eastAsia="Times New Roman" w:cs="Times New Roman"/>
        </w:rPr>
        <w:t xml:space="preserve"> </w:t>
      </w:r>
      <w:r w:rsidR="00071293" w:rsidRPr="004C4833">
        <w:rPr>
          <w:rFonts w:eastAsia="Times New Roman" w:cs="Times New Roman"/>
        </w:rPr>
        <w:t xml:space="preserve">pielikumā ir sniegta informācija par no </w:t>
      </w:r>
      <w:r w:rsidR="00973305" w:rsidRPr="004C4833">
        <w:rPr>
          <w:rFonts w:eastAsia="Times New Roman" w:cs="Times New Roman"/>
        </w:rPr>
        <w:t>Labklājības ministrijas</w:t>
      </w:r>
      <w:r w:rsidR="00071293" w:rsidRPr="004C4833">
        <w:rPr>
          <w:rFonts w:eastAsia="Times New Roman" w:cs="Times New Roman"/>
        </w:rPr>
        <w:t xml:space="preserve"> pamatbudžeta izmaksājamo piemaksu pie vecuma un invaliditātes pensijas saņēmēju prognozēm</w:t>
      </w:r>
      <w:r w:rsidR="009967E7" w:rsidRPr="0048284B">
        <w:rPr>
          <w:rFonts w:eastAsia="Times New Roman" w:cs="Times New Roman"/>
        </w:rPr>
        <w:t>.</w:t>
      </w:r>
    </w:p>
    <w:p w14:paraId="74847BEE" w14:textId="4493A01C" w:rsidR="00775F9E" w:rsidRPr="0048284B" w:rsidRDefault="008364F3" w:rsidP="00C8209A">
      <w:pPr>
        <w:widowControl w:val="0"/>
        <w:rPr>
          <w:rFonts w:eastAsia="Times New Roman" w:cs="Times New Roman"/>
        </w:rPr>
      </w:pPr>
      <w:r w:rsidRPr="0048284B">
        <w:rPr>
          <w:rFonts w:eastAsia="Times New Roman" w:cs="Times New Roman"/>
        </w:rPr>
        <w:t>FDL</w:t>
      </w:r>
      <w:r w:rsidR="00071293" w:rsidRPr="0048284B">
        <w:rPr>
          <w:rFonts w:eastAsia="Times New Roman" w:cs="Times New Roman"/>
        </w:rPr>
        <w:t xml:space="preserve"> 5.</w:t>
      </w:r>
      <w:r w:rsidR="00973305" w:rsidRPr="0048284B">
        <w:rPr>
          <w:rFonts w:eastAsia="Times New Roman" w:cs="Times New Roman"/>
        </w:rPr>
        <w:t xml:space="preserve"> </w:t>
      </w:r>
      <w:r w:rsidR="00071293" w:rsidRPr="0048284B">
        <w:rPr>
          <w:rFonts w:eastAsia="Times New Roman" w:cs="Times New Roman"/>
        </w:rPr>
        <w:t>panta pirmās daļas 2.</w:t>
      </w:r>
      <w:r w:rsidR="00973305" w:rsidRPr="0048284B">
        <w:rPr>
          <w:rFonts w:eastAsia="Times New Roman" w:cs="Times New Roman"/>
        </w:rPr>
        <w:t xml:space="preserve"> </w:t>
      </w:r>
      <w:r w:rsidR="00071293" w:rsidRPr="0048284B">
        <w:rPr>
          <w:rFonts w:eastAsia="Times New Roman" w:cs="Times New Roman"/>
        </w:rPr>
        <w:t>punkts nosaka, ka koriģētos maksimāli pieļaujamos valsts budžeta izdevumus precizē, ja rodas izmaiņas valsts speciālā budžeta izdevumos sakarā ar aktuālākām sociālās apdrošināšanas pakalpojumu saņēmēju kontingenta, kā arī pensiju un pabalstu vidējā apmēra prognozēm. Tādējādi ir nepieciešams fiksēt sociālās apdrošināšanas pakalpojumu saņēmēju kontingenta, kā arī pensiju un pabalstu vidējā apmēra prognozes koriģēto maksimāli pieļaujamo valsts budžeta izdevumu aprēķināšanas brīdī, tātad prognozes, saskaņā ar kurām ir izstrādāts likumprojekts  “</w:t>
      </w:r>
      <w:r w:rsidRPr="0048284B">
        <w:rPr>
          <w:rFonts w:eastAsia="Times New Roman" w:cs="Times New Roman"/>
        </w:rPr>
        <w:t>Par valsts budžetu 202</w:t>
      </w:r>
      <w:r w:rsidR="0048284B">
        <w:rPr>
          <w:rFonts w:eastAsia="Times New Roman" w:cs="Times New Roman"/>
        </w:rPr>
        <w:t>4</w:t>
      </w:r>
      <w:r w:rsidRPr="0048284B">
        <w:rPr>
          <w:rFonts w:eastAsia="Times New Roman" w:cs="Times New Roman"/>
        </w:rPr>
        <w:t>.</w:t>
      </w:r>
      <w:r w:rsidR="003C02EC" w:rsidRPr="0048284B">
        <w:rPr>
          <w:rFonts w:eastAsia="Times New Roman" w:cs="Times New Roman"/>
        </w:rPr>
        <w:t xml:space="preserve"> </w:t>
      </w:r>
      <w:r w:rsidRPr="0048284B">
        <w:rPr>
          <w:rFonts w:eastAsia="Times New Roman" w:cs="Times New Roman"/>
        </w:rPr>
        <w:t>gadam un budžeta ietvaru 202</w:t>
      </w:r>
      <w:r w:rsidR="0048284B">
        <w:rPr>
          <w:rFonts w:eastAsia="Times New Roman" w:cs="Times New Roman"/>
        </w:rPr>
        <w:t>4</w:t>
      </w:r>
      <w:r w:rsidRPr="0048284B">
        <w:rPr>
          <w:rFonts w:eastAsia="Times New Roman" w:cs="Times New Roman"/>
        </w:rPr>
        <w:t>., 202</w:t>
      </w:r>
      <w:r w:rsidR="0048284B">
        <w:rPr>
          <w:rFonts w:eastAsia="Times New Roman" w:cs="Times New Roman"/>
        </w:rPr>
        <w:t>5</w:t>
      </w:r>
      <w:r w:rsidRPr="0048284B">
        <w:rPr>
          <w:rFonts w:eastAsia="Times New Roman" w:cs="Times New Roman"/>
        </w:rPr>
        <w:t>. un 202</w:t>
      </w:r>
      <w:r w:rsidR="0048284B">
        <w:rPr>
          <w:rFonts w:eastAsia="Times New Roman" w:cs="Times New Roman"/>
        </w:rPr>
        <w:t>6</w:t>
      </w:r>
      <w:r w:rsidRPr="0048284B">
        <w:rPr>
          <w:rFonts w:eastAsia="Times New Roman" w:cs="Times New Roman"/>
        </w:rPr>
        <w:t>.</w:t>
      </w:r>
      <w:r w:rsidR="003C02EC" w:rsidRPr="0048284B">
        <w:rPr>
          <w:rFonts w:eastAsia="Times New Roman" w:cs="Times New Roman"/>
        </w:rPr>
        <w:t xml:space="preserve"> </w:t>
      </w:r>
      <w:r w:rsidRPr="0048284B">
        <w:rPr>
          <w:rFonts w:eastAsia="Times New Roman" w:cs="Times New Roman"/>
        </w:rPr>
        <w:t>gad</w:t>
      </w:r>
      <w:r w:rsidR="00451719">
        <w:rPr>
          <w:rFonts w:eastAsia="Times New Roman" w:cs="Times New Roman"/>
        </w:rPr>
        <w:t>a</w:t>
      </w:r>
      <w:r w:rsidRPr="0048284B">
        <w:rPr>
          <w:rFonts w:eastAsia="Times New Roman" w:cs="Times New Roman"/>
        </w:rPr>
        <w:t>m</w:t>
      </w:r>
      <w:r w:rsidR="00071293" w:rsidRPr="0048284B">
        <w:rPr>
          <w:rFonts w:eastAsia="Times New Roman" w:cs="Times New Roman"/>
        </w:rPr>
        <w:t xml:space="preserve">”. Šī informācija ir </w:t>
      </w:r>
      <w:r w:rsidR="00071293" w:rsidRPr="004C4833">
        <w:rPr>
          <w:rFonts w:eastAsia="Times New Roman" w:cs="Times New Roman"/>
        </w:rPr>
        <w:t xml:space="preserve">sniegta </w:t>
      </w:r>
      <w:r w:rsidR="009967E7" w:rsidRPr="004C4833">
        <w:rPr>
          <w:rFonts w:eastAsia="Times New Roman" w:cs="Times New Roman"/>
        </w:rPr>
        <w:t>8</w:t>
      </w:r>
      <w:r w:rsidR="00071293" w:rsidRPr="004C4833">
        <w:rPr>
          <w:rFonts w:eastAsia="Times New Roman" w:cs="Times New Roman"/>
        </w:rPr>
        <w:t>.</w:t>
      </w:r>
      <w:r w:rsidR="00973305" w:rsidRPr="004C4833">
        <w:rPr>
          <w:rFonts w:eastAsia="Times New Roman" w:cs="Times New Roman"/>
        </w:rPr>
        <w:t xml:space="preserve"> pielikumā</w:t>
      </w:r>
      <w:r w:rsidR="00973305" w:rsidRPr="0048284B">
        <w:rPr>
          <w:rFonts w:eastAsia="Times New Roman" w:cs="Times New Roman"/>
        </w:rPr>
        <w:t>.</w:t>
      </w:r>
    </w:p>
    <w:p w14:paraId="7AAC84F8" w14:textId="33CDAD77" w:rsidR="00775F9E" w:rsidRPr="00F900C9" w:rsidRDefault="00775F9E" w:rsidP="006F1373">
      <w:pPr>
        <w:pStyle w:val="H5"/>
      </w:pPr>
      <w:r w:rsidRPr="00F900C9">
        <w:t>Pasākumu finansēšana virs maksimāli pieļaujamiem valsts budžeta izdevumiem</w:t>
      </w:r>
    </w:p>
    <w:p w14:paraId="47762A82" w14:textId="77777777" w:rsidR="00775F9E" w:rsidRPr="009842B3" w:rsidRDefault="00775F9E" w:rsidP="00775F9E">
      <w:pPr>
        <w:widowControl w:val="0"/>
        <w:ind w:firstLine="709"/>
        <w:rPr>
          <w:rFonts w:eastAsia="Times New Roman" w:cs="Times New Roman"/>
        </w:rPr>
      </w:pPr>
      <w:r w:rsidRPr="009842B3">
        <w:rPr>
          <w:rFonts w:eastAsia="Times New Roman" w:cs="Times New Roman"/>
        </w:rPr>
        <w:t>FDL 9. pants nosaka, ka:</w:t>
      </w:r>
    </w:p>
    <w:p w14:paraId="1B49A65B" w14:textId="60C1CD46" w:rsidR="00775F9E" w:rsidRPr="009842B3" w:rsidRDefault="00775F9E" w:rsidP="00775F9E">
      <w:pPr>
        <w:widowControl w:val="0"/>
        <w:ind w:firstLine="709"/>
        <w:rPr>
          <w:rFonts w:eastAsia="Times New Roman" w:cs="Times New Roman"/>
        </w:rPr>
      </w:pPr>
      <w:r w:rsidRPr="009842B3">
        <w:rPr>
          <w:rFonts w:eastAsia="Times New Roman" w:cs="Times New Roman"/>
        </w:rPr>
        <w:t xml:space="preserve">(1) Ja </w:t>
      </w:r>
      <w:r w:rsidR="00801615">
        <w:rPr>
          <w:rFonts w:eastAsia="Times New Roman" w:cs="Times New Roman"/>
        </w:rPr>
        <w:t>MK</w:t>
      </w:r>
      <w:r w:rsidRPr="009842B3">
        <w:rPr>
          <w:rFonts w:eastAsia="Times New Roman" w:cs="Times New Roman"/>
        </w:rPr>
        <w:t xml:space="preserve"> iesniedz Saeimā izskatīšanai likumprojektu, kas izraisa ietvara likumā noteikto koriģēto maksimāli pieļaujamo valsts budžeta izdevumu pārsniegumu, kurš nav saistīts ar FDL 5.</w:t>
      </w:r>
      <w:r w:rsidR="0047535A">
        <w:rPr>
          <w:rFonts w:eastAsia="Times New Roman" w:cs="Times New Roman"/>
        </w:rPr>
        <w:t xml:space="preserve"> </w:t>
      </w:r>
      <w:r w:rsidRPr="009842B3">
        <w:rPr>
          <w:rFonts w:eastAsia="Times New Roman" w:cs="Times New Roman"/>
        </w:rPr>
        <w:t xml:space="preserve">panta pirmajā daļā minētajiem gadījumiem, vai kas izraisa ietvara likumā plānoto valsts budžeta ieņēmumu samazinājumu, </w:t>
      </w:r>
      <w:r w:rsidR="00801615">
        <w:rPr>
          <w:rFonts w:eastAsia="Times New Roman" w:cs="Times New Roman"/>
        </w:rPr>
        <w:t>MK</w:t>
      </w:r>
      <w:r w:rsidRPr="009842B3">
        <w:rPr>
          <w:rFonts w:eastAsia="Times New Roman" w:cs="Times New Roman"/>
        </w:rPr>
        <w:t xml:space="preserve"> vienlaikus iesniedz Saeimai arī likumprojektu vai likumprojektus, kas paredz izdevumu pieauguma vai ieņēmumu samazinājuma kompensēšanu. Kompensēšana notiek, palielinot ieņēmumus vai samazinot izdevumus.</w:t>
      </w:r>
    </w:p>
    <w:p w14:paraId="01EF17EC" w14:textId="51DC5A25" w:rsidR="00775F9E" w:rsidRPr="009842B3" w:rsidRDefault="00775F9E" w:rsidP="00775F9E">
      <w:pPr>
        <w:widowControl w:val="0"/>
        <w:ind w:firstLine="709"/>
        <w:rPr>
          <w:rFonts w:eastAsia="Times New Roman" w:cs="Times New Roman"/>
        </w:rPr>
      </w:pPr>
      <w:r w:rsidRPr="009842B3">
        <w:rPr>
          <w:rFonts w:eastAsia="Times New Roman" w:cs="Times New Roman"/>
        </w:rPr>
        <w:t xml:space="preserve">(2) Ja </w:t>
      </w:r>
      <w:r w:rsidR="00801615">
        <w:rPr>
          <w:rFonts w:eastAsia="Times New Roman" w:cs="Times New Roman"/>
        </w:rPr>
        <w:t>MK</w:t>
      </w:r>
      <w:r w:rsidRPr="009842B3">
        <w:rPr>
          <w:rFonts w:eastAsia="Times New Roman" w:cs="Times New Roman"/>
        </w:rPr>
        <w:t xml:space="preserve"> pieņem normatīvo aktu, kas izraisa ietvara likumā noteikto koriģēto maksimāli pieļaujamo valsts budžeta izdevumu griestu pārsniegumu, kurš nav saistīts ar šā likuma 5.panta pirmajā daļā minētajiem gadījumiem, vai kas izraisa ietvara likumā plānoto valsts budžeta ieņēmumu samazinājumu, </w:t>
      </w:r>
      <w:r w:rsidR="00801615">
        <w:rPr>
          <w:rFonts w:eastAsia="Times New Roman" w:cs="Times New Roman"/>
        </w:rPr>
        <w:t>MK</w:t>
      </w:r>
      <w:r w:rsidRPr="009842B3">
        <w:rPr>
          <w:rFonts w:eastAsia="Times New Roman" w:cs="Times New Roman"/>
        </w:rPr>
        <w:t xml:space="preserve"> nodrošina, ka vienlaikus stājas spēkā arī tāds normatīvais akts vai tādi normatīvie akti, kas kompensē izdevumu pieaugumu vai ieņēmumu samazinājumu. Kompensēšana notiek, palielinot ieņēmumus vai samazinot izdevumus.</w:t>
      </w:r>
    </w:p>
    <w:p w14:paraId="745C4488" w14:textId="4CE3F333" w:rsidR="00F413E3" w:rsidRDefault="00775F9E" w:rsidP="00F413E3">
      <w:pPr>
        <w:widowControl w:val="0"/>
        <w:ind w:firstLine="709"/>
        <w:rPr>
          <w:rFonts w:eastAsia="Times New Roman" w:cs="Times New Roman"/>
        </w:rPr>
      </w:pPr>
      <w:r w:rsidRPr="009842B3">
        <w:rPr>
          <w:rFonts w:eastAsia="Times New Roman" w:cs="Times New Roman"/>
        </w:rPr>
        <w:t xml:space="preserve">Tā, kā fiskālās politikas stratēģija </w:t>
      </w:r>
      <w:r w:rsidR="009842B3" w:rsidRPr="009842B3">
        <w:rPr>
          <w:rFonts w:eastAsia="Times New Roman" w:cs="Times New Roman"/>
        </w:rPr>
        <w:t xml:space="preserve">definē vienreizējos pasākumus un nosacījumu, ka attiecīgo pasākumu izdevumus </w:t>
      </w:r>
      <w:r w:rsidRPr="009842B3">
        <w:rPr>
          <w:rFonts w:eastAsia="Times New Roman" w:cs="Times New Roman"/>
        </w:rPr>
        <w:t>budžeta izpildes gaitā var palielināt, palielinot attiecīgo apropriāciju, ja</w:t>
      </w:r>
      <w:r w:rsidRPr="009842B3">
        <w:t xml:space="preserve"> </w:t>
      </w:r>
      <w:r w:rsidRPr="009842B3">
        <w:rPr>
          <w:rFonts w:eastAsia="Times New Roman" w:cs="Times New Roman"/>
        </w:rPr>
        <w:t xml:space="preserve">ir pieņemts attiecīgs </w:t>
      </w:r>
      <w:r w:rsidR="00801615">
        <w:rPr>
          <w:rFonts w:eastAsia="Times New Roman" w:cs="Times New Roman"/>
        </w:rPr>
        <w:t>MK</w:t>
      </w:r>
      <w:r w:rsidRPr="009842B3">
        <w:rPr>
          <w:rFonts w:eastAsia="Times New Roman" w:cs="Times New Roman"/>
        </w:rPr>
        <w:t xml:space="preserve"> lēmums un Saeimas Budžeta un finanšu (nodokļu) komisija piecu darba dienu laikā no attiecīgās informācijas saņemšanas dienas ir to izskatījusi un nav iebildusi pret apropriācijas palielinājumu, rodas pretruna starp šo normu un FDL 9. pantu. Lai novērstu minēto pretrunu </w:t>
      </w:r>
      <w:r w:rsidR="004A0F03" w:rsidRPr="009842B3">
        <w:rPr>
          <w:rFonts w:eastAsia="Times New Roman" w:cs="Times New Roman"/>
        </w:rPr>
        <w:t xml:space="preserve">šā likuma </w:t>
      </w:r>
      <w:r w:rsidR="009E57DD" w:rsidRPr="00F33707">
        <w:rPr>
          <w:rFonts w:eastAsia="Times New Roman" w:cs="Times New Roman"/>
        </w:rPr>
        <w:t>1</w:t>
      </w:r>
      <w:r w:rsidR="00F33707">
        <w:rPr>
          <w:rFonts w:eastAsia="Times New Roman" w:cs="Times New Roman"/>
        </w:rPr>
        <w:t>4</w:t>
      </w:r>
      <w:r w:rsidR="004A0F03" w:rsidRPr="00F33707">
        <w:rPr>
          <w:rFonts w:eastAsia="Times New Roman" w:cs="Times New Roman"/>
        </w:rPr>
        <w:t>. pantā</w:t>
      </w:r>
      <w:r w:rsidRPr="009842B3">
        <w:rPr>
          <w:rFonts w:eastAsia="Times New Roman" w:cs="Times New Roman"/>
        </w:rPr>
        <w:t xml:space="preserve"> tiek noteikts, ka </w:t>
      </w:r>
      <w:r w:rsidR="00B06408">
        <w:rPr>
          <w:rFonts w:eastAsia="Times New Roman" w:cs="Times New Roman"/>
        </w:rPr>
        <w:t>koriģētie maksimāli pieļaujamie izdevumi tiek precizēti atbilstoši izmaiņām vienreizējo izdevumu apjomā. Tas nozīmē, ka, ja ir nepieciešams palielināt apropriāciju vienreizējiem pasākumiem, tādā pašā apmērā tiek palielināti koriģētie maksimāli pieļaujamie valsts budžeta izdevumi. Analogi – ja vienreizējiem pasākumiem plānotie izdevumi tiek samazināti, attiecīgi tiek samazināt</w:t>
      </w:r>
      <w:r w:rsidR="00297746">
        <w:rPr>
          <w:rFonts w:eastAsia="Times New Roman" w:cs="Times New Roman"/>
        </w:rPr>
        <w:t>i</w:t>
      </w:r>
      <w:r w:rsidR="00B06408">
        <w:rPr>
          <w:rFonts w:eastAsia="Times New Roman" w:cs="Times New Roman"/>
        </w:rPr>
        <w:t xml:space="preserve"> koriģētie maksimāli pieļaujamie valsts budžeta izdevumi</w:t>
      </w:r>
      <w:r w:rsidRPr="009842B3">
        <w:rPr>
          <w:rFonts w:eastAsia="Times New Roman" w:cs="Times New Roman"/>
        </w:rPr>
        <w:t>. Līdz ar to šī norma</w:t>
      </w:r>
      <w:r w:rsidR="00A479DE" w:rsidRPr="009842B3">
        <w:rPr>
          <w:rFonts w:eastAsia="Times New Roman" w:cs="Times New Roman"/>
        </w:rPr>
        <w:t>,</w:t>
      </w:r>
      <w:r w:rsidRPr="009842B3">
        <w:rPr>
          <w:rFonts w:eastAsia="Times New Roman" w:cs="Times New Roman"/>
        </w:rPr>
        <w:t xml:space="preserve"> kā jaunāka</w:t>
      </w:r>
      <w:r w:rsidR="00A479DE" w:rsidRPr="009842B3">
        <w:rPr>
          <w:rFonts w:eastAsia="Times New Roman" w:cs="Times New Roman"/>
        </w:rPr>
        <w:t>,</w:t>
      </w:r>
      <w:r w:rsidRPr="009842B3">
        <w:rPr>
          <w:rFonts w:eastAsia="Times New Roman" w:cs="Times New Roman"/>
        </w:rPr>
        <w:t xml:space="preserve"> atceļ FDL 9. panta nosacījumus attiecībā uz </w:t>
      </w:r>
      <w:r w:rsidR="009842B3">
        <w:rPr>
          <w:rFonts w:eastAsia="Times New Roman" w:cs="Times New Roman"/>
        </w:rPr>
        <w:t>ar vienreizējiem pasākumiem saistīto</w:t>
      </w:r>
      <w:r w:rsidRPr="009842B3">
        <w:rPr>
          <w:rFonts w:eastAsia="Times New Roman" w:cs="Times New Roman"/>
        </w:rPr>
        <w:t xml:space="preserve"> izdevumu pieaugumu.</w:t>
      </w:r>
      <w:bookmarkStart w:id="58" w:name="_Toc126236646"/>
    </w:p>
    <w:p w14:paraId="1AD3DD78" w14:textId="2BAA647C" w:rsidR="00893F60" w:rsidRPr="00F413E3" w:rsidRDefault="00F413E3" w:rsidP="00F413E3">
      <w:pPr>
        <w:spacing w:after="0"/>
        <w:ind w:firstLine="0"/>
        <w:jc w:val="left"/>
        <w:rPr>
          <w:rFonts w:eastAsia="Times New Roman" w:cs="Times New Roman"/>
        </w:rPr>
      </w:pPr>
      <w:r>
        <w:rPr>
          <w:rFonts w:eastAsia="Times New Roman" w:cs="Times New Roman"/>
        </w:rPr>
        <w:br w:type="page"/>
      </w:r>
    </w:p>
    <w:p w14:paraId="7D4BBEFC" w14:textId="6E52AA4D" w:rsidR="000D4D00" w:rsidRPr="005B7C54" w:rsidRDefault="00D57DD6" w:rsidP="00DB14A4">
      <w:pPr>
        <w:pStyle w:val="H3"/>
      </w:pPr>
      <w:r w:rsidRPr="005B7C54">
        <w:lastRenderedPageBreak/>
        <w:t>2.1.3</w:t>
      </w:r>
      <w:r w:rsidR="00E8646E" w:rsidRPr="005B7C54">
        <w:t xml:space="preserve">. </w:t>
      </w:r>
      <w:r w:rsidR="00973305" w:rsidRPr="005B7C54">
        <w:t>Uzkrāto bilanču starpības</w:t>
      </w:r>
      <w:bookmarkEnd w:id="58"/>
    </w:p>
    <w:p w14:paraId="18B4A67F" w14:textId="3E22569D" w:rsidR="0048510B" w:rsidRPr="00B82877" w:rsidRDefault="008364F3" w:rsidP="00B82877">
      <w:pPr>
        <w:widowControl w:val="0"/>
        <w:rPr>
          <w:rFonts w:eastAsia="Times New Roman" w:cs="Times New Roman"/>
          <w:color w:val="000000"/>
          <w:szCs w:val="20"/>
        </w:rPr>
      </w:pPr>
      <w:r w:rsidRPr="00DD4247">
        <w:rPr>
          <w:rFonts w:eastAsia="Times New Roman" w:cs="Times New Roman"/>
          <w:color w:val="000000"/>
          <w:szCs w:val="20"/>
        </w:rPr>
        <w:t>FDL</w:t>
      </w:r>
      <w:r w:rsidR="000D4D00" w:rsidRPr="00DD4247">
        <w:rPr>
          <w:rFonts w:eastAsia="Times New Roman" w:cs="Times New Roman"/>
          <w:color w:val="000000"/>
          <w:szCs w:val="20"/>
        </w:rPr>
        <w:t xml:space="preserve"> 11.</w:t>
      </w:r>
      <w:r w:rsidR="00F5298F" w:rsidRPr="00DD4247">
        <w:rPr>
          <w:rFonts w:eastAsia="Times New Roman" w:cs="Times New Roman"/>
          <w:color w:val="000000"/>
          <w:szCs w:val="20"/>
        </w:rPr>
        <w:t xml:space="preserve"> </w:t>
      </w:r>
      <w:r w:rsidR="000D4D00" w:rsidRPr="00DD4247">
        <w:rPr>
          <w:rFonts w:eastAsia="Times New Roman" w:cs="Times New Roman"/>
          <w:color w:val="000000"/>
          <w:szCs w:val="20"/>
        </w:rPr>
        <w:t xml:space="preserve">pants nosaka automātisko </w:t>
      </w:r>
      <w:proofErr w:type="spellStart"/>
      <w:r w:rsidR="000D4D00" w:rsidRPr="00DD4247">
        <w:rPr>
          <w:rFonts w:eastAsia="Times New Roman" w:cs="Times New Roman"/>
          <w:i/>
          <w:color w:val="000000"/>
          <w:szCs w:val="20"/>
        </w:rPr>
        <w:t>ex</w:t>
      </w:r>
      <w:proofErr w:type="spellEnd"/>
      <w:r w:rsidR="000D4D00" w:rsidRPr="00DD4247">
        <w:rPr>
          <w:rFonts w:eastAsia="Times New Roman" w:cs="Times New Roman"/>
          <w:i/>
          <w:color w:val="000000"/>
          <w:szCs w:val="20"/>
        </w:rPr>
        <w:t>-post</w:t>
      </w:r>
      <w:r w:rsidR="000D4D00" w:rsidRPr="00DD4247">
        <w:rPr>
          <w:rFonts w:eastAsia="Times New Roman" w:cs="Times New Roman"/>
          <w:color w:val="000000"/>
          <w:szCs w:val="20"/>
        </w:rPr>
        <w:t xml:space="preserve"> korekcijas mehānismu, t.i. minimālās plānojamās vispārējās valdības budžeta strukturālās bilances koriģēšanu, lai nodrošinātu to, ka iepriekšējo gadu faktiskās novirzes no bilances nosacījuma (</w:t>
      </w:r>
      <w:r w:rsidRPr="00DD4247">
        <w:rPr>
          <w:rFonts w:eastAsia="Times New Roman" w:cs="Times New Roman"/>
          <w:color w:val="000000"/>
          <w:szCs w:val="20"/>
        </w:rPr>
        <w:t>FDL</w:t>
      </w:r>
      <w:r w:rsidR="00F5298F" w:rsidRPr="00DD4247">
        <w:rPr>
          <w:rFonts w:eastAsia="Times New Roman" w:cs="Times New Roman"/>
          <w:color w:val="000000"/>
          <w:szCs w:val="20"/>
        </w:rPr>
        <w:t xml:space="preserve"> 10. p</w:t>
      </w:r>
      <w:r w:rsidR="000D4D00" w:rsidRPr="00DD4247">
        <w:rPr>
          <w:rFonts w:eastAsia="Times New Roman" w:cs="Times New Roman"/>
          <w:color w:val="000000"/>
          <w:szCs w:val="20"/>
        </w:rPr>
        <w:t>ants) neietekmē budžeta sabalansētību. Ja budžeta izpildes gaitā tiek konstatēts, ka uzkrātā faktisko strukturālo bilanču novirze no plānoto bilanču apmēra ir paslikt</w:t>
      </w:r>
      <w:r w:rsidR="00F5298F" w:rsidRPr="00DD4247">
        <w:rPr>
          <w:rFonts w:eastAsia="Times New Roman" w:cs="Times New Roman"/>
          <w:color w:val="000000"/>
          <w:szCs w:val="20"/>
        </w:rPr>
        <w:t xml:space="preserve">inājusies par vismaz 0,5% no </w:t>
      </w:r>
      <w:r w:rsidR="005B7C54">
        <w:rPr>
          <w:rFonts w:eastAsia="Times New Roman" w:cs="Times New Roman"/>
          <w:color w:val="000000"/>
          <w:szCs w:val="20"/>
        </w:rPr>
        <w:t>IKP</w:t>
      </w:r>
      <w:r w:rsidR="00F5298F" w:rsidRPr="00DD4247">
        <w:rPr>
          <w:rFonts w:eastAsia="Times New Roman" w:cs="Times New Roman"/>
          <w:color w:val="000000"/>
          <w:szCs w:val="20"/>
        </w:rPr>
        <w:t xml:space="preserve">, nākamā vidēja termiņa budžeta likuma </w:t>
      </w:r>
      <w:r w:rsidR="000D4D00" w:rsidRPr="00DD4247">
        <w:rPr>
          <w:rFonts w:eastAsia="Times New Roman" w:cs="Times New Roman"/>
          <w:color w:val="000000"/>
          <w:szCs w:val="20"/>
        </w:rPr>
        <w:t>trešajā gadā vispārējās valdības budžeta strukturālās bilanc</w:t>
      </w:r>
      <w:r w:rsidR="00F5298F" w:rsidRPr="00DD4247">
        <w:rPr>
          <w:rFonts w:eastAsia="Times New Roman" w:cs="Times New Roman"/>
          <w:color w:val="000000"/>
          <w:szCs w:val="20"/>
        </w:rPr>
        <w:t xml:space="preserve">es mērķi nosaka par 0,5% no </w:t>
      </w:r>
      <w:r w:rsidR="00BB74C0" w:rsidRPr="00DD4247">
        <w:rPr>
          <w:rFonts w:eastAsia="Times New Roman" w:cs="Times New Roman"/>
          <w:color w:val="000000"/>
          <w:szCs w:val="20"/>
        </w:rPr>
        <w:t>IKP</w:t>
      </w:r>
      <w:r w:rsidR="00F5298F" w:rsidRPr="00DD4247">
        <w:rPr>
          <w:rFonts w:eastAsia="Times New Roman" w:cs="Times New Roman"/>
          <w:color w:val="000000"/>
          <w:szCs w:val="20"/>
        </w:rPr>
        <w:t xml:space="preserve"> </w:t>
      </w:r>
      <w:r w:rsidR="000D4D00" w:rsidRPr="00DD4247">
        <w:rPr>
          <w:rFonts w:eastAsia="Times New Roman" w:cs="Times New Roman"/>
          <w:color w:val="000000"/>
          <w:szCs w:val="20"/>
        </w:rPr>
        <w:t>lielāku. Lai novērtētu uzkrāto bilanču starpību, tika v</w:t>
      </w:r>
      <w:r w:rsidR="00EE5424" w:rsidRPr="00DD4247">
        <w:rPr>
          <w:rFonts w:eastAsia="Times New Roman" w:cs="Times New Roman"/>
          <w:color w:val="000000"/>
          <w:szCs w:val="20"/>
        </w:rPr>
        <w:t>eikti aprēķini, kas attēloti 2.</w:t>
      </w:r>
      <w:r w:rsidR="00B10962">
        <w:rPr>
          <w:rFonts w:eastAsia="Times New Roman" w:cs="Times New Roman"/>
          <w:color w:val="000000"/>
          <w:szCs w:val="20"/>
        </w:rPr>
        <w:t>6</w:t>
      </w:r>
      <w:r w:rsidR="000D4D00" w:rsidRPr="00DD4247">
        <w:rPr>
          <w:rFonts w:eastAsia="Times New Roman" w:cs="Times New Roman"/>
          <w:color w:val="000000"/>
          <w:szCs w:val="20"/>
        </w:rPr>
        <w:t>.</w:t>
      </w:r>
      <w:r w:rsidR="00F5298F" w:rsidRPr="00DD4247">
        <w:rPr>
          <w:rFonts w:eastAsia="Times New Roman" w:cs="Times New Roman"/>
          <w:color w:val="000000"/>
          <w:szCs w:val="20"/>
        </w:rPr>
        <w:t xml:space="preserve"> </w:t>
      </w:r>
      <w:r w:rsidR="000D4D00" w:rsidRPr="00DD4247">
        <w:rPr>
          <w:rFonts w:eastAsia="Times New Roman" w:cs="Times New Roman"/>
          <w:color w:val="000000"/>
          <w:szCs w:val="20"/>
        </w:rPr>
        <w:t>tabulā.</w:t>
      </w:r>
    </w:p>
    <w:p w14:paraId="0F427954" w14:textId="7908C78D" w:rsidR="000D4D00" w:rsidRPr="003E06DC" w:rsidRDefault="00EE5424" w:rsidP="000D4D00">
      <w:pPr>
        <w:widowControl w:val="0"/>
        <w:jc w:val="right"/>
        <w:rPr>
          <w:rFonts w:eastAsia="Times New Roman" w:cs="Times New Roman"/>
          <w:b/>
          <w:i/>
          <w:color w:val="000000"/>
          <w:szCs w:val="20"/>
        </w:rPr>
      </w:pPr>
      <w:r w:rsidRPr="003E06DC">
        <w:rPr>
          <w:rFonts w:eastAsia="Times New Roman" w:cs="Times New Roman"/>
          <w:b/>
          <w:i/>
          <w:color w:val="000000"/>
          <w:szCs w:val="20"/>
        </w:rPr>
        <w:t>2.</w:t>
      </w:r>
      <w:r w:rsidR="003E06DC" w:rsidRPr="003E06DC">
        <w:rPr>
          <w:rFonts w:eastAsia="Times New Roman" w:cs="Times New Roman"/>
          <w:b/>
          <w:i/>
          <w:color w:val="000000"/>
          <w:szCs w:val="20"/>
        </w:rPr>
        <w:t>6</w:t>
      </w:r>
      <w:r w:rsidR="000D4D00" w:rsidRPr="003E06DC">
        <w:rPr>
          <w:rFonts w:eastAsia="Times New Roman" w:cs="Times New Roman"/>
          <w:b/>
          <w:i/>
          <w:color w:val="000000"/>
          <w:szCs w:val="20"/>
        </w:rPr>
        <w:t>.</w:t>
      </w:r>
      <w:r w:rsidR="004614E3" w:rsidRPr="003E06DC">
        <w:rPr>
          <w:rFonts w:eastAsia="Times New Roman" w:cs="Times New Roman"/>
          <w:b/>
          <w:i/>
          <w:color w:val="000000"/>
          <w:szCs w:val="20"/>
        </w:rPr>
        <w:t xml:space="preserve"> </w:t>
      </w:r>
      <w:r w:rsidR="000D4D00" w:rsidRPr="003E06DC">
        <w:rPr>
          <w:rFonts w:eastAsia="Times New Roman" w:cs="Times New Roman"/>
          <w:b/>
          <w:i/>
          <w:color w:val="000000"/>
          <w:szCs w:val="20"/>
        </w:rPr>
        <w:t>tabula. Uzkrāto bilanču starpības aprēķins</w:t>
      </w:r>
    </w:p>
    <w:tbl>
      <w:tblPr>
        <w:tblStyle w:val="TableGrid1"/>
        <w:tblW w:w="9734" w:type="dxa"/>
        <w:tblInd w:w="-289" w:type="dxa"/>
        <w:tblLayout w:type="fixed"/>
        <w:tblLook w:val="04A0" w:firstRow="1" w:lastRow="0" w:firstColumn="1" w:lastColumn="0" w:noHBand="0" w:noVBand="1"/>
      </w:tblPr>
      <w:tblGrid>
        <w:gridCol w:w="672"/>
        <w:gridCol w:w="1700"/>
        <w:gridCol w:w="725"/>
        <w:gridCol w:w="725"/>
        <w:gridCol w:w="725"/>
        <w:gridCol w:w="725"/>
        <w:gridCol w:w="725"/>
        <w:gridCol w:w="725"/>
        <w:gridCol w:w="725"/>
        <w:gridCol w:w="725"/>
        <w:gridCol w:w="725"/>
        <w:gridCol w:w="837"/>
      </w:tblGrid>
      <w:tr w:rsidR="00DD4247" w:rsidRPr="001262AC" w14:paraId="356A421B" w14:textId="77777777" w:rsidTr="0010263E">
        <w:trPr>
          <w:trHeight w:val="285"/>
        </w:trPr>
        <w:tc>
          <w:tcPr>
            <w:tcW w:w="672" w:type="dxa"/>
            <w:tcBorders>
              <w:right w:val="nil"/>
            </w:tcBorders>
            <w:shd w:val="clear" w:color="auto" w:fill="BDD6EE" w:themeFill="accent1" w:themeFillTint="66"/>
            <w:hideMark/>
          </w:tcPr>
          <w:p w14:paraId="015F9BB6" w14:textId="77777777" w:rsidR="00DD4247" w:rsidRPr="00AA4CC2" w:rsidRDefault="00DD4247" w:rsidP="0010263E">
            <w:pPr>
              <w:spacing w:after="0"/>
              <w:ind w:firstLine="0"/>
              <w:jc w:val="left"/>
              <w:rPr>
                <w:rFonts w:eastAsia="Times New Roman"/>
                <w:color w:val="000000"/>
                <w:sz w:val="16"/>
                <w:szCs w:val="16"/>
              </w:rPr>
            </w:pPr>
          </w:p>
        </w:tc>
        <w:tc>
          <w:tcPr>
            <w:tcW w:w="1700" w:type="dxa"/>
            <w:tcBorders>
              <w:left w:val="nil"/>
            </w:tcBorders>
            <w:shd w:val="clear" w:color="auto" w:fill="BDD6EE" w:themeFill="accent1" w:themeFillTint="66"/>
            <w:hideMark/>
          </w:tcPr>
          <w:p w14:paraId="4BE535B6" w14:textId="77777777" w:rsidR="00DD4247" w:rsidRPr="00AA4CC2" w:rsidRDefault="00DD4247" w:rsidP="0010263E">
            <w:pPr>
              <w:spacing w:after="0"/>
              <w:ind w:firstLine="0"/>
              <w:jc w:val="left"/>
              <w:rPr>
                <w:rFonts w:eastAsia="Times New Roman"/>
                <w:color w:val="000000"/>
                <w:sz w:val="18"/>
                <w:szCs w:val="18"/>
              </w:rPr>
            </w:pPr>
          </w:p>
        </w:tc>
        <w:tc>
          <w:tcPr>
            <w:tcW w:w="725" w:type="dxa"/>
            <w:shd w:val="clear" w:color="auto" w:fill="BDD6EE" w:themeFill="accent1" w:themeFillTint="66"/>
            <w:vAlign w:val="center"/>
            <w:hideMark/>
          </w:tcPr>
          <w:p w14:paraId="334A617C"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2013</w:t>
            </w:r>
          </w:p>
        </w:tc>
        <w:tc>
          <w:tcPr>
            <w:tcW w:w="725" w:type="dxa"/>
            <w:shd w:val="clear" w:color="auto" w:fill="BDD6EE" w:themeFill="accent1" w:themeFillTint="66"/>
            <w:vAlign w:val="center"/>
            <w:hideMark/>
          </w:tcPr>
          <w:p w14:paraId="478A933C"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2014</w:t>
            </w:r>
          </w:p>
        </w:tc>
        <w:tc>
          <w:tcPr>
            <w:tcW w:w="725" w:type="dxa"/>
            <w:shd w:val="clear" w:color="auto" w:fill="BDD6EE" w:themeFill="accent1" w:themeFillTint="66"/>
            <w:vAlign w:val="center"/>
            <w:hideMark/>
          </w:tcPr>
          <w:p w14:paraId="2A3F3FB0"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2015</w:t>
            </w:r>
          </w:p>
        </w:tc>
        <w:tc>
          <w:tcPr>
            <w:tcW w:w="725" w:type="dxa"/>
            <w:shd w:val="clear" w:color="auto" w:fill="BDD6EE" w:themeFill="accent1" w:themeFillTint="66"/>
            <w:vAlign w:val="center"/>
            <w:hideMark/>
          </w:tcPr>
          <w:p w14:paraId="577B0313"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2016</w:t>
            </w:r>
          </w:p>
        </w:tc>
        <w:tc>
          <w:tcPr>
            <w:tcW w:w="725" w:type="dxa"/>
            <w:shd w:val="clear" w:color="auto" w:fill="BDD6EE" w:themeFill="accent1" w:themeFillTint="66"/>
            <w:vAlign w:val="center"/>
            <w:hideMark/>
          </w:tcPr>
          <w:p w14:paraId="2531DC53"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2017</w:t>
            </w:r>
          </w:p>
        </w:tc>
        <w:tc>
          <w:tcPr>
            <w:tcW w:w="725" w:type="dxa"/>
            <w:shd w:val="clear" w:color="auto" w:fill="BDD6EE" w:themeFill="accent1" w:themeFillTint="66"/>
            <w:vAlign w:val="center"/>
            <w:hideMark/>
          </w:tcPr>
          <w:p w14:paraId="04DE2FA0"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2018</w:t>
            </w:r>
          </w:p>
        </w:tc>
        <w:tc>
          <w:tcPr>
            <w:tcW w:w="725" w:type="dxa"/>
            <w:shd w:val="clear" w:color="auto" w:fill="BDD6EE" w:themeFill="accent1" w:themeFillTint="66"/>
            <w:vAlign w:val="center"/>
            <w:hideMark/>
          </w:tcPr>
          <w:p w14:paraId="5AD5CDF0"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2019</w:t>
            </w:r>
          </w:p>
        </w:tc>
        <w:tc>
          <w:tcPr>
            <w:tcW w:w="725" w:type="dxa"/>
            <w:shd w:val="clear" w:color="auto" w:fill="BDD6EE" w:themeFill="accent1" w:themeFillTint="66"/>
            <w:vAlign w:val="center"/>
            <w:hideMark/>
          </w:tcPr>
          <w:p w14:paraId="574A4E99"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2020</w:t>
            </w:r>
          </w:p>
        </w:tc>
        <w:tc>
          <w:tcPr>
            <w:tcW w:w="725" w:type="dxa"/>
            <w:shd w:val="clear" w:color="auto" w:fill="BDD6EE" w:themeFill="accent1" w:themeFillTint="66"/>
            <w:vAlign w:val="center"/>
          </w:tcPr>
          <w:p w14:paraId="58B61853"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2021</w:t>
            </w:r>
          </w:p>
        </w:tc>
        <w:tc>
          <w:tcPr>
            <w:tcW w:w="837" w:type="dxa"/>
            <w:shd w:val="clear" w:color="auto" w:fill="BDD6EE" w:themeFill="accent1" w:themeFillTint="66"/>
            <w:vAlign w:val="center"/>
          </w:tcPr>
          <w:p w14:paraId="5CD012B3" w14:textId="77777777" w:rsidR="00DD4247" w:rsidRPr="001262AC" w:rsidRDefault="00DD4247" w:rsidP="0010263E">
            <w:pPr>
              <w:spacing w:after="0"/>
              <w:ind w:firstLine="0"/>
              <w:jc w:val="center"/>
              <w:rPr>
                <w:rFonts w:eastAsia="Times New Roman"/>
                <w:b/>
                <w:bCs/>
                <w:color w:val="000000"/>
                <w:sz w:val="18"/>
                <w:szCs w:val="18"/>
              </w:rPr>
            </w:pPr>
            <w:r w:rsidRPr="001262AC">
              <w:rPr>
                <w:rFonts w:eastAsia="Times New Roman"/>
                <w:b/>
                <w:bCs/>
                <w:color w:val="000000"/>
                <w:sz w:val="18"/>
                <w:szCs w:val="18"/>
              </w:rPr>
              <w:t>2022</w:t>
            </w:r>
          </w:p>
        </w:tc>
      </w:tr>
      <w:tr w:rsidR="003E06DC" w:rsidRPr="001262AC" w14:paraId="5690B303" w14:textId="77777777" w:rsidTr="00DD4247">
        <w:trPr>
          <w:trHeight w:val="241"/>
        </w:trPr>
        <w:tc>
          <w:tcPr>
            <w:tcW w:w="672" w:type="dxa"/>
            <w:shd w:val="clear" w:color="auto" w:fill="DEEAF6" w:themeFill="accent1" w:themeFillTint="33"/>
            <w:vAlign w:val="center"/>
            <w:hideMark/>
          </w:tcPr>
          <w:p w14:paraId="4876E0EC"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1</w:t>
            </w:r>
            <w:r>
              <w:rPr>
                <w:rFonts w:eastAsia="Times New Roman"/>
                <w:color w:val="000000"/>
                <w:sz w:val="16"/>
                <w:szCs w:val="16"/>
              </w:rPr>
              <w:t>.</w:t>
            </w:r>
          </w:p>
        </w:tc>
        <w:tc>
          <w:tcPr>
            <w:tcW w:w="1700" w:type="dxa"/>
            <w:shd w:val="clear" w:color="auto" w:fill="DEEAF6" w:themeFill="accent1" w:themeFillTint="33"/>
            <w:hideMark/>
          </w:tcPr>
          <w:p w14:paraId="139F92C8" w14:textId="77777777"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 xml:space="preserve">IKP (faktiskajās cenās), milj. </w:t>
            </w:r>
            <w:r w:rsidRPr="00D515BE">
              <w:rPr>
                <w:rFonts w:eastAsia="Times New Roman"/>
                <w:i/>
                <w:iCs/>
                <w:noProof/>
                <w:color w:val="000000"/>
                <w:sz w:val="18"/>
                <w:szCs w:val="18"/>
              </w:rPr>
              <w:t>euro</w:t>
            </w:r>
          </w:p>
        </w:tc>
        <w:tc>
          <w:tcPr>
            <w:tcW w:w="725" w:type="dxa"/>
            <w:shd w:val="clear" w:color="auto" w:fill="DEEAF6" w:themeFill="accent1" w:themeFillTint="33"/>
            <w:vAlign w:val="center"/>
          </w:tcPr>
          <w:p w14:paraId="6BCEBC59" w14:textId="2A3BC2EA"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22 749</w:t>
            </w:r>
          </w:p>
        </w:tc>
        <w:tc>
          <w:tcPr>
            <w:tcW w:w="725" w:type="dxa"/>
            <w:shd w:val="clear" w:color="auto" w:fill="DEEAF6" w:themeFill="accent1" w:themeFillTint="33"/>
            <w:vAlign w:val="center"/>
          </w:tcPr>
          <w:p w14:paraId="751C9D49" w14:textId="1A1E110C"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23 626</w:t>
            </w:r>
          </w:p>
        </w:tc>
        <w:tc>
          <w:tcPr>
            <w:tcW w:w="725" w:type="dxa"/>
            <w:shd w:val="clear" w:color="auto" w:fill="DEEAF6" w:themeFill="accent1" w:themeFillTint="33"/>
            <w:vAlign w:val="center"/>
          </w:tcPr>
          <w:p w14:paraId="65CAFC91" w14:textId="79735F69"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24 572</w:t>
            </w:r>
          </w:p>
        </w:tc>
        <w:tc>
          <w:tcPr>
            <w:tcW w:w="725" w:type="dxa"/>
            <w:shd w:val="clear" w:color="auto" w:fill="DEEAF6" w:themeFill="accent1" w:themeFillTint="33"/>
            <w:vAlign w:val="center"/>
          </w:tcPr>
          <w:p w14:paraId="37483B0A" w14:textId="2219CBDB"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25 371</w:t>
            </w:r>
          </w:p>
        </w:tc>
        <w:tc>
          <w:tcPr>
            <w:tcW w:w="725" w:type="dxa"/>
            <w:shd w:val="clear" w:color="auto" w:fill="DEEAF6" w:themeFill="accent1" w:themeFillTint="33"/>
            <w:vAlign w:val="center"/>
          </w:tcPr>
          <w:p w14:paraId="690DCBD7" w14:textId="07238904"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26 984</w:t>
            </w:r>
          </w:p>
        </w:tc>
        <w:tc>
          <w:tcPr>
            <w:tcW w:w="725" w:type="dxa"/>
            <w:shd w:val="clear" w:color="auto" w:fill="DEEAF6" w:themeFill="accent1" w:themeFillTint="33"/>
            <w:vAlign w:val="center"/>
          </w:tcPr>
          <w:p w14:paraId="5151F5CF" w14:textId="77753C54"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29 154</w:t>
            </w:r>
          </w:p>
        </w:tc>
        <w:tc>
          <w:tcPr>
            <w:tcW w:w="725" w:type="dxa"/>
            <w:shd w:val="clear" w:color="auto" w:fill="DEEAF6" w:themeFill="accent1" w:themeFillTint="33"/>
            <w:vAlign w:val="center"/>
          </w:tcPr>
          <w:p w14:paraId="504FE5F5" w14:textId="585B6944"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30 573</w:t>
            </w:r>
          </w:p>
        </w:tc>
        <w:tc>
          <w:tcPr>
            <w:tcW w:w="725" w:type="dxa"/>
            <w:shd w:val="clear" w:color="auto" w:fill="DEEAF6" w:themeFill="accent1" w:themeFillTint="33"/>
            <w:vAlign w:val="center"/>
          </w:tcPr>
          <w:p w14:paraId="2435C717" w14:textId="14D5F02D"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30 109</w:t>
            </w:r>
          </w:p>
        </w:tc>
        <w:tc>
          <w:tcPr>
            <w:tcW w:w="725" w:type="dxa"/>
            <w:shd w:val="clear" w:color="auto" w:fill="DEEAF6" w:themeFill="accent1" w:themeFillTint="33"/>
            <w:vAlign w:val="center"/>
          </w:tcPr>
          <w:p w14:paraId="3E238417" w14:textId="31CD1198"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33 349</w:t>
            </w:r>
          </w:p>
        </w:tc>
        <w:tc>
          <w:tcPr>
            <w:tcW w:w="837" w:type="dxa"/>
            <w:shd w:val="clear" w:color="auto" w:fill="DEEAF6" w:themeFill="accent1" w:themeFillTint="33"/>
            <w:vAlign w:val="center"/>
          </w:tcPr>
          <w:p w14:paraId="738F2BD0" w14:textId="6CC9C5E6"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38 870</w:t>
            </w:r>
          </w:p>
        </w:tc>
      </w:tr>
      <w:tr w:rsidR="003E06DC" w:rsidRPr="001262AC" w14:paraId="41480748" w14:textId="77777777" w:rsidTr="0010263E">
        <w:trPr>
          <w:trHeight w:val="675"/>
        </w:trPr>
        <w:tc>
          <w:tcPr>
            <w:tcW w:w="672" w:type="dxa"/>
            <w:shd w:val="clear" w:color="auto" w:fill="auto"/>
            <w:vAlign w:val="center"/>
            <w:hideMark/>
          </w:tcPr>
          <w:p w14:paraId="08305C06"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2</w:t>
            </w:r>
            <w:r>
              <w:rPr>
                <w:rFonts w:eastAsia="Times New Roman"/>
                <w:color w:val="000000"/>
                <w:sz w:val="16"/>
                <w:szCs w:val="16"/>
              </w:rPr>
              <w:t>.</w:t>
            </w:r>
          </w:p>
        </w:tc>
        <w:tc>
          <w:tcPr>
            <w:tcW w:w="1700" w:type="dxa"/>
            <w:hideMark/>
          </w:tcPr>
          <w:p w14:paraId="4247152A" w14:textId="77777777"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Faktiskā vispārējās valdības budžeta strukturālā bilance, % no IKP</w:t>
            </w:r>
          </w:p>
        </w:tc>
        <w:tc>
          <w:tcPr>
            <w:tcW w:w="725" w:type="dxa"/>
            <w:vAlign w:val="center"/>
          </w:tcPr>
          <w:p w14:paraId="3C03D4EF" w14:textId="605F69B5"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-0,3</w:t>
            </w:r>
          </w:p>
        </w:tc>
        <w:tc>
          <w:tcPr>
            <w:tcW w:w="725" w:type="dxa"/>
            <w:vAlign w:val="center"/>
          </w:tcPr>
          <w:p w14:paraId="7A0CA525" w14:textId="5DDBF30C"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-1,0</w:t>
            </w:r>
          </w:p>
        </w:tc>
        <w:tc>
          <w:tcPr>
            <w:tcW w:w="725" w:type="dxa"/>
            <w:vAlign w:val="center"/>
          </w:tcPr>
          <w:p w14:paraId="522871DA" w14:textId="006DC950"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-1,5</w:t>
            </w:r>
          </w:p>
        </w:tc>
        <w:tc>
          <w:tcPr>
            <w:tcW w:w="725" w:type="dxa"/>
            <w:vAlign w:val="center"/>
          </w:tcPr>
          <w:p w14:paraId="74A4AA4F" w14:textId="75058101"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vAlign w:val="center"/>
          </w:tcPr>
          <w:p w14:paraId="6C268B0A" w14:textId="1351D0FF"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-1,4</w:t>
            </w:r>
          </w:p>
        </w:tc>
        <w:tc>
          <w:tcPr>
            <w:tcW w:w="725" w:type="dxa"/>
            <w:vAlign w:val="center"/>
          </w:tcPr>
          <w:p w14:paraId="1DB0DFAB" w14:textId="4DA27600"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-2,1</w:t>
            </w:r>
          </w:p>
        </w:tc>
        <w:tc>
          <w:tcPr>
            <w:tcW w:w="725" w:type="dxa"/>
            <w:vAlign w:val="center"/>
          </w:tcPr>
          <w:p w14:paraId="25815F4A" w14:textId="45C34FE6"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-0,8</w:t>
            </w:r>
          </w:p>
        </w:tc>
        <w:tc>
          <w:tcPr>
            <w:tcW w:w="725" w:type="dxa"/>
            <w:vAlign w:val="center"/>
          </w:tcPr>
          <w:p w14:paraId="6F316E40" w14:textId="6B4BD95C"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0,6</w:t>
            </w:r>
          </w:p>
        </w:tc>
        <w:tc>
          <w:tcPr>
            <w:tcW w:w="725" w:type="dxa"/>
            <w:vAlign w:val="center"/>
          </w:tcPr>
          <w:p w14:paraId="565F7B52" w14:textId="0FC650EA"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-0,9</w:t>
            </w:r>
          </w:p>
        </w:tc>
        <w:tc>
          <w:tcPr>
            <w:tcW w:w="837" w:type="dxa"/>
            <w:vAlign w:val="center"/>
          </w:tcPr>
          <w:p w14:paraId="280ACC30" w14:textId="0E0E8DF5"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0,3</w:t>
            </w:r>
          </w:p>
        </w:tc>
      </w:tr>
      <w:tr w:rsidR="003E06DC" w:rsidRPr="001262AC" w14:paraId="4F4774CB" w14:textId="77777777" w:rsidTr="00DD4247">
        <w:trPr>
          <w:trHeight w:val="679"/>
        </w:trPr>
        <w:tc>
          <w:tcPr>
            <w:tcW w:w="672" w:type="dxa"/>
            <w:shd w:val="clear" w:color="auto" w:fill="DEEAF6" w:themeFill="accent1" w:themeFillTint="33"/>
            <w:vAlign w:val="center"/>
            <w:hideMark/>
          </w:tcPr>
          <w:p w14:paraId="034C37B1"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3.</w:t>
            </w:r>
          </w:p>
          <w:p w14:paraId="1E012F4F"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(1.×2.)</w:t>
            </w:r>
          </w:p>
        </w:tc>
        <w:tc>
          <w:tcPr>
            <w:tcW w:w="1700" w:type="dxa"/>
            <w:shd w:val="clear" w:color="auto" w:fill="DEEAF6" w:themeFill="accent1" w:themeFillTint="33"/>
            <w:hideMark/>
          </w:tcPr>
          <w:p w14:paraId="2E80B169" w14:textId="77777777"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 xml:space="preserve">Faktiskā vispārējās valdības budžeta strukturālā bilance, milj. </w:t>
            </w:r>
            <w:r w:rsidRPr="00D515BE">
              <w:rPr>
                <w:rFonts w:eastAsia="Times New Roman"/>
                <w:i/>
                <w:iCs/>
                <w:noProof/>
                <w:color w:val="000000"/>
                <w:sz w:val="18"/>
                <w:szCs w:val="18"/>
              </w:rPr>
              <w:t>euro</w:t>
            </w:r>
          </w:p>
        </w:tc>
        <w:tc>
          <w:tcPr>
            <w:tcW w:w="725" w:type="dxa"/>
            <w:shd w:val="clear" w:color="auto" w:fill="DEEAF6" w:themeFill="accent1" w:themeFillTint="33"/>
            <w:vAlign w:val="center"/>
          </w:tcPr>
          <w:p w14:paraId="1A22CD1B" w14:textId="4A746CF4"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-78,0</w:t>
            </w:r>
          </w:p>
        </w:tc>
        <w:tc>
          <w:tcPr>
            <w:tcW w:w="725" w:type="dxa"/>
            <w:shd w:val="clear" w:color="auto" w:fill="DEEAF6" w:themeFill="accent1" w:themeFillTint="33"/>
            <w:vAlign w:val="center"/>
          </w:tcPr>
          <w:p w14:paraId="442354FB" w14:textId="4E893324"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-235,4</w:t>
            </w:r>
          </w:p>
        </w:tc>
        <w:tc>
          <w:tcPr>
            <w:tcW w:w="725" w:type="dxa"/>
            <w:shd w:val="clear" w:color="auto" w:fill="DEEAF6" w:themeFill="accent1" w:themeFillTint="33"/>
            <w:vAlign w:val="center"/>
          </w:tcPr>
          <w:p w14:paraId="1A8008AA" w14:textId="2730DC5F"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-379,0</w:t>
            </w:r>
          </w:p>
        </w:tc>
        <w:tc>
          <w:tcPr>
            <w:tcW w:w="725" w:type="dxa"/>
            <w:shd w:val="clear" w:color="auto" w:fill="DEEAF6" w:themeFill="accent1" w:themeFillTint="33"/>
            <w:vAlign w:val="center"/>
          </w:tcPr>
          <w:p w14:paraId="3CD90F51" w14:textId="748B190A"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-118,8</w:t>
            </w:r>
          </w:p>
        </w:tc>
        <w:tc>
          <w:tcPr>
            <w:tcW w:w="725" w:type="dxa"/>
            <w:shd w:val="clear" w:color="auto" w:fill="DEEAF6" w:themeFill="accent1" w:themeFillTint="33"/>
            <w:vAlign w:val="center"/>
          </w:tcPr>
          <w:p w14:paraId="6E2D5AAF" w14:textId="6E0C8D93"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-390,2</w:t>
            </w:r>
          </w:p>
        </w:tc>
        <w:tc>
          <w:tcPr>
            <w:tcW w:w="725" w:type="dxa"/>
            <w:shd w:val="clear" w:color="auto" w:fill="DEEAF6" w:themeFill="accent1" w:themeFillTint="33"/>
            <w:vAlign w:val="center"/>
          </w:tcPr>
          <w:p w14:paraId="5CFCD79F" w14:textId="066B8833"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-624,9</w:t>
            </w:r>
          </w:p>
        </w:tc>
        <w:tc>
          <w:tcPr>
            <w:tcW w:w="725" w:type="dxa"/>
            <w:shd w:val="clear" w:color="auto" w:fill="DEEAF6" w:themeFill="accent1" w:themeFillTint="33"/>
            <w:vAlign w:val="center"/>
          </w:tcPr>
          <w:p w14:paraId="6AE8C5E7" w14:textId="5A684E47"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-229,6</w:t>
            </w:r>
          </w:p>
        </w:tc>
        <w:tc>
          <w:tcPr>
            <w:tcW w:w="725" w:type="dxa"/>
            <w:shd w:val="clear" w:color="auto" w:fill="DEEAF6" w:themeFill="accent1" w:themeFillTint="33"/>
            <w:vAlign w:val="center"/>
          </w:tcPr>
          <w:p w14:paraId="7EFD1245" w14:textId="2162E0BF"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175,8</w:t>
            </w:r>
          </w:p>
        </w:tc>
        <w:tc>
          <w:tcPr>
            <w:tcW w:w="725" w:type="dxa"/>
            <w:shd w:val="clear" w:color="auto" w:fill="DEEAF6" w:themeFill="accent1" w:themeFillTint="33"/>
            <w:vAlign w:val="center"/>
          </w:tcPr>
          <w:p w14:paraId="4DB2DBE0" w14:textId="73CB7E05"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-306,0</w:t>
            </w:r>
          </w:p>
        </w:tc>
        <w:tc>
          <w:tcPr>
            <w:tcW w:w="837" w:type="dxa"/>
            <w:shd w:val="clear" w:color="auto" w:fill="DEEAF6" w:themeFill="accent1" w:themeFillTint="33"/>
            <w:vAlign w:val="center"/>
          </w:tcPr>
          <w:p w14:paraId="61A9EF1F" w14:textId="211C0DCB"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101,9</w:t>
            </w:r>
          </w:p>
        </w:tc>
      </w:tr>
      <w:tr w:rsidR="003E06DC" w:rsidRPr="001262AC" w14:paraId="19998ADD" w14:textId="77777777" w:rsidTr="0010263E">
        <w:trPr>
          <w:trHeight w:val="679"/>
        </w:trPr>
        <w:tc>
          <w:tcPr>
            <w:tcW w:w="672" w:type="dxa"/>
            <w:shd w:val="clear" w:color="auto" w:fill="auto"/>
            <w:vAlign w:val="center"/>
            <w:hideMark/>
          </w:tcPr>
          <w:p w14:paraId="0358653E"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4</w:t>
            </w:r>
            <w:r>
              <w:rPr>
                <w:rFonts w:eastAsia="Times New Roman"/>
                <w:color w:val="000000"/>
                <w:sz w:val="16"/>
                <w:szCs w:val="16"/>
              </w:rPr>
              <w:t>.</w:t>
            </w:r>
          </w:p>
        </w:tc>
        <w:tc>
          <w:tcPr>
            <w:tcW w:w="1700" w:type="dxa"/>
            <w:hideMark/>
          </w:tcPr>
          <w:p w14:paraId="7130B8AA" w14:textId="50C77905"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Minimālā</w:t>
            </w:r>
            <w:r>
              <w:rPr>
                <w:rFonts w:eastAsia="Times New Roman"/>
                <w:noProof/>
                <w:color w:val="000000"/>
                <w:sz w:val="18"/>
                <w:szCs w:val="18"/>
              </w:rPr>
              <w:t xml:space="preserve"> </w:t>
            </w:r>
            <w:r w:rsidRPr="00D515BE">
              <w:rPr>
                <w:rFonts w:eastAsia="Times New Roman"/>
                <w:noProof/>
                <w:color w:val="000000"/>
                <w:sz w:val="18"/>
                <w:szCs w:val="18"/>
              </w:rPr>
              <w:t>plānojamā vispārējās valdības budžeta strukturālā bilance, % no IKP</w:t>
            </w:r>
          </w:p>
        </w:tc>
        <w:tc>
          <w:tcPr>
            <w:tcW w:w="725" w:type="dxa"/>
            <w:vAlign w:val="center"/>
          </w:tcPr>
          <w:p w14:paraId="752933FC" w14:textId="47E4B549"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-1,3</w:t>
            </w:r>
          </w:p>
        </w:tc>
        <w:tc>
          <w:tcPr>
            <w:tcW w:w="725" w:type="dxa"/>
            <w:vAlign w:val="center"/>
          </w:tcPr>
          <w:p w14:paraId="48BC4FD8" w14:textId="506FCB4B"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-1,0</w:t>
            </w:r>
          </w:p>
        </w:tc>
        <w:tc>
          <w:tcPr>
            <w:tcW w:w="725" w:type="dxa"/>
            <w:vAlign w:val="center"/>
          </w:tcPr>
          <w:p w14:paraId="7B4FF0B3" w14:textId="2D75296E"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-1,0</w:t>
            </w:r>
          </w:p>
        </w:tc>
        <w:tc>
          <w:tcPr>
            <w:tcW w:w="725" w:type="dxa"/>
            <w:vAlign w:val="center"/>
          </w:tcPr>
          <w:p w14:paraId="44D1FE0F" w14:textId="15CDA67E"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-0,9</w:t>
            </w:r>
          </w:p>
        </w:tc>
        <w:tc>
          <w:tcPr>
            <w:tcW w:w="725" w:type="dxa"/>
            <w:vAlign w:val="center"/>
          </w:tcPr>
          <w:p w14:paraId="470C692E" w14:textId="750B9062"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-1,0</w:t>
            </w:r>
          </w:p>
        </w:tc>
        <w:tc>
          <w:tcPr>
            <w:tcW w:w="725" w:type="dxa"/>
            <w:vAlign w:val="center"/>
          </w:tcPr>
          <w:p w14:paraId="422BDA7C" w14:textId="6E1A04DB"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-1,2</w:t>
            </w:r>
          </w:p>
        </w:tc>
        <w:tc>
          <w:tcPr>
            <w:tcW w:w="725" w:type="dxa"/>
            <w:vAlign w:val="center"/>
          </w:tcPr>
          <w:p w14:paraId="2769998B" w14:textId="69225396"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-0,6</w:t>
            </w:r>
          </w:p>
        </w:tc>
        <w:tc>
          <w:tcPr>
            <w:tcW w:w="725" w:type="dxa"/>
            <w:vAlign w:val="center"/>
          </w:tcPr>
          <w:p w14:paraId="193442D0" w14:textId="06EEAE8E"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vAlign w:val="center"/>
          </w:tcPr>
          <w:p w14:paraId="04F3ECD3" w14:textId="78CE63C7"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-2,1</w:t>
            </w:r>
          </w:p>
        </w:tc>
        <w:tc>
          <w:tcPr>
            <w:tcW w:w="837" w:type="dxa"/>
            <w:vAlign w:val="center"/>
          </w:tcPr>
          <w:p w14:paraId="1CD1042A" w14:textId="6AE5DFEA"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-4,7</w:t>
            </w:r>
          </w:p>
        </w:tc>
      </w:tr>
      <w:tr w:rsidR="003E06DC" w:rsidRPr="001262AC" w14:paraId="6C91F602" w14:textId="77777777" w:rsidTr="00DD4247">
        <w:trPr>
          <w:trHeight w:val="679"/>
        </w:trPr>
        <w:tc>
          <w:tcPr>
            <w:tcW w:w="672" w:type="dxa"/>
            <w:shd w:val="clear" w:color="auto" w:fill="DEEAF6" w:themeFill="accent1" w:themeFillTint="33"/>
            <w:vAlign w:val="center"/>
            <w:hideMark/>
          </w:tcPr>
          <w:p w14:paraId="3270FE54"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5.</w:t>
            </w:r>
          </w:p>
          <w:p w14:paraId="33D99F47"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(1.×4.)</w:t>
            </w:r>
          </w:p>
        </w:tc>
        <w:tc>
          <w:tcPr>
            <w:tcW w:w="1700" w:type="dxa"/>
            <w:shd w:val="clear" w:color="auto" w:fill="DEEAF6" w:themeFill="accent1" w:themeFillTint="33"/>
            <w:hideMark/>
          </w:tcPr>
          <w:p w14:paraId="3EC03A90" w14:textId="77777777"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 xml:space="preserve">Minimālā plānojamā vispārējās valdības budžeta strukturālā bilance, milj. </w:t>
            </w:r>
            <w:r w:rsidRPr="00D515BE">
              <w:rPr>
                <w:rFonts w:eastAsia="Times New Roman"/>
                <w:i/>
                <w:iCs/>
                <w:noProof/>
                <w:color w:val="000000"/>
                <w:sz w:val="18"/>
                <w:szCs w:val="18"/>
              </w:rPr>
              <w:t>euro</w:t>
            </w:r>
          </w:p>
        </w:tc>
        <w:tc>
          <w:tcPr>
            <w:tcW w:w="725" w:type="dxa"/>
            <w:shd w:val="clear" w:color="auto" w:fill="DEEAF6" w:themeFill="accent1" w:themeFillTint="33"/>
            <w:vAlign w:val="center"/>
          </w:tcPr>
          <w:p w14:paraId="6F9382FF" w14:textId="235B4B80"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-295,7</w:t>
            </w:r>
          </w:p>
        </w:tc>
        <w:tc>
          <w:tcPr>
            <w:tcW w:w="725" w:type="dxa"/>
            <w:shd w:val="clear" w:color="auto" w:fill="DEEAF6" w:themeFill="accent1" w:themeFillTint="33"/>
            <w:vAlign w:val="center"/>
          </w:tcPr>
          <w:p w14:paraId="091564EE" w14:textId="537B577A"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-236,3</w:t>
            </w:r>
          </w:p>
        </w:tc>
        <w:tc>
          <w:tcPr>
            <w:tcW w:w="725" w:type="dxa"/>
            <w:shd w:val="clear" w:color="auto" w:fill="DEEAF6" w:themeFill="accent1" w:themeFillTint="33"/>
            <w:vAlign w:val="center"/>
          </w:tcPr>
          <w:p w14:paraId="14CDAE58" w14:textId="1A15F8CC"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-245,7</w:t>
            </w:r>
          </w:p>
        </w:tc>
        <w:tc>
          <w:tcPr>
            <w:tcW w:w="725" w:type="dxa"/>
            <w:shd w:val="clear" w:color="auto" w:fill="DEEAF6" w:themeFill="accent1" w:themeFillTint="33"/>
            <w:vAlign w:val="center"/>
          </w:tcPr>
          <w:p w14:paraId="31A61C11" w14:textId="25146B44"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-228,3</w:t>
            </w:r>
          </w:p>
        </w:tc>
        <w:tc>
          <w:tcPr>
            <w:tcW w:w="725" w:type="dxa"/>
            <w:shd w:val="clear" w:color="auto" w:fill="DEEAF6" w:themeFill="accent1" w:themeFillTint="33"/>
            <w:vAlign w:val="center"/>
          </w:tcPr>
          <w:p w14:paraId="4C8F978F" w14:textId="5E51C13A"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-269,8</w:t>
            </w:r>
          </w:p>
        </w:tc>
        <w:tc>
          <w:tcPr>
            <w:tcW w:w="725" w:type="dxa"/>
            <w:shd w:val="clear" w:color="auto" w:fill="DEEAF6" w:themeFill="accent1" w:themeFillTint="33"/>
            <w:vAlign w:val="center"/>
          </w:tcPr>
          <w:p w14:paraId="3BB62B8E" w14:textId="0C8B6E90"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-349,8</w:t>
            </w:r>
          </w:p>
        </w:tc>
        <w:tc>
          <w:tcPr>
            <w:tcW w:w="725" w:type="dxa"/>
            <w:shd w:val="clear" w:color="auto" w:fill="DEEAF6" w:themeFill="accent1" w:themeFillTint="33"/>
            <w:vAlign w:val="center"/>
          </w:tcPr>
          <w:p w14:paraId="56B1C1EC" w14:textId="68DE0B4C"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-173,2</w:t>
            </w:r>
          </w:p>
        </w:tc>
        <w:tc>
          <w:tcPr>
            <w:tcW w:w="725" w:type="dxa"/>
            <w:shd w:val="clear" w:color="auto" w:fill="DEEAF6" w:themeFill="accent1" w:themeFillTint="33"/>
            <w:vAlign w:val="center"/>
          </w:tcPr>
          <w:p w14:paraId="7C6964AE" w14:textId="0652EF3C"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-140,0</w:t>
            </w:r>
          </w:p>
        </w:tc>
        <w:tc>
          <w:tcPr>
            <w:tcW w:w="725" w:type="dxa"/>
            <w:shd w:val="clear" w:color="auto" w:fill="DEEAF6" w:themeFill="accent1" w:themeFillTint="33"/>
            <w:vAlign w:val="center"/>
          </w:tcPr>
          <w:p w14:paraId="72486144" w14:textId="2FB201DE"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-700,3</w:t>
            </w:r>
          </w:p>
        </w:tc>
        <w:tc>
          <w:tcPr>
            <w:tcW w:w="837" w:type="dxa"/>
            <w:shd w:val="clear" w:color="auto" w:fill="DEEAF6" w:themeFill="accent1" w:themeFillTint="33"/>
            <w:vAlign w:val="center"/>
          </w:tcPr>
          <w:p w14:paraId="5DC869DC" w14:textId="6C450513" w:rsidR="003E06DC" w:rsidRPr="00DD4247" w:rsidRDefault="003E06DC" w:rsidP="003E06DC">
            <w:pPr>
              <w:spacing w:after="0"/>
              <w:ind w:firstLine="0"/>
              <w:rPr>
                <w:rFonts w:eastAsia="Times New Roman"/>
                <w:color w:val="000000"/>
                <w:sz w:val="18"/>
                <w:szCs w:val="18"/>
                <w:highlight w:val="yellow"/>
              </w:rPr>
            </w:pPr>
            <w:r>
              <w:rPr>
                <w:color w:val="000000"/>
                <w:sz w:val="18"/>
                <w:szCs w:val="18"/>
              </w:rPr>
              <w:t>-1 826,9</w:t>
            </w:r>
          </w:p>
        </w:tc>
      </w:tr>
      <w:tr w:rsidR="003E06DC" w:rsidRPr="001262AC" w14:paraId="7925BB29" w14:textId="77777777" w:rsidTr="0010263E">
        <w:trPr>
          <w:trHeight w:val="450"/>
        </w:trPr>
        <w:tc>
          <w:tcPr>
            <w:tcW w:w="672" w:type="dxa"/>
            <w:shd w:val="clear" w:color="auto" w:fill="auto"/>
            <w:vAlign w:val="center"/>
            <w:hideMark/>
          </w:tcPr>
          <w:p w14:paraId="3697A9CE"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6.</w:t>
            </w:r>
          </w:p>
          <w:p w14:paraId="735A2012"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(3.-5.)</w:t>
            </w:r>
          </w:p>
        </w:tc>
        <w:tc>
          <w:tcPr>
            <w:tcW w:w="1700" w:type="dxa"/>
            <w:hideMark/>
          </w:tcPr>
          <w:p w14:paraId="638D4361" w14:textId="77777777"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 xml:space="preserve">Saimnieciskā gada bilanču starpība, milj. </w:t>
            </w:r>
            <w:r w:rsidRPr="00D515BE">
              <w:rPr>
                <w:rFonts w:eastAsia="Times New Roman"/>
                <w:i/>
                <w:iCs/>
                <w:noProof/>
                <w:color w:val="000000"/>
                <w:sz w:val="18"/>
                <w:szCs w:val="18"/>
              </w:rPr>
              <w:t>euro</w:t>
            </w:r>
          </w:p>
        </w:tc>
        <w:tc>
          <w:tcPr>
            <w:tcW w:w="725" w:type="dxa"/>
            <w:vAlign w:val="center"/>
          </w:tcPr>
          <w:p w14:paraId="3D5ECF5C" w14:textId="7C26FCC3"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217,7</w:t>
            </w:r>
          </w:p>
        </w:tc>
        <w:tc>
          <w:tcPr>
            <w:tcW w:w="725" w:type="dxa"/>
            <w:vAlign w:val="center"/>
          </w:tcPr>
          <w:p w14:paraId="7945BE35" w14:textId="02F93A8A"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0,9</w:t>
            </w:r>
          </w:p>
        </w:tc>
        <w:tc>
          <w:tcPr>
            <w:tcW w:w="725" w:type="dxa"/>
            <w:vAlign w:val="center"/>
          </w:tcPr>
          <w:p w14:paraId="039EE388" w14:textId="069274B2"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-133,3</w:t>
            </w:r>
          </w:p>
        </w:tc>
        <w:tc>
          <w:tcPr>
            <w:tcW w:w="725" w:type="dxa"/>
            <w:vAlign w:val="center"/>
          </w:tcPr>
          <w:p w14:paraId="018B77A8" w14:textId="23A61D3F"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109,5</w:t>
            </w:r>
          </w:p>
        </w:tc>
        <w:tc>
          <w:tcPr>
            <w:tcW w:w="725" w:type="dxa"/>
            <w:vAlign w:val="center"/>
          </w:tcPr>
          <w:p w14:paraId="5E7A11B1" w14:textId="01562350"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-120,4</w:t>
            </w:r>
          </w:p>
        </w:tc>
        <w:tc>
          <w:tcPr>
            <w:tcW w:w="725" w:type="dxa"/>
            <w:vAlign w:val="center"/>
          </w:tcPr>
          <w:p w14:paraId="0C058CD8" w14:textId="5D505AB6"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-275,1</w:t>
            </w:r>
          </w:p>
        </w:tc>
        <w:tc>
          <w:tcPr>
            <w:tcW w:w="725" w:type="dxa"/>
            <w:vAlign w:val="center"/>
          </w:tcPr>
          <w:p w14:paraId="4BF8FBBB" w14:textId="2CC75492"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-56,4</w:t>
            </w:r>
          </w:p>
        </w:tc>
        <w:tc>
          <w:tcPr>
            <w:tcW w:w="725" w:type="dxa"/>
            <w:vAlign w:val="center"/>
          </w:tcPr>
          <w:p w14:paraId="29DE16CB" w14:textId="1901B10A"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315,8</w:t>
            </w:r>
          </w:p>
        </w:tc>
        <w:tc>
          <w:tcPr>
            <w:tcW w:w="725" w:type="dxa"/>
            <w:vAlign w:val="center"/>
          </w:tcPr>
          <w:p w14:paraId="481D25C3" w14:textId="7B598903"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394,4</w:t>
            </w:r>
          </w:p>
        </w:tc>
        <w:tc>
          <w:tcPr>
            <w:tcW w:w="837" w:type="dxa"/>
            <w:vAlign w:val="center"/>
          </w:tcPr>
          <w:p w14:paraId="213E96A3" w14:textId="1A27D3DB"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1 928,8</w:t>
            </w:r>
          </w:p>
        </w:tc>
      </w:tr>
      <w:tr w:rsidR="003E06DC" w:rsidRPr="001262AC" w14:paraId="32D30198" w14:textId="77777777" w:rsidTr="00DD4247">
        <w:trPr>
          <w:trHeight w:val="450"/>
        </w:trPr>
        <w:tc>
          <w:tcPr>
            <w:tcW w:w="672" w:type="dxa"/>
            <w:shd w:val="clear" w:color="auto" w:fill="DEEAF6" w:themeFill="accent1" w:themeFillTint="33"/>
            <w:vAlign w:val="center"/>
            <w:hideMark/>
          </w:tcPr>
          <w:p w14:paraId="378A0CD4"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7.</w:t>
            </w:r>
          </w:p>
          <w:p w14:paraId="461B0173"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((6.:1.)</w:t>
            </w:r>
          </w:p>
          <w:p w14:paraId="151369DA"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×100)</w:t>
            </w:r>
          </w:p>
        </w:tc>
        <w:tc>
          <w:tcPr>
            <w:tcW w:w="1700" w:type="dxa"/>
            <w:shd w:val="clear" w:color="auto" w:fill="DEEAF6" w:themeFill="accent1" w:themeFillTint="33"/>
            <w:hideMark/>
          </w:tcPr>
          <w:p w14:paraId="24D09834" w14:textId="77777777"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Saimnieciskā gada bilanču starpība, % no IKP</w:t>
            </w:r>
          </w:p>
        </w:tc>
        <w:tc>
          <w:tcPr>
            <w:tcW w:w="725" w:type="dxa"/>
            <w:shd w:val="clear" w:color="auto" w:fill="DEEAF6" w:themeFill="accent1" w:themeFillTint="33"/>
            <w:vAlign w:val="center"/>
          </w:tcPr>
          <w:p w14:paraId="716BCBB8" w14:textId="1AF0B4F8"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1,0</w:t>
            </w:r>
          </w:p>
        </w:tc>
        <w:tc>
          <w:tcPr>
            <w:tcW w:w="725" w:type="dxa"/>
            <w:shd w:val="clear" w:color="auto" w:fill="DEEAF6" w:themeFill="accent1" w:themeFillTint="33"/>
            <w:vAlign w:val="center"/>
          </w:tcPr>
          <w:p w14:paraId="4F7340F6" w14:textId="0B42ABF7"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0,0</w:t>
            </w:r>
          </w:p>
        </w:tc>
        <w:tc>
          <w:tcPr>
            <w:tcW w:w="725" w:type="dxa"/>
            <w:shd w:val="clear" w:color="auto" w:fill="DEEAF6" w:themeFill="accent1" w:themeFillTint="33"/>
            <w:vAlign w:val="center"/>
          </w:tcPr>
          <w:p w14:paraId="13900598" w14:textId="012AA956"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shd w:val="clear" w:color="auto" w:fill="DEEAF6" w:themeFill="accent1" w:themeFillTint="33"/>
            <w:vAlign w:val="center"/>
          </w:tcPr>
          <w:p w14:paraId="17336519" w14:textId="3FD07575"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0,4</w:t>
            </w:r>
          </w:p>
        </w:tc>
        <w:tc>
          <w:tcPr>
            <w:tcW w:w="725" w:type="dxa"/>
            <w:shd w:val="clear" w:color="auto" w:fill="DEEAF6" w:themeFill="accent1" w:themeFillTint="33"/>
            <w:vAlign w:val="center"/>
          </w:tcPr>
          <w:p w14:paraId="29BA317F" w14:textId="4326FF5E"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-0,4</w:t>
            </w:r>
          </w:p>
        </w:tc>
        <w:tc>
          <w:tcPr>
            <w:tcW w:w="725" w:type="dxa"/>
            <w:shd w:val="clear" w:color="auto" w:fill="DEEAF6" w:themeFill="accent1" w:themeFillTint="33"/>
            <w:vAlign w:val="center"/>
          </w:tcPr>
          <w:p w14:paraId="67099E90" w14:textId="35E421C7"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-0,9</w:t>
            </w:r>
          </w:p>
        </w:tc>
        <w:tc>
          <w:tcPr>
            <w:tcW w:w="725" w:type="dxa"/>
            <w:shd w:val="clear" w:color="auto" w:fill="DEEAF6" w:themeFill="accent1" w:themeFillTint="33"/>
            <w:vAlign w:val="center"/>
          </w:tcPr>
          <w:p w14:paraId="7714FAD0" w14:textId="272B7657"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-0,2</w:t>
            </w:r>
          </w:p>
        </w:tc>
        <w:tc>
          <w:tcPr>
            <w:tcW w:w="725" w:type="dxa"/>
            <w:shd w:val="clear" w:color="auto" w:fill="DEEAF6" w:themeFill="accent1" w:themeFillTint="33"/>
            <w:vAlign w:val="center"/>
          </w:tcPr>
          <w:p w14:paraId="7AE6EB1B" w14:textId="2A69DBA0"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1,0</w:t>
            </w:r>
          </w:p>
        </w:tc>
        <w:tc>
          <w:tcPr>
            <w:tcW w:w="725" w:type="dxa"/>
            <w:shd w:val="clear" w:color="auto" w:fill="DEEAF6" w:themeFill="accent1" w:themeFillTint="33"/>
            <w:vAlign w:val="center"/>
          </w:tcPr>
          <w:p w14:paraId="07D65A3B" w14:textId="450A0DEC"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1,2</w:t>
            </w:r>
          </w:p>
        </w:tc>
        <w:tc>
          <w:tcPr>
            <w:tcW w:w="837" w:type="dxa"/>
            <w:shd w:val="clear" w:color="auto" w:fill="DEEAF6" w:themeFill="accent1" w:themeFillTint="33"/>
            <w:vAlign w:val="center"/>
          </w:tcPr>
          <w:p w14:paraId="455040CE" w14:textId="79423291"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5,0</w:t>
            </w:r>
          </w:p>
        </w:tc>
      </w:tr>
      <w:tr w:rsidR="003E06DC" w:rsidRPr="001262AC" w14:paraId="63973E72" w14:textId="77777777" w:rsidTr="0010263E">
        <w:trPr>
          <w:trHeight w:val="450"/>
        </w:trPr>
        <w:tc>
          <w:tcPr>
            <w:tcW w:w="672" w:type="dxa"/>
            <w:shd w:val="clear" w:color="auto" w:fill="auto"/>
            <w:vAlign w:val="center"/>
            <w:hideMark/>
          </w:tcPr>
          <w:p w14:paraId="63F0E721"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8.</w:t>
            </w:r>
          </w:p>
          <w:p w14:paraId="2BDFBEB2"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(Σ(6.))</w:t>
            </w:r>
          </w:p>
        </w:tc>
        <w:tc>
          <w:tcPr>
            <w:tcW w:w="1700" w:type="dxa"/>
            <w:hideMark/>
          </w:tcPr>
          <w:p w14:paraId="41A3871C" w14:textId="77777777"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 xml:space="preserve">Uzkrāto bilanču starpības summa (kumulatīvi), milj. </w:t>
            </w:r>
            <w:r w:rsidRPr="00D515BE">
              <w:rPr>
                <w:rFonts w:eastAsia="Times New Roman"/>
                <w:i/>
                <w:iCs/>
                <w:noProof/>
                <w:color w:val="000000"/>
                <w:sz w:val="18"/>
                <w:szCs w:val="18"/>
              </w:rPr>
              <w:t>euro</w:t>
            </w:r>
          </w:p>
        </w:tc>
        <w:tc>
          <w:tcPr>
            <w:tcW w:w="725" w:type="dxa"/>
            <w:vAlign w:val="center"/>
          </w:tcPr>
          <w:p w14:paraId="39830BD9" w14:textId="020049D5"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217,7</w:t>
            </w:r>
          </w:p>
        </w:tc>
        <w:tc>
          <w:tcPr>
            <w:tcW w:w="725" w:type="dxa"/>
            <w:vAlign w:val="center"/>
          </w:tcPr>
          <w:p w14:paraId="736A5307" w14:textId="580F6494"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218,6</w:t>
            </w:r>
          </w:p>
        </w:tc>
        <w:tc>
          <w:tcPr>
            <w:tcW w:w="725" w:type="dxa"/>
            <w:vAlign w:val="center"/>
          </w:tcPr>
          <w:p w14:paraId="51003385" w14:textId="47DC6EF4"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85,3</w:t>
            </w:r>
          </w:p>
        </w:tc>
        <w:tc>
          <w:tcPr>
            <w:tcW w:w="725" w:type="dxa"/>
            <w:vAlign w:val="center"/>
          </w:tcPr>
          <w:p w14:paraId="0FC55873" w14:textId="0D14407D"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194,8</w:t>
            </w:r>
          </w:p>
        </w:tc>
        <w:tc>
          <w:tcPr>
            <w:tcW w:w="725" w:type="dxa"/>
            <w:vAlign w:val="center"/>
          </w:tcPr>
          <w:p w14:paraId="20DEF32B" w14:textId="18A3C5AC"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74,4</w:t>
            </w:r>
          </w:p>
        </w:tc>
        <w:tc>
          <w:tcPr>
            <w:tcW w:w="725" w:type="dxa"/>
            <w:vAlign w:val="center"/>
          </w:tcPr>
          <w:p w14:paraId="242385B9" w14:textId="6DB4A82B"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-200,6</w:t>
            </w:r>
          </w:p>
        </w:tc>
        <w:tc>
          <w:tcPr>
            <w:tcW w:w="725" w:type="dxa"/>
            <w:vAlign w:val="center"/>
          </w:tcPr>
          <w:p w14:paraId="01CDE087" w14:textId="2F21A28E"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-257,0</w:t>
            </w:r>
          </w:p>
        </w:tc>
        <w:tc>
          <w:tcPr>
            <w:tcW w:w="725" w:type="dxa"/>
            <w:vAlign w:val="center"/>
          </w:tcPr>
          <w:p w14:paraId="522B581C" w14:textId="3A4EC313"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58,8</w:t>
            </w:r>
          </w:p>
        </w:tc>
        <w:tc>
          <w:tcPr>
            <w:tcW w:w="725" w:type="dxa"/>
            <w:vAlign w:val="center"/>
          </w:tcPr>
          <w:p w14:paraId="63E0056F" w14:textId="2CEC48A8"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453,1</w:t>
            </w:r>
          </w:p>
        </w:tc>
        <w:tc>
          <w:tcPr>
            <w:tcW w:w="837" w:type="dxa"/>
            <w:vAlign w:val="center"/>
          </w:tcPr>
          <w:p w14:paraId="243D6D4F" w14:textId="09F6C50D" w:rsidR="003E06DC" w:rsidRPr="00DD4247" w:rsidRDefault="003E06DC" w:rsidP="003E06DC">
            <w:pPr>
              <w:spacing w:after="0"/>
              <w:ind w:firstLine="0"/>
              <w:jc w:val="center"/>
              <w:rPr>
                <w:rFonts w:eastAsia="Times New Roman"/>
                <w:color w:val="000000"/>
                <w:sz w:val="18"/>
                <w:szCs w:val="18"/>
                <w:highlight w:val="yellow"/>
              </w:rPr>
            </w:pPr>
            <w:r>
              <w:rPr>
                <w:color w:val="000000"/>
                <w:sz w:val="18"/>
                <w:szCs w:val="18"/>
              </w:rPr>
              <w:t>2 381,9</w:t>
            </w:r>
          </w:p>
        </w:tc>
      </w:tr>
      <w:tr w:rsidR="003E06DC" w:rsidRPr="001262AC" w14:paraId="0BEAAEC2" w14:textId="77777777" w:rsidTr="00DD4247">
        <w:trPr>
          <w:trHeight w:val="620"/>
        </w:trPr>
        <w:tc>
          <w:tcPr>
            <w:tcW w:w="672" w:type="dxa"/>
            <w:tcBorders>
              <w:bottom w:val="single" w:sz="4" w:space="0" w:color="auto"/>
            </w:tcBorders>
            <w:shd w:val="clear" w:color="auto" w:fill="DEEAF6" w:themeFill="accent1" w:themeFillTint="33"/>
            <w:vAlign w:val="center"/>
            <w:hideMark/>
          </w:tcPr>
          <w:p w14:paraId="3C4397F2"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9.</w:t>
            </w:r>
          </w:p>
          <w:p w14:paraId="0828F469"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((8./1.)</w:t>
            </w:r>
          </w:p>
          <w:p w14:paraId="26351D4A"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×100)</w:t>
            </w:r>
          </w:p>
        </w:tc>
        <w:tc>
          <w:tcPr>
            <w:tcW w:w="1700" w:type="dxa"/>
            <w:tcBorders>
              <w:bottom w:val="single" w:sz="4" w:space="0" w:color="auto"/>
            </w:tcBorders>
            <w:shd w:val="clear" w:color="auto" w:fill="DEEAF6" w:themeFill="accent1" w:themeFillTint="33"/>
            <w:hideMark/>
          </w:tcPr>
          <w:p w14:paraId="5EB15BC0" w14:textId="77777777"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Uzkrāto bilanču starpības summa, % no IKP</w:t>
            </w:r>
          </w:p>
        </w:tc>
        <w:tc>
          <w:tcPr>
            <w:tcW w:w="725" w:type="dxa"/>
            <w:tcBorders>
              <w:bottom w:val="single" w:sz="4" w:space="0" w:color="auto"/>
            </w:tcBorders>
            <w:shd w:val="clear" w:color="auto" w:fill="DEEAF6" w:themeFill="accent1" w:themeFillTint="33"/>
            <w:vAlign w:val="center"/>
          </w:tcPr>
          <w:p w14:paraId="5519B39C" w14:textId="1AA0E12A"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1,0</w:t>
            </w:r>
          </w:p>
        </w:tc>
        <w:tc>
          <w:tcPr>
            <w:tcW w:w="725" w:type="dxa"/>
            <w:tcBorders>
              <w:bottom w:val="single" w:sz="4" w:space="0" w:color="auto"/>
            </w:tcBorders>
            <w:shd w:val="clear" w:color="auto" w:fill="DEEAF6" w:themeFill="accent1" w:themeFillTint="33"/>
            <w:vAlign w:val="center"/>
          </w:tcPr>
          <w:p w14:paraId="560C3FDD" w14:textId="540800BD"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0,9</w:t>
            </w:r>
          </w:p>
        </w:tc>
        <w:tc>
          <w:tcPr>
            <w:tcW w:w="725" w:type="dxa"/>
            <w:tcBorders>
              <w:bottom w:val="single" w:sz="4" w:space="0" w:color="auto"/>
            </w:tcBorders>
            <w:shd w:val="clear" w:color="auto" w:fill="DEEAF6" w:themeFill="accent1" w:themeFillTint="33"/>
            <w:vAlign w:val="center"/>
          </w:tcPr>
          <w:p w14:paraId="2EFAD31C" w14:textId="7954EB9D"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0,3</w:t>
            </w:r>
          </w:p>
        </w:tc>
        <w:tc>
          <w:tcPr>
            <w:tcW w:w="725" w:type="dxa"/>
            <w:tcBorders>
              <w:bottom w:val="single" w:sz="4" w:space="0" w:color="auto"/>
            </w:tcBorders>
            <w:shd w:val="clear" w:color="auto" w:fill="DEEAF6" w:themeFill="accent1" w:themeFillTint="33"/>
            <w:vAlign w:val="center"/>
          </w:tcPr>
          <w:p w14:paraId="67819A22" w14:textId="2EEF3421"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0,8</w:t>
            </w:r>
          </w:p>
        </w:tc>
        <w:tc>
          <w:tcPr>
            <w:tcW w:w="725" w:type="dxa"/>
            <w:tcBorders>
              <w:bottom w:val="single" w:sz="4" w:space="0" w:color="auto"/>
            </w:tcBorders>
            <w:shd w:val="clear" w:color="auto" w:fill="DEEAF6" w:themeFill="accent1" w:themeFillTint="33"/>
            <w:vAlign w:val="center"/>
          </w:tcPr>
          <w:p w14:paraId="7202F6B2" w14:textId="5458056B"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0,3</w:t>
            </w:r>
          </w:p>
        </w:tc>
        <w:tc>
          <w:tcPr>
            <w:tcW w:w="725" w:type="dxa"/>
            <w:tcBorders>
              <w:bottom w:val="single" w:sz="4" w:space="0" w:color="auto"/>
            </w:tcBorders>
            <w:shd w:val="clear" w:color="auto" w:fill="DEEAF6" w:themeFill="accent1" w:themeFillTint="33"/>
            <w:vAlign w:val="center"/>
          </w:tcPr>
          <w:p w14:paraId="76BEFD87" w14:textId="308BA16F"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-0,7</w:t>
            </w:r>
          </w:p>
        </w:tc>
        <w:tc>
          <w:tcPr>
            <w:tcW w:w="725" w:type="dxa"/>
            <w:tcBorders>
              <w:bottom w:val="single" w:sz="4" w:space="0" w:color="auto"/>
            </w:tcBorders>
            <w:shd w:val="clear" w:color="auto" w:fill="DEEAF6" w:themeFill="accent1" w:themeFillTint="33"/>
            <w:vAlign w:val="center"/>
          </w:tcPr>
          <w:p w14:paraId="18110F6B" w14:textId="25680C2F"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-0,8</w:t>
            </w:r>
          </w:p>
        </w:tc>
        <w:tc>
          <w:tcPr>
            <w:tcW w:w="725" w:type="dxa"/>
            <w:tcBorders>
              <w:bottom w:val="single" w:sz="4" w:space="0" w:color="auto"/>
            </w:tcBorders>
            <w:shd w:val="clear" w:color="auto" w:fill="DEEAF6" w:themeFill="accent1" w:themeFillTint="33"/>
            <w:vAlign w:val="center"/>
          </w:tcPr>
          <w:p w14:paraId="61893A96" w14:textId="07A43022"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0,2</w:t>
            </w:r>
          </w:p>
        </w:tc>
        <w:tc>
          <w:tcPr>
            <w:tcW w:w="725" w:type="dxa"/>
            <w:tcBorders>
              <w:bottom w:val="single" w:sz="4" w:space="0" w:color="auto"/>
            </w:tcBorders>
            <w:shd w:val="clear" w:color="auto" w:fill="DEEAF6" w:themeFill="accent1" w:themeFillTint="33"/>
            <w:vAlign w:val="center"/>
          </w:tcPr>
          <w:p w14:paraId="6899679A" w14:textId="1D0ABB16"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1,4</w:t>
            </w:r>
          </w:p>
        </w:tc>
        <w:tc>
          <w:tcPr>
            <w:tcW w:w="837" w:type="dxa"/>
            <w:tcBorders>
              <w:bottom w:val="single" w:sz="4" w:space="0" w:color="auto"/>
            </w:tcBorders>
            <w:shd w:val="clear" w:color="auto" w:fill="DEEAF6" w:themeFill="accent1" w:themeFillTint="33"/>
            <w:vAlign w:val="center"/>
          </w:tcPr>
          <w:p w14:paraId="60287A5A" w14:textId="0F4CB75F" w:rsidR="003E06DC" w:rsidRPr="00DD4247" w:rsidRDefault="003E06DC" w:rsidP="003E06DC">
            <w:pPr>
              <w:spacing w:after="0"/>
              <w:ind w:firstLine="0"/>
              <w:jc w:val="center"/>
              <w:rPr>
                <w:rFonts w:eastAsia="Times New Roman"/>
                <w:color w:val="000000"/>
                <w:sz w:val="18"/>
                <w:szCs w:val="18"/>
                <w:highlight w:val="yellow"/>
              </w:rPr>
            </w:pPr>
            <w:r>
              <w:rPr>
                <w:b/>
                <w:bCs/>
                <w:sz w:val="18"/>
                <w:szCs w:val="18"/>
              </w:rPr>
              <w:t>6,1</w:t>
            </w:r>
          </w:p>
        </w:tc>
      </w:tr>
      <w:tr w:rsidR="003E06DC" w:rsidRPr="001262AC" w14:paraId="03A79544" w14:textId="77777777" w:rsidTr="00DD4247">
        <w:trPr>
          <w:trHeight w:val="463"/>
        </w:trPr>
        <w:tc>
          <w:tcPr>
            <w:tcW w:w="672" w:type="dxa"/>
            <w:tcBorders>
              <w:bottom w:val="single" w:sz="4" w:space="0" w:color="auto"/>
            </w:tcBorders>
            <w:shd w:val="clear" w:color="auto" w:fill="auto"/>
            <w:vAlign w:val="center"/>
            <w:hideMark/>
          </w:tcPr>
          <w:p w14:paraId="453EF6B5" w14:textId="77777777" w:rsidR="003E06DC" w:rsidRPr="00D515BE" w:rsidRDefault="003E06DC" w:rsidP="003E06DC">
            <w:pPr>
              <w:spacing w:after="0"/>
              <w:ind w:firstLine="0"/>
              <w:jc w:val="center"/>
              <w:rPr>
                <w:rFonts w:eastAsia="Times New Roman"/>
                <w:color w:val="000000"/>
                <w:sz w:val="16"/>
                <w:szCs w:val="16"/>
              </w:rPr>
            </w:pPr>
            <w:r w:rsidRPr="00D515BE">
              <w:rPr>
                <w:rFonts w:eastAsia="Times New Roman"/>
                <w:color w:val="000000"/>
                <w:sz w:val="16"/>
                <w:szCs w:val="16"/>
              </w:rPr>
              <w:t>10</w:t>
            </w:r>
            <w:r>
              <w:rPr>
                <w:rFonts w:eastAsia="Times New Roman"/>
                <w:color w:val="000000"/>
                <w:sz w:val="16"/>
                <w:szCs w:val="16"/>
              </w:rPr>
              <w:t>.</w:t>
            </w:r>
          </w:p>
        </w:tc>
        <w:tc>
          <w:tcPr>
            <w:tcW w:w="1700" w:type="dxa"/>
            <w:tcBorders>
              <w:bottom w:val="single" w:sz="4" w:space="0" w:color="auto"/>
            </w:tcBorders>
            <w:hideMark/>
          </w:tcPr>
          <w:p w14:paraId="1B8B5A5E" w14:textId="77777777" w:rsidR="003E06DC" w:rsidRPr="00D515BE" w:rsidRDefault="003E06DC" w:rsidP="003E06DC">
            <w:pPr>
              <w:spacing w:after="0"/>
              <w:ind w:firstLine="0"/>
              <w:jc w:val="left"/>
              <w:rPr>
                <w:rFonts w:eastAsia="Times New Roman"/>
                <w:noProof/>
                <w:color w:val="000000"/>
                <w:sz w:val="18"/>
                <w:szCs w:val="18"/>
              </w:rPr>
            </w:pPr>
            <w:r w:rsidRPr="00D515BE">
              <w:rPr>
                <w:rFonts w:eastAsia="Times New Roman"/>
                <w:noProof/>
                <w:color w:val="000000"/>
                <w:sz w:val="18"/>
                <w:szCs w:val="18"/>
              </w:rPr>
              <w:t>FDL 11. panta nosacījums, % no IKP</w:t>
            </w:r>
          </w:p>
        </w:tc>
        <w:tc>
          <w:tcPr>
            <w:tcW w:w="725" w:type="dxa"/>
            <w:tcBorders>
              <w:bottom w:val="single" w:sz="4" w:space="0" w:color="auto"/>
            </w:tcBorders>
            <w:vAlign w:val="center"/>
          </w:tcPr>
          <w:p w14:paraId="4C168F1B" w14:textId="2367769A"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tcBorders>
              <w:bottom w:val="single" w:sz="4" w:space="0" w:color="auto"/>
            </w:tcBorders>
            <w:vAlign w:val="center"/>
          </w:tcPr>
          <w:p w14:paraId="187CD92D" w14:textId="0013E57F"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tcBorders>
              <w:bottom w:val="single" w:sz="4" w:space="0" w:color="auto"/>
            </w:tcBorders>
            <w:vAlign w:val="center"/>
          </w:tcPr>
          <w:p w14:paraId="08A44913" w14:textId="443FEA2D"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tcBorders>
              <w:bottom w:val="single" w:sz="4" w:space="0" w:color="auto"/>
            </w:tcBorders>
            <w:vAlign w:val="center"/>
          </w:tcPr>
          <w:p w14:paraId="21941A72" w14:textId="36B6616B"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tcBorders>
              <w:bottom w:val="single" w:sz="4" w:space="0" w:color="auto"/>
            </w:tcBorders>
            <w:vAlign w:val="center"/>
          </w:tcPr>
          <w:p w14:paraId="49C75843" w14:textId="396E6A5E"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tcBorders>
              <w:bottom w:val="single" w:sz="4" w:space="0" w:color="auto"/>
            </w:tcBorders>
            <w:vAlign w:val="center"/>
          </w:tcPr>
          <w:p w14:paraId="7F91DBCD" w14:textId="21A5D3E9"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tcBorders>
              <w:bottom w:val="single" w:sz="4" w:space="0" w:color="auto"/>
            </w:tcBorders>
            <w:vAlign w:val="center"/>
          </w:tcPr>
          <w:p w14:paraId="19AA4308" w14:textId="51A6299D"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tcBorders>
              <w:bottom w:val="single" w:sz="4" w:space="0" w:color="auto"/>
            </w:tcBorders>
            <w:vAlign w:val="center"/>
          </w:tcPr>
          <w:p w14:paraId="33DA519D" w14:textId="3E999A71"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725" w:type="dxa"/>
            <w:tcBorders>
              <w:bottom w:val="single" w:sz="4" w:space="0" w:color="auto"/>
            </w:tcBorders>
            <w:vAlign w:val="center"/>
          </w:tcPr>
          <w:p w14:paraId="5979C75B" w14:textId="525EA11F"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c>
          <w:tcPr>
            <w:tcW w:w="837" w:type="dxa"/>
            <w:tcBorders>
              <w:bottom w:val="single" w:sz="4" w:space="0" w:color="auto"/>
            </w:tcBorders>
            <w:vAlign w:val="center"/>
          </w:tcPr>
          <w:p w14:paraId="2FE1C74D" w14:textId="340FE4DB" w:rsidR="003E06DC" w:rsidRPr="00DD4247" w:rsidRDefault="003E06DC" w:rsidP="003E06DC">
            <w:pPr>
              <w:spacing w:after="0"/>
              <w:ind w:firstLine="0"/>
              <w:jc w:val="center"/>
              <w:rPr>
                <w:rFonts w:eastAsia="Times New Roman"/>
                <w:color w:val="000000"/>
                <w:sz w:val="18"/>
                <w:szCs w:val="18"/>
                <w:highlight w:val="yellow"/>
              </w:rPr>
            </w:pPr>
            <w:r>
              <w:rPr>
                <w:b/>
                <w:bCs/>
                <w:color w:val="000000"/>
                <w:sz w:val="18"/>
                <w:szCs w:val="18"/>
              </w:rPr>
              <w:t>-0,5</w:t>
            </w:r>
          </w:p>
        </w:tc>
      </w:tr>
    </w:tbl>
    <w:p w14:paraId="29B8517B" w14:textId="77777777" w:rsidR="005B7C54" w:rsidRDefault="005B7C54" w:rsidP="005B7C54">
      <w:pPr>
        <w:ind w:firstLine="0"/>
        <w:rPr>
          <w:rFonts w:eastAsia="Times New Roman" w:cs="Times New Roman"/>
          <w:szCs w:val="24"/>
        </w:rPr>
      </w:pPr>
    </w:p>
    <w:p w14:paraId="3E80CC31" w14:textId="64EF428C" w:rsidR="000D4D00" w:rsidRPr="00B10962" w:rsidRDefault="00555C2A" w:rsidP="005B7C54">
      <w:pPr>
        <w:rPr>
          <w:rFonts w:eastAsia="Times New Roman" w:cs="Times New Roman"/>
          <w:szCs w:val="24"/>
        </w:rPr>
      </w:pPr>
      <w:r w:rsidRPr="00DD4247">
        <w:rPr>
          <w:rFonts w:eastAsia="Times New Roman" w:cs="Times New Roman"/>
          <w:szCs w:val="24"/>
        </w:rPr>
        <w:t>Salīdzinot ar likumu “</w:t>
      </w:r>
      <w:r w:rsidR="00DD4247" w:rsidRPr="00DD4247">
        <w:rPr>
          <w:rFonts w:eastAsia="Times New Roman" w:cs="Times New Roman"/>
          <w:szCs w:val="24"/>
        </w:rPr>
        <w:t>Par valsts budžetu 2023. gadam un budžeta ietvaru 2023., 2024. un 2025. gadiem”</w:t>
      </w:r>
      <w:r w:rsidR="000D4D00" w:rsidRPr="00DD4247">
        <w:rPr>
          <w:rFonts w:eastAsia="Times New Roman" w:cs="Times New Roman"/>
          <w:szCs w:val="24"/>
        </w:rPr>
        <w:t xml:space="preserve"> tika precizēti vispārējās valdības strukturālās bilances faktiskie rādītāji visā apskatāmajā laika periodā. Izmaiņas sk</w:t>
      </w:r>
      <w:r w:rsidRPr="00DD4247">
        <w:rPr>
          <w:rFonts w:eastAsia="Times New Roman" w:cs="Times New Roman"/>
          <w:szCs w:val="24"/>
        </w:rPr>
        <w:t xml:space="preserve">aidrojamas gan ar potenciāla </w:t>
      </w:r>
      <w:r w:rsidR="00BB74C0" w:rsidRPr="00DD4247">
        <w:rPr>
          <w:rFonts w:eastAsia="Times New Roman" w:cs="Times New Roman"/>
          <w:szCs w:val="24"/>
        </w:rPr>
        <w:t>IKP</w:t>
      </w:r>
      <w:r w:rsidR="000D4D00" w:rsidRPr="00DD4247">
        <w:rPr>
          <w:rFonts w:eastAsia="Times New Roman" w:cs="Times New Roman"/>
          <w:szCs w:val="24"/>
        </w:rPr>
        <w:t xml:space="preserve"> pārskatīšanu</w:t>
      </w:r>
      <w:r w:rsidRPr="00DD4247">
        <w:rPr>
          <w:rFonts w:eastAsia="Times New Roman" w:cs="Times New Roman"/>
          <w:szCs w:val="24"/>
        </w:rPr>
        <w:t xml:space="preserve"> no </w:t>
      </w:r>
      <w:r w:rsidR="005B7C54">
        <w:rPr>
          <w:rFonts w:eastAsia="Times New Roman" w:cs="Times New Roman"/>
          <w:szCs w:val="24"/>
        </w:rPr>
        <w:t>FM</w:t>
      </w:r>
      <w:r w:rsidR="000D4D00" w:rsidRPr="00DD4247">
        <w:rPr>
          <w:rFonts w:eastAsia="Times New Roman" w:cs="Times New Roman"/>
          <w:szCs w:val="24"/>
        </w:rPr>
        <w:t xml:space="preserve"> puses, gan ar faktisko </w:t>
      </w:r>
      <w:r w:rsidR="00096F2A" w:rsidRPr="00DD4247">
        <w:rPr>
          <w:rFonts w:eastAsia="Times New Roman" w:cs="Times New Roman"/>
          <w:szCs w:val="24"/>
        </w:rPr>
        <w:t>IKP</w:t>
      </w:r>
      <w:r w:rsidRPr="00DD4247">
        <w:rPr>
          <w:rFonts w:eastAsia="Times New Roman" w:cs="Times New Roman"/>
          <w:szCs w:val="24"/>
        </w:rPr>
        <w:t xml:space="preserve"> datu korekciju, ko veic </w:t>
      </w:r>
      <w:r w:rsidR="005B7C54">
        <w:rPr>
          <w:rFonts w:eastAsia="Times New Roman" w:cs="Times New Roman"/>
          <w:szCs w:val="24"/>
        </w:rPr>
        <w:t>CSP</w:t>
      </w:r>
      <w:r w:rsidR="000D4D00" w:rsidRPr="00DD4247">
        <w:rPr>
          <w:rFonts w:eastAsia="Times New Roman" w:cs="Times New Roman"/>
          <w:szCs w:val="24"/>
        </w:rPr>
        <w:t>, kas ietekmēja cikliskās komponentes rādītājus un līdz ar to arī vispārējās valdības strukturālo bil</w:t>
      </w:r>
      <w:r w:rsidRPr="00DD4247">
        <w:rPr>
          <w:rFonts w:eastAsia="Times New Roman" w:cs="Times New Roman"/>
          <w:szCs w:val="24"/>
        </w:rPr>
        <w:t>anci. Rezultātā, gatavojot likumprojektu “</w:t>
      </w:r>
      <w:r w:rsidR="007D1798" w:rsidRPr="00DD4247">
        <w:t>Par valsts budžetu 202</w:t>
      </w:r>
      <w:r w:rsidR="00DD4247" w:rsidRPr="00DD4247">
        <w:t>4</w:t>
      </w:r>
      <w:r w:rsidR="007D1798" w:rsidRPr="00DD4247">
        <w:t>.</w:t>
      </w:r>
      <w:r w:rsidR="00811382" w:rsidRPr="00DD4247">
        <w:t xml:space="preserve"> </w:t>
      </w:r>
      <w:r w:rsidR="007D1798" w:rsidRPr="00DD4247">
        <w:t>gadam un budžeta ietvaru 202</w:t>
      </w:r>
      <w:r w:rsidR="00DD4247" w:rsidRPr="00DD4247">
        <w:t>4</w:t>
      </w:r>
      <w:r w:rsidR="007D1798" w:rsidRPr="00DD4247">
        <w:t>., 202</w:t>
      </w:r>
      <w:r w:rsidR="00DD4247" w:rsidRPr="00DD4247">
        <w:t>5</w:t>
      </w:r>
      <w:r w:rsidR="007D1798" w:rsidRPr="00DD4247">
        <w:t>. un 202</w:t>
      </w:r>
      <w:r w:rsidR="00DD4247" w:rsidRPr="00DD4247">
        <w:t>6</w:t>
      </w:r>
      <w:r w:rsidR="007D1798" w:rsidRPr="00DD4247">
        <w:t>.</w:t>
      </w:r>
      <w:r w:rsidR="00811382" w:rsidRPr="00DD4247">
        <w:t xml:space="preserve"> </w:t>
      </w:r>
      <w:r w:rsidR="007D1798" w:rsidRPr="00DD4247">
        <w:t>gad</w:t>
      </w:r>
      <w:r w:rsidR="00451719">
        <w:t>a</w:t>
      </w:r>
      <w:r w:rsidR="007D1798" w:rsidRPr="00DD4247">
        <w:t>m</w:t>
      </w:r>
      <w:r w:rsidRPr="00DD4247">
        <w:rPr>
          <w:rFonts w:eastAsia="Times New Roman" w:cs="Times New Roman"/>
          <w:szCs w:val="24"/>
        </w:rPr>
        <w:t xml:space="preserve">” </w:t>
      </w:r>
      <w:r w:rsidRPr="00B10962">
        <w:rPr>
          <w:rFonts w:eastAsia="Times New Roman" w:cs="Times New Roman"/>
          <w:szCs w:val="24"/>
        </w:rPr>
        <w:t xml:space="preserve">tika </w:t>
      </w:r>
      <w:r w:rsidR="000D4D00" w:rsidRPr="00B10962">
        <w:rPr>
          <w:rFonts w:eastAsia="Times New Roman" w:cs="Times New Roman"/>
          <w:szCs w:val="24"/>
        </w:rPr>
        <w:t xml:space="preserve">secināts, ka </w:t>
      </w:r>
      <w:r w:rsidR="00E029BE" w:rsidRPr="00B10962">
        <w:rPr>
          <w:rFonts w:eastAsia="Times New Roman" w:cs="Times New Roman"/>
          <w:szCs w:val="24"/>
        </w:rPr>
        <w:t>tikai 201</w:t>
      </w:r>
      <w:r w:rsidR="00B10962" w:rsidRPr="00B10962">
        <w:rPr>
          <w:rFonts w:eastAsia="Times New Roman" w:cs="Times New Roman"/>
          <w:szCs w:val="24"/>
        </w:rPr>
        <w:t>8</w:t>
      </w:r>
      <w:r w:rsidR="00DD4247" w:rsidRPr="00B10962">
        <w:rPr>
          <w:rFonts w:eastAsia="Times New Roman" w:cs="Times New Roman"/>
          <w:szCs w:val="24"/>
        </w:rPr>
        <w:t>.</w:t>
      </w:r>
      <w:r w:rsidR="00E029BE" w:rsidRPr="00B10962">
        <w:rPr>
          <w:rFonts w:eastAsia="Times New Roman" w:cs="Times New Roman"/>
          <w:szCs w:val="24"/>
        </w:rPr>
        <w:t xml:space="preserve"> un 20</w:t>
      </w:r>
      <w:r w:rsidR="00B10962" w:rsidRPr="00B10962">
        <w:rPr>
          <w:rFonts w:eastAsia="Times New Roman" w:cs="Times New Roman"/>
          <w:szCs w:val="24"/>
        </w:rPr>
        <w:t>19</w:t>
      </w:r>
      <w:r w:rsidR="00E029BE" w:rsidRPr="00B10962">
        <w:rPr>
          <w:rFonts w:eastAsia="Times New Roman" w:cs="Times New Roman"/>
          <w:szCs w:val="24"/>
        </w:rPr>
        <w:t>.</w:t>
      </w:r>
      <w:r w:rsidR="00811382" w:rsidRPr="00B10962">
        <w:rPr>
          <w:rFonts w:eastAsia="Times New Roman" w:cs="Times New Roman"/>
          <w:szCs w:val="24"/>
        </w:rPr>
        <w:t xml:space="preserve"> </w:t>
      </w:r>
      <w:r w:rsidR="00E029BE" w:rsidRPr="00B10962">
        <w:rPr>
          <w:rFonts w:eastAsia="Times New Roman" w:cs="Times New Roman"/>
          <w:szCs w:val="24"/>
        </w:rPr>
        <w:t>gadā</w:t>
      </w:r>
      <w:r w:rsidR="000D4D00" w:rsidRPr="00B10962">
        <w:rPr>
          <w:rFonts w:eastAsia="Times New Roman" w:cs="Times New Roman"/>
          <w:szCs w:val="24"/>
        </w:rPr>
        <w:t xml:space="preserve"> uzkrāto bilanču starpības summa pārsniedz pieļaujamo kritēriju. </w:t>
      </w:r>
    </w:p>
    <w:p w14:paraId="6E2644F2" w14:textId="4C28E25F" w:rsidR="000D4D00" w:rsidRPr="00B10962" w:rsidRDefault="00555C2A" w:rsidP="000D4D00">
      <w:pPr>
        <w:widowControl w:val="0"/>
        <w:rPr>
          <w:rFonts w:eastAsia="Times New Roman" w:cs="Times New Roman"/>
          <w:szCs w:val="24"/>
        </w:rPr>
      </w:pPr>
      <w:r w:rsidRPr="000061B8">
        <w:rPr>
          <w:rFonts w:eastAsia="Times New Roman" w:cs="Times New Roman"/>
          <w:szCs w:val="24"/>
        </w:rPr>
        <w:t xml:space="preserve">Atbilstoši </w:t>
      </w:r>
      <w:r w:rsidR="00E029BE" w:rsidRPr="000061B8">
        <w:rPr>
          <w:rFonts w:eastAsia="Times New Roman" w:cs="Times New Roman"/>
          <w:szCs w:val="24"/>
        </w:rPr>
        <w:t xml:space="preserve"> FDL</w:t>
      </w:r>
      <w:r w:rsidR="000D4D00" w:rsidRPr="000061B8">
        <w:rPr>
          <w:rFonts w:eastAsia="Times New Roman" w:cs="Times New Roman"/>
          <w:szCs w:val="24"/>
        </w:rPr>
        <w:t xml:space="preserve"> 11.</w:t>
      </w:r>
      <w:r w:rsidRPr="000061B8">
        <w:rPr>
          <w:rFonts w:eastAsia="Times New Roman" w:cs="Times New Roman"/>
          <w:szCs w:val="24"/>
        </w:rPr>
        <w:t xml:space="preserve"> </w:t>
      </w:r>
      <w:r w:rsidR="000D4D00" w:rsidRPr="000061B8">
        <w:rPr>
          <w:rFonts w:eastAsia="Times New Roman" w:cs="Times New Roman"/>
          <w:szCs w:val="24"/>
        </w:rPr>
        <w:t xml:space="preserve">panta ceturtajam punktam, minimālo plānojamo vispārējās valdības </w:t>
      </w:r>
      <w:r w:rsidR="000D4D00" w:rsidRPr="000061B8">
        <w:rPr>
          <w:rFonts w:eastAsia="Times New Roman" w:cs="Times New Roman"/>
          <w:szCs w:val="24"/>
        </w:rPr>
        <w:lastRenderedPageBreak/>
        <w:t xml:space="preserve">budžeta strukturālo bilanci koriģē, ja uzkrāto bilanču starpību summa pārsniedz robežvērtību ietvara likumprojekta sagatavošanas gadā. Uz pašreizējo brīdi pēdējais gads, par kuru ir pieejami faktiskie statistikas dati par nominālo budžeta bilanci ir </w:t>
      </w:r>
      <w:r w:rsidR="00E029BE" w:rsidRPr="000061B8">
        <w:rPr>
          <w:rFonts w:eastAsia="Times New Roman" w:cs="Times New Roman"/>
          <w:szCs w:val="24"/>
        </w:rPr>
        <w:t>202</w:t>
      </w:r>
      <w:r w:rsidR="000061B8" w:rsidRPr="000061B8">
        <w:rPr>
          <w:rFonts w:eastAsia="Times New Roman" w:cs="Times New Roman"/>
          <w:szCs w:val="24"/>
        </w:rPr>
        <w:t>2</w:t>
      </w:r>
      <w:r w:rsidR="000D4D00" w:rsidRPr="000061B8">
        <w:rPr>
          <w:rFonts w:eastAsia="Times New Roman" w:cs="Times New Roman"/>
          <w:szCs w:val="24"/>
        </w:rPr>
        <w:t>.</w:t>
      </w:r>
      <w:r w:rsidRPr="000061B8">
        <w:rPr>
          <w:rFonts w:eastAsia="Times New Roman" w:cs="Times New Roman"/>
          <w:szCs w:val="24"/>
        </w:rPr>
        <w:t xml:space="preserve"> </w:t>
      </w:r>
      <w:r w:rsidR="000D4D00" w:rsidRPr="000061B8">
        <w:rPr>
          <w:rFonts w:eastAsia="Times New Roman" w:cs="Times New Roman"/>
          <w:szCs w:val="24"/>
        </w:rPr>
        <w:t xml:space="preserve">gads, kas attiecīgi tālāk tiek izmantots kā references gads nosacījuma pārbaudei. </w:t>
      </w:r>
      <w:r w:rsidR="005B0C58" w:rsidRPr="000061B8">
        <w:rPr>
          <w:rFonts w:eastAsia="Times New Roman" w:cs="Times New Roman"/>
          <w:szCs w:val="24"/>
        </w:rPr>
        <w:t>Ņ</w:t>
      </w:r>
      <w:r w:rsidR="000D4D00" w:rsidRPr="000061B8">
        <w:rPr>
          <w:rFonts w:eastAsia="Times New Roman" w:cs="Times New Roman"/>
          <w:szCs w:val="24"/>
        </w:rPr>
        <w:t>emot vērā statistisko informāciju par vispārējās valdība</w:t>
      </w:r>
      <w:r w:rsidRPr="000061B8">
        <w:rPr>
          <w:rFonts w:eastAsia="Times New Roman" w:cs="Times New Roman"/>
          <w:szCs w:val="24"/>
        </w:rPr>
        <w:t>s budžeta nominālo bilanci un F</w:t>
      </w:r>
      <w:r w:rsidR="005B7C54">
        <w:rPr>
          <w:rFonts w:eastAsia="Times New Roman" w:cs="Times New Roman"/>
          <w:szCs w:val="24"/>
        </w:rPr>
        <w:t>M</w:t>
      </w:r>
      <w:r w:rsidR="000D4D00" w:rsidRPr="000061B8">
        <w:rPr>
          <w:rFonts w:eastAsia="Times New Roman" w:cs="Times New Roman"/>
          <w:szCs w:val="24"/>
        </w:rPr>
        <w:t xml:space="preserve"> izlaižu starpības novērtējumu, uzkrāto bilan</w:t>
      </w:r>
      <w:r w:rsidRPr="000061B8">
        <w:rPr>
          <w:rFonts w:eastAsia="Times New Roman" w:cs="Times New Roman"/>
          <w:szCs w:val="24"/>
        </w:rPr>
        <w:t xml:space="preserve">ču starpību summa </w:t>
      </w:r>
      <w:r w:rsidR="005B0C58" w:rsidRPr="000061B8">
        <w:rPr>
          <w:rFonts w:eastAsia="Times New Roman" w:cs="Times New Roman"/>
          <w:szCs w:val="24"/>
        </w:rPr>
        <w:t>202</w:t>
      </w:r>
      <w:r w:rsidR="000061B8" w:rsidRPr="000061B8">
        <w:rPr>
          <w:rFonts w:eastAsia="Times New Roman" w:cs="Times New Roman"/>
          <w:szCs w:val="24"/>
        </w:rPr>
        <w:t>2</w:t>
      </w:r>
      <w:r w:rsidR="005B0C58" w:rsidRPr="000061B8">
        <w:rPr>
          <w:rFonts w:eastAsia="Times New Roman" w:cs="Times New Roman"/>
          <w:szCs w:val="24"/>
        </w:rPr>
        <w:t>.</w:t>
      </w:r>
      <w:r w:rsidR="00811382" w:rsidRPr="000061B8">
        <w:rPr>
          <w:rFonts w:eastAsia="Times New Roman" w:cs="Times New Roman"/>
          <w:szCs w:val="24"/>
        </w:rPr>
        <w:t xml:space="preserve"> </w:t>
      </w:r>
      <w:r w:rsidR="005B0C58" w:rsidRPr="00B10962">
        <w:rPr>
          <w:rFonts w:eastAsia="Times New Roman" w:cs="Times New Roman"/>
          <w:szCs w:val="24"/>
        </w:rPr>
        <w:t xml:space="preserve">gadā </w:t>
      </w:r>
      <w:r w:rsidR="00E029BE" w:rsidRPr="00B10962">
        <w:rPr>
          <w:rFonts w:eastAsia="Times New Roman" w:cs="Times New Roman"/>
          <w:szCs w:val="24"/>
        </w:rPr>
        <w:t>ne</w:t>
      </w:r>
      <w:r w:rsidRPr="00B10962">
        <w:rPr>
          <w:rFonts w:eastAsia="Times New Roman" w:cs="Times New Roman"/>
          <w:szCs w:val="24"/>
        </w:rPr>
        <w:t xml:space="preserve">pārsniedz </w:t>
      </w:r>
      <w:r w:rsidR="00E029BE" w:rsidRPr="00B10962">
        <w:rPr>
          <w:rFonts w:eastAsia="Times New Roman" w:cs="Times New Roman"/>
          <w:szCs w:val="24"/>
        </w:rPr>
        <w:t xml:space="preserve"> FDL</w:t>
      </w:r>
      <w:r w:rsidRPr="00B10962">
        <w:rPr>
          <w:rFonts w:eastAsia="Times New Roman" w:cs="Times New Roman"/>
          <w:szCs w:val="24"/>
        </w:rPr>
        <w:t xml:space="preserve"> </w:t>
      </w:r>
      <w:r w:rsidR="000D4D00" w:rsidRPr="00B10962">
        <w:rPr>
          <w:rFonts w:eastAsia="Times New Roman" w:cs="Times New Roman"/>
          <w:szCs w:val="24"/>
        </w:rPr>
        <w:t>noteikto</w:t>
      </w:r>
      <w:r w:rsidRPr="00B10962">
        <w:rPr>
          <w:rFonts w:eastAsia="Times New Roman" w:cs="Times New Roman"/>
          <w:szCs w:val="24"/>
        </w:rPr>
        <w:t xml:space="preserve"> robežvērtību </w:t>
      </w:r>
      <w:r w:rsidR="005B0C58" w:rsidRPr="00B10962">
        <w:rPr>
          <w:rFonts w:eastAsia="Times New Roman" w:cs="Times New Roman"/>
          <w:szCs w:val="24"/>
        </w:rPr>
        <w:t xml:space="preserve">-0,5% no IKP </w:t>
      </w:r>
      <w:r w:rsidRPr="00B10962">
        <w:rPr>
          <w:rFonts w:eastAsia="Times New Roman" w:cs="Times New Roman"/>
          <w:szCs w:val="24"/>
        </w:rPr>
        <w:t>un ir</w:t>
      </w:r>
      <w:r w:rsidR="00E029BE" w:rsidRPr="00B10962">
        <w:rPr>
          <w:rFonts w:eastAsia="Times New Roman" w:cs="Times New Roman"/>
          <w:szCs w:val="24"/>
        </w:rPr>
        <w:t xml:space="preserve"> </w:t>
      </w:r>
      <w:r w:rsidR="00B10962" w:rsidRPr="00B10962">
        <w:rPr>
          <w:rFonts w:eastAsia="Times New Roman" w:cs="Times New Roman"/>
          <w:szCs w:val="24"/>
        </w:rPr>
        <w:t>6,1</w:t>
      </w:r>
      <w:r w:rsidRPr="00B10962">
        <w:rPr>
          <w:rFonts w:eastAsia="Times New Roman" w:cs="Times New Roman"/>
          <w:szCs w:val="24"/>
        </w:rPr>
        <w:t xml:space="preserve">% </w:t>
      </w:r>
      <w:r w:rsidR="00096F2A" w:rsidRPr="00B10962">
        <w:rPr>
          <w:rFonts w:eastAsia="Times New Roman" w:cs="Times New Roman"/>
          <w:szCs w:val="24"/>
        </w:rPr>
        <w:t>IKP</w:t>
      </w:r>
      <w:r w:rsidRPr="00B10962">
        <w:rPr>
          <w:rFonts w:eastAsia="Times New Roman" w:cs="Times New Roman"/>
          <w:szCs w:val="24"/>
        </w:rPr>
        <w:t xml:space="preserve">, tādējādi </w:t>
      </w:r>
      <w:r w:rsidR="00E029BE" w:rsidRPr="00B10962">
        <w:rPr>
          <w:rFonts w:eastAsia="Times New Roman" w:cs="Times New Roman"/>
          <w:szCs w:val="24"/>
        </w:rPr>
        <w:t>nav</w:t>
      </w:r>
      <w:r w:rsidR="000D4D00" w:rsidRPr="00B10962">
        <w:rPr>
          <w:rFonts w:eastAsia="Times New Roman" w:cs="Times New Roman"/>
          <w:szCs w:val="24"/>
        </w:rPr>
        <w:t xml:space="preserve"> jāveic strukturālās bilances mērķa korekcijas. </w:t>
      </w:r>
    </w:p>
    <w:p w14:paraId="44378E11" w14:textId="347D311F" w:rsidR="000D4D00" w:rsidRPr="005B7C54" w:rsidRDefault="00D57DD6" w:rsidP="00DB14A4">
      <w:pPr>
        <w:pStyle w:val="H3"/>
      </w:pPr>
      <w:bookmarkStart w:id="59" w:name="_Toc126236647"/>
      <w:r w:rsidRPr="005B7C54">
        <w:t>2.1.4</w:t>
      </w:r>
      <w:r w:rsidR="00E8646E" w:rsidRPr="005B7C54">
        <w:t xml:space="preserve">. </w:t>
      </w:r>
      <w:r w:rsidR="000548A5" w:rsidRPr="005B7C54">
        <w:t xml:space="preserve">Vidēja termiņa strukturālās budžeta </w:t>
      </w:r>
      <w:r w:rsidR="007A5D9E" w:rsidRPr="005B7C54">
        <w:t xml:space="preserve">bilances </w:t>
      </w:r>
      <w:r w:rsidR="000548A5" w:rsidRPr="005B7C54">
        <w:t>mēr</w:t>
      </w:r>
      <w:r w:rsidR="007A5D9E" w:rsidRPr="005B7C54">
        <w:t>ķu salīdzinājums</w:t>
      </w:r>
      <w:bookmarkEnd w:id="59"/>
    </w:p>
    <w:p w14:paraId="5FDBD8D0" w14:textId="159E168A" w:rsidR="00AC4A0B" w:rsidRPr="003D51C1" w:rsidRDefault="00666D52" w:rsidP="00117F48">
      <w:pPr>
        <w:widowControl w:val="0"/>
        <w:ind w:firstLine="709"/>
        <w:rPr>
          <w:rFonts w:eastAsia="Times New Roman" w:cs="Times New Roman"/>
          <w:color w:val="000000"/>
        </w:rPr>
      </w:pPr>
      <w:r w:rsidRPr="003D51C1">
        <w:rPr>
          <w:rFonts w:eastAsia="Times New Roman" w:cs="Times New Roman"/>
          <w:color w:val="000000"/>
        </w:rPr>
        <w:t>2.</w:t>
      </w:r>
      <w:r w:rsidR="00B10962">
        <w:rPr>
          <w:rFonts w:eastAsia="Times New Roman" w:cs="Times New Roman"/>
          <w:color w:val="000000"/>
        </w:rPr>
        <w:t>7</w:t>
      </w:r>
      <w:r w:rsidR="000D4D00" w:rsidRPr="003D51C1">
        <w:rPr>
          <w:rFonts w:eastAsia="Times New Roman" w:cs="Times New Roman"/>
          <w:color w:val="000000"/>
        </w:rPr>
        <w:t>.</w:t>
      </w:r>
      <w:r w:rsidRPr="003D51C1">
        <w:rPr>
          <w:rFonts w:eastAsia="Times New Roman" w:cs="Times New Roman"/>
          <w:color w:val="000000"/>
        </w:rPr>
        <w:t xml:space="preserve"> </w:t>
      </w:r>
      <w:r w:rsidR="000D4D00" w:rsidRPr="003D51C1">
        <w:rPr>
          <w:rFonts w:eastAsia="Times New Roman" w:cs="Times New Roman"/>
          <w:color w:val="000000"/>
        </w:rPr>
        <w:t>tabulā ir atspoguļots salīdzinājums</w:t>
      </w:r>
      <w:r w:rsidR="00744046" w:rsidRPr="003D51C1">
        <w:rPr>
          <w:rFonts w:eastAsia="Times New Roman" w:cs="Times New Roman"/>
          <w:color w:val="000000"/>
        </w:rPr>
        <w:t xml:space="preserve"> starp likumā “</w:t>
      </w:r>
      <w:r w:rsidR="003D51C1" w:rsidRPr="003D51C1">
        <w:rPr>
          <w:rFonts w:eastAsia="Times New Roman" w:cs="Times New Roman"/>
          <w:color w:val="000000"/>
        </w:rPr>
        <w:t>Par valsts budžetu 2023. gadam un budžeta ietvaru 2023., 2024. un 2025. gadam</w:t>
      </w:r>
      <w:r w:rsidR="00744046" w:rsidRPr="003D51C1">
        <w:rPr>
          <w:rFonts w:eastAsia="Times New Roman" w:cs="Times New Roman"/>
          <w:szCs w:val="24"/>
        </w:rPr>
        <w:t>”</w:t>
      </w:r>
      <w:r w:rsidR="000D4D00" w:rsidRPr="003D51C1">
        <w:rPr>
          <w:rFonts w:eastAsia="Times New Roman" w:cs="Times New Roman"/>
          <w:szCs w:val="24"/>
        </w:rPr>
        <w:t xml:space="preserve"> </w:t>
      </w:r>
      <w:r w:rsidR="00744046" w:rsidRPr="003D51C1">
        <w:rPr>
          <w:rFonts w:eastAsia="Times New Roman" w:cs="Times New Roman"/>
          <w:color w:val="000000"/>
        </w:rPr>
        <w:t>un likum</w:t>
      </w:r>
      <w:r w:rsidR="005B0C58" w:rsidRPr="003D51C1">
        <w:rPr>
          <w:rFonts w:eastAsia="Times New Roman" w:cs="Times New Roman"/>
          <w:color w:val="000000"/>
        </w:rPr>
        <w:t xml:space="preserve">projektā </w:t>
      </w:r>
      <w:r w:rsidR="00744046" w:rsidRPr="003D51C1">
        <w:rPr>
          <w:rFonts w:eastAsia="Times New Roman" w:cs="Times New Roman"/>
          <w:color w:val="000000"/>
        </w:rPr>
        <w:t xml:space="preserve"> “</w:t>
      </w:r>
      <w:r w:rsidR="005B0C58" w:rsidRPr="003D51C1">
        <w:rPr>
          <w:rFonts w:eastAsia="Times New Roman" w:cs="Times New Roman"/>
          <w:color w:val="000000"/>
        </w:rPr>
        <w:t>Par valsts budžetu 202</w:t>
      </w:r>
      <w:r w:rsidR="003D51C1" w:rsidRPr="003D51C1">
        <w:rPr>
          <w:rFonts w:eastAsia="Times New Roman" w:cs="Times New Roman"/>
          <w:color w:val="000000"/>
        </w:rPr>
        <w:t>4</w:t>
      </w:r>
      <w:r w:rsidR="005B0C58" w:rsidRPr="003D51C1">
        <w:rPr>
          <w:rFonts w:eastAsia="Times New Roman" w:cs="Times New Roman"/>
          <w:color w:val="000000"/>
        </w:rPr>
        <w:t>.</w:t>
      </w:r>
      <w:r w:rsidR="00811382" w:rsidRPr="003D51C1">
        <w:rPr>
          <w:rFonts w:eastAsia="Times New Roman" w:cs="Times New Roman"/>
          <w:color w:val="000000"/>
        </w:rPr>
        <w:t xml:space="preserve"> </w:t>
      </w:r>
      <w:r w:rsidR="005B0C58" w:rsidRPr="003D51C1">
        <w:rPr>
          <w:rFonts w:eastAsia="Times New Roman" w:cs="Times New Roman"/>
          <w:color w:val="000000"/>
        </w:rPr>
        <w:t>gadam un budžeta ietvaru 202</w:t>
      </w:r>
      <w:r w:rsidR="003D51C1" w:rsidRPr="003D51C1">
        <w:rPr>
          <w:rFonts w:eastAsia="Times New Roman" w:cs="Times New Roman"/>
          <w:color w:val="000000"/>
        </w:rPr>
        <w:t>4</w:t>
      </w:r>
      <w:r w:rsidR="005B0C58" w:rsidRPr="003D51C1">
        <w:rPr>
          <w:rFonts w:eastAsia="Times New Roman" w:cs="Times New Roman"/>
          <w:color w:val="000000"/>
        </w:rPr>
        <w:t>., 202</w:t>
      </w:r>
      <w:r w:rsidR="003D51C1" w:rsidRPr="003D51C1">
        <w:rPr>
          <w:rFonts w:eastAsia="Times New Roman" w:cs="Times New Roman"/>
          <w:color w:val="000000"/>
        </w:rPr>
        <w:t>5</w:t>
      </w:r>
      <w:r w:rsidR="005B0C58" w:rsidRPr="003D51C1">
        <w:rPr>
          <w:rFonts w:eastAsia="Times New Roman" w:cs="Times New Roman"/>
          <w:color w:val="000000"/>
        </w:rPr>
        <w:t>. un 202</w:t>
      </w:r>
      <w:r w:rsidR="003D51C1" w:rsidRPr="003D51C1">
        <w:rPr>
          <w:rFonts w:eastAsia="Times New Roman" w:cs="Times New Roman"/>
          <w:color w:val="000000"/>
        </w:rPr>
        <w:t>6</w:t>
      </w:r>
      <w:r w:rsidR="005B0C58" w:rsidRPr="003D51C1">
        <w:rPr>
          <w:rFonts w:eastAsia="Times New Roman" w:cs="Times New Roman"/>
          <w:color w:val="000000"/>
        </w:rPr>
        <w:t>.</w:t>
      </w:r>
      <w:r w:rsidR="00811382" w:rsidRPr="003D51C1">
        <w:rPr>
          <w:rFonts w:eastAsia="Times New Roman" w:cs="Times New Roman"/>
          <w:color w:val="000000"/>
        </w:rPr>
        <w:t xml:space="preserve"> </w:t>
      </w:r>
      <w:r w:rsidR="005B0C58" w:rsidRPr="003D51C1">
        <w:rPr>
          <w:rFonts w:eastAsia="Times New Roman" w:cs="Times New Roman"/>
          <w:color w:val="000000"/>
        </w:rPr>
        <w:t>gad</w:t>
      </w:r>
      <w:r w:rsidR="00C8209A" w:rsidRPr="003D51C1">
        <w:rPr>
          <w:rFonts w:eastAsia="Times New Roman" w:cs="Times New Roman"/>
          <w:color w:val="000000"/>
        </w:rPr>
        <w:t>am</w:t>
      </w:r>
      <w:r w:rsidR="005B0C58" w:rsidRPr="003D51C1">
        <w:rPr>
          <w:rFonts w:eastAsia="Times New Roman" w:cs="Times New Roman"/>
          <w:color w:val="000000"/>
        </w:rPr>
        <w:t>”</w:t>
      </w:r>
      <w:r w:rsidR="000D4D00" w:rsidRPr="003D51C1">
        <w:rPr>
          <w:rFonts w:eastAsia="Times New Roman" w:cs="Times New Roman"/>
          <w:szCs w:val="24"/>
        </w:rPr>
        <w:t xml:space="preserve"> </w:t>
      </w:r>
      <w:r w:rsidR="000D4D00" w:rsidRPr="003D51C1">
        <w:rPr>
          <w:rFonts w:eastAsia="Times New Roman" w:cs="Times New Roman"/>
          <w:color w:val="000000"/>
        </w:rPr>
        <w:t>noteiktajiem vispārējās valdības</w:t>
      </w:r>
      <w:r w:rsidR="00811E00" w:rsidRPr="003D51C1">
        <w:rPr>
          <w:rFonts w:eastAsia="Times New Roman" w:cs="Times New Roman"/>
          <w:color w:val="000000"/>
        </w:rPr>
        <w:t xml:space="preserve"> strukturālās bilances mērķiem.</w:t>
      </w:r>
    </w:p>
    <w:p w14:paraId="2BB27C75" w14:textId="0377FBD0" w:rsidR="000D4D00" w:rsidRPr="003D51C1" w:rsidRDefault="004614E3" w:rsidP="002B2F86">
      <w:pPr>
        <w:widowControl w:val="0"/>
        <w:ind w:left="1559" w:firstLine="0"/>
        <w:jc w:val="right"/>
        <w:rPr>
          <w:rFonts w:eastAsia="Times New Roman" w:cs="Times New Roman"/>
          <w:b/>
          <w:i/>
          <w:color w:val="000000"/>
        </w:rPr>
      </w:pPr>
      <w:r w:rsidRPr="003D51C1">
        <w:rPr>
          <w:rFonts w:eastAsia="Times New Roman" w:cs="Times New Roman"/>
          <w:b/>
          <w:i/>
          <w:color w:val="000000"/>
        </w:rPr>
        <w:t>2.</w:t>
      </w:r>
      <w:r w:rsidR="00B10962">
        <w:rPr>
          <w:rFonts w:eastAsia="Times New Roman" w:cs="Times New Roman"/>
          <w:b/>
          <w:i/>
          <w:color w:val="000000"/>
        </w:rPr>
        <w:t>7</w:t>
      </w:r>
      <w:r w:rsidR="000D4D00" w:rsidRPr="003D51C1">
        <w:rPr>
          <w:rFonts w:eastAsia="Times New Roman" w:cs="Times New Roman"/>
          <w:b/>
          <w:i/>
          <w:color w:val="000000"/>
        </w:rPr>
        <w:t>.</w:t>
      </w:r>
      <w:r w:rsidR="00744046" w:rsidRPr="003D51C1">
        <w:rPr>
          <w:rFonts w:eastAsia="Times New Roman" w:cs="Times New Roman"/>
          <w:b/>
          <w:i/>
          <w:color w:val="000000"/>
        </w:rPr>
        <w:t xml:space="preserve"> </w:t>
      </w:r>
      <w:r w:rsidR="000D4D00" w:rsidRPr="003D51C1">
        <w:rPr>
          <w:rFonts w:eastAsia="Times New Roman" w:cs="Times New Roman"/>
          <w:b/>
          <w:i/>
          <w:color w:val="000000"/>
        </w:rPr>
        <w:t>tabula. Vispārējās valdības budžeta</w:t>
      </w:r>
      <w:r w:rsidR="00886A0C" w:rsidRPr="003D51C1">
        <w:rPr>
          <w:rFonts w:eastAsia="Times New Roman" w:cs="Times New Roman"/>
          <w:b/>
          <w:i/>
          <w:color w:val="000000"/>
        </w:rPr>
        <w:t xml:space="preserve"> mērķu salīdzinājums starp vidēja termiņa budžeta ietvaru</w:t>
      </w:r>
      <w:r w:rsidR="000D4D00" w:rsidRPr="003D51C1">
        <w:rPr>
          <w:rFonts w:eastAsia="Times New Roman" w:cs="Times New Roman"/>
          <w:b/>
          <w:i/>
          <w:color w:val="000000"/>
        </w:rPr>
        <w:t xml:space="preserve"> </w:t>
      </w:r>
      <w:r w:rsidR="00902165" w:rsidRPr="003D51C1">
        <w:rPr>
          <w:rFonts w:eastAsia="Times New Roman" w:cs="Times New Roman"/>
          <w:b/>
          <w:i/>
          <w:color w:val="000000"/>
        </w:rPr>
        <w:t>202</w:t>
      </w:r>
      <w:r w:rsidR="003D51C1" w:rsidRPr="003D51C1">
        <w:rPr>
          <w:rFonts w:eastAsia="Times New Roman" w:cs="Times New Roman"/>
          <w:b/>
          <w:i/>
          <w:color w:val="000000"/>
        </w:rPr>
        <w:t>3</w:t>
      </w:r>
      <w:r w:rsidR="000D4D00" w:rsidRPr="003D51C1">
        <w:rPr>
          <w:rFonts w:eastAsia="Times New Roman" w:cs="Times New Roman"/>
          <w:b/>
          <w:i/>
          <w:color w:val="000000"/>
        </w:rPr>
        <w:t xml:space="preserve">., </w:t>
      </w:r>
      <w:r w:rsidR="00902165" w:rsidRPr="003D51C1">
        <w:rPr>
          <w:rFonts w:eastAsia="Times New Roman" w:cs="Times New Roman"/>
          <w:b/>
          <w:i/>
          <w:color w:val="000000"/>
        </w:rPr>
        <w:t>202</w:t>
      </w:r>
      <w:r w:rsidR="003D51C1" w:rsidRPr="003D51C1">
        <w:rPr>
          <w:rFonts w:eastAsia="Times New Roman" w:cs="Times New Roman"/>
          <w:b/>
          <w:i/>
          <w:color w:val="000000"/>
        </w:rPr>
        <w:t>4</w:t>
      </w:r>
      <w:r w:rsidR="000D4D00" w:rsidRPr="003D51C1">
        <w:rPr>
          <w:rFonts w:eastAsia="Times New Roman" w:cs="Times New Roman"/>
          <w:b/>
          <w:i/>
          <w:color w:val="000000"/>
        </w:rPr>
        <w:t xml:space="preserve">. un </w:t>
      </w:r>
      <w:r w:rsidR="00902165" w:rsidRPr="003D51C1">
        <w:rPr>
          <w:rFonts w:eastAsia="Times New Roman" w:cs="Times New Roman"/>
          <w:b/>
          <w:i/>
          <w:color w:val="000000"/>
        </w:rPr>
        <w:t>202</w:t>
      </w:r>
      <w:r w:rsidR="003D51C1" w:rsidRPr="003D51C1">
        <w:rPr>
          <w:rFonts w:eastAsia="Times New Roman" w:cs="Times New Roman"/>
          <w:b/>
          <w:i/>
          <w:color w:val="000000"/>
        </w:rPr>
        <w:t>5</w:t>
      </w:r>
      <w:r w:rsidR="000D4D00" w:rsidRPr="003D51C1">
        <w:rPr>
          <w:rFonts w:eastAsia="Times New Roman" w:cs="Times New Roman"/>
          <w:b/>
          <w:i/>
          <w:color w:val="000000"/>
        </w:rPr>
        <w:t>.</w:t>
      </w:r>
      <w:r w:rsidR="002B2F86" w:rsidRPr="003D51C1">
        <w:rPr>
          <w:rFonts w:eastAsia="Times New Roman" w:cs="Times New Roman"/>
          <w:b/>
          <w:i/>
          <w:color w:val="000000"/>
        </w:rPr>
        <w:t xml:space="preserve"> </w:t>
      </w:r>
      <w:r w:rsidR="000D4D00" w:rsidRPr="003D51C1">
        <w:rPr>
          <w:rFonts w:eastAsia="Times New Roman" w:cs="Times New Roman"/>
          <w:b/>
          <w:i/>
          <w:color w:val="000000"/>
        </w:rPr>
        <w:t xml:space="preserve">gadam un </w:t>
      </w:r>
      <w:r w:rsidR="00886A0C" w:rsidRPr="003D51C1">
        <w:rPr>
          <w:rFonts w:eastAsia="Times New Roman" w:cs="Times New Roman"/>
          <w:b/>
          <w:i/>
          <w:color w:val="000000"/>
        </w:rPr>
        <w:t>vidēja termiņa budžeta ietvaru</w:t>
      </w:r>
      <w:r w:rsidR="000D4D00" w:rsidRPr="003D51C1">
        <w:rPr>
          <w:rFonts w:eastAsia="Times New Roman" w:cs="Times New Roman"/>
          <w:b/>
          <w:i/>
          <w:color w:val="000000"/>
        </w:rPr>
        <w:t xml:space="preserve"> </w:t>
      </w:r>
      <w:r w:rsidR="00902165" w:rsidRPr="003D51C1">
        <w:rPr>
          <w:rFonts w:eastAsia="Times New Roman" w:cs="Times New Roman"/>
          <w:b/>
          <w:i/>
          <w:color w:val="000000"/>
        </w:rPr>
        <w:t>202</w:t>
      </w:r>
      <w:r w:rsidR="003D51C1" w:rsidRPr="003D51C1">
        <w:rPr>
          <w:rFonts w:eastAsia="Times New Roman" w:cs="Times New Roman"/>
          <w:b/>
          <w:i/>
          <w:color w:val="000000"/>
        </w:rPr>
        <w:t>4</w:t>
      </w:r>
      <w:r w:rsidR="000D4D00" w:rsidRPr="003D51C1">
        <w:rPr>
          <w:rFonts w:eastAsia="Times New Roman" w:cs="Times New Roman"/>
          <w:b/>
          <w:i/>
          <w:color w:val="000000"/>
        </w:rPr>
        <w:t xml:space="preserve">., </w:t>
      </w:r>
      <w:r w:rsidR="00902165" w:rsidRPr="003D51C1">
        <w:rPr>
          <w:rFonts w:eastAsia="Times New Roman" w:cs="Times New Roman"/>
          <w:b/>
          <w:i/>
          <w:color w:val="000000"/>
        </w:rPr>
        <w:t>202</w:t>
      </w:r>
      <w:r w:rsidR="003D51C1" w:rsidRPr="003D51C1">
        <w:rPr>
          <w:rFonts w:eastAsia="Times New Roman" w:cs="Times New Roman"/>
          <w:b/>
          <w:i/>
          <w:color w:val="000000"/>
        </w:rPr>
        <w:t>5</w:t>
      </w:r>
      <w:r w:rsidR="000D4D00" w:rsidRPr="003D51C1">
        <w:rPr>
          <w:rFonts w:eastAsia="Times New Roman" w:cs="Times New Roman"/>
          <w:b/>
          <w:i/>
          <w:color w:val="000000"/>
        </w:rPr>
        <w:t xml:space="preserve">. un </w:t>
      </w:r>
      <w:r w:rsidR="00902165" w:rsidRPr="003D51C1">
        <w:rPr>
          <w:rFonts w:eastAsia="Times New Roman" w:cs="Times New Roman"/>
          <w:b/>
          <w:i/>
          <w:color w:val="000000"/>
        </w:rPr>
        <w:t>202</w:t>
      </w:r>
      <w:r w:rsidR="003D51C1" w:rsidRPr="003D51C1">
        <w:rPr>
          <w:rFonts w:eastAsia="Times New Roman" w:cs="Times New Roman"/>
          <w:b/>
          <w:i/>
          <w:color w:val="000000"/>
        </w:rPr>
        <w:t>6</w:t>
      </w:r>
      <w:r w:rsidR="000D4D00" w:rsidRPr="003D51C1">
        <w:rPr>
          <w:rFonts w:eastAsia="Times New Roman" w:cs="Times New Roman"/>
          <w:b/>
          <w:i/>
          <w:color w:val="000000"/>
        </w:rPr>
        <w:t>.</w:t>
      </w:r>
      <w:r w:rsidRPr="003D51C1">
        <w:rPr>
          <w:rFonts w:eastAsia="Times New Roman" w:cs="Times New Roman"/>
          <w:b/>
          <w:i/>
          <w:color w:val="000000"/>
        </w:rPr>
        <w:t xml:space="preserve"> </w:t>
      </w:r>
      <w:r w:rsidR="000D4D00" w:rsidRPr="003D51C1">
        <w:rPr>
          <w:rFonts w:eastAsia="Times New Roman" w:cs="Times New Roman"/>
          <w:b/>
          <w:i/>
          <w:color w:val="000000"/>
        </w:rPr>
        <w:t>gadam</w:t>
      </w:r>
    </w:p>
    <w:tbl>
      <w:tblPr>
        <w:tblW w:w="0" w:type="auto"/>
        <w:jc w:val="center"/>
        <w:tblLayout w:type="fixed"/>
        <w:tblCellMar>
          <w:left w:w="10" w:type="dxa"/>
          <w:right w:w="10" w:type="dxa"/>
        </w:tblCellMar>
        <w:tblLook w:val="0000" w:firstRow="0" w:lastRow="0" w:firstColumn="0" w:lastColumn="0" w:noHBand="0" w:noVBand="0"/>
      </w:tblPr>
      <w:tblGrid>
        <w:gridCol w:w="988"/>
        <w:gridCol w:w="1417"/>
        <w:gridCol w:w="1843"/>
        <w:gridCol w:w="1547"/>
        <w:gridCol w:w="1719"/>
        <w:gridCol w:w="1547"/>
      </w:tblGrid>
      <w:tr w:rsidR="000D4D00" w:rsidRPr="0038459F" w14:paraId="0E635C25" w14:textId="77777777" w:rsidTr="00387F35">
        <w:trPr>
          <w:jc w:val="center"/>
        </w:trPr>
        <w:tc>
          <w:tcPr>
            <w:tcW w:w="988" w:type="dxa"/>
            <w:vMerge w:val="restart"/>
            <w:tcBorders>
              <w:top w:val="single" w:sz="4" w:space="0" w:color="000000"/>
              <w:left w:val="single" w:sz="4" w:space="0" w:color="000000"/>
              <w:bottom w:val="single" w:sz="12" w:space="0" w:color="9CC2E5"/>
              <w:right w:val="single" w:sz="4" w:space="0" w:color="000000"/>
            </w:tcBorders>
            <w:shd w:val="clear" w:color="000000" w:fill="BDD6EE"/>
            <w:tcMar>
              <w:left w:w="108" w:type="dxa"/>
              <w:right w:w="108" w:type="dxa"/>
            </w:tcMar>
            <w:vAlign w:val="center"/>
          </w:tcPr>
          <w:p w14:paraId="795D5457" w14:textId="77777777" w:rsidR="000D4D00" w:rsidRPr="0038459F" w:rsidRDefault="000D4D00" w:rsidP="007D6D1B">
            <w:pPr>
              <w:widowControl w:val="0"/>
              <w:spacing w:after="0"/>
              <w:jc w:val="center"/>
              <w:rPr>
                <w:rFonts w:ascii="Calibri" w:eastAsia="Calibri" w:hAnsi="Calibri" w:cs="Calibri"/>
                <w:highlight w:val="lightGray"/>
              </w:rPr>
            </w:pPr>
          </w:p>
        </w:tc>
        <w:tc>
          <w:tcPr>
            <w:tcW w:w="3260" w:type="dxa"/>
            <w:gridSpan w:val="2"/>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0C798485" w14:textId="16A9A497" w:rsidR="000D4D00" w:rsidRPr="00387F35" w:rsidRDefault="00255306" w:rsidP="007D6D1B">
            <w:pPr>
              <w:widowControl w:val="0"/>
              <w:spacing w:after="0"/>
              <w:ind w:firstLine="0"/>
              <w:jc w:val="center"/>
            </w:pPr>
            <w:r w:rsidRPr="00387F35">
              <w:rPr>
                <w:rFonts w:eastAsia="Times New Roman" w:cs="Times New Roman"/>
                <w:b/>
                <w:color w:val="000000"/>
                <w:sz w:val="20"/>
              </w:rPr>
              <w:t xml:space="preserve">Vidēja termiņa budžeta ietvars </w:t>
            </w:r>
            <w:r w:rsidR="000D4D00" w:rsidRPr="00387F35">
              <w:rPr>
                <w:rFonts w:eastAsia="Times New Roman" w:cs="Times New Roman"/>
                <w:b/>
                <w:color w:val="000000"/>
                <w:sz w:val="20"/>
              </w:rPr>
              <w:t>202</w:t>
            </w:r>
            <w:r w:rsidR="003D51C1" w:rsidRPr="00387F35">
              <w:rPr>
                <w:rFonts w:eastAsia="Times New Roman" w:cs="Times New Roman"/>
                <w:b/>
                <w:color w:val="000000"/>
                <w:sz w:val="20"/>
              </w:rPr>
              <w:t>3</w:t>
            </w:r>
            <w:r w:rsidR="000D4D00" w:rsidRPr="00387F35">
              <w:rPr>
                <w:rFonts w:eastAsia="Times New Roman" w:cs="Times New Roman"/>
                <w:b/>
                <w:color w:val="000000"/>
                <w:sz w:val="20"/>
              </w:rPr>
              <w:t>-</w:t>
            </w:r>
            <w:r w:rsidR="005B0C58" w:rsidRPr="00387F35">
              <w:rPr>
                <w:rFonts w:eastAsia="Times New Roman" w:cs="Times New Roman"/>
                <w:b/>
                <w:color w:val="000000"/>
                <w:sz w:val="20"/>
              </w:rPr>
              <w:t>202</w:t>
            </w:r>
            <w:r w:rsidR="003D51C1" w:rsidRPr="00387F35">
              <w:rPr>
                <w:rFonts w:eastAsia="Times New Roman" w:cs="Times New Roman"/>
                <w:b/>
                <w:color w:val="000000"/>
                <w:sz w:val="20"/>
              </w:rPr>
              <w:t>5</w:t>
            </w:r>
          </w:p>
        </w:tc>
        <w:tc>
          <w:tcPr>
            <w:tcW w:w="3266" w:type="dxa"/>
            <w:gridSpan w:val="2"/>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2F6EF408" w14:textId="77777777" w:rsidR="003D51C1" w:rsidRPr="00387F35" w:rsidRDefault="00255306" w:rsidP="007D6D1B">
            <w:pPr>
              <w:widowControl w:val="0"/>
              <w:spacing w:after="0"/>
              <w:ind w:firstLine="0"/>
              <w:jc w:val="center"/>
              <w:rPr>
                <w:rFonts w:eastAsia="Times New Roman" w:cs="Times New Roman"/>
                <w:b/>
                <w:color w:val="000000"/>
                <w:sz w:val="20"/>
              </w:rPr>
            </w:pPr>
            <w:r w:rsidRPr="00387F35">
              <w:rPr>
                <w:rFonts w:eastAsia="Times New Roman" w:cs="Times New Roman"/>
                <w:b/>
                <w:color w:val="000000"/>
                <w:sz w:val="20"/>
              </w:rPr>
              <w:t>Vidēja termiņa budžeta ietvar</w:t>
            </w:r>
            <w:r w:rsidR="00902165" w:rsidRPr="00387F35">
              <w:rPr>
                <w:rFonts w:eastAsia="Times New Roman" w:cs="Times New Roman"/>
                <w:b/>
                <w:color w:val="000000"/>
                <w:sz w:val="20"/>
              </w:rPr>
              <w:t>s</w:t>
            </w:r>
            <w:r w:rsidRPr="00387F35">
              <w:rPr>
                <w:rFonts w:eastAsia="Times New Roman" w:cs="Times New Roman"/>
                <w:b/>
                <w:color w:val="000000"/>
                <w:sz w:val="20"/>
              </w:rPr>
              <w:t xml:space="preserve"> </w:t>
            </w:r>
          </w:p>
          <w:p w14:paraId="2CDD9FFC" w14:textId="14C6F342" w:rsidR="000D4D00" w:rsidRPr="00387F35" w:rsidRDefault="000D4D00" w:rsidP="007D6D1B">
            <w:pPr>
              <w:widowControl w:val="0"/>
              <w:spacing w:after="0"/>
              <w:ind w:firstLine="0"/>
              <w:jc w:val="center"/>
            </w:pPr>
            <w:r w:rsidRPr="00387F35">
              <w:rPr>
                <w:rFonts w:eastAsia="Times New Roman" w:cs="Times New Roman"/>
                <w:b/>
                <w:color w:val="000000"/>
                <w:sz w:val="20"/>
              </w:rPr>
              <w:t>202</w:t>
            </w:r>
            <w:r w:rsidR="003D51C1" w:rsidRPr="00387F35">
              <w:rPr>
                <w:rFonts w:eastAsia="Times New Roman" w:cs="Times New Roman"/>
                <w:b/>
                <w:color w:val="000000"/>
                <w:sz w:val="20"/>
              </w:rPr>
              <w:t>4</w:t>
            </w:r>
            <w:r w:rsidRPr="00387F35">
              <w:rPr>
                <w:rFonts w:eastAsia="Times New Roman" w:cs="Times New Roman"/>
                <w:b/>
                <w:color w:val="000000"/>
                <w:sz w:val="20"/>
              </w:rPr>
              <w:t>-202</w:t>
            </w:r>
            <w:r w:rsidR="003D51C1" w:rsidRPr="00387F35">
              <w:rPr>
                <w:rFonts w:eastAsia="Times New Roman" w:cs="Times New Roman"/>
                <w:b/>
                <w:color w:val="000000"/>
                <w:sz w:val="20"/>
              </w:rPr>
              <w:t>6</w:t>
            </w:r>
          </w:p>
        </w:tc>
        <w:tc>
          <w:tcPr>
            <w:tcW w:w="1547" w:type="dxa"/>
            <w:vMerge w:val="restart"/>
            <w:tcBorders>
              <w:top w:val="single" w:sz="4" w:space="0" w:color="000000"/>
              <w:left w:val="single" w:sz="4" w:space="0" w:color="000000"/>
              <w:bottom w:val="single" w:sz="12" w:space="0" w:color="9CC2E5"/>
              <w:right w:val="single" w:sz="4" w:space="0" w:color="000000"/>
            </w:tcBorders>
            <w:shd w:val="clear" w:color="000000" w:fill="BDD6EE"/>
            <w:tcMar>
              <w:left w:w="108" w:type="dxa"/>
              <w:right w:w="108" w:type="dxa"/>
            </w:tcMar>
            <w:vAlign w:val="center"/>
          </w:tcPr>
          <w:p w14:paraId="4D4F4CD4" w14:textId="77777777" w:rsidR="000D4D00" w:rsidRPr="00387F35" w:rsidRDefault="000D4D00" w:rsidP="007D6D1B">
            <w:pPr>
              <w:widowControl w:val="0"/>
              <w:spacing w:after="0"/>
              <w:ind w:firstLine="0"/>
              <w:jc w:val="center"/>
              <w:rPr>
                <w:rFonts w:eastAsia="Times New Roman" w:cs="Times New Roman"/>
                <w:b/>
                <w:color w:val="000000"/>
                <w:sz w:val="20"/>
              </w:rPr>
            </w:pPr>
            <w:r w:rsidRPr="00387F35">
              <w:rPr>
                <w:rFonts w:eastAsia="Times New Roman" w:cs="Times New Roman"/>
                <w:b/>
                <w:color w:val="000000"/>
                <w:sz w:val="20"/>
              </w:rPr>
              <w:t>Starpība</w:t>
            </w:r>
          </w:p>
          <w:p w14:paraId="76434963" w14:textId="77777777" w:rsidR="000D4D00" w:rsidRPr="00387F35" w:rsidRDefault="000D4D00" w:rsidP="007D6D1B">
            <w:pPr>
              <w:widowControl w:val="0"/>
              <w:spacing w:after="0"/>
              <w:ind w:firstLine="0"/>
              <w:jc w:val="center"/>
            </w:pPr>
            <w:r w:rsidRPr="00387F35">
              <w:rPr>
                <w:rFonts w:eastAsia="Times New Roman" w:cs="Times New Roman"/>
                <w:b/>
                <w:color w:val="000000"/>
                <w:sz w:val="20"/>
              </w:rPr>
              <w:t>(3)=(2)-(1)</w:t>
            </w:r>
          </w:p>
        </w:tc>
      </w:tr>
      <w:tr w:rsidR="000D4D00" w:rsidRPr="0038459F" w14:paraId="2B6C05D6" w14:textId="77777777" w:rsidTr="00387F35">
        <w:trPr>
          <w:jc w:val="center"/>
        </w:trPr>
        <w:tc>
          <w:tcPr>
            <w:tcW w:w="988" w:type="dxa"/>
            <w:vMerge/>
            <w:tcBorders>
              <w:top w:val="single" w:sz="4" w:space="0" w:color="000000"/>
              <w:left w:val="single" w:sz="4" w:space="0" w:color="000000"/>
              <w:bottom w:val="single" w:sz="12" w:space="0" w:color="9CC2E5"/>
              <w:right w:val="single" w:sz="4" w:space="0" w:color="000000"/>
            </w:tcBorders>
            <w:shd w:val="clear" w:color="000000" w:fill="BDD6EE"/>
            <w:tcMar>
              <w:left w:w="108" w:type="dxa"/>
              <w:right w:w="108" w:type="dxa"/>
            </w:tcMar>
            <w:vAlign w:val="center"/>
          </w:tcPr>
          <w:p w14:paraId="14D2B09D" w14:textId="77777777" w:rsidR="000D4D00" w:rsidRPr="0038459F" w:rsidRDefault="000D4D00" w:rsidP="000D4D00">
            <w:pPr>
              <w:rPr>
                <w:rFonts w:ascii="Calibri" w:eastAsia="Calibri" w:hAnsi="Calibri" w:cs="Calibri"/>
                <w:highlight w:val="lightGray"/>
              </w:rPr>
            </w:pPr>
          </w:p>
        </w:tc>
        <w:tc>
          <w:tcPr>
            <w:tcW w:w="1417" w:type="dxa"/>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71CE4136" w14:textId="77777777" w:rsidR="000D4D00" w:rsidRPr="00387F35" w:rsidRDefault="000D4D00" w:rsidP="00811E00">
            <w:pPr>
              <w:widowControl w:val="0"/>
              <w:ind w:firstLine="28"/>
              <w:jc w:val="center"/>
              <w:rPr>
                <w:rFonts w:eastAsia="Times New Roman" w:cs="Times New Roman"/>
                <w:color w:val="000000"/>
                <w:sz w:val="20"/>
              </w:rPr>
            </w:pPr>
            <w:r w:rsidRPr="00387F35">
              <w:rPr>
                <w:rFonts w:eastAsia="Times New Roman" w:cs="Times New Roman"/>
                <w:color w:val="000000"/>
                <w:sz w:val="20"/>
              </w:rPr>
              <w:t>Strukturālās bilances mērķis</w:t>
            </w:r>
          </w:p>
          <w:p w14:paraId="10A8AE14" w14:textId="77777777" w:rsidR="000D4D00" w:rsidRPr="00387F35" w:rsidRDefault="000D4D00" w:rsidP="00811E00">
            <w:pPr>
              <w:widowControl w:val="0"/>
              <w:ind w:firstLine="28"/>
              <w:jc w:val="center"/>
            </w:pPr>
            <w:r w:rsidRPr="00387F35">
              <w:rPr>
                <w:rFonts w:eastAsia="Times New Roman" w:cs="Times New Roman"/>
                <w:color w:val="000000"/>
                <w:sz w:val="20"/>
              </w:rPr>
              <w:t>(1)</w:t>
            </w:r>
          </w:p>
        </w:tc>
        <w:tc>
          <w:tcPr>
            <w:tcW w:w="1843" w:type="dxa"/>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322AF9AD" w14:textId="77777777" w:rsidR="000D4D00" w:rsidRPr="00387F35" w:rsidRDefault="000D4D00" w:rsidP="00811E00">
            <w:pPr>
              <w:widowControl w:val="0"/>
              <w:ind w:firstLine="28"/>
              <w:jc w:val="center"/>
            </w:pPr>
            <w:r w:rsidRPr="00387F35">
              <w:rPr>
                <w:rFonts w:eastAsia="Times New Roman" w:cs="Times New Roman"/>
                <w:color w:val="000000"/>
                <w:sz w:val="20"/>
              </w:rPr>
              <w:t>Noteicošais fiskālais nosacījums</w:t>
            </w:r>
          </w:p>
        </w:tc>
        <w:tc>
          <w:tcPr>
            <w:tcW w:w="1547" w:type="dxa"/>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35B93578" w14:textId="77777777" w:rsidR="000D4D00" w:rsidRPr="00387F35" w:rsidRDefault="000D4D00" w:rsidP="00811E00">
            <w:pPr>
              <w:widowControl w:val="0"/>
              <w:ind w:firstLine="28"/>
              <w:jc w:val="center"/>
              <w:rPr>
                <w:rFonts w:eastAsia="Times New Roman" w:cs="Times New Roman"/>
                <w:color w:val="000000"/>
                <w:sz w:val="20"/>
              </w:rPr>
            </w:pPr>
            <w:r w:rsidRPr="00387F35">
              <w:rPr>
                <w:rFonts w:eastAsia="Times New Roman" w:cs="Times New Roman"/>
                <w:color w:val="000000"/>
                <w:sz w:val="20"/>
              </w:rPr>
              <w:t>Strukturālās bilances mērķis</w:t>
            </w:r>
          </w:p>
          <w:p w14:paraId="1D450B59" w14:textId="77777777" w:rsidR="000D4D00" w:rsidRPr="00387F35" w:rsidRDefault="000D4D00" w:rsidP="00811E00">
            <w:pPr>
              <w:widowControl w:val="0"/>
              <w:ind w:firstLine="28"/>
              <w:jc w:val="center"/>
            </w:pPr>
            <w:r w:rsidRPr="00387F35">
              <w:rPr>
                <w:rFonts w:eastAsia="Times New Roman" w:cs="Times New Roman"/>
                <w:color w:val="000000"/>
                <w:sz w:val="20"/>
              </w:rPr>
              <w:t>(2)</w:t>
            </w:r>
          </w:p>
        </w:tc>
        <w:tc>
          <w:tcPr>
            <w:tcW w:w="1719" w:type="dxa"/>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7CD10522" w14:textId="77777777" w:rsidR="000D4D00" w:rsidRPr="00387F35" w:rsidRDefault="000D4D00" w:rsidP="00811E00">
            <w:pPr>
              <w:widowControl w:val="0"/>
              <w:ind w:firstLine="28"/>
              <w:jc w:val="center"/>
            </w:pPr>
            <w:r w:rsidRPr="00387F35">
              <w:rPr>
                <w:rFonts w:eastAsia="Times New Roman" w:cs="Times New Roman"/>
                <w:color w:val="000000"/>
                <w:sz w:val="20"/>
              </w:rPr>
              <w:t>Noteicošais fiskālais nosacījums</w:t>
            </w:r>
          </w:p>
        </w:tc>
        <w:tc>
          <w:tcPr>
            <w:tcW w:w="1547" w:type="dxa"/>
            <w:vMerge/>
            <w:tcBorders>
              <w:top w:val="single" w:sz="4" w:space="0" w:color="000000"/>
              <w:left w:val="single" w:sz="4" w:space="0" w:color="000000"/>
              <w:bottom w:val="single" w:sz="12" w:space="0" w:color="9CC2E5"/>
              <w:right w:val="single" w:sz="4" w:space="0" w:color="000000"/>
            </w:tcBorders>
            <w:shd w:val="clear" w:color="000000" w:fill="BDD6EE"/>
            <w:tcMar>
              <w:left w:w="108" w:type="dxa"/>
              <w:right w:w="108" w:type="dxa"/>
            </w:tcMar>
            <w:vAlign w:val="center"/>
          </w:tcPr>
          <w:p w14:paraId="79BEE534" w14:textId="77777777" w:rsidR="000D4D00" w:rsidRPr="00387F35" w:rsidRDefault="000D4D00" w:rsidP="000D4D00"/>
        </w:tc>
      </w:tr>
      <w:tr w:rsidR="000D4D00" w:rsidRPr="0038459F" w14:paraId="269B262B" w14:textId="77777777" w:rsidTr="007D6D1B">
        <w:trPr>
          <w:trHeight w:val="283"/>
          <w:jc w:val="center"/>
        </w:trPr>
        <w:tc>
          <w:tcPr>
            <w:tcW w:w="988"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4DFC9459" w14:textId="77777777" w:rsidR="000D4D00" w:rsidRPr="00387F35" w:rsidRDefault="000D4D00" w:rsidP="007D6D1B">
            <w:pPr>
              <w:widowControl w:val="0"/>
              <w:spacing w:after="0"/>
              <w:ind w:firstLine="0"/>
              <w:jc w:val="center"/>
              <w:rPr>
                <w:rFonts w:eastAsia="Times New Roman" w:cs="Times New Roman"/>
                <w:b/>
                <w:color w:val="000000"/>
                <w:sz w:val="20"/>
              </w:rPr>
            </w:pPr>
            <w:r w:rsidRPr="00387F35">
              <w:rPr>
                <w:rFonts w:eastAsia="Times New Roman" w:cs="Times New Roman"/>
                <w:b/>
                <w:color w:val="000000"/>
                <w:sz w:val="20"/>
              </w:rPr>
              <w:t>2023</w:t>
            </w:r>
          </w:p>
        </w:tc>
        <w:tc>
          <w:tcPr>
            <w:tcW w:w="141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6DD3EFE6" w14:textId="7709A527" w:rsidR="000D4D00"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-0,5</w:t>
            </w:r>
          </w:p>
        </w:tc>
        <w:tc>
          <w:tcPr>
            <w:tcW w:w="1843"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76A73506" w14:textId="77777777" w:rsidR="000D4D00" w:rsidRPr="00387F35" w:rsidRDefault="000D4D00"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Bilances nosacījums</w:t>
            </w:r>
          </w:p>
        </w:tc>
        <w:tc>
          <w:tcPr>
            <w:tcW w:w="154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07AA2BBB" w14:textId="1CD2635F" w:rsidR="000D4D00"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x</w:t>
            </w:r>
          </w:p>
        </w:tc>
        <w:tc>
          <w:tcPr>
            <w:tcW w:w="1719"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265C64D9" w14:textId="44EA4783" w:rsidR="000D4D00"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x</w:t>
            </w:r>
          </w:p>
        </w:tc>
        <w:tc>
          <w:tcPr>
            <w:tcW w:w="154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4195B059" w14:textId="6AC650C4" w:rsidR="000D4D00" w:rsidRPr="00387F35" w:rsidRDefault="000D4D00" w:rsidP="007D6D1B">
            <w:pPr>
              <w:widowControl w:val="0"/>
              <w:spacing w:after="0"/>
              <w:ind w:firstLine="0"/>
              <w:jc w:val="center"/>
              <w:rPr>
                <w:rFonts w:eastAsia="Times New Roman" w:cs="Times New Roman"/>
                <w:color w:val="000000"/>
                <w:sz w:val="20"/>
              </w:rPr>
            </w:pPr>
          </w:p>
        </w:tc>
      </w:tr>
      <w:tr w:rsidR="000D4D00" w:rsidRPr="0038459F" w14:paraId="7A7D6EDC" w14:textId="77777777" w:rsidTr="00387F35">
        <w:trPr>
          <w:trHeight w:val="429"/>
          <w:jc w:val="center"/>
        </w:trPr>
        <w:tc>
          <w:tcPr>
            <w:tcW w:w="988"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2913FF50" w14:textId="77777777" w:rsidR="000D4D00" w:rsidRPr="00387F35" w:rsidRDefault="000D4D00" w:rsidP="007D6D1B">
            <w:pPr>
              <w:widowControl w:val="0"/>
              <w:spacing w:after="0"/>
              <w:ind w:firstLine="0"/>
              <w:jc w:val="center"/>
              <w:rPr>
                <w:rFonts w:eastAsia="Times New Roman" w:cs="Times New Roman"/>
                <w:b/>
                <w:color w:val="000000"/>
                <w:sz w:val="20"/>
              </w:rPr>
            </w:pPr>
            <w:r w:rsidRPr="00387F35">
              <w:rPr>
                <w:rFonts w:eastAsia="Times New Roman" w:cs="Times New Roman"/>
                <w:b/>
                <w:color w:val="000000"/>
                <w:sz w:val="20"/>
              </w:rPr>
              <w:t>2024</w:t>
            </w:r>
          </w:p>
        </w:tc>
        <w:tc>
          <w:tcPr>
            <w:tcW w:w="141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7F3662AC" w14:textId="3E9772CD" w:rsidR="000D4D00"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-0,5</w:t>
            </w:r>
          </w:p>
        </w:tc>
        <w:tc>
          <w:tcPr>
            <w:tcW w:w="1843"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64744CAE" w14:textId="70BC1BD5" w:rsidR="000D4D00" w:rsidRPr="00387F35" w:rsidRDefault="00902165"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Bilances nosacījums</w:t>
            </w:r>
          </w:p>
        </w:tc>
        <w:tc>
          <w:tcPr>
            <w:tcW w:w="154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5CAE9423" w14:textId="7B84A11A" w:rsidR="000D4D00" w:rsidRPr="00387F35" w:rsidRDefault="0018367D"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w:t>
            </w:r>
            <w:r w:rsidR="00902165" w:rsidRPr="00387F35">
              <w:rPr>
                <w:rFonts w:eastAsia="Times New Roman" w:cs="Times New Roman"/>
                <w:color w:val="000000"/>
                <w:sz w:val="20"/>
              </w:rPr>
              <w:t>0,5</w:t>
            </w:r>
          </w:p>
        </w:tc>
        <w:tc>
          <w:tcPr>
            <w:tcW w:w="1719"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3075F641" w14:textId="1E1609EB" w:rsidR="000D4D00" w:rsidRPr="00387F35" w:rsidRDefault="00902165"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Bilances nosacījums</w:t>
            </w:r>
          </w:p>
        </w:tc>
        <w:tc>
          <w:tcPr>
            <w:tcW w:w="154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3874F8E6" w14:textId="0F1B4519" w:rsidR="000D4D00" w:rsidRPr="00387F35" w:rsidRDefault="003B2ACB" w:rsidP="007D6D1B">
            <w:pPr>
              <w:widowControl w:val="0"/>
              <w:spacing w:after="0"/>
              <w:ind w:firstLine="23"/>
              <w:jc w:val="center"/>
              <w:rPr>
                <w:rFonts w:eastAsia="Times New Roman" w:cs="Times New Roman"/>
                <w:color w:val="000000"/>
                <w:sz w:val="20"/>
              </w:rPr>
            </w:pPr>
            <w:r w:rsidRPr="00387F35">
              <w:rPr>
                <w:rFonts w:eastAsia="Times New Roman" w:cs="Times New Roman"/>
                <w:color w:val="000000"/>
                <w:sz w:val="20"/>
              </w:rPr>
              <w:t>0</w:t>
            </w:r>
          </w:p>
        </w:tc>
      </w:tr>
      <w:tr w:rsidR="005B0C58" w:rsidRPr="0038459F" w14:paraId="5E5A68D0" w14:textId="77777777" w:rsidTr="00387F35">
        <w:trPr>
          <w:trHeight w:val="429"/>
          <w:jc w:val="center"/>
        </w:trPr>
        <w:tc>
          <w:tcPr>
            <w:tcW w:w="988"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1A462963" w14:textId="54C2DA61" w:rsidR="005B0C58" w:rsidRPr="00387F35" w:rsidRDefault="005B0C58" w:rsidP="007D6D1B">
            <w:pPr>
              <w:widowControl w:val="0"/>
              <w:spacing w:after="0"/>
              <w:ind w:firstLine="0"/>
              <w:jc w:val="center"/>
              <w:rPr>
                <w:rFonts w:eastAsia="Times New Roman" w:cs="Times New Roman"/>
                <w:b/>
                <w:color w:val="000000"/>
                <w:sz w:val="20"/>
              </w:rPr>
            </w:pPr>
            <w:r w:rsidRPr="00387F35">
              <w:rPr>
                <w:rFonts w:eastAsia="Times New Roman" w:cs="Times New Roman"/>
                <w:b/>
                <w:color w:val="000000"/>
                <w:sz w:val="20"/>
              </w:rPr>
              <w:t>2025</w:t>
            </w:r>
          </w:p>
        </w:tc>
        <w:tc>
          <w:tcPr>
            <w:tcW w:w="141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10AE8A51" w14:textId="1CF64A86" w:rsidR="005B0C58"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-0,5</w:t>
            </w:r>
          </w:p>
        </w:tc>
        <w:tc>
          <w:tcPr>
            <w:tcW w:w="1843"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12FD069E" w14:textId="48C7F611" w:rsidR="005B0C58"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Bilances nosacījums</w:t>
            </w:r>
          </w:p>
        </w:tc>
        <w:tc>
          <w:tcPr>
            <w:tcW w:w="154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0FF38FED" w14:textId="400E5B5D" w:rsidR="005B0C58" w:rsidRPr="00387F35" w:rsidRDefault="00902165"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-0,5</w:t>
            </w:r>
          </w:p>
        </w:tc>
        <w:tc>
          <w:tcPr>
            <w:tcW w:w="1719"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0DE5373D" w14:textId="07C8D4E3" w:rsidR="005B0C58" w:rsidRPr="00387F35" w:rsidRDefault="00902165"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Bilances nosacījums</w:t>
            </w:r>
          </w:p>
        </w:tc>
        <w:tc>
          <w:tcPr>
            <w:tcW w:w="154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2D84E538" w14:textId="122F7B45" w:rsidR="005B0C58" w:rsidRPr="00387F35" w:rsidRDefault="003B2ACB" w:rsidP="007D6D1B">
            <w:pPr>
              <w:widowControl w:val="0"/>
              <w:spacing w:after="0"/>
              <w:ind w:firstLine="0"/>
              <w:jc w:val="center"/>
              <w:rPr>
                <w:rFonts w:eastAsia="Times New Roman" w:cs="Times New Roman"/>
                <w:color w:val="000000"/>
                <w:sz w:val="20"/>
              </w:rPr>
            </w:pPr>
            <w:r w:rsidRPr="00387F35">
              <w:rPr>
                <w:rFonts w:eastAsia="Times New Roman" w:cs="Times New Roman"/>
                <w:color w:val="000000"/>
                <w:sz w:val="20"/>
              </w:rPr>
              <w:t>0</w:t>
            </w:r>
          </w:p>
        </w:tc>
      </w:tr>
      <w:tr w:rsidR="003D51C1" w:rsidRPr="0038459F" w14:paraId="5C380CC2" w14:textId="77777777" w:rsidTr="00387F35">
        <w:trPr>
          <w:trHeight w:val="429"/>
          <w:jc w:val="center"/>
        </w:trPr>
        <w:tc>
          <w:tcPr>
            <w:tcW w:w="988"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6BCB7DCD" w14:textId="59CA8A6B" w:rsidR="003D51C1" w:rsidRPr="00387F35" w:rsidRDefault="003D51C1" w:rsidP="007D6D1B">
            <w:pPr>
              <w:widowControl w:val="0"/>
              <w:spacing w:after="0"/>
              <w:ind w:firstLine="0"/>
              <w:jc w:val="center"/>
              <w:rPr>
                <w:rFonts w:eastAsia="Times New Roman" w:cs="Times New Roman"/>
                <w:b/>
                <w:color w:val="000000"/>
                <w:sz w:val="20"/>
              </w:rPr>
            </w:pPr>
            <w:r w:rsidRPr="00387F35">
              <w:rPr>
                <w:rFonts w:eastAsia="Times New Roman" w:cs="Times New Roman"/>
                <w:b/>
                <w:color w:val="000000"/>
                <w:sz w:val="20"/>
              </w:rPr>
              <w:t>2026</w:t>
            </w:r>
          </w:p>
        </w:tc>
        <w:tc>
          <w:tcPr>
            <w:tcW w:w="141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78A61EC0" w14:textId="3A37D33A" w:rsidR="003D51C1"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x</w:t>
            </w:r>
          </w:p>
        </w:tc>
        <w:tc>
          <w:tcPr>
            <w:tcW w:w="1843"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17F6A091" w14:textId="0AAF24E0" w:rsidR="003D51C1"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x</w:t>
            </w:r>
          </w:p>
        </w:tc>
        <w:tc>
          <w:tcPr>
            <w:tcW w:w="154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6B7A950B" w14:textId="5EC14A96" w:rsidR="003D51C1"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-0,5</w:t>
            </w:r>
          </w:p>
        </w:tc>
        <w:tc>
          <w:tcPr>
            <w:tcW w:w="1719"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58B4B3F1" w14:textId="41CBFD7C" w:rsidR="003D51C1" w:rsidRPr="00387F35" w:rsidRDefault="003B2ACB" w:rsidP="007D6D1B">
            <w:pPr>
              <w:widowControl w:val="0"/>
              <w:spacing w:after="0"/>
              <w:ind w:firstLine="28"/>
              <w:jc w:val="center"/>
              <w:rPr>
                <w:rFonts w:eastAsia="Times New Roman" w:cs="Times New Roman"/>
                <w:color w:val="000000"/>
                <w:sz w:val="20"/>
              </w:rPr>
            </w:pPr>
            <w:r w:rsidRPr="00387F35">
              <w:rPr>
                <w:rFonts w:eastAsia="Times New Roman" w:cs="Times New Roman"/>
                <w:color w:val="000000"/>
                <w:sz w:val="20"/>
              </w:rPr>
              <w:t>Bilances nosacījums</w:t>
            </w:r>
          </w:p>
        </w:tc>
        <w:tc>
          <w:tcPr>
            <w:tcW w:w="1547" w:type="dxa"/>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27680296" w14:textId="385735E2" w:rsidR="003D51C1" w:rsidRPr="00387F35" w:rsidRDefault="003B2ACB" w:rsidP="007D6D1B">
            <w:pPr>
              <w:widowControl w:val="0"/>
              <w:spacing w:after="0"/>
              <w:ind w:firstLine="0"/>
              <w:jc w:val="center"/>
              <w:rPr>
                <w:rFonts w:eastAsia="Times New Roman" w:cs="Times New Roman"/>
                <w:color w:val="000000"/>
                <w:sz w:val="20"/>
              </w:rPr>
            </w:pPr>
            <w:r w:rsidRPr="00387F35">
              <w:rPr>
                <w:rFonts w:eastAsia="Times New Roman" w:cs="Times New Roman"/>
                <w:color w:val="000000"/>
                <w:sz w:val="20"/>
              </w:rPr>
              <w:t>x</w:t>
            </w:r>
          </w:p>
        </w:tc>
      </w:tr>
    </w:tbl>
    <w:p w14:paraId="3912EFEC" w14:textId="77777777" w:rsidR="000D4D00" w:rsidRPr="0038459F" w:rsidRDefault="000D4D00" w:rsidP="007D6D1B">
      <w:pPr>
        <w:widowControl w:val="0"/>
        <w:ind w:firstLine="0"/>
        <w:rPr>
          <w:rFonts w:eastAsia="Times New Roman" w:cs="Times New Roman"/>
          <w:b/>
          <w:color w:val="000000"/>
          <w:highlight w:val="lightGray"/>
        </w:rPr>
      </w:pPr>
    </w:p>
    <w:p w14:paraId="2111554F" w14:textId="31766BB6" w:rsidR="007F305B" w:rsidRPr="005B7C54" w:rsidRDefault="00D57DD6" w:rsidP="005B7C54">
      <w:pPr>
        <w:pStyle w:val="H3"/>
      </w:pPr>
      <w:bookmarkStart w:id="60" w:name="_Toc126236648"/>
      <w:r w:rsidRPr="005B7C54">
        <w:t>2.1.5</w:t>
      </w:r>
      <w:r w:rsidR="00E8646E" w:rsidRPr="005B7C54">
        <w:t xml:space="preserve">. </w:t>
      </w:r>
      <w:r w:rsidR="007F305B" w:rsidRPr="005B7C54">
        <w:t>Vispārējās valdības sektorā klasif</w:t>
      </w:r>
      <w:r w:rsidR="005715BC" w:rsidRPr="005B7C54">
        <w:t>icēto kapitālsabiedrību faktiskā ietekme</w:t>
      </w:r>
      <w:r w:rsidR="007F305B" w:rsidRPr="005B7C54">
        <w:t xml:space="preserve"> uz vispārējās valdības budžeta bilanci un parādu</w:t>
      </w:r>
      <w:bookmarkEnd w:id="60"/>
    </w:p>
    <w:p w14:paraId="58C21657" w14:textId="541DDBC4" w:rsidR="0052019B" w:rsidRPr="005A53E8" w:rsidRDefault="00EB7D26" w:rsidP="00EB7D26">
      <w:r w:rsidRPr="005A53E8">
        <w:t>Likumprojekt</w:t>
      </w:r>
      <w:r w:rsidR="00096F2A" w:rsidRPr="005A53E8">
        <w:t>a</w:t>
      </w:r>
      <w:r w:rsidRPr="005A53E8">
        <w:t xml:space="preserve"> “</w:t>
      </w:r>
      <w:r w:rsidR="00322105" w:rsidRPr="005A53E8">
        <w:t>Par valsts budžetu 202</w:t>
      </w:r>
      <w:r w:rsidR="005A53E8" w:rsidRPr="005A53E8">
        <w:t>4</w:t>
      </w:r>
      <w:r w:rsidR="00322105" w:rsidRPr="005A53E8">
        <w:t>.</w:t>
      </w:r>
      <w:r w:rsidR="00096F2A" w:rsidRPr="005A53E8">
        <w:t xml:space="preserve"> </w:t>
      </w:r>
      <w:r w:rsidR="00322105" w:rsidRPr="005A53E8">
        <w:t>gadam un budžeta ietvaru 202</w:t>
      </w:r>
      <w:r w:rsidR="005A53E8" w:rsidRPr="005A53E8">
        <w:t>4</w:t>
      </w:r>
      <w:r w:rsidR="00322105" w:rsidRPr="005A53E8">
        <w:t>., 202</w:t>
      </w:r>
      <w:r w:rsidR="005A53E8" w:rsidRPr="005A53E8">
        <w:t>5</w:t>
      </w:r>
      <w:r w:rsidR="00322105" w:rsidRPr="005A53E8">
        <w:t>. un 202</w:t>
      </w:r>
      <w:r w:rsidR="005A53E8" w:rsidRPr="005A53E8">
        <w:t>6</w:t>
      </w:r>
      <w:r w:rsidR="00322105" w:rsidRPr="005A53E8">
        <w:t>.</w:t>
      </w:r>
      <w:r w:rsidR="00096F2A" w:rsidRPr="005A53E8">
        <w:t xml:space="preserve"> </w:t>
      </w:r>
      <w:r w:rsidR="00322105" w:rsidRPr="00EC27C3">
        <w:t>gad</w:t>
      </w:r>
      <w:r w:rsidR="00C8209A" w:rsidRPr="00EC27C3">
        <w:t>am</w:t>
      </w:r>
      <w:r w:rsidRPr="00EC27C3">
        <w:t xml:space="preserve">” </w:t>
      </w:r>
      <w:r w:rsidR="00096F2A" w:rsidRPr="00EC27C3">
        <w:t>21. pantā</w:t>
      </w:r>
      <w:r w:rsidR="00117F48" w:rsidRPr="00EC27C3">
        <w:t xml:space="preserve"> </w:t>
      </w:r>
      <w:r w:rsidRPr="00EC27C3">
        <w:t>ir</w:t>
      </w:r>
      <w:r w:rsidRPr="005A53E8">
        <w:t xml:space="preserve"> noteikts, ka informācija par vispārējās valdības sektorā iekļauto kapitālsabiedrību faktisko</w:t>
      </w:r>
      <w:r w:rsidR="005A53E8">
        <w:t xml:space="preserve"> </w:t>
      </w:r>
      <w:r w:rsidRPr="005A53E8">
        <w:t xml:space="preserve">un prognozēto ietekmi uz vispārējās valdības izdevumiem, ieņēmumiem, budžeta bilanci un parādu ir publiski pieejama un </w:t>
      </w:r>
      <w:r w:rsidR="005B7C54" w:rsidRPr="005A53E8">
        <w:t>FM</w:t>
      </w:r>
      <w:r w:rsidRPr="005A53E8">
        <w:t xml:space="preserve"> to iekļauj likuma paskaidrojumos. Informācija par vispārējā valdības sektorā iekļauto kapitālsabiedrību faktisko ietekmi uz vispārējās valdības neto aizdevumiem vai aizņēmumiem (B.9) un parādu 20</w:t>
      </w:r>
      <w:r w:rsidR="005A53E8">
        <w:t>20</w:t>
      </w:r>
      <w:r w:rsidRPr="005A53E8">
        <w:t>., 20</w:t>
      </w:r>
      <w:r w:rsidR="00322105" w:rsidRPr="005A53E8">
        <w:t>2</w:t>
      </w:r>
      <w:r w:rsidR="005A53E8">
        <w:t>1</w:t>
      </w:r>
      <w:r w:rsidRPr="005A53E8">
        <w:t>. un 202</w:t>
      </w:r>
      <w:r w:rsidR="005A53E8">
        <w:t>2</w:t>
      </w:r>
      <w:r w:rsidRPr="005A53E8">
        <w:t xml:space="preserve">. gadā tiek atspoguļota </w:t>
      </w:r>
      <w:r w:rsidR="00322105" w:rsidRPr="005A53E8">
        <w:t>1</w:t>
      </w:r>
      <w:r w:rsidRPr="005A53E8">
        <w:t>.</w:t>
      </w:r>
      <w:r w:rsidR="002B2F86" w:rsidRPr="005A53E8">
        <w:t xml:space="preserve"> </w:t>
      </w:r>
      <w:r w:rsidRPr="005A53E8">
        <w:t xml:space="preserve">pielikumā. Informācija par vispārējās valdības sektorā iekļauto kapitālsabiedrību prognozēto ietekmi vispārējās valdības neto aizdevumiem vai  aizņēmumiem (B.9) </w:t>
      </w:r>
      <w:r w:rsidR="00322105" w:rsidRPr="005A53E8">
        <w:t>202</w:t>
      </w:r>
      <w:r w:rsidR="005A53E8">
        <w:t>4</w:t>
      </w:r>
      <w:r w:rsidRPr="005A53E8">
        <w:t xml:space="preserve">., </w:t>
      </w:r>
      <w:r w:rsidR="00322105" w:rsidRPr="005A53E8">
        <w:t>202</w:t>
      </w:r>
      <w:r w:rsidR="005A53E8">
        <w:t>5</w:t>
      </w:r>
      <w:r w:rsidRPr="005A53E8">
        <w:t xml:space="preserve">. un </w:t>
      </w:r>
      <w:r w:rsidR="00322105" w:rsidRPr="005A53E8">
        <w:t>202</w:t>
      </w:r>
      <w:r w:rsidR="005A53E8">
        <w:t>6</w:t>
      </w:r>
      <w:r w:rsidRPr="005A53E8">
        <w:t xml:space="preserve">. gadā atrodama 2. pielikumā, un informācija par vispārējās valdības sektorā iekļauto kapitālsabiedrību prognozēto ietekmi uz vispārējās valdības parādu </w:t>
      </w:r>
      <w:r w:rsidR="00322105" w:rsidRPr="005A53E8">
        <w:t>202</w:t>
      </w:r>
      <w:r w:rsidR="005A53E8">
        <w:t>4</w:t>
      </w:r>
      <w:r w:rsidRPr="005A53E8">
        <w:t xml:space="preserve">., </w:t>
      </w:r>
      <w:r w:rsidR="00322105" w:rsidRPr="005A53E8">
        <w:t>202</w:t>
      </w:r>
      <w:r w:rsidR="005A53E8">
        <w:t>5</w:t>
      </w:r>
      <w:r w:rsidRPr="005A53E8">
        <w:t xml:space="preserve">. un </w:t>
      </w:r>
      <w:r w:rsidR="00322105" w:rsidRPr="005A53E8">
        <w:t>202</w:t>
      </w:r>
      <w:r w:rsidR="005A53E8">
        <w:t>6</w:t>
      </w:r>
      <w:r w:rsidRPr="005A53E8">
        <w:t>. gadā atrodama 3. pielikumā.</w:t>
      </w:r>
    </w:p>
    <w:p w14:paraId="10D09C2C" w14:textId="4D6BF033" w:rsidR="00322C7C" w:rsidRPr="0027570C" w:rsidRDefault="00DD5211" w:rsidP="00920058">
      <w:pPr>
        <w:pStyle w:val="H2"/>
      </w:pPr>
      <w:bookmarkStart w:id="61" w:name="_Toc126236649"/>
      <w:r w:rsidRPr="0027570C">
        <w:lastRenderedPageBreak/>
        <w:t xml:space="preserve">2.2. </w:t>
      </w:r>
      <w:r w:rsidR="000548A5" w:rsidRPr="0027570C">
        <w:t xml:space="preserve">Vispārējās valdības budžeta </w:t>
      </w:r>
      <w:r w:rsidR="004E6359" w:rsidRPr="0027570C">
        <w:t>galvenie fiskālie rādītāji</w:t>
      </w:r>
      <w:bookmarkEnd w:id="61"/>
    </w:p>
    <w:p w14:paraId="09389F70" w14:textId="301C49C4" w:rsidR="003F3FCD" w:rsidRPr="0027570C" w:rsidRDefault="005D361F" w:rsidP="00DB14A4">
      <w:pPr>
        <w:pStyle w:val="H3"/>
      </w:pPr>
      <w:bookmarkStart w:id="62" w:name="_Toc126236650"/>
      <w:r w:rsidRPr="0027570C">
        <w:t xml:space="preserve">2.2.1. </w:t>
      </w:r>
      <w:r w:rsidR="000548A5" w:rsidRPr="0027570C">
        <w:t>Vispārējās valdības budžeta struktūra</w:t>
      </w:r>
      <w:bookmarkEnd w:id="62"/>
    </w:p>
    <w:p w14:paraId="5CA5F615" w14:textId="49C61563" w:rsidR="00EA3632" w:rsidRPr="00FF3DFF" w:rsidRDefault="00C6033D" w:rsidP="00EA3632">
      <w:pPr>
        <w:rPr>
          <w:rFonts w:eastAsia="Times New Roman" w:cs="Times New Roman"/>
          <w:szCs w:val="28"/>
          <w:lang w:eastAsia="en-US"/>
        </w:rPr>
      </w:pPr>
      <w:bookmarkStart w:id="63" w:name="_Toc126236651"/>
      <w:r w:rsidRPr="00FF3DFF">
        <w:rPr>
          <w:rFonts w:eastAsia="Times New Roman" w:cs="Times New Roman"/>
          <w:szCs w:val="28"/>
          <w:lang w:eastAsia="en-US"/>
        </w:rPr>
        <w:t>ES dalībvalstīs makroekonomisko rādītāju un publisko finanšu statistiku uzskaita a</w:t>
      </w:r>
      <w:r w:rsidR="00EA3632" w:rsidRPr="00FF3DFF">
        <w:rPr>
          <w:rFonts w:eastAsia="Times New Roman" w:cs="Times New Roman"/>
          <w:szCs w:val="28"/>
          <w:lang w:eastAsia="en-US"/>
        </w:rPr>
        <w:t>tbilstoši vienotai un harmonizētai metodoloģijai – Eiropas nacionālo un reģionālo kontu sistēmai (turpmāk – EKS)</w:t>
      </w:r>
      <w:r w:rsidR="00EA3632" w:rsidRPr="00FF3DFF">
        <w:rPr>
          <w:rFonts w:eastAsia="Times New Roman" w:cs="Times New Roman"/>
          <w:szCs w:val="28"/>
          <w:vertAlign w:val="superscript"/>
          <w:lang w:eastAsia="en-US"/>
        </w:rPr>
        <w:footnoteReference w:id="16"/>
      </w:r>
      <w:r w:rsidR="00EA3632" w:rsidRPr="00FF3DFF">
        <w:rPr>
          <w:rFonts w:eastAsia="Times New Roman" w:cs="Times New Roman"/>
          <w:szCs w:val="28"/>
          <w:lang w:eastAsia="en-US"/>
        </w:rPr>
        <w:t>. 2014. gada septembrī ES tika ieviesta pārskatītā un atjaunotā EKS 2010, savukārt līdz tam nacionālo kontu sistēmas aprēķinos lietoja EKS 95, kas balstījās uz ANO 1993. gadā pieņemtajām nacionālo kontu sistēmas metodoloģijas rekomendācijām.</w:t>
      </w:r>
    </w:p>
    <w:p w14:paraId="65DE6A94" w14:textId="7E0F6D10" w:rsidR="00EA3632" w:rsidRPr="00D64F4A" w:rsidRDefault="00EA3632" w:rsidP="00EA3632">
      <w:pPr>
        <w:rPr>
          <w:rFonts w:eastAsia="Times New Roman" w:cs="Times New Roman"/>
          <w:szCs w:val="28"/>
          <w:lang w:eastAsia="en-US"/>
        </w:rPr>
      </w:pPr>
      <w:r w:rsidRPr="00FF3DFF">
        <w:rPr>
          <w:rFonts w:eastAsia="Times New Roman" w:cs="Times New Roman"/>
          <w:szCs w:val="28"/>
          <w:lang w:eastAsia="en-US"/>
        </w:rPr>
        <w:t>EKS ir starptautiski atzīts gan vispārēju ekonomikas procesu, gan atsevišķu ekonomikas sektoru, piemēram, valdības finanšu uzskaites standarts. EKS piemēro Māstrihtas</w:t>
      </w:r>
      <w:r w:rsidRPr="00D64F4A">
        <w:rPr>
          <w:rFonts w:eastAsia="Times New Roman" w:cs="Times New Roman"/>
          <w:szCs w:val="28"/>
          <w:lang w:eastAsia="en-US"/>
        </w:rPr>
        <w:t xml:space="preserve"> kritēriju </w:t>
      </w:r>
      <w:r>
        <w:rPr>
          <w:rFonts w:eastAsia="Times New Roman" w:cs="Times New Roman"/>
          <w:szCs w:val="28"/>
          <w:lang w:eastAsia="en-US"/>
        </w:rPr>
        <w:t>izpildes novērtēšanai</w:t>
      </w:r>
      <w:r w:rsidRPr="00D64F4A">
        <w:rPr>
          <w:rFonts w:eastAsia="Times New Roman" w:cs="Times New Roman"/>
          <w:szCs w:val="28"/>
          <w:lang w:eastAsia="en-US"/>
        </w:rPr>
        <w:t>, un tā ir ES fiskālās pārvaldības pamatā.</w:t>
      </w:r>
    </w:p>
    <w:p w14:paraId="20AB9FA3" w14:textId="103EA979" w:rsidR="00EA3632" w:rsidRPr="00D64F4A" w:rsidRDefault="00EA3632" w:rsidP="00EA3632">
      <w:pPr>
        <w:rPr>
          <w:rFonts w:eastAsia="Times New Roman" w:cs="Times New Roman"/>
          <w:szCs w:val="28"/>
          <w:lang w:eastAsia="en-US"/>
        </w:rPr>
      </w:pPr>
      <w:r w:rsidRPr="00D64F4A">
        <w:rPr>
          <w:rFonts w:eastAsia="Times New Roman" w:cs="Times New Roman"/>
          <w:szCs w:val="28"/>
          <w:lang w:eastAsia="en-US"/>
        </w:rPr>
        <w:t xml:space="preserve">Ja Latvijā </w:t>
      </w:r>
      <w:r>
        <w:rPr>
          <w:rFonts w:eastAsia="Times New Roman" w:cs="Times New Roman"/>
          <w:szCs w:val="28"/>
          <w:lang w:eastAsia="en-US"/>
        </w:rPr>
        <w:t>publisko</w:t>
      </w:r>
      <w:r w:rsidRPr="00D64F4A">
        <w:rPr>
          <w:rFonts w:eastAsia="Times New Roman" w:cs="Times New Roman"/>
          <w:szCs w:val="28"/>
          <w:lang w:eastAsia="en-US"/>
        </w:rPr>
        <w:t xml:space="preserve"> finanšu vadībai izmanto naudas plūsmā balstītu nacionālo metodoloģiju, tad EKS mērķis ir, ievērojot detalizētus metodiskus nosacījumus, transformēt naudas plūsmas ieņēmumus un izdevumus uz EKS ieņēmumiem un izdevumiem. Tādējādi arī budžeta deficītu vai pārpalikumu var izteikt kā:</w:t>
      </w:r>
    </w:p>
    <w:p w14:paraId="7317EAF5" w14:textId="5C3151A4" w:rsidR="00EA3632" w:rsidRDefault="00EA3632" w:rsidP="00EA3632">
      <w:pPr>
        <w:numPr>
          <w:ilvl w:val="0"/>
          <w:numId w:val="8"/>
        </w:numPr>
        <w:rPr>
          <w:rFonts w:eastAsia="Times New Roman" w:cs="Times New Roman"/>
          <w:szCs w:val="28"/>
          <w:lang w:eastAsia="en-US"/>
        </w:rPr>
      </w:pPr>
      <w:r w:rsidRPr="00D64F4A">
        <w:rPr>
          <w:rFonts w:eastAsia="Times New Roman" w:cs="Times New Roman"/>
          <w:szCs w:val="28"/>
          <w:lang w:eastAsia="en-US"/>
        </w:rPr>
        <w:t>konsolidētā kopbudžeta bilanci (nacionālā metodoloģija)</w:t>
      </w:r>
      <w:r>
        <w:rPr>
          <w:rFonts w:eastAsia="Times New Roman" w:cs="Times New Roman"/>
          <w:szCs w:val="28"/>
          <w:lang w:eastAsia="en-US"/>
        </w:rPr>
        <w:t xml:space="preserve"> vai</w:t>
      </w:r>
    </w:p>
    <w:p w14:paraId="064D5899" w14:textId="1E48B47A" w:rsidR="00BE1CA1" w:rsidRPr="00BE1CA1" w:rsidRDefault="00EA3632" w:rsidP="00BE1CA1">
      <w:pPr>
        <w:numPr>
          <w:ilvl w:val="0"/>
          <w:numId w:val="8"/>
        </w:numPr>
        <w:rPr>
          <w:rFonts w:eastAsia="Times New Roman" w:cs="Times New Roman"/>
          <w:szCs w:val="28"/>
          <w:lang w:eastAsia="en-US"/>
        </w:rPr>
      </w:pPr>
      <w:r w:rsidRPr="005B17F2">
        <w:rPr>
          <w:rFonts w:eastAsia="Times New Roman" w:cs="Times New Roman"/>
          <w:szCs w:val="28"/>
          <w:lang w:eastAsia="en-US"/>
        </w:rPr>
        <w:t>vispārējās valdības budžeta bilanci (EKS metodoloģija)</w:t>
      </w:r>
      <w:r>
        <w:rPr>
          <w:rFonts w:eastAsia="Times New Roman" w:cs="Times New Roman"/>
          <w:szCs w:val="28"/>
          <w:lang w:eastAsia="en-US"/>
        </w:rPr>
        <w:t>.</w:t>
      </w:r>
    </w:p>
    <w:p w14:paraId="4AC5C658" w14:textId="100B7791" w:rsidR="00BE1CA1" w:rsidRPr="005B17F2" w:rsidRDefault="00BE1CA1" w:rsidP="00BE1CA1">
      <w:pPr>
        <w:rPr>
          <w:rFonts w:eastAsia="Times New Roman" w:cs="Times New Roman"/>
          <w:szCs w:val="28"/>
          <w:lang w:eastAsia="en-US"/>
        </w:rPr>
      </w:pPr>
      <w:r>
        <w:rPr>
          <w:rFonts w:eastAsia="Times New Roman" w:cs="Times New Roman"/>
          <w:noProof/>
          <w:szCs w:val="28"/>
          <w:lang w:eastAsia="en-US"/>
        </w:rPr>
        <w:drawing>
          <wp:inline distT="0" distB="0" distL="0" distR="0" wp14:anchorId="008282D7" wp14:editId="50B377E5">
            <wp:extent cx="5151755" cy="3243580"/>
            <wp:effectExtent l="0" t="0" r="0" b="0"/>
            <wp:docPr id="3223634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51755" cy="3243580"/>
                    </a:xfrm>
                    <a:prstGeom prst="rect">
                      <a:avLst/>
                    </a:prstGeom>
                    <a:noFill/>
                  </pic:spPr>
                </pic:pic>
              </a:graphicData>
            </a:graphic>
          </wp:inline>
        </w:drawing>
      </w:r>
    </w:p>
    <w:p w14:paraId="756D1F50" w14:textId="5AEA1135" w:rsidR="00EA3632" w:rsidRPr="0056318A" w:rsidRDefault="00EA3632" w:rsidP="00EA3632">
      <w:pPr>
        <w:spacing w:before="60"/>
        <w:ind w:firstLine="0"/>
        <w:jc w:val="center"/>
        <w:rPr>
          <w:rFonts w:eastAsia="Times New Roman" w:cs="Times New Roman"/>
          <w:b/>
          <w:i/>
          <w:szCs w:val="24"/>
          <w:lang w:eastAsia="en-US"/>
        </w:rPr>
      </w:pPr>
      <w:r w:rsidRPr="0056318A">
        <w:rPr>
          <w:rFonts w:eastAsia="Times New Roman" w:cs="Times New Roman"/>
          <w:b/>
          <w:i/>
          <w:szCs w:val="24"/>
          <w:lang w:eastAsia="en-US"/>
        </w:rPr>
        <w:t>2.1.att. Vispārējās valdības budžeta</w:t>
      </w:r>
      <w:r>
        <w:rPr>
          <w:rFonts w:eastAsia="Times New Roman" w:cs="Times New Roman"/>
          <w:b/>
          <w:i/>
          <w:szCs w:val="24"/>
          <w:lang w:eastAsia="en-US"/>
        </w:rPr>
        <w:t xml:space="preserve"> </w:t>
      </w:r>
      <w:r w:rsidRPr="0056318A">
        <w:rPr>
          <w:rFonts w:eastAsia="Times New Roman" w:cs="Times New Roman"/>
          <w:b/>
          <w:i/>
          <w:szCs w:val="24"/>
          <w:lang w:eastAsia="en-US"/>
        </w:rPr>
        <w:t>struktūra (S130000)</w:t>
      </w:r>
    </w:p>
    <w:p w14:paraId="765739AB" w14:textId="7DFA86D2" w:rsidR="00EA3632" w:rsidRPr="00D64F4A" w:rsidRDefault="00EA3632" w:rsidP="00EA3632">
      <w:pPr>
        <w:spacing w:before="120"/>
        <w:rPr>
          <w:rFonts w:eastAsia="Times New Roman" w:cs="Times New Roman"/>
          <w:szCs w:val="28"/>
          <w:lang w:eastAsia="en-US"/>
        </w:rPr>
      </w:pPr>
      <w:r w:rsidRPr="00D64F4A">
        <w:rPr>
          <w:rFonts w:eastAsia="Times New Roman" w:cs="Times New Roman"/>
          <w:szCs w:val="28"/>
          <w:lang w:eastAsia="en-US"/>
        </w:rPr>
        <w:t>Lai nodrošinātu pāreju no nacionālās uzskaites kopbudžeta uz vienoto EKS standartu, konsolidētā kopbudžeta bilancei piemēro EKS korekcijas, kas sevī ietver uzskaites metodoloģijas atšķirības. Būtiskākās EKS publisko finanšu statistikas metodoloģijas atšķirības salīdzinājumā ar nacionālo metodoloģiju ir šādas:</w:t>
      </w:r>
    </w:p>
    <w:p w14:paraId="0B4C4DD6" w14:textId="652B91D6" w:rsidR="00EA3632" w:rsidRPr="00D64F4A" w:rsidRDefault="00EA3632" w:rsidP="00EA3632">
      <w:pPr>
        <w:numPr>
          <w:ilvl w:val="0"/>
          <w:numId w:val="9"/>
        </w:numPr>
        <w:ind w:hanging="357"/>
        <w:rPr>
          <w:rFonts w:eastAsia="Times New Roman" w:cs="Times New Roman"/>
          <w:szCs w:val="28"/>
          <w:lang w:eastAsia="en-US"/>
        </w:rPr>
      </w:pPr>
      <w:r w:rsidRPr="00D64F4A">
        <w:rPr>
          <w:rFonts w:eastAsia="Times New Roman" w:cs="Times New Roman"/>
          <w:szCs w:val="28"/>
          <w:lang w:eastAsia="en-US"/>
        </w:rPr>
        <w:t>EKS uzskaites pamatā ir uzkrājuma princips, savukārt nacionālā budžeta vadībā ievēro naudas plūsmas principu;</w:t>
      </w:r>
    </w:p>
    <w:p w14:paraId="0952AFD6" w14:textId="77777777" w:rsidR="00EA3632" w:rsidRPr="00D64F4A" w:rsidRDefault="00EA3632" w:rsidP="007A2134">
      <w:pPr>
        <w:numPr>
          <w:ilvl w:val="0"/>
          <w:numId w:val="9"/>
        </w:numPr>
        <w:ind w:hanging="357"/>
        <w:rPr>
          <w:rFonts w:eastAsia="Times New Roman" w:cs="Times New Roman"/>
          <w:noProof/>
          <w:szCs w:val="28"/>
          <w:lang w:eastAsia="en-US"/>
        </w:rPr>
      </w:pPr>
      <w:r w:rsidRPr="00D64F4A">
        <w:rPr>
          <w:rFonts w:eastAsia="Times New Roman" w:cs="Times New Roman"/>
          <w:noProof/>
          <w:szCs w:val="28"/>
          <w:lang w:eastAsia="en-US"/>
        </w:rPr>
        <w:lastRenderedPageBreak/>
        <w:t xml:space="preserve">nacionālajā uzskaitē </w:t>
      </w:r>
      <w:r w:rsidRPr="00D64F4A">
        <w:rPr>
          <w:rFonts w:eastAsia="Times New Roman" w:cs="Times New Roman"/>
          <w:szCs w:val="28"/>
          <w:lang w:eastAsia="en-US"/>
        </w:rPr>
        <w:t xml:space="preserve">atsevišķu veidu finanšu darījumi (aizdevumi u.tml.) EKS izpratnē var būt </w:t>
      </w:r>
      <w:r w:rsidRPr="00D64F4A">
        <w:rPr>
          <w:rFonts w:eastAsia="Times New Roman" w:cs="Times New Roman"/>
          <w:noProof/>
          <w:szCs w:val="28"/>
          <w:lang w:eastAsia="en-US"/>
        </w:rPr>
        <w:t>nefinanšu darījumi, attiecīgi ietekmējot budžeta izdevumus;</w:t>
      </w:r>
    </w:p>
    <w:p w14:paraId="443054D9" w14:textId="77777777" w:rsidR="00EA3632" w:rsidRDefault="00EA3632" w:rsidP="00EA3632">
      <w:pPr>
        <w:numPr>
          <w:ilvl w:val="0"/>
          <w:numId w:val="9"/>
        </w:numPr>
        <w:ind w:hanging="357"/>
        <w:rPr>
          <w:rFonts w:eastAsia="Times New Roman" w:cs="Times New Roman"/>
          <w:szCs w:val="28"/>
          <w:lang w:eastAsia="en-US"/>
        </w:rPr>
      </w:pPr>
      <w:r w:rsidRPr="00D64F4A">
        <w:rPr>
          <w:rFonts w:eastAsia="Times New Roman" w:cs="Times New Roman"/>
          <w:noProof/>
          <w:szCs w:val="28"/>
          <w:lang w:eastAsia="en-US"/>
        </w:rPr>
        <w:t>EKS ir plašāks sektorālais</w:t>
      </w:r>
      <w:r w:rsidRPr="00D64F4A">
        <w:rPr>
          <w:rFonts w:eastAsia="Times New Roman" w:cs="Times New Roman"/>
          <w:szCs w:val="28"/>
          <w:lang w:eastAsia="en-US"/>
        </w:rPr>
        <w:t xml:space="preserve"> tvērums – tas ir attiecināms uz visu vispārējās valdības institucionālo sektoru, tajā skaitā uz valsts vai pašvaldību kontrolētām un finansētām komercsabiedrībām, taču nacionālā budžeta uzskaite aptver vien tipiskās budžeta iestādes</w:t>
      </w:r>
      <w:r>
        <w:rPr>
          <w:rStyle w:val="FootnoteReference"/>
          <w:rFonts w:eastAsia="Times New Roman" w:cs="Times New Roman"/>
          <w:szCs w:val="28"/>
          <w:lang w:eastAsia="en-US"/>
        </w:rPr>
        <w:footnoteReference w:id="17"/>
      </w:r>
      <w:r w:rsidRPr="00D64F4A">
        <w:rPr>
          <w:rFonts w:eastAsia="Times New Roman" w:cs="Times New Roman"/>
          <w:szCs w:val="28"/>
          <w:lang w:eastAsia="en-US"/>
        </w:rPr>
        <w:t>.</w:t>
      </w:r>
    </w:p>
    <w:p w14:paraId="0D33D3D7" w14:textId="77777777" w:rsidR="00EA3632" w:rsidRPr="00F43F26" w:rsidRDefault="00EA3632" w:rsidP="00EA3632">
      <w:pPr>
        <w:rPr>
          <w:rFonts w:eastAsia="Times New Roman" w:cs="Times New Roman"/>
          <w:szCs w:val="28"/>
          <w:lang w:eastAsia="en-US"/>
        </w:rPr>
      </w:pPr>
      <w:r w:rsidRPr="00F43F26">
        <w:rPr>
          <w:rFonts w:eastAsia="Times New Roman" w:cs="Times New Roman"/>
          <w:szCs w:val="28"/>
          <w:lang w:eastAsia="en-US"/>
        </w:rPr>
        <w:t>Valsts finanšu uzskaiti atbilstoši EKS metodoloģijai Latvijā veic CSP. Savukārt FM izstrādā vispārējās valdības budžeta prognozes, ievērojot CSP izmantoto EKS metodiku, tādējādi nodrošinot prognozēto rādītāju metodoloģisku atbilstību vienotajiem EKS pamatprincipiem.</w:t>
      </w:r>
    </w:p>
    <w:p w14:paraId="18528BC4" w14:textId="77777777" w:rsidR="00EA3632" w:rsidRPr="00D64F4A" w:rsidRDefault="00EA3632" w:rsidP="00EA3632">
      <w:pPr>
        <w:rPr>
          <w:rFonts w:eastAsia="Times New Roman" w:cs="Times New Roman"/>
          <w:szCs w:val="28"/>
          <w:lang w:eastAsia="en-US"/>
        </w:rPr>
      </w:pPr>
      <w:r w:rsidRPr="00D64F4A">
        <w:rPr>
          <w:rFonts w:eastAsia="Times New Roman" w:cs="Times New Roman"/>
          <w:szCs w:val="28"/>
          <w:lang w:eastAsia="en-US"/>
        </w:rPr>
        <w:t>FM, veidojot vispārējās valdības budžeta bilances prognozes, veic pieklasificēto valsts un pašvaldību komersantu aptauju. Aptaujās tiek apkopota informācija par visu vispārējās valdības sektorā ietilpstošo valsts un pēc apgrozījuma lielāko pašvaldību komersantu plānoto saimniecisko darbību. Apkopotā informācija ļauj FM aprēķināt šo komersantu saimnieciskās darbības rezultāta ietekmi uz vispārējās valdības budžeta bilanci.</w:t>
      </w:r>
    </w:p>
    <w:p w14:paraId="54FCAB8B" w14:textId="25998ADF" w:rsidR="003F3FCD" w:rsidRPr="0027570C" w:rsidRDefault="006C030A" w:rsidP="00DB14A4">
      <w:pPr>
        <w:pStyle w:val="H3"/>
      </w:pPr>
      <w:r w:rsidRPr="0027570C">
        <w:t xml:space="preserve">2.2.2. </w:t>
      </w:r>
      <w:r w:rsidR="000548A5" w:rsidRPr="0027570C">
        <w:t>Vispārējās valdības budžeta bilance</w:t>
      </w:r>
      <w:bookmarkEnd w:id="63"/>
    </w:p>
    <w:p w14:paraId="64B9D63D" w14:textId="0749E52F" w:rsidR="00EA3632" w:rsidRPr="00402DF9" w:rsidRDefault="00995C88" w:rsidP="00EA3632">
      <w:pPr>
        <w:rPr>
          <w:color w:val="000000" w:themeColor="text1"/>
        </w:rPr>
      </w:pPr>
      <w:bookmarkStart w:id="64" w:name="_Hlk83887434"/>
      <w:bookmarkStart w:id="65" w:name="_Hlk83887487"/>
      <w:r>
        <w:rPr>
          <w:color w:val="000000" w:themeColor="text1"/>
        </w:rPr>
        <w:t>FM</w:t>
      </w:r>
      <w:r w:rsidR="00EA3632" w:rsidRPr="002327A1">
        <w:rPr>
          <w:color w:val="000000" w:themeColor="text1"/>
        </w:rPr>
        <w:t xml:space="preserve"> ir aktualizējusi vispārējās valdības budžeta bilances vidējam termiņam, ņemot vērā Valsts kases datus par konsolidētā kopbudžeta izpildi šā gada </w:t>
      </w:r>
      <w:r w:rsidR="00EA3632">
        <w:rPr>
          <w:color w:val="000000" w:themeColor="text1"/>
        </w:rPr>
        <w:t>janvārī-augustā, M</w:t>
      </w:r>
      <w:r w:rsidR="0027570C">
        <w:rPr>
          <w:color w:val="000000" w:themeColor="text1"/>
        </w:rPr>
        <w:t>K</w:t>
      </w:r>
      <w:r w:rsidR="00EA3632">
        <w:rPr>
          <w:color w:val="000000" w:themeColor="text1"/>
        </w:rPr>
        <w:t xml:space="preserve"> pieņemtos lēmumus līdz 2023. gada 26. septembrim, tajā skaitā papildu atbalstītos līdzekļus prioritāro pasākumu finansēšanai un ietekmes kompensējošos pasākumus 2024. – 2026. gadā atbilstoši M</w:t>
      </w:r>
      <w:r w:rsidR="0027570C">
        <w:rPr>
          <w:color w:val="000000" w:themeColor="text1"/>
        </w:rPr>
        <w:t>K</w:t>
      </w:r>
      <w:r w:rsidR="00EA3632">
        <w:rPr>
          <w:color w:val="000000" w:themeColor="text1"/>
        </w:rPr>
        <w:t xml:space="preserve"> 2023. gada 26. septembra sēdē izskatītajam i</w:t>
      </w:r>
      <w:r w:rsidR="00EA3632" w:rsidRPr="00402DF9">
        <w:rPr>
          <w:color w:val="000000" w:themeColor="text1"/>
        </w:rPr>
        <w:t>nformatīv</w:t>
      </w:r>
      <w:r w:rsidR="00EA3632">
        <w:rPr>
          <w:color w:val="000000" w:themeColor="text1"/>
        </w:rPr>
        <w:t>ajam</w:t>
      </w:r>
      <w:r w:rsidR="00EA3632" w:rsidRPr="00402DF9">
        <w:rPr>
          <w:color w:val="000000" w:themeColor="text1"/>
        </w:rPr>
        <w:t xml:space="preserve"> ziņojum</w:t>
      </w:r>
      <w:r w:rsidR="00EA3632">
        <w:rPr>
          <w:color w:val="000000" w:themeColor="text1"/>
        </w:rPr>
        <w:t>am</w:t>
      </w:r>
      <w:r w:rsidR="00EA3632" w:rsidRPr="00402DF9">
        <w:rPr>
          <w:color w:val="000000" w:themeColor="text1"/>
        </w:rPr>
        <w:t xml:space="preserve"> </w:t>
      </w:r>
      <w:r w:rsidR="00EA3632" w:rsidRPr="0027570C">
        <w:rPr>
          <w:color w:val="000000" w:themeColor="text1"/>
        </w:rPr>
        <w:t>“Par priekšlikumiem valsts budžeta prioritārajiem pasākumiem 2024. gadam un budžeta ietvaram 2024.</w:t>
      </w:r>
      <w:r w:rsidR="00CD4CB7">
        <w:rPr>
          <w:color w:val="000000" w:themeColor="text1"/>
        </w:rPr>
        <w:t xml:space="preserve"> </w:t>
      </w:r>
      <w:r w:rsidR="00EA3632" w:rsidRPr="0027570C">
        <w:rPr>
          <w:color w:val="000000" w:themeColor="text1"/>
        </w:rPr>
        <w:t>–</w:t>
      </w:r>
      <w:r w:rsidR="00CD4CB7">
        <w:rPr>
          <w:color w:val="000000" w:themeColor="text1"/>
        </w:rPr>
        <w:t xml:space="preserve"> </w:t>
      </w:r>
      <w:r w:rsidR="00EA3632" w:rsidRPr="0027570C">
        <w:rPr>
          <w:color w:val="000000" w:themeColor="text1"/>
        </w:rPr>
        <w:t>2026. gadam”.</w:t>
      </w:r>
      <w:r w:rsidR="00EA3632">
        <w:rPr>
          <w:color w:val="000000" w:themeColor="text1"/>
        </w:rPr>
        <w:t xml:space="preserve"> Vienlaicīgi, izstrādājot gan vispārējās valdības budžeta bilances novērtējumu 2023. gadam, gan vidēja termiņa budžeta ietvara prognozes 2024.-2026. gadam, ir ņemti vērā CSP 2023. gada septembra nogalē publicētie aktualizētie IKP dati, kā arī aktualizēts vērtējums par energoresursu cenu sadārdzinājuma atbalsta izlietojumu 2023. gadā, kas sagaidāms zemākā apmērā kā budžetā ieplānots.</w:t>
      </w:r>
    </w:p>
    <w:p w14:paraId="485CD6F9" w14:textId="2CAD9C5A" w:rsidR="00EA3632" w:rsidRDefault="00EA3632" w:rsidP="00EA3632">
      <w:pPr>
        <w:rPr>
          <w:rFonts w:eastAsia="Times New Roman" w:cs="Times New Roman"/>
          <w:color w:val="FF0000"/>
          <w:szCs w:val="20"/>
          <w:lang w:eastAsia="en-US"/>
        </w:rPr>
      </w:pPr>
      <w:r w:rsidRPr="00402DF9">
        <w:rPr>
          <w:color w:val="000000" w:themeColor="text1"/>
        </w:rPr>
        <w:t xml:space="preserve">Atbilstoši </w:t>
      </w:r>
      <w:r w:rsidR="00995C88">
        <w:rPr>
          <w:color w:val="000000" w:themeColor="text1"/>
        </w:rPr>
        <w:t>FM</w:t>
      </w:r>
      <w:r w:rsidRPr="00402DF9">
        <w:rPr>
          <w:color w:val="000000" w:themeColor="text1"/>
        </w:rPr>
        <w:t xml:space="preserve"> aktualizētajam </w:t>
      </w:r>
      <w:r w:rsidRPr="00504B10">
        <w:rPr>
          <w:color w:val="000000" w:themeColor="text1"/>
        </w:rPr>
        <w:t>novērtējumam pēc EKS metodoloģijas</w:t>
      </w:r>
      <w:r w:rsidRPr="00402DF9">
        <w:rPr>
          <w:b/>
          <w:bCs/>
          <w:color w:val="000000" w:themeColor="text1"/>
        </w:rPr>
        <w:t xml:space="preserve"> vispārējās valdības budžeta deficīts 2023. gadā sasniegs 2,7% no IKP</w:t>
      </w:r>
      <w:r>
        <w:rPr>
          <w:b/>
          <w:bCs/>
          <w:color w:val="000000" w:themeColor="text1"/>
        </w:rPr>
        <w:t xml:space="preserve"> </w:t>
      </w:r>
      <w:r w:rsidRPr="00402DF9">
        <w:rPr>
          <w:color w:val="000000" w:themeColor="text1"/>
        </w:rPr>
        <w:t>(sk</w:t>
      </w:r>
      <w:r>
        <w:rPr>
          <w:color w:val="000000" w:themeColor="text1"/>
        </w:rPr>
        <w:t>at.</w:t>
      </w:r>
      <w:r w:rsidRPr="00402DF9">
        <w:rPr>
          <w:color w:val="000000" w:themeColor="text1"/>
        </w:rPr>
        <w:t xml:space="preserve"> 2.2.</w:t>
      </w:r>
      <w:r>
        <w:rPr>
          <w:color w:val="000000" w:themeColor="text1"/>
        </w:rPr>
        <w:t> </w:t>
      </w:r>
      <w:r w:rsidRPr="00402DF9">
        <w:rPr>
          <w:color w:val="000000" w:themeColor="text1"/>
        </w:rPr>
        <w:t xml:space="preserve">attēlu), saglabājoties tādā pašā līmenī, kā tika novērtēts </w:t>
      </w:r>
      <w:r>
        <w:rPr>
          <w:color w:val="000000" w:themeColor="text1"/>
        </w:rPr>
        <w:t>2023. </w:t>
      </w:r>
      <w:r w:rsidRPr="00402DF9">
        <w:rPr>
          <w:color w:val="000000" w:themeColor="text1"/>
        </w:rPr>
        <w:t>gada 15.</w:t>
      </w:r>
      <w:r>
        <w:rPr>
          <w:color w:val="000000" w:themeColor="text1"/>
        </w:rPr>
        <w:t> </w:t>
      </w:r>
      <w:r w:rsidRPr="00402DF9">
        <w:rPr>
          <w:color w:val="000000" w:themeColor="text1"/>
        </w:rPr>
        <w:t>augustā M</w:t>
      </w:r>
      <w:r w:rsidR="0027570C">
        <w:rPr>
          <w:color w:val="000000" w:themeColor="text1"/>
        </w:rPr>
        <w:t>K</w:t>
      </w:r>
      <w:r w:rsidRPr="00402DF9">
        <w:rPr>
          <w:color w:val="000000" w:themeColor="text1"/>
        </w:rPr>
        <w:t xml:space="preserve"> izskatītajā informatīvajā ziņojumā “</w:t>
      </w:r>
      <w:r w:rsidRPr="00402DF9">
        <w:rPr>
          <w:i/>
          <w:iCs/>
          <w:color w:val="000000" w:themeColor="text1"/>
        </w:rPr>
        <w:t>Par makroekonomisko rādītāju, ieņēmumu un vispārējās valdības budžeta bilances prognozēm 2024.,</w:t>
      </w:r>
      <w:r>
        <w:rPr>
          <w:i/>
          <w:iCs/>
          <w:color w:val="000000" w:themeColor="text1"/>
        </w:rPr>
        <w:t xml:space="preserve"> </w:t>
      </w:r>
      <w:r w:rsidRPr="00402DF9">
        <w:rPr>
          <w:i/>
          <w:iCs/>
          <w:color w:val="000000" w:themeColor="text1"/>
        </w:rPr>
        <w:t>2025. un 2026.</w:t>
      </w:r>
      <w:r>
        <w:rPr>
          <w:i/>
          <w:iCs/>
          <w:color w:val="000000" w:themeColor="text1"/>
        </w:rPr>
        <w:t> </w:t>
      </w:r>
      <w:r w:rsidRPr="00402DF9">
        <w:rPr>
          <w:i/>
          <w:iCs/>
          <w:color w:val="000000" w:themeColor="text1"/>
        </w:rPr>
        <w:t>gadā</w:t>
      </w:r>
      <w:r w:rsidRPr="00402DF9">
        <w:rPr>
          <w:color w:val="000000" w:themeColor="text1"/>
        </w:rPr>
        <w:t>”</w:t>
      </w:r>
      <w:r>
        <w:rPr>
          <w:color w:val="000000" w:themeColor="text1"/>
        </w:rPr>
        <w:t xml:space="preserve"> un kas ir par 1,3 procentpunktiem zemāks deficīts, kā aplēsts, gatavojot Stabilitātes programmu 2023. gada martā. </w:t>
      </w:r>
      <w:r w:rsidR="00995C88">
        <w:rPr>
          <w:color w:val="000000" w:themeColor="text1"/>
        </w:rPr>
        <w:t>FM</w:t>
      </w:r>
      <w:r>
        <w:rPr>
          <w:color w:val="000000" w:themeColor="text1"/>
        </w:rPr>
        <w:t xml:space="preserve"> aktualizēs 2023. gada deficīta novērtējumu 2024. gada janvārī pēc operatīvo Valsts kases datu janvārī-decembrī saņemšanas, savukārt </w:t>
      </w:r>
      <w:r w:rsidRPr="00402DF9">
        <w:rPr>
          <w:color w:val="000000" w:themeColor="text1"/>
        </w:rPr>
        <w:t xml:space="preserve">oficiālie dati par </w:t>
      </w:r>
      <w:r>
        <w:rPr>
          <w:color w:val="000000" w:themeColor="text1"/>
        </w:rPr>
        <w:t>2023. </w:t>
      </w:r>
      <w:r w:rsidRPr="00402DF9">
        <w:rPr>
          <w:color w:val="000000" w:themeColor="text1"/>
        </w:rPr>
        <w:t xml:space="preserve">gada vispārējās valdības budžeta deficītu būs pieejami 2024. gada aprīlī, pēc tam, kad </w:t>
      </w:r>
      <w:r>
        <w:rPr>
          <w:color w:val="000000" w:themeColor="text1"/>
        </w:rPr>
        <w:t>CSP</w:t>
      </w:r>
      <w:r w:rsidRPr="00402DF9">
        <w:rPr>
          <w:color w:val="000000" w:themeColor="text1"/>
        </w:rPr>
        <w:t xml:space="preserve"> </w:t>
      </w:r>
      <w:r w:rsidRPr="00402DF9">
        <w:rPr>
          <w:noProof/>
          <w:color w:val="000000" w:themeColor="text1"/>
        </w:rPr>
        <w:t xml:space="preserve">iesniegs </w:t>
      </w:r>
      <w:r w:rsidRPr="00402DF9">
        <w:rPr>
          <w:i/>
          <w:iCs/>
          <w:noProof/>
          <w:color w:val="000000" w:themeColor="text1"/>
        </w:rPr>
        <w:t>Eurostat</w:t>
      </w:r>
      <w:r w:rsidRPr="00402DF9">
        <w:rPr>
          <w:noProof/>
          <w:color w:val="000000" w:themeColor="text1"/>
        </w:rPr>
        <w:t xml:space="preserve"> vispārējās</w:t>
      </w:r>
      <w:r w:rsidRPr="00402DF9">
        <w:rPr>
          <w:color w:val="000000" w:themeColor="text1"/>
        </w:rPr>
        <w:t xml:space="preserve"> valdības budžeta deficīta un parāda notifikāciju.</w:t>
      </w:r>
      <w:r>
        <w:rPr>
          <w:rFonts w:eastAsia="Times New Roman" w:cs="Times New Roman"/>
          <w:color w:val="FF0000"/>
          <w:szCs w:val="20"/>
          <w:highlight w:val="yellow"/>
          <w:lang w:eastAsia="en-US"/>
        </w:rPr>
        <w:t xml:space="preserve"> </w:t>
      </w:r>
    </w:p>
    <w:p w14:paraId="2CAFEF1E" w14:textId="45AD7BBF" w:rsidR="00EA3632" w:rsidRDefault="00EA3632" w:rsidP="00EA3632">
      <w:pPr>
        <w:rPr>
          <w:noProof/>
          <w:color w:val="000000" w:themeColor="text1"/>
        </w:rPr>
      </w:pPr>
      <w:r>
        <w:rPr>
          <w:noProof/>
          <w:color w:val="000000" w:themeColor="text1"/>
        </w:rPr>
        <w:t>2023. gada astoņos mēnešos</w:t>
      </w:r>
      <w:r w:rsidRPr="00AB127D">
        <w:rPr>
          <w:noProof/>
          <w:color w:val="000000" w:themeColor="text1"/>
        </w:rPr>
        <w:t xml:space="preserve">, līdzīgi kā pērn, nodokļu ieņēmumi bijuši būtiski augstāki kā iepriekš plānots. </w:t>
      </w:r>
      <w:bookmarkStart w:id="66" w:name="_Hlk148610967"/>
      <w:r w:rsidRPr="00AB127D">
        <w:rPr>
          <w:noProof/>
          <w:color w:val="000000" w:themeColor="text1"/>
        </w:rPr>
        <w:t xml:space="preserve">Augsts inflācijas līmenis Eiropā un Latvijā ir saglabājies ilgāk kā iepriekš plānots un, lai gan energoresursu cenas šobrīd ir pazeminājušās un stabilizējušās, preču un pakalpojumu </w:t>
      </w:r>
      <w:r>
        <w:rPr>
          <w:noProof/>
          <w:color w:val="000000" w:themeColor="text1"/>
        </w:rPr>
        <w:t>izdevumu</w:t>
      </w:r>
      <w:r w:rsidRPr="00AB127D">
        <w:rPr>
          <w:noProof/>
          <w:color w:val="000000" w:themeColor="text1"/>
        </w:rPr>
        <w:t xml:space="preserve"> līmenis joprojām turpina palielināties</w:t>
      </w:r>
      <w:r>
        <w:rPr>
          <w:noProof/>
          <w:color w:val="000000" w:themeColor="text1"/>
        </w:rPr>
        <w:t>, kas vienlaikus korelē ar papildu nodokļu ieņēmumiem.</w:t>
      </w:r>
      <w:bookmarkEnd w:id="66"/>
      <w:r w:rsidRPr="00AB127D">
        <w:rPr>
          <w:noProof/>
          <w:color w:val="000000" w:themeColor="text1"/>
        </w:rPr>
        <w:t xml:space="preserve"> </w:t>
      </w:r>
      <w:r>
        <w:rPr>
          <w:noProof/>
          <w:color w:val="000000" w:themeColor="text1"/>
        </w:rPr>
        <w:t xml:space="preserve">Darba tirgū vērojams nozīmīgs vidējās darba samaksas pieaugums, </w:t>
      </w:r>
      <w:r>
        <w:rPr>
          <w:noProof/>
          <w:color w:val="000000" w:themeColor="text1"/>
        </w:rPr>
        <w:lastRenderedPageBreak/>
        <w:t xml:space="preserve">pozitīvi ietekmējot darbaspēka nodokļu ieņēmumus. Attiecīgi gada ietvaros ir sagaidāms spēcīgs </w:t>
      </w:r>
      <w:r w:rsidRPr="00AB127D">
        <w:rPr>
          <w:noProof/>
          <w:color w:val="000000" w:themeColor="text1"/>
        </w:rPr>
        <w:t xml:space="preserve">nodokļu </w:t>
      </w:r>
      <w:r>
        <w:rPr>
          <w:noProof/>
          <w:color w:val="000000" w:themeColor="text1"/>
        </w:rPr>
        <w:t>un</w:t>
      </w:r>
      <w:r w:rsidRPr="00AB127D">
        <w:rPr>
          <w:noProof/>
          <w:color w:val="000000" w:themeColor="text1"/>
        </w:rPr>
        <w:t xml:space="preserve"> nenodokļu ieņēmumu apmēr</w:t>
      </w:r>
      <w:r>
        <w:rPr>
          <w:noProof/>
          <w:color w:val="000000" w:themeColor="text1"/>
        </w:rPr>
        <w:t>a pieaugums</w:t>
      </w:r>
      <w:r w:rsidRPr="00AB127D">
        <w:rPr>
          <w:noProof/>
          <w:color w:val="000000" w:themeColor="text1"/>
        </w:rPr>
        <w:t>, kas būtiski uzlabo bilances apmēru</w:t>
      </w:r>
      <w:r>
        <w:rPr>
          <w:noProof/>
          <w:color w:val="000000" w:themeColor="text1"/>
        </w:rPr>
        <w:t>.</w:t>
      </w:r>
    </w:p>
    <w:p w14:paraId="74751182" w14:textId="539A80B8" w:rsidR="00EA3632" w:rsidRPr="00991F65" w:rsidRDefault="00EA3632" w:rsidP="00EA3632">
      <w:pPr>
        <w:rPr>
          <w:noProof/>
          <w:color w:val="000000" w:themeColor="text1"/>
        </w:rPr>
      </w:pPr>
      <w:r>
        <w:rPr>
          <w:noProof/>
          <w:color w:val="000000" w:themeColor="text1"/>
        </w:rPr>
        <w:t>Esošās tendences attiecībā uz valsts speciālo budžetu ir ļāvušas samazināt prognozētos izdevumus 2023. gadam. Tā, piemēram, ir sagaidāms kritums izdevumiem slimības pabalstiem, ņemot vērā straujāku prognozēto slimības pabalstu saņēmēju skaita samazinājumu</w:t>
      </w:r>
      <w:r w:rsidRPr="00572C1B">
        <w:rPr>
          <w:noProof/>
          <w:color w:val="000000" w:themeColor="text1"/>
        </w:rPr>
        <w:t xml:space="preserve">, kā arī </w:t>
      </w:r>
      <w:r>
        <w:rPr>
          <w:noProof/>
          <w:color w:val="000000" w:themeColor="text1"/>
        </w:rPr>
        <w:t>nedaudz samazināti</w:t>
      </w:r>
      <w:r w:rsidRPr="00572C1B">
        <w:rPr>
          <w:noProof/>
          <w:color w:val="000000" w:themeColor="text1"/>
        </w:rPr>
        <w:t xml:space="preserve"> izdevum</w:t>
      </w:r>
      <w:r>
        <w:rPr>
          <w:noProof/>
          <w:color w:val="000000" w:themeColor="text1"/>
        </w:rPr>
        <w:t>i</w:t>
      </w:r>
      <w:r w:rsidRPr="00572C1B">
        <w:rPr>
          <w:noProof/>
          <w:color w:val="000000" w:themeColor="text1"/>
        </w:rPr>
        <w:t xml:space="preserve"> pensijām, </w:t>
      </w:r>
      <w:r>
        <w:rPr>
          <w:noProof/>
          <w:color w:val="000000" w:themeColor="text1"/>
        </w:rPr>
        <w:t>pamatojoties uz</w:t>
      </w:r>
      <w:r w:rsidRPr="00572C1B">
        <w:rPr>
          <w:noProof/>
          <w:color w:val="000000" w:themeColor="text1"/>
        </w:rPr>
        <w:t xml:space="preserve"> zemāku pensiju indeksācijas apmēru</w:t>
      </w:r>
      <w:r>
        <w:rPr>
          <w:noProof/>
          <w:color w:val="000000" w:themeColor="text1"/>
        </w:rPr>
        <w:t>, kas skaidrojams ar salīdzinoši mazāku i</w:t>
      </w:r>
      <w:r w:rsidRPr="00572C1B">
        <w:rPr>
          <w:noProof/>
          <w:color w:val="000000" w:themeColor="text1"/>
        </w:rPr>
        <w:t>ndeksācijas koefic</w:t>
      </w:r>
      <w:r>
        <w:rPr>
          <w:noProof/>
          <w:color w:val="000000" w:themeColor="text1"/>
        </w:rPr>
        <w:t>i</w:t>
      </w:r>
      <w:r w:rsidRPr="00572C1B">
        <w:rPr>
          <w:noProof/>
          <w:color w:val="000000" w:themeColor="text1"/>
        </w:rPr>
        <w:t>ent</w:t>
      </w:r>
      <w:r>
        <w:rPr>
          <w:noProof/>
          <w:color w:val="000000" w:themeColor="text1"/>
        </w:rPr>
        <w:t xml:space="preserve">u. </w:t>
      </w:r>
      <w:r>
        <w:rPr>
          <w:szCs w:val="24"/>
        </w:rPr>
        <w:t>Savukārt, ņemot vērā energoresursu tirgus tendences un to ietekmējošos faktorus, sagaidāms, ka vairs nebūs nepieciešams nozīmīgs atbalsts energoresursu cenu pieauguma ietekmes mazināšanai.</w:t>
      </w:r>
    </w:p>
    <w:p w14:paraId="7CF93F72" w14:textId="2496D80A" w:rsidR="00BE1CA1" w:rsidRDefault="00EA3632" w:rsidP="00BE1CA1">
      <w:pPr>
        <w:rPr>
          <w:szCs w:val="24"/>
        </w:rPr>
      </w:pPr>
      <w:r>
        <w:rPr>
          <w:szCs w:val="24"/>
        </w:rPr>
        <w:t xml:space="preserve">Ņemot vērā faktisko izpildi, ir palielināta prognoze </w:t>
      </w:r>
      <w:r w:rsidRPr="00C92B2B">
        <w:rPr>
          <w:szCs w:val="24"/>
        </w:rPr>
        <w:t>pašvaldību pamat</w:t>
      </w:r>
      <w:r>
        <w:rPr>
          <w:szCs w:val="24"/>
        </w:rPr>
        <w:t>funkciju</w:t>
      </w:r>
      <w:r w:rsidRPr="00C92B2B">
        <w:rPr>
          <w:szCs w:val="24"/>
        </w:rPr>
        <w:t xml:space="preserve"> izdevumi</w:t>
      </w:r>
      <w:r>
        <w:rPr>
          <w:szCs w:val="24"/>
        </w:rPr>
        <w:t>em</w:t>
      </w:r>
      <w:r w:rsidRPr="00C92B2B">
        <w:rPr>
          <w:szCs w:val="24"/>
        </w:rPr>
        <w:t>,</w:t>
      </w:r>
      <w:r>
        <w:rPr>
          <w:szCs w:val="24"/>
        </w:rPr>
        <w:t xml:space="preserve"> Valsts kases procentu </w:t>
      </w:r>
      <w:r w:rsidRPr="00C92B2B">
        <w:rPr>
          <w:szCs w:val="24"/>
        </w:rPr>
        <w:t>izdevumi</w:t>
      </w:r>
      <w:r>
        <w:rPr>
          <w:szCs w:val="24"/>
        </w:rPr>
        <w:t>em, iemaksām ES budžetā.</w:t>
      </w:r>
    </w:p>
    <w:p w14:paraId="09677A63" w14:textId="15A88322" w:rsidR="00BE1CA1" w:rsidRPr="007D6D1B" w:rsidRDefault="00BE1CA1" w:rsidP="007D6D1B">
      <w:pPr>
        <w:rPr>
          <w:color w:val="000000" w:themeColor="text1"/>
          <w:highlight w:val="yellow"/>
        </w:rPr>
      </w:pPr>
      <w:r>
        <w:rPr>
          <w:noProof/>
          <w:szCs w:val="24"/>
        </w:rPr>
        <w:drawing>
          <wp:inline distT="0" distB="0" distL="0" distR="0" wp14:anchorId="7CBB5E54" wp14:editId="3B1EB873">
            <wp:extent cx="5175885" cy="3066415"/>
            <wp:effectExtent l="0" t="0" r="0" b="635"/>
            <wp:docPr id="160692161" name="Picture 1" descr="A graph on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2161" name="Picture 1" descr="A graph on a screen&#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75885" cy="3066415"/>
                    </a:xfrm>
                    <a:prstGeom prst="rect">
                      <a:avLst/>
                    </a:prstGeom>
                    <a:noFill/>
                  </pic:spPr>
                </pic:pic>
              </a:graphicData>
            </a:graphic>
          </wp:inline>
        </w:drawing>
      </w:r>
    </w:p>
    <w:p w14:paraId="55DCA789" w14:textId="71017738" w:rsidR="00EA3632" w:rsidRPr="00036300" w:rsidRDefault="00EA3632" w:rsidP="00EA3632">
      <w:pPr>
        <w:spacing w:before="60"/>
        <w:ind w:firstLine="0"/>
        <w:jc w:val="center"/>
        <w:rPr>
          <w:rFonts w:eastAsia="Times New Roman" w:cs="Times New Roman"/>
          <w:b/>
          <w:i/>
          <w:szCs w:val="24"/>
          <w:lang w:eastAsia="en-US"/>
        </w:rPr>
      </w:pPr>
      <w:r w:rsidRPr="00036300">
        <w:rPr>
          <w:rFonts w:eastAsia="Times New Roman" w:cs="Times New Roman"/>
          <w:b/>
          <w:i/>
          <w:szCs w:val="24"/>
          <w:lang w:eastAsia="en-US"/>
        </w:rPr>
        <w:t>2.2. att. Vispārējās valdības budžeta bilance, ieņēmumi un izdevumi, % no IKP</w:t>
      </w:r>
      <w:r w:rsidRPr="00036300">
        <w:rPr>
          <w:rFonts w:eastAsia="Times New Roman" w:cs="Times New Roman"/>
          <w:b/>
          <w:i/>
          <w:szCs w:val="24"/>
          <w:lang w:eastAsia="en-US"/>
        </w:rPr>
        <w:br/>
        <w:t xml:space="preserve">(Datu avots: </w:t>
      </w:r>
      <w:r>
        <w:rPr>
          <w:rFonts w:eastAsia="Times New Roman" w:cs="Times New Roman"/>
          <w:b/>
          <w:i/>
          <w:noProof/>
          <w:szCs w:val="24"/>
          <w:lang w:eastAsia="en-US"/>
        </w:rPr>
        <w:t>Vispārējās valdības deficīta un parāda 2023. gada aprīļa notifikācija</w:t>
      </w:r>
      <w:r w:rsidRPr="00036300">
        <w:rPr>
          <w:rFonts w:eastAsia="Times New Roman" w:cs="Times New Roman"/>
          <w:b/>
          <w:i/>
          <w:noProof/>
          <w:szCs w:val="24"/>
          <w:lang w:eastAsia="en-US"/>
        </w:rPr>
        <w:t>, FM</w:t>
      </w:r>
      <w:r w:rsidRPr="00036300">
        <w:rPr>
          <w:rFonts w:eastAsia="Times New Roman" w:cs="Times New Roman"/>
          <w:b/>
          <w:i/>
          <w:szCs w:val="24"/>
          <w:lang w:eastAsia="en-US"/>
        </w:rPr>
        <w:t xml:space="preserve">) </w:t>
      </w:r>
    </w:p>
    <w:p w14:paraId="0D141754" w14:textId="692924C8" w:rsidR="00EA3632" w:rsidRPr="004F5543" w:rsidRDefault="00EA3632" w:rsidP="00EA3632">
      <w:pPr>
        <w:rPr>
          <w:rFonts w:eastAsia="Times New Roman" w:cs="Times New Roman"/>
          <w:noProof/>
          <w:szCs w:val="20"/>
          <w:lang w:eastAsia="en-US"/>
        </w:rPr>
      </w:pPr>
      <w:r w:rsidRPr="00074852">
        <w:rPr>
          <w:rFonts w:eastAsia="Times New Roman" w:cs="Times New Roman"/>
          <w:noProof/>
          <w:szCs w:val="20"/>
          <w:lang w:eastAsia="en-US"/>
        </w:rPr>
        <w:t xml:space="preserve">Vispārējās valdības budžeta deficīts </w:t>
      </w:r>
      <w:r w:rsidRPr="00074852">
        <w:rPr>
          <w:rFonts w:eastAsia="Times New Roman" w:cs="Times New Roman"/>
          <w:b/>
          <w:bCs/>
          <w:noProof/>
          <w:szCs w:val="20"/>
          <w:lang w:eastAsia="en-US"/>
        </w:rPr>
        <w:t>2024. gadam</w:t>
      </w:r>
      <w:r w:rsidRPr="00074852">
        <w:rPr>
          <w:rFonts w:eastAsia="Times New Roman" w:cs="Times New Roman"/>
          <w:noProof/>
          <w:szCs w:val="20"/>
          <w:lang w:eastAsia="en-US"/>
        </w:rPr>
        <w:t xml:space="preserve"> tiek prognozēts 1,3 mljrd. </w:t>
      </w:r>
      <w:r w:rsidRPr="00074852">
        <w:rPr>
          <w:rFonts w:eastAsia="Times New Roman" w:cs="Times New Roman"/>
          <w:i/>
          <w:iCs/>
          <w:noProof/>
          <w:szCs w:val="20"/>
          <w:lang w:eastAsia="en-US"/>
        </w:rPr>
        <w:t>euro</w:t>
      </w:r>
      <w:r w:rsidRPr="00074852">
        <w:rPr>
          <w:rFonts w:eastAsia="Times New Roman" w:cs="Times New Roman"/>
          <w:noProof/>
          <w:szCs w:val="20"/>
          <w:lang w:eastAsia="en-US"/>
        </w:rPr>
        <w:t xml:space="preserve"> jeb 2,8% no IKP apmērā. Ja iepriekšējos gados deficīta līmeni noteica būtisks atbalsta pasākumu apjoms, tad 2024. gadā</w:t>
      </w:r>
      <w:r w:rsidRPr="004F5543">
        <w:rPr>
          <w:rFonts w:eastAsia="Times New Roman" w:cs="Times New Roman"/>
          <w:noProof/>
          <w:szCs w:val="20"/>
          <w:lang w:eastAsia="en-US"/>
        </w:rPr>
        <w:t xml:space="preserve"> plānotā atbalsta ietekme ir tikai 0,2% no IKP. </w:t>
      </w:r>
      <w:r>
        <w:rPr>
          <w:rFonts w:eastAsia="Times New Roman" w:cs="Times New Roman"/>
          <w:noProof/>
          <w:szCs w:val="20"/>
          <w:lang w:eastAsia="en-US"/>
        </w:rPr>
        <w:t>A</w:t>
      </w:r>
      <w:r w:rsidRPr="004F5543">
        <w:rPr>
          <w:rFonts w:eastAsia="Times New Roman" w:cs="Times New Roman"/>
          <w:noProof/>
          <w:szCs w:val="20"/>
          <w:lang w:eastAsia="en-US"/>
        </w:rPr>
        <w:t xml:space="preserve">ugstu deficīta līmeni nosaka vienreizējas investīcijas iekšējai un ārējai drošībai, tostarp </w:t>
      </w:r>
      <w:r w:rsidRPr="004F5543">
        <w:t>valsts ārējās robežas infrastruktūras izveidei un investīcijām valsts drošības iestāžu stiprināšanā, kā arī valsts aizsardzības spēju stiprināšanai, speciālo ugunsdzēsības un glābšanas transportlīdzekļu iegādei, arī citiem pasākumiem</w:t>
      </w:r>
      <w:r w:rsidRPr="004F5543">
        <w:rPr>
          <w:rFonts w:eastAsia="Times New Roman" w:cs="Times New Roman"/>
          <w:noProof/>
          <w:szCs w:val="20"/>
          <w:lang w:eastAsia="en-US"/>
        </w:rPr>
        <w:t>.</w:t>
      </w:r>
    </w:p>
    <w:p w14:paraId="56CF9BD9" w14:textId="77777777" w:rsidR="00EA3632" w:rsidRPr="004F5543" w:rsidRDefault="00EA3632" w:rsidP="00EA3632">
      <w:pPr>
        <w:rPr>
          <w:rFonts w:eastAsia="Times New Roman" w:cs="Times New Roman"/>
          <w:szCs w:val="28"/>
          <w:lang w:eastAsia="en-US"/>
        </w:rPr>
      </w:pPr>
      <w:r w:rsidRPr="004F5543">
        <w:rPr>
          <w:rFonts w:eastAsia="Times New Roman" w:cs="Times New Roman"/>
          <w:b/>
          <w:szCs w:val="28"/>
          <w:lang w:eastAsia="en-US"/>
        </w:rPr>
        <w:t xml:space="preserve">2025. un 2026. gada </w:t>
      </w:r>
      <w:r w:rsidRPr="004F5543">
        <w:rPr>
          <w:rFonts w:eastAsia="Times New Roman" w:cs="Times New Roman"/>
          <w:szCs w:val="28"/>
          <w:lang w:eastAsia="en-US"/>
        </w:rPr>
        <w:t xml:space="preserve">vispārējās valdības budžeta deficīts tiek prognozēts attiecīgi 2,3% no IKP un 0,9% no IKP. Prognožu pamatā ir aktualizētie budžeta ieņēmumi un izdevumi, balstoties uz 2023. gada jūnijā sagatavoto vidēja termiņa makroekonomiskās attīstības scenāriju, valdības pieņemtajiem lēmumiem par jauniem pasākumiem, kā arī ņemot vērā pašvaldību un citu atvasināto publisko personu budžetu iespējamo attīstību turpmākajos gados. </w:t>
      </w:r>
    </w:p>
    <w:p w14:paraId="759AC5B8" w14:textId="288F51B7" w:rsidR="00EA3632" w:rsidRPr="004F5543" w:rsidRDefault="00EA3632" w:rsidP="00EA3632">
      <w:pPr>
        <w:rPr>
          <w:rFonts w:eastAsia="Times New Roman" w:cs="Times New Roman"/>
          <w:noProof/>
          <w:szCs w:val="20"/>
          <w:lang w:eastAsia="en-US"/>
        </w:rPr>
      </w:pPr>
      <w:r w:rsidRPr="004F5543">
        <w:rPr>
          <w:rFonts w:eastAsia="Times New Roman" w:cs="Times New Roman"/>
          <w:noProof/>
          <w:szCs w:val="20"/>
          <w:lang w:eastAsia="en-US"/>
        </w:rPr>
        <w:t>Sagatavojot vispārējās valdības budžeta bilances prognozes 2024.</w:t>
      </w:r>
      <w:r w:rsidR="00CD4CB7">
        <w:rPr>
          <w:rFonts w:eastAsia="Times New Roman" w:cs="Times New Roman"/>
          <w:noProof/>
          <w:szCs w:val="20"/>
          <w:lang w:eastAsia="en-US"/>
        </w:rPr>
        <w:t xml:space="preserve"> –</w:t>
      </w:r>
      <w:r w:rsidRPr="004F5543">
        <w:rPr>
          <w:rFonts w:eastAsia="Times New Roman" w:cs="Times New Roman"/>
          <w:noProof/>
          <w:szCs w:val="20"/>
          <w:lang w:eastAsia="en-US"/>
        </w:rPr>
        <w:t>2026. gadam</w:t>
      </w:r>
      <w:r>
        <w:rPr>
          <w:rFonts w:eastAsia="Times New Roman" w:cs="Times New Roman"/>
          <w:noProof/>
          <w:szCs w:val="20"/>
          <w:lang w:eastAsia="en-US"/>
        </w:rPr>
        <w:t>,</w:t>
      </w:r>
      <w:r w:rsidRPr="004F5543">
        <w:rPr>
          <w:rFonts w:eastAsia="Times New Roman" w:cs="Times New Roman"/>
          <w:noProof/>
          <w:szCs w:val="20"/>
          <w:lang w:eastAsia="en-US"/>
        </w:rPr>
        <w:t xml:space="preserve"> tika ņemti vērā šādi</w:t>
      </w:r>
      <w:r>
        <w:rPr>
          <w:rFonts w:eastAsia="Times New Roman" w:cs="Times New Roman"/>
          <w:noProof/>
          <w:szCs w:val="20"/>
          <w:lang w:eastAsia="en-US"/>
        </w:rPr>
        <w:t xml:space="preserve"> jau iepriekš plānotie </w:t>
      </w:r>
      <w:r w:rsidRPr="004F5543">
        <w:rPr>
          <w:rFonts w:eastAsia="Times New Roman" w:cs="Times New Roman"/>
          <w:noProof/>
          <w:szCs w:val="20"/>
          <w:lang w:eastAsia="en-US"/>
        </w:rPr>
        <w:t>pasākumi</w:t>
      </w:r>
      <w:r>
        <w:rPr>
          <w:rFonts w:eastAsia="Times New Roman" w:cs="Times New Roman"/>
          <w:noProof/>
          <w:szCs w:val="20"/>
          <w:lang w:eastAsia="en-US"/>
        </w:rPr>
        <w:t xml:space="preserve"> un jaunās prioritātes</w:t>
      </w:r>
      <w:r w:rsidRPr="004F5543">
        <w:rPr>
          <w:rFonts w:eastAsia="Times New Roman" w:cs="Times New Roman"/>
          <w:noProof/>
          <w:szCs w:val="20"/>
          <w:lang w:eastAsia="en-US"/>
        </w:rPr>
        <w:t xml:space="preserve">: </w:t>
      </w:r>
    </w:p>
    <w:p w14:paraId="4DA027A4" w14:textId="77777777" w:rsidR="00EA3632" w:rsidRDefault="00EA3632" w:rsidP="00EA3632">
      <w:pPr>
        <w:numPr>
          <w:ilvl w:val="0"/>
          <w:numId w:val="10"/>
        </w:numPr>
        <w:spacing w:after="60"/>
        <w:ind w:left="1066" w:hanging="357"/>
        <w:rPr>
          <w:rFonts w:eastAsia="Times New Roman" w:cs="Times New Roman"/>
          <w:szCs w:val="28"/>
          <w:lang w:eastAsia="en-US"/>
        </w:rPr>
      </w:pPr>
      <w:r w:rsidRPr="004F5543">
        <w:rPr>
          <w:rFonts w:eastAsia="Times New Roman" w:cs="Times New Roman"/>
          <w:szCs w:val="28"/>
          <w:lang w:eastAsia="en-US"/>
        </w:rPr>
        <w:t xml:space="preserve">Minimālās darba samaksas paaugstināšana no 620 </w:t>
      </w:r>
      <w:r w:rsidRPr="004F5543">
        <w:rPr>
          <w:rFonts w:eastAsia="Times New Roman" w:cs="Times New Roman"/>
          <w:i/>
          <w:iCs/>
          <w:noProof/>
          <w:szCs w:val="28"/>
          <w:lang w:eastAsia="en-US"/>
        </w:rPr>
        <w:t>euro</w:t>
      </w:r>
      <w:r w:rsidRPr="004F5543">
        <w:rPr>
          <w:rFonts w:eastAsia="Times New Roman" w:cs="Times New Roman"/>
          <w:noProof/>
          <w:szCs w:val="28"/>
          <w:lang w:eastAsia="en-US"/>
        </w:rPr>
        <w:t xml:space="preserve"> līdz 700 </w:t>
      </w:r>
      <w:r w:rsidRPr="004F5543">
        <w:rPr>
          <w:rFonts w:eastAsia="Times New Roman" w:cs="Times New Roman"/>
          <w:i/>
          <w:iCs/>
          <w:noProof/>
          <w:szCs w:val="28"/>
          <w:lang w:eastAsia="en-US"/>
        </w:rPr>
        <w:t>euro</w:t>
      </w:r>
      <w:r w:rsidRPr="004F5543">
        <w:rPr>
          <w:rFonts w:eastAsia="Times New Roman" w:cs="Times New Roman"/>
          <w:noProof/>
          <w:szCs w:val="28"/>
          <w:lang w:eastAsia="en-US"/>
        </w:rPr>
        <w:t xml:space="preserve"> mēnesī </w:t>
      </w:r>
      <w:r w:rsidRPr="004F5543">
        <w:rPr>
          <w:rFonts w:eastAsia="Times New Roman" w:cs="Times New Roman"/>
          <w:szCs w:val="28"/>
          <w:lang w:eastAsia="en-US"/>
        </w:rPr>
        <w:t xml:space="preserve">ar 2024. gada 1. janvāri; </w:t>
      </w:r>
    </w:p>
    <w:p w14:paraId="141DABE7" w14:textId="77777777" w:rsidR="00EA3632" w:rsidRPr="00F160CF" w:rsidRDefault="00EA3632" w:rsidP="00EA3632">
      <w:pPr>
        <w:numPr>
          <w:ilvl w:val="0"/>
          <w:numId w:val="10"/>
        </w:numPr>
        <w:spacing w:after="60"/>
        <w:ind w:left="1066" w:hanging="357"/>
        <w:rPr>
          <w:rFonts w:eastAsia="Times New Roman" w:cs="Times New Roman"/>
          <w:szCs w:val="28"/>
          <w:lang w:eastAsia="en-US"/>
        </w:rPr>
      </w:pPr>
      <w:r w:rsidRPr="004F5543">
        <w:rPr>
          <w:rFonts w:eastAsia="Times New Roman" w:cs="Times New Roman"/>
          <w:szCs w:val="28"/>
          <w:lang w:eastAsia="en-US"/>
        </w:rPr>
        <w:lastRenderedPageBreak/>
        <w:t>Valsts drošības un aizsardzības izdevumu palielināšana</w:t>
      </w:r>
      <w:r>
        <w:rPr>
          <w:rFonts w:eastAsia="Times New Roman" w:cs="Times New Roman"/>
          <w:szCs w:val="28"/>
          <w:lang w:eastAsia="en-US"/>
        </w:rPr>
        <w:t>,</w:t>
      </w:r>
      <w:r w:rsidRPr="004F5543">
        <w:rPr>
          <w:rFonts w:eastAsia="Times New Roman" w:cs="Times New Roman"/>
          <w:szCs w:val="28"/>
          <w:lang w:eastAsia="en-US"/>
        </w:rPr>
        <w:t xml:space="preserve"> aizsardzības izdevumiem 2026. gadā sasniedzot 2,75% no IKP</w:t>
      </w:r>
      <w:r>
        <w:rPr>
          <w:rFonts w:eastAsia="Times New Roman" w:cs="Times New Roman"/>
          <w:szCs w:val="28"/>
          <w:lang w:eastAsia="en-US"/>
        </w:rPr>
        <w:t>. Turpmākajos gados tiek plānota a</w:t>
      </w:r>
      <w:r w:rsidRPr="00F160CF">
        <w:rPr>
          <w:rFonts w:eastAsia="Times New Roman" w:cs="Times New Roman"/>
          <w:szCs w:val="28"/>
          <w:lang w:eastAsia="en-US"/>
        </w:rPr>
        <w:t xml:space="preserve">talgojuma </w:t>
      </w:r>
      <w:r w:rsidRPr="00F160CF">
        <w:rPr>
          <w:rFonts w:eastAsia="Times New Roman" w:cs="Times New Roman"/>
          <w:noProof/>
          <w:szCs w:val="28"/>
          <w:lang w:eastAsia="en-US"/>
        </w:rPr>
        <w:t>palielināšana iekšlietu nozarē, valsts ārējās drošības pasākumu nodrošināšana, ārējās robežas infrastruktūras izveide, valsts kiberdrošības</w:t>
      </w:r>
      <w:r w:rsidRPr="00F160CF">
        <w:rPr>
          <w:rFonts w:eastAsia="Times New Roman" w:cs="Times New Roman"/>
          <w:szCs w:val="28"/>
          <w:lang w:eastAsia="en-US"/>
        </w:rPr>
        <w:t xml:space="preserve"> stiprināšana un Valsts ugunsdzēsības un glābšanas dienesta struktūrvienību dzīvības glābšanas spēju uzlabošana;</w:t>
      </w:r>
    </w:p>
    <w:p w14:paraId="515870EB" w14:textId="77777777" w:rsidR="00EA3632" w:rsidRPr="005118D8" w:rsidRDefault="00EA3632" w:rsidP="00EA3632">
      <w:pPr>
        <w:numPr>
          <w:ilvl w:val="0"/>
          <w:numId w:val="10"/>
        </w:numPr>
        <w:spacing w:after="60"/>
        <w:ind w:left="1066" w:hanging="357"/>
        <w:rPr>
          <w:rFonts w:eastAsia="Times New Roman" w:cs="Times New Roman"/>
          <w:szCs w:val="28"/>
          <w:lang w:eastAsia="en-US"/>
        </w:rPr>
      </w:pPr>
      <w:r>
        <w:rPr>
          <w:rFonts w:eastAsia="Times New Roman" w:cs="Times New Roman"/>
          <w:szCs w:val="28"/>
          <w:lang w:eastAsia="en-US"/>
        </w:rPr>
        <w:t>P</w:t>
      </w:r>
      <w:r w:rsidRPr="002E3979">
        <w:rPr>
          <w:rFonts w:eastAsia="Times New Roman" w:cs="Times New Roman"/>
          <w:szCs w:val="28"/>
          <w:lang w:eastAsia="en-US"/>
        </w:rPr>
        <w:t>apildu finansējums pedagogu darba samaksas pieaugumam</w:t>
      </w:r>
      <w:r>
        <w:rPr>
          <w:rFonts w:eastAsia="Times New Roman" w:cs="Times New Roman"/>
          <w:szCs w:val="28"/>
          <w:lang w:eastAsia="en-US"/>
        </w:rPr>
        <w:t>, k</w:t>
      </w:r>
      <w:r w:rsidRPr="00B53F1A">
        <w:rPr>
          <w:rFonts w:eastAsia="Times New Roman" w:cs="Times New Roman"/>
          <w:szCs w:val="28"/>
          <w:lang w:eastAsia="en-US"/>
        </w:rPr>
        <w:t xml:space="preserve">as ļaus zemāko pedagoga stundas likmi no 2024. gada 1. janvāra </w:t>
      </w:r>
      <w:r w:rsidRPr="00B53F1A">
        <w:rPr>
          <w:rFonts w:eastAsia="Times New Roman" w:cs="Times New Roman"/>
          <w:noProof/>
          <w:szCs w:val="28"/>
          <w:lang w:eastAsia="en-US"/>
        </w:rPr>
        <w:t xml:space="preserve">palielināt </w:t>
      </w:r>
      <w:r>
        <w:rPr>
          <w:rFonts w:eastAsia="Times New Roman" w:cs="Times New Roman"/>
          <w:noProof/>
          <w:szCs w:val="28"/>
          <w:lang w:eastAsia="en-US"/>
        </w:rPr>
        <w:t xml:space="preserve">līdz </w:t>
      </w:r>
      <w:r w:rsidRPr="002E3979">
        <w:rPr>
          <w:rFonts w:eastAsia="Times New Roman" w:cs="Times New Roman"/>
          <w:noProof/>
          <w:szCs w:val="28"/>
          <w:lang w:eastAsia="en-US"/>
        </w:rPr>
        <w:t>9,54</w:t>
      </w:r>
      <w:r>
        <w:rPr>
          <w:rFonts w:eastAsia="Times New Roman" w:cs="Times New Roman"/>
          <w:noProof/>
          <w:szCs w:val="28"/>
          <w:lang w:eastAsia="en-US"/>
        </w:rPr>
        <w:t> </w:t>
      </w:r>
      <w:r w:rsidRPr="00B53F1A">
        <w:rPr>
          <w:rFonts w:eastAsia="Times New Roman" w:cs="Times New Roman"/>
          <w:i/>
          <w:iCs/>
          <w:noProof/>
          <w:szCs w:val="28"/>
          <w:lang w:eastAsia="en-US"/>
        </w:rPr>
        <w:t>euro</w:t>
      </w:r>
      <w:r w:rsidRPr="002E3979">
        <w:rPr>
          <w:rFonts w:eastAsia="Times New Roman" w:cs="Times New Roman"/>
          <w:szCs w:val="28"/>
          <w:lang w:eastAsia="en-US"/>
        </w:rPr>
        <w:t xml:space="preserve"> </w:t>
      </w:r>
      <w:r>
        <w:rPr>
          <w:rFonts w:eastAsia="Times New Roman" w:cs="Times New Roman"/>
          <w:szCs w:val="28"/>
          <w:lang w:eastAsia="en-US"/>
        </w:rPr>
        <w:t xml:space="preserve">gan </w:t>
      </w:r>
      <w:r w:rsidRPr="002E3979">
        <w:rPr>
          <w:rFonts w:eastAsia="Times New Roman" w:cs="Times New Roman"/>
          <w:szCs w:val="28"/>
          <w:lang w:eastAsia="en-US"/>
        </w:rPr>
        <w:t>pedagogiem pirmsskolā</w:t>
      </w:r>
      <w:r>
        <w:rPr>
          <w:rFonts w:eastAsia="Times New Roman" w:cs="Times New Roman"/>
          <w:szCs w:val="28"/>
          <w:lang w:eastAsia="en-US"/>
        </w:rPr>
        <w:t>, gan</w:t>
      </w:r>
      <w:r w:rsidRPr="002E3979">
        <w:rPr>
          <w:rFonts w:eastAsia="Times New Roman" w:cs="Times New Roman"/>
          <w:szCs w:val="28"/>
          <w:lang w:eastAsia="en-US"/>
        </w:rPr>
        <w:t xml:space="preserve"> vispārējā izglītībā</w:t>
      </w:r>
      <w:r>
        <w:rPr>
          <w:rFonts w:eastAsia="Times New Roman" w:cs="Times New Roman"/>
          <w:szCs w:val="28"/>
          <w:lang w:eastAsia="en-US"/>
        </w:rPr>
        <w:t>. Tiek plānoti papildu līdzekļi s</w:t>
      </w:r>
      <w:r w:rsidRPr="005118D8">
        <w:rPr>
          <w:rFonts w:eastAsia="Times New Roman" w:cs="Times New Roman"/>
          <w:szCs w:val="28"/>
          <w:lang w:eastAsia="en-US"/>
        </w:rPr>
        <w:t>nieguma finansējuma augstākā izglītībā un zinātnē īpatsvara pakāpeniskai palielināšanai, mācību līdzekļu iegādei un digitālo mācību līdzekļu un platformu izstrādei un uzturēšanai secīgas pārejas uz mācībām valsts valodā īstenošanai;</w:t>
      </w:r>
    </w:p>
    <w:p w14:paraId="48F0C375" w14:textId="5EA57048" w:rsidR="00EA3632" w:rsidRDefault="00EA3632" w:rsidP="00EA3632">
      <w:pPr>
        <w:numPr>
          <w:ilvl w:val="0"/>
          <w:numId w:val="10"/>
        </w:numPr>
        <w:spacing w:after="60"/>
        <w:ind w:left="1066" w:hanging="357"/>
        <w:rPr>
          <w:rFonts w:eastAsia="Times New Roman" w:cs="Times New Roman"/>
          <w:szCs w:val="28"/>
          <w:lang w:eastAsia="en-US"/>
        </w:rPr>
      </w:pPr>
      <w:r>
        <w:rPr>
          <w:rFonts w:eastAsia="Times New Roman" w:cs="Times New Roman"/>
          <w:szCs w:val="28"/>
          <w:lang w:eastAsia="en-US"/>
        </w:rPr>
        <w:t>V</w:t>
      </w:r>
      <w:r w:rsidRPr="002E3979">
        <w:rPr>
          <w:rFonts w:eastAsia="Times New Roman" w:cs="Times New Roman"/>
          <w:szCs w:val="28"/>
          <w:lang w:eastAsia="en-US"/>
        </w:rPr>
        <w:t>eselības aprūpes pakalpojumu</w:t>
      </w:r>
      <w:r>
        <w:rPr>
          <w:rFonts w:eastAsia="Times New Roman" w:cs="Times New Roman"/>
          <w:szCs w:val="28"/>
          <w:lang w:eastAsia="en-US"/>
        </w:rPr>
        <w:t xml:space="preserve"> pieejamības</w:t>
      </w:r>
      <w:r w:rsidRPr="002E3979">
        <w:rPr>
          <w:rFonts w:eastAsia="Times New Roman" w:cs="Times New Roman"/>
          <w:szCs w:val="28"/>
          <w:lang w:eastAsia="en-US"/>
        </w:rPr>
        <w:t xml:space="preserve"> un kvalitātes uzlabošanai </w:t>
      </w:r>
      <w:r>
        <w:rPr>
          <w:rFonts w:eastAsia="Times New Roman" w:cs="Times New Roman"/>
          <w:szCs w:val="28"/>
          <w:lang w:eastAsia="en-US"/>
        </w:rPr>
        <w:t>2024.</w:t>
      </w:r>
      <w:r w:rsidR="00CD4CB7" w:rsidRPr="00CD4CB7">
        <w:rPr>
          <w:rFonts w:eastAsia="Times New Roman" w:cs="Times New Roman"/>
          <w:szCs w:val="24"/>
          <w:lang w:eastAsia="en-US"/>
        </w:rPr>
        <w:t xml:space="preserve"> </w:t>
      </w:r>
      <w:r w:rsidR="00CD4CB7">
        <w:rPr>
          <w:rFonts w:eastAsia="Times New Roman" w:cs="Times New Roman"/>
          <w:szCs w:val="24"/>
          <w:lang w:eastAsia="en-US"/>
        </w:rPr>
        <w:t xml:space="preserve">– </w:t>
      </w:r>
      <w:r>
        <w:rPr>
          <w:rFonts w:eastAsia="Times New Roman" w:cs="Times New Roman"/>
          <w:szCs w:val="28"/>
          <w:lang w:eastAsia="en-US"/>
        </w:rPr>
        <w:t xml:space="preserve">2026. gadā </w:t>
      </w:r>
      <w:r w:rsidRPr="002E3979">
        <w:rPr>
          <w:rFonts w:eastAsia="Times New Roman" w:cs="Times New Roman"/>
          <w:szCs w:val="28"/>
          <w:lang w:eastAsia="en-US"/>
        </w:rPr>
        <w:t xml:space="preserve">ir </w:t>
      </w:r>
      <w:r>
        <w:rPr>
          <w:rFonts w:eastAsia="Times New Roman" w:cs="Times New Roman"/>
          <w:szCs w:val="28"/>
          <w:lang w:eastAsia="en-US"/>
        </w:rPr>
        <w:t xml:space="preserve">papildus </w:t>
      </w:r>
      <w:r w:rsidRPr="002E3979">
        <w:rPr>
          <w:rFonts w:eastAsia="Times New Roman" w:cs="Times New Roman"/>
          <w:szCs w:val="28"/>
          <w:lang w:eastAsia="en-US"/>
        </w:rPr>
        <w:t>paredzēti 275</w:t>
      </w:r>
      <w:r>
        <w:rPr>
          <w:rFonts w:eastAsia="Times New Roman" w:cs="Times New Roman"/>
          <w:szCs w:val="28"/>
          <w:lang w:eastAsia="en-US"/>
        </w:rPr>
        <w:t> </w:t>
      </w:r>
      <w:r w:rsidRPr="002E3979">
        <w:rPr>
          <w:rFonts w:eastAsia="Times New Roman" w:cs="Times New Roman"/>
          <w:szCs w:val="28"/>
          <w:lang w:eastAsia="en-US"/>
        </w:rPr>
        <w:t>milj</w:t>
      </w:r>
      <w:r>
        <w:rPr>
          <w:rFonts w:eastAsia="Times New Roman" w:cs="Times New Roman"/>
          <w:noProof/>
          <w:szCs w:val="28"/>
          <w:lang w:eastAsia="en-US"/>
        </w:rPr>
        <w:t>.</w:t>
      </w:r>
      <w:r w:rsidRPr="002E3979">
        <w:rPr>
          <w:rFonts w:eastAsia="Times New Roman" w:cs="Times New Roman"/>
          <w:noProof/>
          <w:szCs w:val="28"/>
          <w:lang w:eastAsia="en-US"/>
        </w:rPr>
        <w:t xml:space="preserve"> </w:t>
      </w:r>
      <w:r w:rsidRPr="002E3979">
        <w:rPr>
          <w:rFonts w:eastAsia="Times New Roman" w:cs="Times New Roman"/>
          <w:i/>
          <w:iCs/>
          <w:noProof/>
          <w:szCs w:val="28"/>
          <w:lang w:eastAsia="en-US"/>
        </w:rPr>
        <w:t>eu</w:t>
      </w:r>
      <w:r>
        <w:rPr>
          <w:rFonts w:eastAsia="Times New Roman" w:cs="Times New Roman"/>
          <w:i/>
          <w:iCs/>
          <w:noProof/>
          <w:szCs w:val="28"/>
          <w:lang w:eastAsia="en-US"/>
        </w:rPr>
        <w:t xml:space="preserve">ro </w:t>
      </w:r>
      <w:r>
        <w:rPr>
          <w:rFonts w:eastAsia="Times New Roman" w:cs="Times New Roman"/>
          <w:noProof/>
          <w:szCs w:val="28"/>
          <w:lang w:eastAsia="en-US"/>
        </w:rPr>
        <w:t>ik gadu.</w:t>
      </w:r>
      <w:r w:rsidRPr="002E3979">
        <w:rPr>
          <w:rFonts w:eastAsia="Times New Roman" w:cs="Times New Roman"/>
          <w:szCs w:val="28"/>
          <w:lang w:eastAsia="en-US"/>
        </w:rPr>
        <w:t xml:space="preserve"> </w:t>
      </w:r>
      <w:r>
        <w:rPr>
          <w:rFonts w:eastAsia="Times New Roman" w:cs="Times New Roman"/>
          <w:szCs w:val="28"/>
          <w:lang w:eastAsia="en-US"/>
        </w:rPr>
        <w:t>Tiek plānots celt atalgojumu ārstiem, aprūpes un atbalsta personālam, tāpat paredzēts papildu finansējums izmeklējumiem un medikamentu iegādei;</w:t>
      </w:r>
    </w:p>
    <w:p w14:paraId="57874268" w14:textId="77777777" w:rsidR="00EA3632" w:rsidRPr="009E4192" w:rsidRDefault="00EA3632" w:rsidP="00EA3632">
      <w:pPr>
        <w:numPr>
          <w:ilvl w:val="0"/>
          <w:numId w:val="10"/>
        </w:numPr>
        <w:rPr>
          <w:rFonts w:eastAsia="Times New Roman" w:cs="Times New Roman"/>
          <w:szCs w:val="28"/>
          <w:lang w:eastAsia="en-US"/>
        </w:rPr>
      </w:pPr>
      <w:r w:rsidRPr="009E4192">
        <w:rPr>
          <w:rFonts w:eastAsia="Times New Roman" w:cs="Times New Roman"/>
          <w:szCs w:val="28"/>
          <w:lang w:eastAsia="en-US"/>
        </w:rPr>
        <w:t>2024. gadā paredzēts vienreizējs mērķēts atbalsts kredītņēmējiem straujo procentu likmju pieauguma daļējai kompensēšanai, tāpat arī atbalsts elektroenerģijas tarifu pieauguma kompensēšanai</w:t>
      </w:r>
      <w:r>
        <w:rPr>
          <w:rFonts w:eastAsia="Times New Roman" w:cs="Times New Roman"/>
          <w:szCs w:val="28"/>
          <w:lang w:eastAsia="en-US"/>
        </w:rPr>
        <w:t>.</w:t>
      </w:r>
    </w:p>
    <w:bookmarkEnd w:id="64"/>
    <w:p w14:paraId="7B0B86FD" w14:textId="168B843B" w:rsidR="00EA3632" w:rsidRPr="00EC4EDB" w:rsidRDefault="00EA3632" w:rsidP="00EA3632">
      <w:pPr>
        <w:keepNext/>
        <w:spacing w:before="120"/>
        <w:ind w:firstLine="0"/>
        <w:jc w:val="right"/>
        <w:rPr>
          <w:rFonts w:eastAsia="Times New Roman" w:cs="Times New Roman"/>
          <w:b/>
          <w:i/>
          <w:szCs w:val="24"/>
          <w:lang w:eastAsia="en-US"/>
        </w:rPr>
      </w:pPr>
      <w:r w:rsidRPr="00EC4EDB">
        <w:rPr>
          <w:rFonts w:eastAsia="Times New Roman" w:cs="Times New Roman"/>
          <w:b/>
          <w:i/>
          <w:szCs w:val="24"/>
          <w:lang w:eastAsia="en-US"/>
        </w:rPr>
        <w:t>2.</w:t>
      </w:r>
      <w:r w:rsidR="00F466C8">
        <w:rPr>
          <w:rFonts w:eastAsia="Times New Roman" w:cs="Times New Roman"/>
          <w:b/>
          <w:i/>
          <w:szCs w:val="24"/>
          <w:lang w:eastAsia="en-US"/>
        </w:rPr>
        <w:t>8</w:t>
      </w:r>
      <w:r w:rsidRPr="00EC4EDB">
        <w:rPr>
          <w:rFonts w:eastAsia="Times New Roman" w:cs="Times New Roman"/>
          <w:b/>
          <w:i/>
          <w:szCs w:val="24"/>
          <w:lang w:eastAsia="en-US"/>
        </w:rPr>
        <w:t>. tabula. Vispārējās valdības budžeta un konsolidētā kopbudžeta bilance 2022. </w:t>
      </w:r>
      <w:r w:rsidR="003D276E">
        <w:rPr>
          <w:rFonts w:eastAsia="Times New Roman" w:cs="Times New Roman"/>
          <w:szCs w:val="24"/>
          <w:lang w:eastAsia="en-US"/>
        </w:rPr>
        <w:t>–</w:t>
      </w:r>
      <w:r w:rsidRPr="00EC4EDB">
        <w:rPr>
          <w:rFonts w:eastAsia="Times New Roman" w:cs="Times New Roman"/>
          <w:b/>
          <w:i/>
          <w:szCs w:val="24"/>
          <w:lang w:eastAsia="en-US"/>
        </w:rPr>
        <w:t xml:space="preserve"> 2026. gadā, milj. </w:t>
      </w:r>
      <w:r w:rsidRPr="00EC4EDB">
        <w:rPr>
          <w:rFonts w:eastAsia="Times New Roman" w:cs="Times New Roman"/>
          <w:b/>
          <w:i/>
          <w:noProof/>
          <w:szCs w:val="24"/>
          <w:lang w:eastAsia="en-US"/>
        </w:rPr>
        <w:t>euro</w:t>
      </w:r>
      <w:r w:rsidRPr="00EC4EDB">
        <w:rPr>
          <w:rFonts w:eastAsia="Times New Roman" w:cs="Times New Roman"/>
          <w:b/>
          <w:i/>
          <w:szCs w:val="24"/>
          <w:lang w:eastAsia="en-US"/>
        </w:rPr>
        <w:t xml:space="preserve"> un % no IKP</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851"/>
        <w:gridCol w:w="850"/>
        <w:gridCol w:w="851"/>
        <w:gridCol w:w="850"/>
        <w:gridCol w:w="851"/>
        <w:gridCol w:w="850"/>
        <w:gridCol w:w="864"/>
        <w:gridCol w:w="863"/>
      </w:tblGrid>
      <w:tr w:rsidR="00EA3632" w:rsidRPr="007C4CFB" w14:paraId="2FEA11A7" w14:textId="77777777" w:rsidTr="005F05A2">
        <w:trPr>
          <w:trHeight w:val="20"/>
          <w:tblHeader/>
          <w:jc w:val="center"/>
        </w:trPr>
        <w:tc>
          <w:tcPr>
            <w:tcW w:w="2263" w:type="dxa"/>
            <w:vMerge w:val="restart"/>
            <w:shd w:val="clear" w:color="auto" w:fill="BDD6EE" w:themeFill="accent1" w:themeFillTint="66"/>
            <w:noWrap/>
            <w:vAlign w:val="center"/>
            <w:hideMark/>
          </w:tcPr>
          <w:p w14:paraId="044697BE" w14:textId="77777777" w:rsidR="00EA3632" w:rsidRPr="00F061D0" w:rsidRDefault="00EA3632" w:rsidP="005F05A2">
            <w:pPr>
              <w:spacing w:after="0"/>
              <w:ind w:firstLine="0"/>
              <w:contextualSpacing/>
              <w:jc w:val="left"/>
              <w:rPr>
                <w:rFonts w:eastAsia="Times New Roman" w:cs="Times New Roman"/>
                <w:color w:val="000000"/>
                <w:sz w:val="18"/>
                <w:szCs w:val="18"/>
              </w:rPr>
            </w:pPr>
            <w:r w:rsidRPr="00F061D0">
              <w:rPr>
                <w:rFonts w:eastAsia="Times New Roman" w:cs="Times New Roman"/>
                <w:color w:val="000000"/>
                <w:sz w:val="18"/>
                <w:szCs w:val="18"/>
              </w:rPr>
              <w:t> </w:t>
            </w:r>
          </w:p>
          <w:p w14:paraId="23380301" w14:textId="77777777" w:rsidR="00EA3632" w:rsidRPr="00F061D0" w:rsidRDefault="00EA3632" w:rsidP="005F05A2">
            <w:pPr>
              <w:spacing w:after="0"/>
              <w:ind w:firstLine="709"/>
              <w:contextualSpacing/>
              <w:jc w:val="left"/>
              <w:rPr>
                <w:rFonts w:eastAsia="Times New Roman" w:cs="Times New Roman"/>
                <w:color w:val="000000"/>
                <w:sz w:val="18"/>
                <w:szCs w:val="18"/>
              </w:rPr>
            </w:pPr>
            <w:r w:rsidRPr="00F061D0">
              <w:rPr>
                <w:rFonts w:eastAsia="Times New Roman" w:cs="Times New Roman"/>
                <w:b/>
                <w:bCs/>
                <w:color w:val="000000"/>
                <w:sz w:val="18"/>
                <w:szCs w:val="18"/>
              </w:rPr>
              <w:t> </w:t>
            </w:r>
          </w:p>
        </w:tc>
        <w:tc>
          <w:tcPr>
            <w:tcW w:w="851" w:type="dxa"/>
            <w:shd w:val="clear" w:color="auto" w:fill="BDD6EE" w:themeFill="accent1" w:themeFillTint="66"/>
            <w:noWrap/>
            <w:vAlign w:val="center"/>
            <w:hideMark/>
          </w:tcPr>
          <w:p w14:paraId="36D812EF" w14:textId="77777777" w:rsidR="00EA3632" w:rsidRPr="00F061D0" w:rsidRDefault="00EA3632" w:rsidP="005F05A2">
            <w:pPr>
              <w:spacing w:after="0"/>
              <w:ind w:firstLine="0"/>
              <w:contextualSpacing/>
              <w:jc w:val="center"/>
              <w:rPr>
                <w:rFonts w:eastAsia="Times New Roman" w:cs="Times New Roman"/>
                <w:b/>
                <w:bCs/>
                <w:color w:val="000000"/>
                <w:sz w:val="18"/>
                <w:szCs w:val="18"/>
              </w:rPr>
            </w:pPr>
            <w:r w:rsidRPr="00F061D0">
              <w:rPr>
                <w:rFonts w:eastAsia="Times New Roman" w:cs="Times New Roman"/>
                <w:b/>
                <w:bCs/>
                <w:color w:val="000000"/>
                <w:sz w:val="18"/>
                <w:szCs w:val="18"/>
              </w:rPr>
              <w:t>2022</w:t>
            </w:r>
          </w:p>
        </w:tc>
        <w:tc>
          <w:tcPr>
            <w:tcW w:w="850" w:type="dxa"/>
            <w:shd w:val="clear" w:color="auto" w:fill="BDD6EE" w:themeFill="accent1" w:themeFillTint="66"/>
            <w:noWrap/>
            <w:vAlign w:val="center"/>
            <w:hideMark/>
          </w:tcPr>
          <w:p w14:paraId="1A5B1EF0" w14:textId="77777777" w:rsidR="00EA3632" w:rsidRPr="00F061D0" w:rsidRDefault="00EA3632" w:rsidP="005F05A2">
            <w:pPr>
              <w:spacing w:after="0"/>
              <w:ind w:firstLine="0"/>
              <w:contextualSpacing/>
              <w:jc w:val="center"/>
              <w:rPr>
                <w:rFonts w:eastAsia="Times New Roman" w:cs="Times New Roman"/>
                <w:b/>
                <w:bCs/>
                <w:color w:val="000000"/>
                <w:sz w:val="18"/>
                <w:szCs w:val="18"/>
              </w:rPr>
            </w:pPr>
            <w:r w:rsidRPr="00F061D0">
              <w:rPr>
                <w:rFonts w:eastAsia="Times New Roman" w:cs="Times New Roman"/>
                <w:b/>
                <w:bCs/>
                <w:color w:val="000000"/>
                <w:sz w:val="18"/>
                <w:szCs w:val="18"/>
              </w:rPr>
              <w:t>2023</w:t>
            </w:r>
          </w:p>
        </w:tc>
        <w:tc>
          <w:tcPr>
            <w:tcW w:w="851" w:type="dxa"/>
            <w:shd w:val="clear" w:color="auto" w:fill="BDD6EE" w:themeFill="accent1" w:themeFillTint="66"/>
            <w:noWrap/>
            <w:vAlign w:val="center"/>
            <w:hideMark/>
          </w:tcPr>
          <w:p w14:paraId="34BE94EF" w14:textId="77777777" w:rsidR="00EA3632" w:rsidRPr="00F061D0" w:rsidRDefault="00EA3632" w:rsidP="005F05A2">
            <w:pPr>
              <w:spacing w:after="0"/>
              <w:ind w:firstLine="0"/>
              <w:contextualSpacing/>
              <w:jc w:val="center"/>
              <w:rPr>
                <w:rFonts w:eastAsia="Times New Roman" w:cs="Times New Roman"/>
                <w:b/>
                <w:bCs/>
                <w:color w:val="000000"/>
                <w:sz w:val="18"/>
                <w:szCs w:val="18"/>
              </w:rPr>
            </w:pPr>
            <w:r w:rsidRPr="00F061D0">
              <w:rPr>
                <w:rFonts w:eastAsia="Times New Roman" w:cs="Times New Roman"/>
                <w:b/>
                <w:bCs/>
                <w:color w:val="000000"/>
                <w:sz w:val="18"/>
                <w:szCs w:val="18"/>
              </w:rPr>
              <w:t>2024</w:t>
            </w:r>
          </w:p>
        </w:tc>
        <w:tc>
          <w:tcPr>
            <w:tcW w:w="850" w:type="dxa"/>
            <w:shd w:val="clear" w:color="auto" w:fill="BDD6EE" w:themeFill="accent1" w:themeFillTint="66"/>
            <w:noWrap/>
            <w:vAlign w:val="center"/>
            <w:hideMark/>
          </w:tcPr>
          <w:p w14:paraId="0E647410" w14:textId="77777777" w:rsidR="00EA3632" w:rsidRPr="00F061D0" w:rsidRDefault="00EA3632" w:rsidP="005F05A2">
            <w:pPr>
              <w:spacing w:after="0"/>
              <w:ind w:firstLine="0"/>
              <w:contextualSpacing/>
              <w:jc w:val="center"/>
              <w:rPr>
                <w:rFonts w:eastAsia="Times New Roman" w:cs="Times New Roman"/>
                <w:b/>
                <w:bCs/>
                <w:color w:val="000000"/>
                <w:sz w:val="18"/>
                <w:szCs w:val="18"/>
              </w:rPr>
            </w:pPr>
            <w:r w:rsidRPr="00F061D0">
              <w:rPr>
                <w:rFonts w:eastAsia="Times New Roman" w:cs="Times New Roman"/>
                <w:b/>
                <w:bCs/>
                <w:color w:val="000000"/>
                <w:sz w:val="18"/>
                <w:szCs w:val="18"/>
              </w:rPr>
              <w:t>2025</w:t>
            </w:r>
          </w:p>
        </w:tc>
        <w:tc>
          <w:tcPr>
            <w:tcW w:w="851" w:type="dxa"/>
            <w:shd w:val="clear" w:color="auto" w:fill="BDD6EE" w:themeFill="accent1" w:themeFillTint="66"/>
          </w:tcPr>
          <w:p w14:paraId="3EC5381E" w14:textId="77777777" w:rsidR="00EA3632" w:rsidRPr="00F061D0" w:rsidRDefault="00EA3632" w:rsidP="005F05A2">
            <w:pPr>
              <w:spacing w:after="0"/>
              <w:ind w:firstLine="0"/>
              <w:contextualSpacing/>
              <w:jc w:val="center"/>
              <w:rPr>
                <w:rFonts w:eastAsia="Times New Roman" w:cs="Times New Roman"/>
                <w:b/>
                <w:bCs/>
                <w:color w:val="000000"/>
                <w:sz w:val="18"/>
                <w:szCs w:val="18"/>
              </w:rPr>
            </w:pPr>
            <w:r w:rsidRPr="00F061D0">
              <w:rPr>
                <w:rFonts w:eastAsia="Times New Roman" w:cs="Times New Roman"/>
                <w:b/>
                <w:bCs/>
                <w:color w:val="000000"/>
                <w:sz w:val="18"/>
                <w:szCs w:val="18"/>
              </w:rPr>
              <w:t>2026</w:t>
            </w:r>
          </w:p>
        </w:tc>
        <w:tc>
          <w:tcPr>
            <w:tcW w:w="850" w:type="dxa"/>
            <w:shd w:val="clear" w:color="auto" w:fill="BDD6EE" w:themeFill="accent1" w:themeFillTint="66"/>
            <w:noWrap/>
            <w:vAlign w:val="center"/>
            <w:hideMark/>
          </w:tcPr>
          <w:p w14:paraId="2F06BA7B" w14:textId="77777777" w:rsidR="00EA3632" w:rsidRPr="00F061D0" w:rsidRDefault="00EA3632" w:rsidP="005F05A2">
            <w:pPr>
              <w:spacing w:after="0"/>
              <w:ind w:firstLine="0"/>
              <w:contextualSpacing/>
              <w:jc w:val="center"/>
              <w:rPr>
                <w:rFonts w:eastAsia="Times New Roman" w:cs="Times New Roman"/>
                <w:b/>
                <w:bCs/>
                <w:color w:val="000000"/>
                <w:sz w:val="18"/>
                <w:szCs w:val="18"/>
              </w:rPr>
            </w:pPr>
            <w:r w:rsidRPr="00F061D0">
              <w:rPr>
                <w:rFonts w:eastAsia="Times New Roman" w:cs="Times New Roman"/>
                <w:b/>
                <w:bCs/>
                <w:color w:val="000000"/>
                <w:sz w:val="18"/>
                <w:szCs w:val="18"/>
              </w:rPr>
              <w:t>2024</w:t>
            </w:r>
          </w:p>
        </w:tc>
        <w:tc>
          <w:tcPr>
            <w:tcW w:w="864" w:type="dxa"/>
            <w:shd w:val="clear" w:color="auto" w:fill="BDD6EE" w:themeFill="accent1" w:themeFillTint="66"/>
            <w:noWrap/>
            <w:vAlign w:val="center"/>
            <w:hideMark/>
          </w:tcPr>
          <w:p w14:paraId="302CC385" w14:textId="77777777" w:rsidR="00EA3632" w:rsidRPr="00F061D0" w:rsidRDefault="00EA3632" w:rsidP="005F05A2">
            <w:pPr>
              <w:spacing w:after="0"/>
              <w:ind w:firstLine="0"/>
              <w:contextualSpacing/>
              <w:jc w:val="center"/>
              <w:rPr>
                <w:rFonts w:eastAsia="Times New Roman" w:cs="Times New Roman"/>
                <w:b/>
                <w:bCs/>
                <w:color w:val="000000"/>
                <w:sz w:val="18"/>
                <w:szCs w:val="18"/>
              </w:rPr>
            </w:pPr>
            <w:r w:rsidRPr="00F061D0">
              <w:rPr>
                <w:rFonts w:eastAsia="Times New Roman" w:cs="Times New Roman"/>
                <w:b/>
                <w:bCs/>
                <w:color w:val="000000"/>
                <w:sz w:val="18"/>
                <w:szCs w:val="18"/>
              </w:rPr>
              <w:t>2025</w:t>
            </w:r>
          </w:p>
        </w:tc>
        <w:tc>
          <w:tcPr>
            <w:tcW w:w="863" w:type="dxa"/>
            <w:shd w:val="clear" w:color="auto" w:fill="BDD6EE" w:themeFill="accent1" w:themeFillTint="66"/>
            <w:noWrap/>
            <w:hideMark/>
          </w:tcPr>
          <w:p w14:paraId="4055A00E" w14:textId="77777777" w:rsidR="00EA3632" w:rsidRPr="00F061D0" w:rsidRDefault="00EA3632" w:rsidP="005F05A2">
            <w:pPr>
              <w:spacing w:after="0"/>
              <w:ind w:firstLine="0"/>
              <w:contextualSpacing/>
              <w:jc w:val="center"/>
              <w:rPr>
                <w:rFonts w:eastAsia="Times New Roman" w:cs="Times New Roman"/>
                <w:b/>
                <w:bCs/>
                <w:color w:val="000000"/>
                <w:sz w:val="18"/>
                <w:szCs w:val="18"/>
              </w:rPr>
            </w:pPr>
            <w:r w:rsidRPr="00F061D0">
              <w:rPr>
                <w:rFonts w:eastAsia="Times New Roman" w:cs="Times New Roman"/>
                <w:b/>
                <w:bCs/>
                <w:color w:val="000000"/>
                <w:sz w:val="18"/>
                <w:szCs w:val="18"/>
              </w:rPr>
              <w:t>2026</w:t>
            </w:r>
          </w:p>
        </w:tc>
      </w:tr>
      <w:tr w:rsidR="00EA3632" w:rsidRPr="007C4CFB" w14:paraId="0DCFAEC5" w14:textId="77777777" w:rsidTr="005F05A2">
        <w:trPr>
          <w:trHeight w:val="20"/>
          <w:tblHeader/>
          <w:jc w:val="center"/>
        </w:trPr>
        <w:tc>
          <w:tcPr>
            <w:tcW w:w="2263" w:type="dxa"/>
            <w:vMerge/>
            <w:shd w:val="clear" w:color="auto" w:fill="BDD6EE" w:themeFill="accent1" w:themeFillTint="66"/>
            <w:noWrap/>
            <w:vAlign w:val="center"/>
            <w:hideMark/>
          </w:tcPr>
          <w:p w14:paraId="41B401F8" w14:textId="77777777" w:rsidR="00EA3632" w:rsidRPr="00F061D0" w:rsidRDefault="00EA3632" w:rsidP="005F05A2">
            <w:pPr>
              <w:spacing w:after="0"/>
              <w:ind w:firstLine="0"/>
              <w:contextualSpacing/>
              <w:jc w:val="left"/>
              <w:rPr>
                <w:rFonts w:eastAsia="Times New Roman" w:cs="Times New Roman"/>
                <w:b/>
                <w:bCs/>
                <w:color w:val="000000"/>
                <w:sz w:val="18"/>
                <w:szCs w:val="18"/>
              </w:rPr>
            </w:pPr>
          </w:p>
        </w:tc>
        <w:tc>
          <w:tcPr>
            <w:tcW w:w="851" w:type="dxa"/>
            <w:shd w:val="clear" w:color="auto" w:fill="BDD6EE" w:themeFill="accent1" w:themeFillTint="66"/>
            <w:noWrap/>
            <w:vAlign w:val="center"/>
            <w:hideMark/>
          </w:tcPr>
          <w:p w14:paraId="31BC59D1" w14:textId="77777777" w:rsidR="00EA3632" w:rsidRPr="00F061D0" w:rsidRDefault="00EA3632" w:rsidP="005F05A2">
            <w:pPr>
              <w:spacing w:after="0"/>
              <w:ind w:firstLine="0"/>
              <w:contextualSpacing/>
              <w:jc w:val="center"/>
              <w:rPr>
                <w:rFonts w:eastAsia="Times New Roman" w:cs="Times New Roman"/>
                <w:b/>
                <w:color w:val="000000"/>
                <w:sz w:val="18"/>
                <w:szCs w:val="18"/>
              </w:rPr>
            </w:pPr>
            <w:r w:rsidRPr="00F061D0">
              <w:rPr>
                <w:rFonts w:eastAsia="Times New Roman" w:cs="Times New Roman"/>
                <w:b/>
                <w:color w:val="000000"/>
                <w:sz w:val="18"/>
                <w:szCs w:val="18"/>
              </w:rPr>
              <w:t>Fakts</w:t>
            </w:r>
          </w:p>
        </w:tc>
        <w:tc>
          <w:tcPr>
            <w:tcW w:w="850" w:type="dxa"/>
            <w:shd w:val="clear" w:color="auto" w:fill="BDD6EE" w:themeFill="accent1" w:themeFillTint="66"/>
            <w:vAlign w:val="center"/>
          </w:tcPr>
          <w:p w14:paraId="21CE6EC9" w14:textId="77777777" w:rsidR="00EA3632" w:rsidRPr="00F061D0" w:rsidRDefault="00EA3632" w:rsidP="005F05A2">
            <w:pPr>
              <w:spacing w:after="0"/>
              <w:ind w:firstLine="0"/>
              <w:contextualSpacing/>
              <w:jc w:val="center"/>
              <w:rPr>
                <w:rFonts w:eastAsia="Times New Roman" w:cs="Times New Roman"/>
                <w:b/>
                <w:color w:val="000000"/>
                <w:sz w:val="18"/>
                <w:szCs w:val="18"/>
              </w:rPr>
            </w:pPr>
            <w:r w:rsidRPr="00F061D0">
              <w:rPr>
                <w:rFonts w:eastAsia="Times New Roman" w:cs="Times New Roman"/>
                <w:b/>
                <w:color w:val="000000"/>
                <w:sz w:val="18"/>
                <w:szCs w:val="18"/>
              </w:rPr>
              <w:t>Novērt.</w:t>
            </w:r>
          </w:p>
        </w:tc>
        <w:tc>
          <w:tcPr>
            <w:tcW w:w="2552" w:type="dxa"/>
            <w:gridSpan w:val="3"/>
            <w:shd w:val="clear" w:color="auto" w:fill="BDD6EE" w:themeFill="accent1" w:themeFillTint="66"/>
            <w:vAlign w:val="center"/>
          </w:tcPr>
          <w:p w14:paraId="077CCFEB" w14:textId="77777777" w:rsidR="00EA3632" w:rsidRPr="00F061D0" w:rsidRDefault="00EA3632" w:rsidP="005F05A2">
            <w:pPr>
              <w:spacing w:after="0"/>
              <w:ind w:firstLine="0"/>
              <w:contextualSpacing/>
              <w:jc w:val="center"/>
              <w:rPr>
                <w:rFonts w:eastAsia="Times New Roman" w:cs="Times New Roman"/>
                <w:b/>
                <w:color w:val="000000"/>
                <w:sz w:val="18"/>
                <w:szCs w:val="18"/>
              </w:rPr>
            </w:pPr>
            <w:r w:rsidRPr="00F061D0">
              <w:rPr>
                <w:rFonts w:eastAsia="Times New Roman" w:cs="Times New Roman"/>
                <w:b/>
                <w:color w:val="000000"/>
                <w:sz w:val="18"/>
                <w:szCs w:val="18"/>
              </w:rPr>
              <w:t>Prognoze</w:t>
            </w:r>
            <w:r w:rsidRPr="00F061D0">
              <w:rPr>
                <w:rFonts w:eastAsia="Times New Roman" w:cs="Times New Roman"/>
                <w:b/>
                <w:color w:val="000000"/>
                <w:sz w:val="18"/>
                <w:szCs w:val="18"/>
              </w:rPr>
              <w:br/>
              <w:t>(pie nemainīgas politikas)</w:t>
            </w:r>
            <w:r w:rsidRPr="00F061D0">
              <w:rPr>
                <w:rFonts w:eastAsia="Times New Roman" w:cs="Times New Roman"/>
                <w:b/>
                <w:color w:val="000000"/>
                <w:sz w:val="18"/>
                <w:szCs w:val="18"/>
                <w:vertAlign w:val="superscript"/>
              </w:rPr>
              <w:footnoteReference w:id="18"/>
            </w:r>
          </w:p>
        </w:tc>
        <w:tc>
          <w:tcPr>
            <w:tcW w:w="2577" w:type="dxa"/>
            <w:gridSpan w:val="3"/>
            <w:shd w:val="clear" w:color="auto" w:fill="BDD6EE" w:themeFill="accent1" w:themeFillTint="66"/>
            <w:vAlign w:val="center"/>
            <w:hideMark/>
          </w:tcPr>
          <w:p w14:paraId="5A411501" w14:textId="77777777" w:rsidR="00EA3632" w:rsidRPr="00F061D0" w:rsidRDefault="00EA3632" w:rsidP="005F05A2">
            <w:pPr>
              <w:spacing w:after="0"/>
              <w:ind w:firstLine="0"/>
              <w:contextualSpacing/>
              <w:jc w:val="center"/>
              <w:rPr>
                <w:rFonts w:eastAsia="Times New Roman" w:cs="Times New Roman"/>
                <w:b/>
                <w:color w:val="000000"/>
                <w:sz w:val="18"/>
                <w:szCs w:val="18"/>
              </w:rPr>
            </w:pPr>
            <w:r w:rsidRPr="00F061D0">
              <w:rPr>
                <w:rFonts w:eastAsia="Times New Roman" w:cs="Times New Roman"/>
                <w:b/>
                <w:color w:val="000000"/>
                <w:sz w:val="18"/>
                <w:szCs w:val="18"/>
              </w:rPr>
              <w:t xml:space="preserve">Prognoze </w:t>
            </w:r>
          </w:p>
        </w:tc>
      </w:tr>
      <w:tr w:rsidR="00EA3632" w:rsidRPr="007C4CFB" w14:paraId="52CC7D2D" w14:textId="77777777" w:rsidTr="005F05A2">
        <w:trPr>
          <w:trHeight w:val="20"/>
          <w:jc w:val="center"/>
        </w:trPr>
        <w:tc>
          <w:tcPr>
            <w:tcW w:w="2263" w:type="dxa"/>
            <w:shd w:val="clear" w:color="auto" w:fill="auto"/>
            <w:vAlign w:val="center"/>
            <w:hideMark/>
          </w:tcPr>
          <w:p w14:paraId="73706227" w14:textId="77777777" w:rsidR="00EA3632" w:rsidRPr="00F061D0" w:rsidRDefault="00EA3632" w:rsidP="005F05A2">
            <w:pPr>
              <w:spacing w:after="0"/>
              <w:ind w:firstLine="0"/>
              <w:contextualSpacing/>
              <w:jc w:val="left"/>
              <w:rPr>
                <w:rFonts w:eastAsia="Times New Roman" w:cs="Times New Roman"/>
                <w:b/>
                <w:bCs/>
                <w:color w:val="000000"/>
                <w:sz w:val="18"/>
                <w:szCs w:val="18"/>
              </w:rPr>
            </w:pPr>
            <w:r w:rsidRPr="00F061D0">
              <w:rPr>
                <w:rFonts w:eastAsia="Times New Roman" w:cs="Times New Roman"/>
                <w:b/>
                <w:bCs/>
                <w:color w:val="000000"/>
                <w:sz w:val="18"/>
                <w:szCs w:val="18"/>
              </w:rPr>
              <w:t>Vispārējās valdības budžeta bilance, % no IKP</w:t>
            </w:r>
          </w:p>
        </w:tc>
        <w:tc>
          <w:tcPr>
            <w:tcW w:w="851" w:type="dxa"/>
            <w:shd w:val="clear" w:color="auto" w:fill="auto"/>
            <w:noWrap/>
            <w:vAlign w:val="center"/>
            <w:hideMark/>
          </w:tcPr>
          <w:p w14:paraId="397260EA" w14:textId="77777777" w:rsidR="00EA3632" w:rsidRPr="0051558C" w:rsidRDefault="00EA3632" w:rsidP="005F05A2">
            <w:pPr>
              <w:spacing w:after="0"/>
              <w:ind w:firstLine="0"/>
              <w:jc w:val="right"/>
              <w:rPr>
                <w:rFonts w:eastAsia="Times New Roman" w:cs="Times New Roman"/>
                <w:b/>
                <w:bCs/>
                <w:sz w:val="18"/>
                <w:szCs w:val="18"/>
              </w:rPr>
            </w:pPr>
            <w:r w:rsidRPr="0051558C">
              <w:rPr>
                <w:rFonts w:cs="Times New Roman"/>
                <w:b/>
                <w:bCs/>
                <w:sz w:val="18"/>
                <w:szCs w:val="18"/>
              </w:rPr>
              <w:t xml:space="preserve">-4,4 </w:t>
            </w:r>
          </w:p>
        </w:tc>
        <w:tc>
          <w:tcPr>
            <w:tcW w:w="850" w:type="dxa"/>
            <w:shd w:val="clear" w:color="auto" w:fill="auto"/>
            <w:noWrap/>
            <w:vAlign w:val="center"/>
            <w:hideMark/>
          </w:tcPr>
          <w:p w14:paraId="73FCB677"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-2,7 </w:t>
            </w:r>
          </w:p>
        </w:tc>
        <w:tc>
          <w:tcPr>
            <w:tcW w:w="851" w:type="dxa"/>
            <w:shd w:val="clear" w:color="auto" w:fill="auto"/>
            <w:noWrap/>
            <w:vAlign w:val="center"/>
            <w:hideMark/>
          </w:tcPr>
          <w:p w14:paraId="40F0DBAE" w14:textId="77777777" w:rsidR="00EA3632" w:rsidRPr="0051558C" w:rsidRDefault="00EA3632" w:rsidP="005F05A2">
            <w:pPr>
              <w:spacing w:after="0"/>
              <w:ind w:firstLine="0"/>
              <w:jc w:val="right"/>
              <w:rPr>
                <w:rFonts w:eastAsia="Times New Roman" w:cs="Times New Roman"/>
                <w:b/>
                <w:bCs/>
                <w:sz w:val="18"/>
                <w:szCs w:val="18"/>
              </w:rPr>
            </w:pPr>
            <w:r w:rsidRPr="0051558C">
              <w:rPr>
                <w:b/>
                <w:bCs/>
                <w:sz w:val="18"/>
                <w:szCs w:val="18"/>
              </w:rPr>
              <w:t xml:space="preserve">-2,2 </w:t>
            </w:r>
          </w:p>
        </w:tc>
        <w:tc>
          <w:tcPr>
            <w:tcW w:w="850" w:type="dxa"/>
            <w:shd w:val="clear" w:color="auto" w:fill="auto"/>
            <w:noWrap/>
            <w:vAlign w:val="center"/>
            <w:hideMark/>
          </w:tcPr>
          <w:p w14:paraId="73288424"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-1,3 </w:t>
            </w:r>
          </w:p>
        </w:tc>
        <w:tc>
          <w:tcPr>
            <w:tcW w:w="851" w:type="dxa"/>
            <w:shd w:val="clear" w:color="auto" w:fill="auto"/>
            <w:vAlign w:val="center"/>
          </w:tcPr>
          <w:p w14:paraId="7462426D"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0,1 </w:t>
            </w:r>
          </w:p>
        </w:tc>
        <w:tc>
          <w:tcPr>
            <w:tcW w:w="850" w:type="dxa"/>
            <w:shd w:val="clear" w:color="auto" w:fill="auto"/>
            <w:noWrap/>
            <w:vAlign w:val="center"/>
            <w:hideMark/>
          </w:tcPr>
          <w:p w14:paraId="789B386B" w14:textId="77777777" w:rsidR="00EA3632" w:rsidRPr="00074852" w:rsidRDefault="00EA3632" w:rsidP="005F05A2">
            <w:pPr>
              <w:spacing w:after="0"/>
              <w:ind w:firstLine="0"/>
              <w:contextualSpacing/>
              <w:jc w:val="right"/>
              <w:rPr>
                <w:rFonts w:eastAsia="Times New Roman" w:cs="Times New Roman"/>
                <w:b/>
                <w:bCs/>
                <w:sz w:val="18"/>
                <w:szCs w:val="18"/>
              </w:rPr>
            </w:pPr>
            <w:r w:rsidRPr="00074852">
              <w:rPr>
                <w:b/>
                <w:bCs/>
                <w:sz w:val="18"/>
                <w:szCs w:val="18"/>
              </w:rPr>
              <w:t xml:space="preserve">-2,8 </w:t>
            </w:r>
          </w:p>
        </w:tc>
        <w:tc>
          <w:tcPr>
            <w:tcW w:w="864" w:type="dxa"/>
            <w:shd w:val="clear" w:color="auto" w:fill="auto"/>
            <w:noWrap/>
            <w:vAlign w:val="center"/>
            <w:hideMark/>
          </w:tcPr>
          <w:p w14:paraId="75D06591"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-2,3 </w:t>
            </w:r>
          </w:p>
        </w:tc>
        <w:tc>
          <w:tcPr>
            <w:tcW w:w="863" w:type="dxa"/>
            <w:shd w:val="clear" w:color="auto" w:fill="auto"/>
            <w:noWrap/>
            <w:vAlign w:val="center"/>
            <w:hideMark/>
          </w:tcPr>
          <w:p w14:paraId="56D55FE3"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-0,9 </w:t>
            </w:r>
          </w:p>
        </w:tc>
      </w:tr>
      <w:tr w:rsidR="00EA3632" w:rsidRPr="007C4CFB" w14:paraId="51C473FC" w14:textId="77777777" w:rsidTr="005F05A2">
        <w:trPr>
          <w:trHeight w:val="20"/>
          <w:jc w:val="center"/>
        </w:trPr>
        <w:tc>
          <w:tcPr>
            <w:tcW w:w="2263" w:type="dxa"/>
            <w:shd w:val="clear" w:color="auto" w:fill="auto"/>
            <w:vAlign w:val="center"/>
            <w:hideMark/>
          </w:tcPr>
          <w:p w14:paraId="09EB0EE7" w14:textId="77777777" w:rsidR="00EA3632" w:rsidRPr="00F061D0" w:rsidRDefault="00EA3632" w:rsidP="005F05A2">
            <w:pPr>
              <w:spacing w:after="0"/>
              <w:ind w:firstLine="0"/>
              <w:contextualSpacing/>
              <w:jc w:val="left"/>
              <w:rPr>
                <w:rFonts w:eastAsia="Times New Roman" w:cs="Times New Roman"/>
                <w:b/>
                <w:bCs/>
                <w:color w:val="000000"/>
                <w:sz w:val="18"/>
                <w:szCs w:val="18"/>
              </w:rPr>
            </w:pPr>
            <w:r w:rsidRPr="00F061D0">
              <w:rPr>
                <w:rFonts w:eastAsia="Times New Roman" w:cs="Times New Roman"/>
                <w:b/>
                <w:bCs/>
                <w:color w:val="000000"/>
                <w:sz w:val="18"/>
                <w:szCs w:val="18"/>
              </w:rPr>
              <w:t>Vispārējās valdības budžeta bilance</w:t>
            </w:r>
          </w:p>
        </w:tc>
        <w:tc>
          <w:tcPr>
            <w:tcW w:w="851" w:type="dxa"/>
            <w:shd w:val="clear" w:color="auto" w:fill="auto"/>
            <w:noWrap/>
            <w:vAlign w:val="center"/>
            <w:hideMark/>
          </w:tcPr>
          <w:p w14:paraId="19A76872" w14:textId="77777777" w:rsidR="00EA3632" w:rsidRPr="0051558C" w:rsidRDefault="00EA3632" w:rsidP="005F05A2">
            <w:pPr>
              <w:spacing w:after="0"/>
              <w:ind w:firstLine="0"/>
              <w:jc w:val="right"/>
              <w:rPr>
                <w:rFonts w:eastAsia="Times New Roman" w:cs="Times New Roman"/>
                <w:b/>
                <w:bCs/>
                <w:sz w:val="18"/>
                <w:szCs w:val="18"/>
              </w:rPr>
            </w:pPr>
            <w:r w:rsidRPr="0051558C">
              <w:rPr>
                <w:rFonts w:cs="Times New Roman"/>
                <w:b/>
                <w:bCs/>
                <w:sz w:val="18"/>
                <w:szCs w:val="18"/>
              </w:rPr>
              <w:t xml:space="preserve">-1 720,9 </w:t>
            </w:r>
          </w:p>
        </w:tc>
        <w:tc>
          <w:tcPr>
            <w:tcW w:w="850" w:type="dxa"/>
            <w:shd w:val="clear" w:color="auto" w:fill="auto"/>
            <w:noWrap/>
            <w:vAlign w:val="center"/>
            <w:hideMark/>
          </w:tcPr>
          <w:p w14:paraId="465E9D8D"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-1 156,4 </w:t>
            </w:r>
          </w:p>
        </w:tc>
        <w:tc>
          <w:tcPr>
            <w:tcW w:w="851" w:type="dxa"/>
            <w:shd w:val="clear" w:color="auto" w:fill="auto"/>
            <w:noWrap/>
            <w:vAlign w:val="center"/>
            <w:hideMark/>
          </w:tcPr>
          <w:p w14:paraId="36CF16A5"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-1 016,2 </w:t>
            </w:r>
          </w:p>
        </w:tc>
        <w:tc>
          <w:tcPr>
            <w:tcW w:w="850" w:type="dxa"/>
            <w:shd w:val="clear" w:color="auto" w:fill="auto"/>
            <w:noWrap/>
            <w:vAlign w:val="center"/>
            <w:hideMark/>
          </w:tcPr>
          <w:p w14:paraId="41A48B69"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-640,2 </w:t>
            </w:r>
          </w:p>
        </w:tc>
        <w:tc>
          <w:tcPr>
            <w:tcW w:w="851" w:type="dxa"/>
            <w:shd w:val="clear" w:color="auto" w:fill="auto"/>
            <w:vAlign w:val="center"/>
          </w:tcPr>
          <w:p w14:paraId="60852252"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71,2 </w:t>
            </w:r>
          </w:p>
        </w:tc>
        <w:tc>
          <w:tcPr>
            <w:tcW w:w="850" w:type="dxa"/>
            <w:shd w:val="clear" w:color="auto" w:fill="auto"/>
            <w:noWrap/>
            <w:vAlign w:val="center"/>
            <w:hideMark/>
          </w:tcPr>
          <w:p w14:paraId="6E828232" w14:textId="77777777" w:rsidR="00EA3632" w:rsidRPr="00074852" w:rsidRDefault="00EA3632" w:rsidP="005F05A2">
            <w:pPr>
              <w:spacing w:after="0"/>
              <w:ind w:firstLine="0"/>
              <w:contextualSpacing/>
              <w:jc w:val="right"/>
              <w:rPr>
                <w:rFonts w:eastAsia="Times New Roman" w:cs="Times New Roman"/>
                <w:b/>
                <w:bCs/>
                <w:sz w:val="18"/>
                <w:szCs w:val="18"/>
              </w:rPr>
            </w:pPr>
            <w:r w:rsidRPr="00074852">
              <w:rPr>
                <w:b/>
                <w:bCs/>
                <w:sz w:val="18"/>
                <w:szCs w:val="18"/>
              </w:rPr>
              <w:t xml:space="preserve">-1 286,9 </w:t>
            </w:r>
          </w:p>
        </w:tc>
        <w:tc>
          <w:tcPr>
            <w:tcW w:w="864" w:type="dxa"/>
            <w:shd w:val="clear" w:color="auto" w:fill="auto"/>
            <w:noWrap/>
            <w:vAlign w:val="center"/>
            <w:hideMark/>
          </w:tcPr>
          <w:p w14:paraId="1FC9B346"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-1 135,4 </w:t>
            </w:r>
          </w:p>
        </w:tc>
        <w:tc>
          <w:tcPr>
            <w:tcW w:w="863" w:type="dxa"/>
            <w:shd w:val="clear" w:color="auto" w:fill="auto"/>
            <w:noWrap/>
            <w:vAlign w:val="center"/>
            <w:hideMark/>
          </w:tcPr>
          <w:p w14:paraId="17EF48B1" w14:textId="77777777" w:rsidR="00EA3632" w:rsidRPr="0051558C" w:rsidRDefault="00EA3632" w:rsidP="005F05A2">
            <w:pPr>
              <w:spacing w:after="0"/>
              <w:ind w:firstLine="0"/>
              <w:contextualSpacing/>
              <w:jc w:val="right"/>
              <w:rPr>
                <w:rFonts w:eastAsia="Times New Roman" w:cs="Times New Roman"/>
                <w:b/>
                <w:bCs/>
                <w:sz w:val="18"/>
                <w:szCs w:val="18"/>
              </w:rPr>
            </w:pPr>
            <w:r w:rsidRPr="0051558C">
              <w:rPr>
                <w:b/>
                <w:bCs/>
                <w:sz w:val="18"/>
                <w:szCs w:val="18"/>
              </w:rPr>
              <w:t xml:space="preserve">-462,7 </w:t>
            </w:r>
          </w:p>
        </w:tc>
      </w:tr>
      <w:tr w:rsidR="00EA3632" w:rsidRPr="007C4CFB" w14:paraId="4C185869" w14:textId="77777777" w:rsidTr="0027570C">
        <w:trPr>
          <w:trHeight w:val="20"/>
          <w:jc w:val="center"/>
        </w:trPr>
        <w:tc>
          <w:tcPr>
            <w:tcW w:w="2263" w:type="dxa"/>
            <w:shd w:val="clear" w:color="auto" w:fill="auto"/>
            <w:vAlign w:val="center"/>
          </w:tcPr>
          <w:p w14:paraId="78A26189" w14:textId="77777777" w:rsidR="00EA3632" w:rsidRPr="00F061D0" w:rsidRDefault="00EA3632" w:rsidP="005F05A2">
            <w:pPr>
              <w:spacing w:after="0"/>
              <w:ind w:firstLineChars="100" w:firstLine="180"/>
              <w:contextualSpacing/>
              <w:jc w:val="left"/>
              <w:rPr>
                <w:rFonts w:eastAsia="Times New Roman" w:cs="Times New Roman"/>
                <w:b/>
                <w:bCs/>
                <w:color w:val="000000"/>
                <w:sz w:val="18"/>
                <w:szCs w:val="18"/>
              </w:rPr>
            </w:pPr>
            <w:r w:rsidRPr="00F061D0">
              <w:rPr>
                <w:rFonts w:eastAsia="Times New Roman" w:cs="Times New Roman"/>
                <w:color w:val="000000"/>
                <w:sz w:val="18"/>
                <w:szCs w:val="18"/>
              </w:rPr>
              <w:t>Ieņēmumi</w:t>
            </w:r>
          </w:p>
        </w:tc>
        <w:tc>
          <w:tcPr>
            <w:tcW w:w="851" w:type="dxa"/>
            <w:shd w:val="clear" w:color="auto" w:fill="auto"/>
            <w:noWrap/>
          </w:tcPr>
          <w:p w14:paraId="0884C08E" w14:textId="77777777" w:rsidR="00EA3632" w:rsidRPr="004155A3" w:rsidRDefault="00EA3632" w:rsidP="0027570C">
            <w:pPr>
              <w:spacing w:after="0"/>
              <w:ind w:firstLine="0"/>
              <w:jc w:val="right"/>
              <w:rPr>
                <w:rFonts w:eastAsia="Times New Roman" w:cs="Times New Roman"/>
                <w:color w:val="FF0000"/>
                <w:sz w:val="18"/>
                <w:szCs w:val="18"/>
                <w:lang w:eastAsia="en-US"/>
              </w:rPr>
            </w:pPr>
            <w:r w:rsidRPr="004155A3">
              <w:rPr>
                <w:color w:val="000000"/>
                <w:sz w:val="18"/>
                <w:szCs w:val="18"/>
              </w:rPr>
              <w:t>13 993,2</w:t>
            </w:r>
          </w:p>
        </w:tc>
        <w:tc>
          <w:tcPr>
            <w:tcW w:w="850" w:type="dxa"/>
            <w:shd w:val="clear" w:color="auto" w:fill="auto"/>
            <w:noWrap/>
          </w:tcPr>
          <w:p w14:paraId="67DBBDC2"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sz w:val="18"/>
                <w:szCs w:val="18"/>
              </w:rPr>
              <w:t>16 003,6</w:t>
            </w:r>
          </w:p>
        </w:tc>
        <w:tc>
          <w:tcPr>
            <w:tcW w:w="851" w:type="dxa"/>
            <w:shd w:val="clear" w:color="auto" w:fill="auto"/>
            <w:noWrap/>
          </w:tcPr>
          <w:p w14:paraId="740BA1D3"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color w:val="000000"/>
                <w:sz w:val="18"/>
                <w:szCs w:val="18"/>
              </w:rPr>
              <w:t>17 270,7</w:t>
            </w:r>
          </w:p>
        </w:tc>
        <w:tc>
          <w:tcPr>
            <w:tcW w:w="850" w:type="dxa"/>
            <w:shd w:val="clear" w:color="auto" w:fill="auto"/>
            <w:noWrap/>
          </w:tcPr>
          <w:p w14:paraId="7D4C207F"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color w:val="000000"/>
                <w:sz w:val="18"/>
                <w:szCs w:val="18"/>
              </w:rPr>
              <w:t>18 016,8</w:t>
            </w:r>
          </w:p>
        </w:tc>
        <w:tc>
          <w:tcPr>
            <w:tcW w:w="851" w:type="dxa"/>
            <w:shd w:val="clear" w:color="auto" w:fill="auto"/>
          </w:tcPr>
          <w:p w14:paraId="6C87AA49"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color w:val="000000"/>
                <w:sz w:val="18"/>
                <w:szCs w:val="18"/>
              </w:rPr>
              <w:t>18 543,1</w:t>
            </w:r>
          </w:p>
        </w:tc>
        <w:tc>
          <w:tcPr>
            <w:tcW w:w="850" w:type="dxa"/>
            <w:shd w:val="clear" w:color="auto" w:fill="auto"/>
            <w:noWrap/>
          </w:tcPr>
          <w:p w14:paraId="2B9C9FFE" w14:textId="77777777" w:rsidR="00EA3632" w:rsidRPr="00074852" w:rsidRDefault="00EA3632" w:rsidP="0027570C">
            <w:pPr>
              <w:spacing w:after="0"/>
              <w:ind w:firstLine="0"/>
              <w:contextualSpacing/>
              <w:jc w:val="right"/>
              <w:rPr>
                <w:rFonts w:eastAsia="Times New Roman" w:cs="Times New Roman"/>
                <w:color w:val="FF0000"/>
                <w:sz w:val="18"/>
                <w:szCs w:val="18"/>
                <w:lang w:eastAsia="en-US"/>
              </w:rPr>
            </w:pPr>
            <w:r w:rsidRPr="00074852">
              <w:rPr>
                <w:sz w:val="18"/>
                <w:szCs w:val="18"/>
              </w:rPr>
              <w:t>17 763,9</w:t>
            </w:r>
          </w:p>
        </w:tc>
        <w:tc>
          <w:tcPr>
            <w:tcW w:w="864" w:type="dxa"/>
            <w:shd w:val="clear" w:color="auto" w:fill="auto"/>
            <w:noWrap/>
          </w:tcPr>
          <w:p w14:paraId="32B29549"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sz w:val="18"/>
                <w:szCs w:val="18"/>
              </w:rPr>
              <w:t>18 257,2</w:t>
            </w:r>
          </w:p>
        </w:tc>
        <w:tc>
          <w:tcPr>
            <w:tcW w:w="863" w:type="dxa"/>
            <w:shd w:val="clear" w:color="auto" w:fill="auto"/>
            <w:noWrap/>
          </w:tcPr>
          <w:p w14:paraId="0815EC56"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sz w:val="18"/>
                <w:szCs w:val="18"/>
              </w:rPr>
              <w:t>18 878,7</w:t>
            </w:r>
          </w:p>
        </w:tc>
      </w:tr>
      <w:tr w:rsidR="00EA3632" w:rsidRPr="007C4CFB" w14:paraId="0099C7CD" w14:textId="77777777" w:rsidTr="0027570C">
        <w:trPr>
          <w:trHeight w:val="20"/>
          <w:jc w:val="center"/>
        </w:trPr>
        <w:tc>
          <w:tcPr>
            <w:tcW w:w="2263" w:type="dxa"/>
            <w:shd w:val="clear" w:color="auto" w:fill="auto"/>
            <w:vAlign w:val="center"/>
          </w:tcPr>
          <w:p w14:paraId="5D04A4AF" w14:textId="77777777" w:rsidR="00EA3632" w:rsidRPr="00F061D0" w:rsidRDefault="00EA3632" w:rsidP="005F05A2">
            <w:pPr>
              <w:spacing w:after="0"/>
              <w:ind w:firstLineChars="100" w:firstLine="180"/>
              <w:contextualSpacing/>
              <w:jc w:val="left"/>
              <w:rPr>
                <w:rFonts w:eastAsia="Times New Roman" w:cs="Times New Roman"/>
                <w:b/>
                <w:bCs/>
                <w:color w:val="000000"/>
                <w:sz w:val="18"/>
                <w:szCs w:val="18"/>
              </w:rPr>
            </w:pPr>
            <w:r w:rsidRPr="00F061D0">
              <w:rPr>
                <w:rFonts w:eastAsia="Times New Roman" w:cs="Times New Roman"/>
                <w:color w:val="000000"/>
                <w:sz w:val="18"/>
                <w:szCs w:val="18"/>
              </w:rPr>
              <w:t>Izdevumi</w:t>
            </w:r>
          </w:p>
        </w:tc>
        <w:tc>
          <w:tcPr>
            <w:tcW w:w="851" w:type="dxa"/>
            <w:shd w:val="clear" w:color="auto" w:fill="auto"/>
            <w:noWrap/>
          </w:tcPr>
          <w:p w14:paraId="162EC709" w14:textId="77777777" w:rsidR="00EA3632" w:rsidRPr="004155A3" w:rsidRDefault="00EA3632" w:rsidP="0027570C">
            <w:pPr>
              <w:spacing w:after="0"/>
              <w:ind w:firstLine="0"/>
              <w:jc w:val="right"/>
              <w:rPr>
                <w:rFonts w:eastAsia="Times New Roman" w:cs="Times New Roman"/>
                <w:color w:val="FF0000"/>
                <w:sz w:val="18"/>
                <w:szCs w:val="18"/>
                <w:lang w:eastAsia="en-US"/>
              </w:rPr>
            </w:pPr>
            <w:r w:rsidRPr="004155A3">
              <w:rPr>
                <w:color w:val="000000"/>
                <w:sz w:val="18"/>
                <w:szCs w:val="18"/>
              </w:rPr>
              <w:t>15 714,1</w:t>
            </w:r>
          </w:p>
        </w:tc>
        <w:tc>
          <w:tcPr>
            <w:tcW w:w="850" w:type="dxa"/>
            <w:shd w:val="clear" w:color="auto" w:fill="auto"/>
            <w:noWrap/>
          </w:tcPr>
          <w:p w14:paraId="1B96689B"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sz w:val="18"/>
                <w:szCs w:val="18"/>
              </w:rPr>
              <w:t>17 160,0</w:t>
            </w:r>
          </w:p>
        </w:tc>
        <w:tc>
          <w:tcPr>
            <w:tcW w:w="851" w:type="dxa"/>
            <w:shd w:val="clear" w:color="auto" w:fill="auto"/>
            <w:noWrap/>
          </w:tcPr>
          <w:p w14:paraId="7437CEF5"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color w:val="000000"/>
                <w:sz w:val="18"/>
                <w:szCs w:val="18"/>
              </w:rPr>
              <w:t>18 286,9</w:t>
            </w:r>
          </w:p>
        </w:tc>
        <w:tc>
          <w:tcPr>
            <w:tcW w:w="850" w:type="dxa"/>
            <w:shd w:val="clear" w:color="auto" w:fill="auto"/>
            <w:noWrap/>
          </w:tcPr>
          <w:p w14:paraId="1C0B863E"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color w:val="000000"/>
                <w:sz w:val="18"/>
                <w:szCs w:val="18"/>
              </w:rPr>
              <w:t>18 657,0</w:t>
            </w:r>
          </w:p>
        </w:tc>
        <w:tc>
          <w:tcPr>
            <w:tcW w:w="851" w:type="dxa"/>
            <w:shd w:val="clear" w:color="auto" w:fill="auto"/>
          </w:tcPr>
          <w:p w14:paraId="0129A81B"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color w:val="000000"/>
                <w:sz w:val="18"/>
                <w:szCs w:val="18"/>
              </w:rPr>
              <w:t>18 471,9</w:t>
            </w:r>
          </w:p>
        </w:tc>
        <w:tc>
          <w:tcPr>
            <w:tcW w:w="850" w:type="dxa"/>
            <w:shd w:val="clear" w:color="auto" w:fill="auto"/>
            <w:noWrap/>
          </w:tcPr>
          <w:p w14:paraId="3622D466" w14:textId="77777777" w:rsidR="00EA3632" w:rsidRPr="00074852" w:rsidRDefault="00EA3632" w:rsidP="0027570C">
            <w:pPr>
              <w:spacing w:after="0"/>
              <w:ind w:firstLine="0"/>
              <w:contextualSpacing/>
              <w:jc w:val="right"/>
              <w:rPr>
                <w:rFonts w:eastAsia="Times New Roman" w:cs="Times New Roman"/>
                <w:color w:val="FF0000"/>
                <w:sz w:val="18"/>
                <w:szCs w:val="18"/>
                <w:lang w:eastAsia="en-US"/>
              </w:rPr>
            </w:pPr>
            <w:r w:rsidRPr="00074852">
              <w:rPr>
                <w:sz w:val="18"/>
                <w:szCs w:val="18"/>
              </w:rPr>
              <w:t>19 050,8</w:t>
            </w:r>
          </w:p>
        </w:tc>
        <w:tc>
          <w:tcPr>
            <w:tcW w:w="864" w:type="dxa"/>
            <w:shd w:val="clear" w:color="auto" w:fill="auto"/>
            <w:noWrap/>
          </w:tcPr>
          <w:p w14:paraId="713B168F"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sz w:val="18"/>
                <w:szCs w:val="18"/>
              </w:rPr>
              <w:t>19 392,6</w:t>
            </w:r>
          </w:p>
        </w:tc>
        <w:tc>
          <w:tcPr>
            <w:tcW w:w="863" w:type="dxa"/>
            <w:shd w:val="clear" w:color="auto" w:fill="auto"/>
            <w:noWrap/>
          </w:tcPr>
          <w:p w14:paraId="02DD5886" w14:textId="77777777" w:rsidR="00EA3632" w:rsidRPr="004155A3" w:rsidRDefault="00EA3632" w:rsidP="0027570C">
            <w:pPr>
              <w:spacing w:after="0"/>
              <w:ind w:firstLine="0"/>
              <w:contextualSpacing/>
              <w:jc w:val="right"/>
              <w:rPr>
                <w:rFonts w:eastAsia="Times New Roman" w:cs="Times New Roman"/>
                <w:color w:val="FF0000"/>
                <w:sz w:val="18"/>
                <w:szCs w:val="18"/>
                <w:lang w:eastAsia="en-US"/>
              </w:rPr>
            </w:pPr>
            <w:r w:rsidRPr="004155A3">
              <w:rPr>
                <w:sz w:val="18"/>
                <w:szCs w:val="18"/>
              </w:rPr>
              <w:t>19 341,4</w:t>
            </w:r>
          </w:p>
        </w:tc>
      </w:tr>
      <w:tr w:rsidR="00EA3632" w:rsidRPr="007C4CFB" w14:paraId="79F61914" w14:textId="77777777" w:rsidTr="005F05A2">
        <w:trPr>
          <w:trHeight w:val="20"/>
          <w:jc w:val="center"/>
        </w:trPr>
        <w:tc>
          <w:tcPr>
            <w:tcW w:w="2263" w:type="dxa"/>
            <w:shd w:val="clear" w:color="auto" w:fill="auto"/>
            <w:vAlign w:val="center"/>
          </w:tcPr>
          <w:p w14:paraId="2692C304" w14:textId="77777777" w:rsidR="00EA3632" w:rsidRPr="00F061D0" w:rsidRDefault="00EA3632" w:rsidP="005F05A2">
            <w:pPr>
              <w:spacing w:after="0"/>
              <w:ind w:firstLine="0"/>
              <w:contextualSpacing/>
              <w:jc w:val="left"/>
              <w:rPr>
                <w:rFonts w:eastAsia="Times New Roman" w:cs="Times New Roman"/>
                <w:b/>
                <w:bCs/>
                <w:color w:val="000000"/>
                <w:sz w:val="18"/>
                <w:szCs w:val="18"/>
              </w:rPr>
            </w:pPr>
            <w:r w:rsidRPr="00F061D0">
              <w:rPr>
                <w:rFonts w:eastAsia="Times New Roman" w:cs="Times New Roman"/>
                <w:b/>
                <w:bCs/>
                <w:color w:val="000000"/>
                <w:sz w:val="18"/>
                <w:szCs w:val="18"/>
              </w:rPr>
              <w:t xml:space="preserve">     Centrālā valdība</w:t>
            </w:r>
          </w:p>
        </w:tc>
        <w:tc>
          <w:tcPr>
            <w:tcW w:w="851" w:type="dxa"/>
            <w:shd w:val="clear" w:color="auto" w:fill="auto"/>
            <w:noWrap/>
            <w:vAlign w:val="center"/>
          </w:tcPr>
          <w:p w14:paraId="67503C1F"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-1 999,3</w:t>
            </w:r>
          </w:p>
        </w:tc>
        <w:tc>
          <w:tcPr>
            <w:tcW w:w="850" w:type="dxa"/>
            <w:shd w:val="clear" w:color="auto" w:fill="auto"/>
            <w:noWrap/>
            <w:vAlign w:val="center"/>
          </w:tcPr>
          <w:p w14:paraId="0C1F6FDB"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-1 422,4</w:t>
            </w:r>
          </w:p>
        </w:tc>
        <w:tc>
          <w:tcPr>
            <w:tcW w:w="851" w:type="dxa"/>
            <w:shd w:val="clear" w:color="auto" w:fill="auto"/>
            <w:noWrap/>
            <w:vAlign w:val="center"/>
          </w:tcPr>
          <w:p w14:paraId="2D12E6A6"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-1 301,7</w:t>
            </w:r>
          </w:p>
        </w:tc>
        <w:tc>
          <w:tcPr>
            <w:tcW w:w="850" w:type="dxa"/>
            <w:shd w:val="clear" w:color="auto" w:fill="auto"/>
            <w:noWrap/>
            <w:vAlign w:val="center"/>
          </w:tcPr>
          <w:p w14:paraId="492729B9"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-897,1</w:t>
            </w:r>
          </w:p>
        </w:tc>
        <w:tc>
          <w:tcPr>
            <w:tcW w:w="851" w:type="dxa"/>
            <w:shd w:val="clear" w:color="auto" w:fill="auto"/>
            <w:vAlign w:val="center"/>
          </w:tcPr>
          <w:p w14:paraId="7E78799E"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-156,0</w:t>
            </w:r>
          </w:p>
        </w:tc>
        <w:tc>
          <w:tcPr>
            <w:tcW w:w="850" w:type="dxa"/>
            <w:shd w:val="clear" w:color="auto" w:fill="auto"/>
            <w:noWrap/>
            <w:vAlign w:val="center"/>
          </w:tcPr>
          <w:p w14:paraId="6EDE9350" w14:textId="77777777" w:rsidR="00EA3632" w:rsidRPr="00074852" w:rsidRDefault="00EA3632" w:rsidP="005F05A2">
            <w:pPr>
              <w:spacing w:after="0"/>
              <w:ind w:firstLine="0"/>
              <w:contextualSpacing/>
              <w:jc w:val="right"/>
              <w:rPr>
                <w:rFonts w:eastAsia="Times New Roman" w:cs="Times New Roman"/>
                <w:b/>
                <w:bCs/>
                <w:color w:val="FF0000"/>
                <w:sz w:val="18"/>
                <w:szCs w:val="18"/>
              </w:rPr>
            </w:pPr>
            <w:r w:rsidRPr="00074852">
              <w:rPr>
                <w:rFonts w:cs="Times New Roman"/>
                <w:b/>
                <w:bCs/>
                <w:color w:val="000000"/>
                <w:sz w:val="18"/>
                <w:szCs w:val="18"/>
              </w:rPr>
              <w:t>-1 668,6</w:t>
            </w:r>
          </w:p>
        </w:tc>
        <w:tc>
          <w:tcPr>
            <w:tcW w:w="864" w:type="dxa"/>
            <w:shd w:val="clear" w:color="auto" w:fill="auto"/>
            <w:noWrap/>
            <w:vAlign w:val="center"/>
          </w:tcPr>
          <w:p w14:paraId="6BC65A12"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-1 481,8</w:t>
            </w:r>
          </w:p>
        </w:tc>
        <w:tc>
          <w:tcPr>
            <w:tcW w:w="863" w:type="dxa"/>
            <w:shd w:val="clear" w:color="auto" w:fill="auto"/>
            <w:noWrap/>
            <w:vAlign w:val="center"/>
          </w:tcPr>
          <w:p w14:paraId="337A680A"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-808,5</w:t>
            </w:r>
          </w:p>
        </w:tc>
      </w:tr>
      <w:tr w:rsidR="00EA3632" w:rsidRPr="007C4CFB" w14:paraId="3F283FAA" w14:textId="77777777" w:rsidTr="005F05A2">
        <w:trPr>
          <w:trHeight w:val="20"/>
          <w:jc w:val="center"/>
        </w:trPr>
        <w:tc>
          <w:tcPr>
            <w:tcW w:w="2263" w:type="dxa"/>
            <w:shd w:val="clear" w:color="auto" w:fill="auto"/>
            <w:vAlign w:val="center"/>
          </w:tcPr>
          <w:p w14:paraId="712CFF1C" w14:textId="77777777" w:rsidR="00EA3632" w:rsidRPr="00F061D0" w:rsidRDefault="00EA3632" w:rsidP="005F05A2">
            <w:pPr>
              <w:spacing w:after="0"/>
              <w:ind w:firstLine="0"/>
              <w:contextualSpacing/>
              <w:jc w:val="right"/>
              <w:rPr>
                <w:rFonts w:eastAsia="Times New Roman" w:cs="Times New Roman"/>
                <w:bCs/>
                <w:i/>
                <w:color w:val="000000"/>
                <w:sz w:val="18"/>
                <w:szCs w:val="18"/>
              </w:rPr>
            </w:pPr>
            <w:r w:rsidRPr="00F061D0">
              <w:rPr>
                <w:rFonts w:eastAsia="Times New Roman" w:cs="Times New Roman"/>
                <w:bCs/>
                <w:i/>
                <w:color w:val="000000"/>
                <w:sz w:val="18"/>
                <w:szCs w:val="18"/>
              </w:rPr>
              <w:t>t.sk. komersanti</w:t>
            </w:r>
          </w:p>
        </w:tc>
        <w:tc>
          <w:tcPr>
            <w:tcW w:w="851" w:type="dxa"/>
            <w:shd w:val="clear" w:color="auto" w:fill="auto"/>
            <w:noWrap/>
            <w:vAlign w:val="center"/>
          </w:tcPr>
          <w:p w14:paraId="6643D645"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16,0</w:t>
            </w:r>
          </w:p>
        </w:tc>
        <w:tc>
          <w:tcPr>
            <w:tcW w:w="850" w:type="dxa"/>
            <w:shd w:val="clear" w:color="auto" w:fill="auto"/>
            <w:noWrap/>
            <w:vAlign w:val="center"/>
          </w:tcPr>
          <w:p w14:paraId="53801412"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-209,8</w:t>
            </w:r>
          </w:p>
        </w:tc>
        <w:tc>
          <w:tcPr>
            <w:tcW w:w="851" w:type="dxa"/>
            <w:shd w:val="clear" w:color="auto" w:fill="auto"/>
            <w:noWrap/>
            <w:vAlign w:val="center"/>
          </w:tcPr>
          <w:p w14:paraId="738ECBCE"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-125,2</w:t>
            </w:r>
          </w:p>
        </w:tc>
        <w:tc>
          <w:tcPr>
            <w:tcW w:w="850" w:type="dxa"/>
            <w:shd w:val="clear" w:color="auto" w:fill="auto"/>
            <w:noWrap/>
            <w:vAlign w:val="center"/>
          </w:tcPr>
          <w:p w14:paraId="482D92CD"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-41,8</w:t>
            </w:r>
          </w:p>
        </w:tc>
        <w:tc>
          <w:tcPr>
            <w:tcW w:w="851" w:type="dxa"/>
            <w:shd w:val="clear" w:color="auto" w:fill="auto"/>
            <w:vAlign w:val="center"/>
          </w:tcPr>
          <w:p w14:paraId="17658AC8"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-49,7</w:t>
            </w:r>
          </w:p>
        </w:tc>
        <w:tc>
          <w:tcPr>
            <w:tcW w:w="850" w:type="dxa"/>
            <w:shd w:val="clear" w:color="auto" w:fill="auto"/>
            <w:noWrap/>
            <w:vAlign w:val="center"/>
          </w:tcPr>
          <w:p w14:paraId="2D89D8FF" w14:textId="77777777" w:rsidR="00EA3632" w:rsidRPr="00074852" w:rsidRDefault="00EA3632" w:rsidP="005F05A2">
            <w:pPr>
              <w:spacing w:after="0"/>
              <w:ind w:firstLine="0"/>
              <w:contextualSpacing/>
              <w:jc w:val="right"/>
              <w:rPr>
                <w:rFonts w:eastAsia="Times New Roman" w:cs="Times New Roman"/>
                <w:bCs/>
                <w:color w:val="FF0000"/>
                <w:sz w:val="18"/>
                <w:szCs w:val="18"/>
              </w:rPr>
            </w:pPr>
            <w:r w:rsidRPr="00074852">
              <w:rPr>
                <w:rFonts w:cs="Times New Roman"/>
                <w:color w:val="000000"/>
                <w:sz w:val="18"/>
                <w:szCs w:val="18"/>
              </w:rPr>
              <w:t>-21,7</w:t>
            </w:r>
          </w:p>
        </w:tc>
        <w:tc>
          <w:tcPr>
            <w:tcW w:w="864" w:type="dxa"/>
            <w:shd w:val="clear" w:color="auto" w:fill="auto"/>
            <w:noWrap/>
            <w:vAlign w:val="center"/>
          </w:tcPr>
          <w:p w14:paraId="1C568D46"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-35,6</w:t>
            </w:r>
          </w:p>
        </w:tc>
        <w:tc>
          <w:tcPr>
            <w:tcW w:w="863" w:type="dxa"/>
            <w:shd w:val="clear" w:color="auto" w:fill="auto"/>
            <w:noWrap/>
            <w:vAlign w:val="center"/>
          </w:tcPr>
          <w:p w14:paraId="3F7679B7"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-19,5</w:t>
            </w:r>
          </w:p>
        </w:tc>
      </w:tr>
      <w:tr w:rsidR="00EA3632" w:rsidRPr="007C4CFB" w14:paraId="60336D56" w14:textId="77777777" w:rsidTr="005F05A2">
        <w:trPr>
          <w:trHeight w:val="20"/>
          <w:jc w:val="center"/>
        </w:trPr>
        <w:tc>
          <w:tcPr>
            <w:tcW w:w="2263" w:type="dxa"/>
            <w:shd w:val="clear" w:color="auto" w:fill="auto"/>
            <w:vAlign w:val="center"/>
          </w:tcPr>
          <w:p w14:paraId="061F42F7" w14:textId="77777777" w:rsidR="00EA3632" w:rsidRPr="00F061D0" w:rsidRDefault="00EA3632" w:rsidP="005F05A2">
            <w:pPr>
              <w:spacing w:after="0"/>
              <w:ind w:firstLine="0"/>
              <w:contextualSpacing/>
              <w:jc w:val="left"/>
              <w:rPr>
                <w:rFonts w:eastAsia="Times New Roman" w:cs="Times New Roman"/>
                <w:b/>
                <w:bCs/>
                <w:color w:val="000000"/>
                <w:sz w:val="18"/>
                <w:szCs w:val="18"/>
              </w:rPr>
            </w:pPr>
            <w:r w:rsidRPr="00F061D0">
              <w:rPr>
                <w:rFonts w:eastAsia="Times New Roman" w:cs="Times New Roman"/>
                <w:b/>
                <w:bCs/>
                <w:color w:val="000000"/>
                <w:sz w:val="18"/>
                <w:szCs w:val="18"/>
              </w:rPr>
              <w:t xml:space="preserve">     Vietējā valdība</w:t>
            </w:r>
          </w:p>
        </w:tc>
        <w:tc>
          <w:tcPr>
            <w:tcW w:w="851" w:type="dxa"/>
            <w:shd w:val="clear" w:color="auto" w:fill="auto"/>
            <w:noWrap/>
            <w:vAlign w:val="center"/>
          </w:tcPr>
          <w:p w14:paraId="7858A7E9"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3,5</w:t>
            </w:r>
          </w:p>
        </w:tc>
        <w:tc>
          <w:tcPr>
            <w:tcW w:w="850" w:type="dxa"/>
            <w:shd w:val="clear" w:color="auto" w:fill="auto"/>
            <w:noWrap/>
            <w:vAlign w:val="center"/>
          </w:tcPr>
          <w:p w14:paraId="7C2E9FF5"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-35,1</w:t>
            </w:r>
          </w:p>
        </w:tc>
        <w:tc>
          <w:tcPr>
            <w:tcW w:w="851" w:type="dxa"/>
            <w:shd w:val="clear" w:color="auto" w:fill="auto"/>
            <w:noWrap/>
            <w:vAlign w:val="center"/>
          </w:tcPr>
          <w:p w14:paraId="23BB8632"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-42,3</w:t>
            </w:r>
          </w:p>
        </w:tc>
        <w:tc>
          <w:tcPr>
            <w:tcW w:w="850" w:type="dxa"/>
            <w:shd w:val="clear" w:color="auto" w:fill="auto"/>
            <w:noWrap/>
            <w:vAlign w:val="center"/>
          </w:tcPr>
          <w:p w14:paraId="6C18004E"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-43,8</w:t>
            </w:r>
          </w:p>
        </w:tc>
        <w:tc>
          <w:tcPr>
            <w:tcW w:w="851" w:type="dxa"/>
            <w:shd w:val="clear" w:color="auto" w:fill="auto"/>
            <w:vAlign w:val="center"/>
          </w:tcPr>
          <w:p w14:paraId="6FD0AFDC"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2,4</w:t>
            </w:r>
          </w:p>
        </w:tc>
        <w:tc>
          <w:tcPr>
            <w:tcW w:w="850" w:type="dxa"/>
            <w:shd w:val="clear" w:color="auto" w:fill="auto"/>
            <w:noWrap/>
            <w:vAlign w:val="center"/>
          </w:tcPr>
          <w:p w14:paraId="33F7911F"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-18,2</w:t>
            </w:r>
          </w:p>
        </w:tc>
        <w:tc>
          <w:tcPr>
            <w:tcW w:w="864" w:type="dxa"/>
            <w:shd w:val="clear" w:color="auto" w:fill="auto"/>
            <w:noWrap/>
            <w:vAlign w:val="center"/>
          </w:tcPr>
          <w:p w14:paraId="3B871207"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-24,9</w:t>
            </w:r>
          </w:p>
        </w:tc>
        <w:tc>
          <w:tcPr>
            <w:tcW w:w="863" w:type="dxa"/>
            <w:shd w:val="clear" w:color="auto" w:fill="auto"/>
            <w:noWrap/>
            <w:vAlign w:val="center"/>
          </w:tcPr>
          <w:p w14:paraId="47CB601F"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48,1</w:t>
            </w:r>
          </w:p>
        </w:tc>
      </w:tr>
      <w:tr w:rsidR="00EA3632" w:rsidRPr="007C4CFB" w14:paraId="3A8709AB" w14:textId="77777777" w:rsidTr="005F05A2">
        <w:trPr>
          <w:trHeight w:val="20"/>
          <w:jc w:val="center"/>
        </w:trPr>
        <w:tc>
          <w:tcPr>
            <w:tcW w:w="2263" w:type="dxa"/>
            <w:shd w:val="clear" w:color="auto" w:fill="auto"/>
            <w:vAlign w:val="center"/>
          </w:tcPr>
          <w:p w14:paraId="2FF6618C" w14:textId="77777777" w:rsidR="00EA3632" w:rsidRPr="00F061D0" w:rsidRDefault="00EA3632" w:rsidP="005F05A2">
            <w:pPr>
              <w:spacing w:after="0"/>
              <w:ind w:firstLine="0"/>
              <w:contextualSpacing/>
              <w:jc w:val="right"/>
              <w:rPr>
                <w:rFonts w:eastAsia="Times New Roman" w:cs="Times New Roman"/>
                <w:b/>
                <w:bCs/>
                <w:color w:val="000000"/>
                <w:sz w:val="18"/>
                <w:szCs w:val="18"/>
              </w:rPr>
            </w:pPr>
            <w:r w:rsidRPr="00F061D0">
              <w:rPr>
                <w:rFonts w:eastAsia="Times New Roman" w:cs="Times New Roman"/>
                <w:bCs/>
                <w:i/>
                <w:color w:val="000000"/>
                <w:sz w:val="18"/>
                <w:szCs w:val="18"/>
              </w:rPr>
              <w:t>t.sk. komersanti</w:t>
            </w:r>
          </w:p>
        </w:tc>
        <w:tc>
          <w:tcPr>
            <w:tcW w:w="851" w:type="dxa"/>
            <w:shd w:val="clear" w:color="auto" w:fill="auto"/>
            <w:noWrap/>
            <w:vAlign w:val="center"/>
          </w:tcPr>
          <w:p w14:paraId="1A090184"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-27,1</w:t>
            </w:r>
          </w:p>
        </w:tc>
        <w:tc>
          <w:tcPr>
            <w:tcW w:w="850" w:type="dxa"/>
            <w:shd w:val="clear" w:color="auto" w:fill="auto"/>
            <w:noWrap/>
            <w:vAlign w:val="center"/>
          </w:tcPr>
          <w:p w14:paraId="668BEDA2"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-19,9</w:t>
            </w:r>
          </w:p>
        </w:tc>
        <w:tc>
          <w:tcPr>
            <w:tcW w:w="851" w:type="dxa"/>
            <w:shd w:val="clear" w:color="auto" w:fill="auto"/>
            <w:noWrap/>
            <w:vAlign w:val="center"/>
          </w:tcPr>
          <w:p w14:paraId="21284109"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-21,6</w:t>
            </w:r>
          </w:p>
        </w:tc>
        <w:tc>
          <w:tcPr>
            <w:tcW w:w="850" w:type="dxa"/>
            <w:shd w:val="clear" w:color="auto" w:fill="auto"/>
            <w:noWrap/>
            <w:vAlign w:val="center"/>
          </w:tcPr>
          <w:p w14:paraId="2053C04D"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-19,8</w:t>
            </w:r>
          </w:p>
        </w:tc>
        <w:tc>
          <w:tcPr>
            <w:tcW w:w="851" w:type="dxa"/>
            <w:shd w:val="clear" w:color="auto" w:fill="auto"/>
            <w:vAlign w:val="center"/>
          </w:tcPr>
          <w:p w14:paraId="48050F22"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-40,3</w:t>
            </w:r>
          </w:p>
        </w:tc>
        <w:tc>
          <w:tcPr>
            <w:tcW w:w="850" w:type="dxa"/>
            <w:shd w:val="clear" w:color="auto" w:fill="auto"/>
            <w:noWrap/>
            <w:vAlign w:val="center"/>
          </w:tcPr>
          <w:p w14:paraId="052257EF"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-2,2</w:t>
            </w:r>
          </w:p>
        </w:tc>
        <w:tc>
          <w:tcPr>
            <w:tcW w:w="864" w:type="dxa"/>
            <w:shd w:val="clear" w:color="auto" w:fill="auto"/>
            <w:noWrap/>
            <w:vAlign w:val="center"/>
          </w:tcPr>
          <w:p w14:paraId="1194115E"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-1,8</w:t>
            </w:r>
          </w:p>
        </w:tc>
        <w:tc>
          <w:tcPr>
            <w:tcW w:w="863" w:type="dxa"/>
            <w:shd w:val="clear" w:color="auto" w:fill="auto"/>
            <w:noWrap/>
            <w:vAlign w:val="center"/>
          </w:tcPr>
          <w:p w14:paraId="786AF6B2" w14:textId="77777777" w:rsidR="00EA3632" w:rsidRPr="000168A0" w:rsidRDefault="00EA3632" w:rsidP="005F05A2">
            <w:pPr>
              <w:spacing w:after="0"/>
              <w:ind w:firstLine="0"/>
              <w:contextualSpacing/>
              <w:jc w:val="right"/>
              <w:rPr>
                <w:rFonts w:eastAsia="Times New Roman" w:cs="Times New Roman"/>
                <w:bCs/>
                <w:color w:val="FF0000"/>
                <w:sz w:val="18"/>
                <w:szCs w:val="18"/>
              </w:rPr>
            </w:pPr>
            <w:r w:rsidRPr="000168A0">
              <w:rPr>
                <w:rFonts w:cs="Times New Roman"/>
                <w:color w:val="000000"/>
                <w:sz w:val="18"/>
                <w:szCs w:val="18"/>
              </w:rPr>
              <w:t>-2,6</w:t>
            </w:r>
          </w:p>
        </w:tc>
      </w:tr>
      <w:tr w:rsidR="00EA3632" w:rsidRPr="007C4CFB" w14:paraId="6DBADDD6" w14:textId="77777777" w:rsidTr="005F05A2">
        <w:trPr>
          <w:trHeight w:val="20"/>
          <w:jc w:val="center"/>
        </w:trPr>
        <w:tc>
          <w:tcPr>
            <w:tcW w:w="2263" w:type="dxa"/>
            <w:shd w:val="clear" w:color="auto" w:fill="auto"/>
            <w:vAlign w:val="center"/>
          </w:tcPr>
          <w:p w14:paraId="698ABA76" w14:textId="77777777" w:rsidR="00EA3632" w:rsidRPr="00F061D0" w:rsidRDefault="00EA3632" w:rsidP="005F05A2">
            <w:pPr>
              <w:spacing w:after="0"/>
              <w:ind w:firstLine="0"/>
              <w:contextualSpacing/>
              <w:jc w:val="left"/>
              <w:rPr>
                <w:rFonts w:eastAsia="Times New Roman" w:cs="Times New Roman"/>
                <w:b/>
                <w:bCs/>
                <w:color w:val="000000"/>
                <w:sz w:val="18"/>
                <w:szCs w:val="18"/>
              </w:rPr>
            </w:pPr>
            <w:r w:rsidRPr="00F061D0">
              <w:rPr>
                <w:rFonts w:eastAsia="Times New Roman" w:cs="Times New Roman"/>
                <w:b/>
                <w:bCs/>
                <w:color w:val="000000"/>
                <w:sz w:val="18"/>
                <w:szCs w:val="18"/>
              </w:rPr>
              <w:t xml:space="preserve">     Sociālās nodrošināšanas fondi</w:t>
            </w:r>
          </w:p>
        </w:tc>
        <w:tc>
          <w:tcPr>
            <w:tcW w:w="851" w:type="dxa"/>
            <w:shd w:val="clear" w:color="auto" w:fill="auto"/>
            <w:noWrap/>
            <w:vAlign w:val="center"/>
          </w:tcPr>
          <w:p w14:paraId="0A203CCD"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274,9</w:t>
            </w:r>
          </w:p>
        </w:tc>
        <w:tc>
          <w:tcPr>
            <w:tcW w:w="850" w:type="dxa"/>
            <w:shd w:val="clear" w:color="auto" w:fill="auto"/>
            <w:noWrap/>
            <w:vAlign w:val="center"/>
          </w:tcPr>
          <w:p w14:paraId="11C94896"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301,1</w:t>
            </w:r>
          </w:p>
        </w:tc>
        <w:tc>
          <w:tcPr>
            <w:tcW w:w="851" w:type="dxa"/>
            <w:shd w:val="clear" w:color="auto" w:fill="auto"/>
            <w:noWrap/>
            <w:vAlign w:val="center"/>
          </w:tcPr>
          <w:p w14:paraId="71F25A3C"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327,8</w:t>
            </w:r>
          </w:p>
        </w:tc>
        <w:tc>
          <w:tcPr>
            <w:tcW w:w="850" w:type="dxa"/>
            <w:shd w:val="clear" w:color="auto" w:fill="auto"/>
            <w:noWrap/>
            <w:vAlign w:val="center"/>
          </w:tcPr>
          <w:p w14:paraId="797CB564"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300,8</w:t>
            </w:r>
          </w:p>
        </w:tc>
        <w:tc>
          <w:tcPr>
            <w:tcW w:w="851" w:type="dxa"/>
            <w:shd w:val="clear" w:color="auto" w:fill="auto"/>
            <w:vAlign w:val="center"/>
          </w:tcPr>
          <w:p w14:paraId="4047B870"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224,8</w:t>
            </w:r>
          </w:p>
        </w:tc>
        <w:tc>
          <w:tcPr>
            <w:tcW w:w="850" w:type="dxa"/>
            <w:shd w:val="clear" w:color="auto" w:fill="auto"/>
            <w:noWrap/>
            <w:vAlign w:val="center"/>
          </w:tcPr>
          <w:p w14:paraId="1A7B64F3"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399,9</w:t>
            </w:r>
          </w:p>
        </w:tc>
        <w:tc>
          <w:tcPr>
            <w:tcW w:w="864" w:type="dxa"/>
            <w:shd w:val="clear" w:color="auto" w:fill="auto"/>
            <w:noWrap/>
            <w:vAlign w:val="center"/>
          </w:tcPr>
          <w:p w14:paraId="0ADC83F7"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371,3</w:t>
            </w:r>
          </w:p>
        </w:tc>
        <w:tc>
          <w:tcPr>
            <w:tcW w:w="863" w:type="dxa"/>
            <w:shd w:val="clear" w:color="auto" w:fill="auto"/>
            <w:noWrap/>
            <w:vAlign w:val="center"/>
          </w:tcPr>
          <w:p w14:paraId="48BF4B5C" w14:textId="77777777" w:rsidR="00EA3632" w:rsidRPr="000168A0" w:rsidRDefault="00EA3632" w:rsidP="005F05A2">
            <w:pPr>
              <w:spacing w:after="0"/>
              <w:ind w:firstLine="0"/>
              <w:contextualSpacing/>
              <w:jc w:val="right"/>
              <w:rPr>
                <w:rFonts w:eastAsia="Times New Roman" w:cs="Times New Roman"/>
                <w:b/>
                <w:bCs/>
                <w:color w:val="FF0000"/>
                <w:sz w:val="18"/>
                <w:szCs w:val="18"/>
              </w:rPr>
            </w:pPr>
            <w:r w:rsidRPr="000168A0">
              <w:rPr>
                <w:rFonts w:cs="Times New Roman"/>
                <w:b/>
                <w:bCs/>
                <w:color w:val="000000"/>
                <w:sz w:val="18"/>
                <w:szCs w:val="18"/>
              </w:rPr>
              <w:t>297,7</w:t>
            </w:r>
          </w:p>
        </w:tc>
      </w:tr>
      <w:tr w:rsidR="00EA3632" w:rsidRPr="007C4CFB" w14:paraId="287D4CAF" w14:textId="77777777" w:rsidTr="005F05A2">
        <w:trPr>
          <w:trHeight w:val="20"/>
          <w:jc w:val="center"/>
        </w:trPr>
        <w:tc>
          <w:tcPr>
            <w:tcW w:w="2263" w:type="dxa"/>
            <w:shd w:val="clear" w:color="auto" w:fill="auto"/>
            <w:noWrap/>
            <w:vAlign w:val="center"/>
            <w:hideMark/>
          </w:tcPr>
          <w:p w14:paraId="34DD5DA5" w14:textId="77777777" w:rsidR="00EA3632" w:rsidRPr="00F061D0" w:rsidRDefault="00EA3632" w:rsidP="005F05A2">
            <w:pPr>
              <w:spacing w:after="0"/>
              <w:ind w:firstLine="0"/>
              <w:contextualSpacing/>
              <w:jc w:val="left"/>
              <w:rPr>
                <w:rFonts w:eastAsia="Times New Roman" w:cs="Times New Roman"/>
                <w:color w:val="000000"/>
                <w:sz w:val="18"/>
                <w:szCs w:val="18"/>
              </w:rPr>
            </w:pPr>
            <w:r w:rsidRPr="00F061D0">
              <w:rPr>
                <w:rFonts w:eastAsia="Times New Roman" w:cs="Times New Roman"/>
                <w:color w:val="000000"/>
                <w:sz w:val="18"/>
                <w:szCs w:val="18"/>
              </w:rPr>
              <w:t>EKS korekcijas</w:t>
            </w:r>
          </w:p>
        </w:tc>
        <w:tc>
          <w:tcPr>
            <w:tcW w:w="851" w:type="dxa"/>
            <w:shd w:val="clear" w:color="auto" w:fill="auto"/>
            <w:noWrap/>
            <w:vAlign w:val="center"/>
            <w:hideMark/>
          </w:tcPr>
          <w:p w14:paraId="2B5E4302" w14:textId="77777777" w:rsidR="00EA3632" w:rsidRPr="0051558C" w:rsidRDefault="00EA3632" w:rsidP="005F05A2">
            <w:pPr>
              <w:spacing w:after="0"/>
              <w:ind w:firstLine="0"/>
              <w:jc w:val="right"/>
              <w:rPr>
                <w:sz w:val="18"/>
                <w:szCs w:val="18"/>
              </w:rPr>
            </w:pPr>
            <w:r w:rsidRPr="0051558C">
              <w:rPr>
                <w:sz w:val="18"/>
                <w:szCs w:val="18"/>
              </w:rPr>
              <w:t>-270,2</w:t>
            </w:r>
          </w:p>
          <w:p w14:paraId="5A3D62D1" w14:textId="77777777" w:rsidR="00EA3632" w:rsidRPr="0051558C" w:rsidRDefault="00EA3632" w:rsidP="005F05A2">
            <w:pPr>
              <w:spacing w:after="0"/>
              <w:ind w:firstLine="0"/>
              <w:contextualSpacing/>
              <w:jc w:val="right"/>
              <w:rPr>
                <w:rFonts w:eastAsia="Times New Roman" w:cs="Times New Roman"/>
                <w:color w:val="FF0000"/>
                <w:sz w:val="18"/>
                <w:szCs w:val="18"/>
              </w:rPr>
            </w:pPr>
          </w:p>
        </w:tc>
        <w:tc>
          <w:tcPr>
            <w:tcW w:w="850" w:type="dxa"/>
            <w:shd w:val="clear" w:color="auto" w:fill="auto"/>
            <w:noWrap/>
            <w:vAlign w:val="center"/>
            <w:hideMark/>
          </w:tcPr>
          <w:p w14:paraId="0004C385" w14:textId="77777777" w:rsidR="00EA3632" w:rsidRPr="0051558C" w:rsidRDefault="00EA3632" w:rsidP="005F05A2">
            <w:pPr>
              <w:spacing w:after="0"/>
              <w:ind w:firstLine="0"/>
              <w:jc w:val="right"/>
              <w:rPr>
                <w:sz w:val="18"/>
                <w:szCs w:val="18"/>
              </w:rPr>
            </w:pPr>
            <w:r w:rsidRPr="0051558C">
              <w:rPr>
                <w:sz w:val="18"/>
                <w:szCs w:val="18"/>
              </w:rPr>
              <w:t>143,4</w:t>
            </w:r>
          </w:p>
          <w:p w14:paraId="51CD85C1" w14:textId="77777777" w:rsidR="00EA3632" w:rsidRPr="0051558C" w:rsidRDefault="00EA3632" w:rsidP="005F05A2">
            <w:pPr>
              <w:spacing w:after="0"/>
              <w:ind w:firstLine="0"/>
              <w:jc w:val="right"/>
              <w:rPr>
                <w:rFonts w:eastAsia="Times New Roman" w:cs="Times New Roman"/>
                <w:color w:val="FF0000"/>
                <w:sz w:val="18"/>
                <w:szCs w:val="18"/>
              </w:rPr>
            </w:pPr>
          </w:p>
        </w:tc>
        <w:tc>
          <w:tcPr>
            <w:tcW w:w="851" w:type="dxa"/>
            <w:shd w:val="clear" w:color="auto" w:fill="auto"/>
            <w:noWrap/>
            <w:vAlign w:val="center"/>
            <w:hideMark/>
          </w:tcPr>
          <w:p w14:paraId="54911F0C" w14:textId="77777777" w:rsidR="00EA3632" w:rsidRPr="0051558C" w:rsidRDefault="00EA3632" w:rsidP="005F05A2">
            <w:pPr>
              <w:spacing w:after="0"/>
              <w:ind w:firstLine="0"/>
              <w:jc w:val="right"/>
              <w:rPr>
                <w:rFonts w:eastAsia="Times New Roman" w:cs="Times New Roman"/>
                <w:color w:val="FF0000"/>
                <w:sz w:val="18"/>
                <w:szCs w:val="18"/>
              </w:rPr>
            </w:pPr>
            <w:r w:rsidRPr="0051558C">
              <w:rPr>
                <w:sz w:val="18"/>
                <w:szCs w:val="18"/>
              </w:rPr>
              <w:t>333,7</w:t>
            </w:r>
          </w:p>
        </w:tc>
        <w:tc>
          <w:tcPr>
            <w:tcW w:w="850" w:type="dxa"/>
            <w:shd w:val="clear" w:color="auto" w:fill="auto"/>
            <w:noWrap/>
            <w:vAlign w:val="center"/>
            <w:hideMark/>
          </w:tcPr>
          <w:p w14:paraId="5E60E035" w14:textId="77777777" w:rsidR="00EA3632" w:rsidRPr="0051558C" w:rsidRDefault="00EA3632" w:rsidP="005F05A2">
            <w:pPr>
              <w:spacing w:after="0"/>
              <w:ind w:firstLine="0"/>
              <w:jc w:val="right"/>
              <w:rPr>
                <w:sz w:val="18"/>
                <w:szCs w:val="18"/>
              </w:rPr>
            </w:pPr>
            <w:r w:rsidRPr="0051558C">
              <w:rPr>
                <w:sz w:val="18"/>
                <w:szCs w:val="18"/>
              </w:rPr>
              <w:t>284,0</w:t>
            </w:r>
          </w:p>
          <w:p w14:paraId="45862AB8" w14:textId="77777777" w:rsidR="00EA3632" w:rsidRPr="0051558C" w:rsidRDefault="00EA3632" w:rsidP="005F05A2">
            <w:pPr>
              <w:spacing w:after="0"/>
              <w:ind w:firstLine="0"/>
              <w:jc w:val="right"/>
              <w:rPr>
                <w:rFonts w:eastAsia="Times New Roman" w:cs="Times New Roman"/>
                <w:color w:val="FF0000"/>
                <w:sz w:val="18"/>
                <w:szCs w:val="18"/>
              </w:rPr>
            </w:pPr>
          </w:p>
        </w:tc>
        <w:tc>
          <w:tcPr>
            <w:tcW w:w="851" w:type="dxa"/>
            <w:shd w:val="clear" w:color="auto" w:fill="auto"/>
            <w:vAlign w:val="center"/>
          </w:tcPr>
          <w:p w14:paraId="4721AA09" w14:textId="77777777" w:rsidR="00EA3632" w:rsidRPr="0051558C" w:rsidRDefault="00EA3632" w:rsidP="005F05A2">
            <w:pPr>
              <w:spacing w:after="0"/>
              <w:ind w:firstLine="0"/>
              <w:jc w:val="right"/>
              <w:rPr>
                <w:sz w:val="18"/>
                <w:szCs w:val="18"/>
              </w:rPr>
            </w:pPr>
            <w:r w:rsidRPr="0051558C">
              <w:rPr>
                <w:sz w:val="18"/>
                <w:szCs w:val="18"/>
              </w:rPr>
              <w:t>308,7</w:t>
            </w:r>
          </w:p>
        </w:tc>
        <w:tc>
          <w:tcPr>
            <w:tcW w:w="850" w:type="dxa"/>
            <w:shd w:val="clear" w:color="auto" w:fill="auto"/>
            <w:noWrap/>
            <w:vAlign w:val="center"/>
            <w:hideMark/>
          </w:tcPr>
          <w:p w14:paraId="71850943" w14:textId="77777777" w:rsidR="00EA3632" w:rsidRPr="0051558C" w:rsidRDefault="00EA3632" w:rsidP="005F05A2">
            <w:pPr>
              <w:spacing w:after="0"/>
              <w:ind w:firstLine="0"/>
              <w:jc w:val="right"/>
              <w:rPr>
                <w:sz w:val="18"/>
                <w:szCs w:val="18"/>
              </w:rPr>
            </w:pPr>
            <w:r w:rsidRPr="0051558C">
              <w:rPr>
                <w:sz w:val="18"/>
                <w:szCs w:val="18"/>
              </w:rPr>
              <w:t>502,3</w:t>
            </w:r>
          </w:p>
          <w:p w14:paraId="17C1420F" w14:textId="77777777" w:rsidR="00EA3632" w:rsidRPr="0051558C" w:rsidRDefault="00EA3632" w:rsidP="005F05A2">
            <w:pPr>
              <w:spacing w:after="0"/>
              <w:ind w:firstLine="0"/>
              <w:contextualSpacing/>
              <w:jc w:val="right"/>
              <w:rPr>
                <w:rFonts w:eastAsia="Times New Roman" w:cs="Times New Roman"/>
                <w:color w:val="FF0000"/>
                <w:sz w:val="18"/>
                <w:szCs w:val="18"/>
              </w:rPr>
            </w:pPr>
          </w:p>
        </w:tc>
        <w:tc>
          <w:tcPr>
            <w:tcW w:w="864" w:type="dxa"/>
            <w:shd w:val="clear" w:color="auto" w:fill="auto"/>
            <w:noWrap/>
            <w:vAlign w:val="center"/>
            <w:hideMark/>
          </w:tcPr>
          <w:p w14:paraId="6C0FF085" w14:textId="77777777" w:rsidR="00EA3632" w:rsidRPr="0051558C" w:rsidRDefault="00EA3632" w:rsidP="005F05A2">
            <w:pPr>
              <w:spacing w:after="0"/>
              <w:ind w:firstLine="0"/>
              <w:jc w:val="right"/>
              <w:rPr>
                <w:sz w:val="18"/>
                <w:szCs w:val="18"/>
              </w:rPr>
            </w:pPr>
            <w:r w:rsidRPr="0051558C">
              <w:rPr>
                <w:sz w:val="18"/>
                <w:szCs w:val="18"/>
              </w:rPr>
              <w:t>311,8</w:t>
            </w:r>
          </w:p>
          <w:p w14:paraId="3A8B0B90" w14:textId="77777777" w:rsidR="00EA3632" w:rsidRPr="0051558C" w:rsidRDefault="00EA3632" w:rsidP="005F05A2">
            <w:pPr>
              <w:spacing w:after="0"/>
              <w:ind w:firstLine="0"/>
              <w:jc w:val="right"/>
              <w:rPr>
                <w:rFonts w:eastAsia="Times New Roman" w:cs="Times New Roman"/>
                <w:color w:val="FF0000"/>
                <w:sz w:val="18"/>
                <w:szCs w:val="18"/>
              </w:rPr>
            </w:pPr>
          </w:p>
        </w:tc>
        <w:tc>
          <w:tcPr>
            <w:tcW w:w="863" w:type="dxa"/>
            <w:shd w:val="clear" w:color="auto" w:fill="auto"/>
            <w:noWrap/>
            <w:vAlign w:val="center"/>
            <w:hideMark/>
          </w:tcPr>
          <w:p w14:paraId="034766DD" w14:textId="77777777" w:rsidR="00EA3632" w:rsidRPr="0051558C" w:rsidRDefault="00EA3632" w:rsidP="005F05A2">
            <w:pPr>
              <w:spacing w:after="0"/>
              <w:ind w:firstLine="0"/>
              <w:jc w:val="right"/>
              <w:rPr>
                <w:sz w:val="18"/>
                <w:szCs w:val="18"/>
              </w:rPr>
            </w:pPr>
            <w:r w:rsidRPr="0051558C">
              <w:rPr>
                <w:sz w:val="18"/>
                <w:szCs w:val="18"/>
              </w:rPr>
              <w:t>380,4</w:t>
            </w:r>
          </w:p>
          <w:p w14:paraId="6541CDB4" w14:textId="77777777" w:rsidR="00EA3632" w:rsidRPr="0051558C" w:rsidRDefault="00EA3632" w:rsidP="005F05A2">
            <w:pPr>
              <w:spacing w:after="0"/>
              <w:ind w:firstLine="0"/>
              <w:jc w:val="right"/>
              <w:rPr>
                <w:rFonts w:eastAsia="Times New Roman" w:cs="Times New Roman"/>
                <w:color w:val="FF0000"/>
                <w:sz w:val="18"/>
                <w:szCs w:val="18"/>
              </w:rPr>
            </w:pPr>
          </w:p>
        </w:tc>
      </w:tr>
      <w:tr w:rsidR="00EA3632" w:rsidRPr="007C4CFB" w14:paraId="4335DC06" w14:textId="77777777" w:rsidTr="005F05A2">
        <w:trPr>
          <w:trHeight w:val="20"/>
          <w:jc w:val="center"/>
        </w:trPr>
        <w:tc>
          <w:tcPr>
            <w:tcW w:w="2263" w:type="dxa"/>
            <w:shd w:val="clear" w:color="auto" w:fill="auto"/>
            <w:vAlign w:val="center"/>
            <w:hideMark/>
          </w:tcPr>
          <w:p w14:paraId="69F39B55" w14:textId="77777777" w:rsidR="00EA3632" w:rsidRPr="00F061D0" w:rsidRDefault="00EA3632" w:rsidP="005F05A2">
            <w:pPr>
              <w:spacing w:after="0"/>
              <w:ind w:firstLine="0"/>
              <w:contextualSpacing/>
              <w:jc w:val="left"/>
              <w:rPr>
                <w:rFonts w:eastAsia="Times New Roman" w:cs="Times New Roman"/>
                <w:b/>
                <w:bCs/>
                <w:color w:val="000000"/>
                <w:sz w:val="18"/>
                <w:szCs w:val="18"/>
              </w:rPr>
            </w:pPr>
            <w:r w:rsidRPr="00F061D0">
              <w:rPr>
                <w:rFonts w:eastAsia="Times New Roman" w:cs="Times New Roman"/>
                <w:b/>
                <w:bCs/>
                <w:color w:val="000000"/>
                <w:sz w:val="18"/>
                <w:szCs w:val="18"/>
              </w:rPr>
              <w:t>KOPBUDŽETA BILANCE</w:t>
            </w:r>
          </w:p>
        </w:tc>
        <w:tc>
          <w:tcPr>
            <w:tcW w:w="851" w:type="dxa"/>
            <w:shd w:val="clear" w:color="auto" w:fill="auto"/>
            <w:noWrap/>
            <w:vAlign w:val="center"/>
            <w:hideMark/>
          </w:tcPr>
          <w:p w14:paraId="419AE9D7" w14:textId="77777777" w:rsidR="00EA3632" w:rsidRPr="0051558C" w:rsidRDefault="00EA3632" w:rsidP="005F05A2">
            <w:pPr>
              <w:spacing w:after="0"/>
              <w:ind w:firstLine="0"/>
              <w:contextualSpacing/>
              <w:jc w:val="right"/>
              <w:rPr>
                <w:rFonts w:eastAsia="Times New Roman" w:cs="Times New Roman"/>
                <w:b/>
                <w:bCs/>
                <w:color w:val="FF0000"/>
                <w:sz w:val="18"/>
                <w:szCs w:val="18"/>
              </w:rPr>
            </w:pPr>
            <w:r w:rsidRPr="0051558C">
              <w:rPr>
                <w:rFonts w:cs="Times New Roman"/>
                <w:b/>
                <w:bCs/>
                <w:sz w:val="18"/>
                <w:szCs w:val="18"/>
              </w:rPr>
              <w:t>-1 450,7</w:t>
            </w:r>
          </w:p>
        </w:tc>
        <w:tc>
          <w:tcPr>
            <w:tcW w:w="850" w:type="dxa"/>
            <w:shd w:val="clear" w:color="auto" w:fill="auto"/>
            <w:noWrap/>
            <w:vAlign w:val="center"/>
            <w:hideMark/>
          </w:tcPr>
          <w:p w14:paraId="6F09AE66" w14:textId="77777777" w:rsidR="00EA3632" w:rsidRPr="0051558C" w:rsidRDefault="00EA3632" w:rsidP="005F05A2">
            <w:pPr>
              <w:spacing w:after="0"/>
              <w:ind w:firstLine="0"/>
              <w:contextualSpacing/>
              <w:jc w:val="right"/>
              <w:rPr>
                <w:rFonts w:eastAsia="Times New Roman" w:cs="Times New Roman"/>
                <w:b/>
                <w:bCs/>
                <w:color w:val="FF0000"/>
                <w:sz w:val="18"/>
                <w:szCs w:val="18"/>
              </w:rPr>
            </w:pPr>
            <w:r w:rsidRPr="0051558C">
              <w:rPr>
                <w:rFonts w:cs="Times New Roman"/>
                <w:b/>
                <w:bCs/>
                <w:sz w:val="18"/>
                <w:szCs w:val="18"/>
              </w:rPr>
              <w:t>-1 299,8</w:t>
            </w:r>
          </w:p>
        </w:tc>
        <w:tc>
          <w:tcPr>
            <w:tcW w:w="851" w:type="dxa"/>
            <w:shd w:val="clear" w:color="auto" w:fill="auto"/>
            <w:noWrap/>
            <w:vAlign w:val="center"/>
            <w:hideMark/>
          </w:tcPr>
          <w:p w14:paraId="61748254" w14:textId="77777777" w:rsidR="00EA3632" w:rsidRPr="0051558C" w:rsidRDefault="00EA3632" w:rsidP="005F05A2">
            <w:pPr>
              <w:spacing w:after="0"/>
              <w:ind w:firstLine="0"/>
              <w:contextualSpacing/>
              <w:jc w:val="right"/>
              <w:rPr>
                <w:rFonts w:eastAsia="Times New Roman" w:cs="Times New Roman"/>
                <w:b/>
                <w:bCs/>
                <w:color w:val="FF0000"/>
                <w:sz w:val="18"/>
                <w:szCs w:val="18"/>
              </w:rPr>
            </w:pPr>
            <w:r w:rsidRPr="0051558C">
              <w:rPr>
                <w:rFonts w:cs="Times New Roman"/>
                <w:b/>
                <w:bCs/>
                <w:sz w:val="18"/>
                <w:szCs w:val="18"/>
              </w:rPr>
              <w:t>-1 349,9</w:t>
            </w:r>
          </w:p>
        </w:tc>
        <w:tc>
          <w:tcPr>
            <w:tcW w:w="850" w:type="dxa"/>
            <w:shd w:val="clear" w:color="auto" w:fill="auto"/>
            <w:noWrap/>
            <w:vAlign w:val="center"/>
            <w:hideMark/>
          </w:tcPr>
          <w:p w14:paraId="4DB8B358" w14:textId="77777777" w:rsidR="00EA3632" w:rsidRPr="0051558C" w:rsidRDefault="00EA3632" w:rsidP="005F05A2">
            <w:pPr>
              <w:spacing w:after="0"/>
              <w:ind w:firstLine="0"/>
              <w:contextualSpacing/>
              <w:jc w:val="right"/>
              <w:rPr>
                <w:rFonts w:eastAsia="Times New Roman" w:cs="Times New Roman"/>
                <w:b/>
                <w:bCs/>
                <w:color w:val="FF0000"/>
                <w:sz w:val="18"/>
                <w:szCs w:val="18"/>
              </w:rPr>
            </w:pPr>
            <w:r w:rsidRPr="0051558C">
              <w:rPr>
                <w:rFonts w:cs="Times New Roman"/>
                <w:b/>
                <w:bCs/>
                <w:sz w:val="18"/>
                <w:szCs w:val="18"/>
              </w:rPr>
              <w:t>-924,2</w:t>
            </w:r>
          </w:p>
        </w:tc>
        <w:tc>
          <w:tcPr>
            <w:tcW w:w="851" w:type="dxa"/>
            <w:shd w:val="clear" w:color="auto" w:fill="auto"/>
            <w:vAlign w:val="center"/>
          </w:tcPr>
          <w:p w14:paraId="41C52736" w14:textId="77777777" w:rsidR="00EA3632" w:rsidRPr="0051558C" w:rsidRDefault="00EA3632" w:rsidP="005F05A2">
            <w:pPr>
              <w:spacing w:after="0"/>
              <w:ind w:firstLine="0"/>
              <w:contextualSpacing/>
              <w:jc w:val="right"/>
              <w:rPr>
                <w:rFonts w:eastAsia="Times New Roman" w:cs="Times New Roman"/>
                <w:b/>
                <w:bCs/>
                <w:color w:val="FF0000"/>
                <w:sz w:val="18"/>
                <w:szCs w:val="18"/>
              </w:rPr>
            </w:pPr>
            <w:r w:rsidRPr="0051558C">
              <w:rPr>
                <w:rFonts w:cs="Times New Roman"/>
                <w:b/>
                <w:bCs/>
                <w:sz w:val="18"/>
                <w:szCs w:val="18"/>
              </w:rPr>
              <w:t>-237,4</w:t>
            </w:r>
          </w:p>
        </w:tc>
        <w:tc>
          <w:tcPr>
            <w:tcW w:w="850" w:type="dxa"/>
            <w:shd w:val="clear" w:color="auto" w:fill="auto"/>
            <w:noWrap/>
            <w:vAlign w:val="center"/>
            <w:hideMark/>
          </w:tcPr>
          <w:p w14:paraId="437E2034" w14:textId="77777777" w:rsidR="00EA3632" w:rsidRPr="00074852" w:rsidRDefault="00EA3632" w:rsidP="005F05A2">
            <w:pPr>
              <w:spacing w:after="0"/>
              <w:ind w:firstLine="0"/>
              <w:contextualSpacing/>
              <w:jc w:val="right"/>
              <w:rPr>
                <w:rFonts w:eastAsia="Times New Roman" w:cs="Times New Roman"/>
                <w:b/>
                <w:bCs/>
                <w:color w:val="FF0000"/>
                <w:sz w:val="18"/>
                <w:szCs w:val="18"/>
              </w:rPr>
            </w:pPr>
            <w:r w:rsidRPr="00074852">
              <w:rPr>
                <w:rFonts w:cs="Times New Roman"/>
                <w:b/>
                <w:bCs/>
                <w:sz w:val="18"/>
                <w:szCs w:val="18"/>
              </w:rPr>
              <w:t>-1 789,2</w:t>
            </w:r>
          </w:p>
        </w:tc>
        <w:tc>
          <w:tcPr>
            <w:tcW w:w="864" w:type="dxa"/>
            <w:shd w:val="clear" w:color="auto" w:fill="auto"/>
            <w:noWrap/>
            <w:vAlign w:val="center"/>
            <w:hideMark/>
          </w:tcPr>
          <w:p w14:paraId="58A63FB5" w14:textId="77777777" w:rsidR="00EA3632" w:rsidRPr="0051558C" w:rsidRDefault="00EA3632" w:rsidP="005F05A2">
            <w:pPr>
              <w:spacing w:after="0"/>
              <w:ind w:firstLine="0"/>
              <w:contextualSpacing/>
              <w:jc w:val="right"/>
              <w:rPr>
                <w:rFonts w:eastAsia="Times New Roman" w:cs="Times New Roman"/>
                <w:b/>
                <w:bCs/>
                <w:color w:val="FF0000"/>
                <w:sz w:val="18"/>
                <w:szCs w:val="18"/>
              </w:rPr>
            </w:pPr>
            <w:r w:rsidRPr="0051558C">
              <w:rPr>
                <w:rFonts w:cs="Times New Roman"/>
                <w:b/>
                <w:bCs/>
                <w:sz w:val="18"/>
                <w:szCs w:val="18"/>
              </w:rPr>
              <w:t>-1 447,2</w:t>
            </w:r>
          </w:p>
        </w:tc>
        <w:tc>
          <w:tcPr>
            <w:tcW w:w="863" w:type="dxa"/>
            <w:shd w:val="clear" w:color="auto" w:fill="auto"/>
            <w:noWrap/>
            <w:vAlign w:val="center"/>
            <w:hideMark/>
          </w:tcPr>
          <w:p w14:paraId="7CE6F444" w14:textId="77777777" w:rsidR="00EA3632" w:rsidRPr="0051558C" w:rsidRDefault="00EA3632" w:rsidP="005F05A2">
            <w:pPr>
              <w:spacing w:after="0"/>
              <w:ind w:firstLine="0"/>
              <w:jc w:val="right"/>
              <w:rPr>
                <w:rFonts w:eastAsia="Times New Roman" w:cs="Times New Roman"/>
                <w:b/>
                <w:bCs/>
                <w:color w:val="FF0000"/>
                <w:sz w:val="18"/>
                <w:szCs w:val="18"/>
              </w:rPr>
            </w:pPr>
            <w:r w:rsidRPr="0051558C">
              <w:rPr>
                <w:rFonts w:cs="Times New Roman"/>
                <w:b/>
                <w:bCs/>
                <w:sz w:val="18"/>
                <w:szCs w:val="18"/>
              </w:rPr>
              <w:t>-843,0</w:t>
            </w:r>
          </w:p>
        </w:tc>
      </w:tr>
      <w:tr w:rsidR="00EA3632" w:rsidRPr="007C4CFB" w14:paraId="22F64DE6" w14:textId="77777777" w:rsidTr="005F05A2">
        <w:trPr>
          <w:trHeight w:val="20"/>
          <w:jc w:val="center"/>
        </w:trPr>
        <w:tc>
          <w:tcPr>
            <w:tcW w:w="2263" w:type="dxa"/>
            <w:shd w:val="clear" w:color="auto" w:fill="auto"/>
            <w:noWrap/>
            <w:vAlign w:val="center"/>
            <w:hideMark/>
          </w:tcPr>
          <w:p w14:paraId="0446ADD2" w14:textId="77777777" w:rsidR="00EA3632" w:rsidRPr="00F061D0" w:rsidRDefault="00EA3632" w:rsidP="005F05A2">
            <w:pPr>
              <w:spacing w:after="0"/>
              <w:ind w:firstLineChars="100" w:firstLine="180"/>
              <w:contextualSpacing/>
              <w:jc w:val="left"/>
              <w:rPr>
                <w:rFonts w:eastAsia="Times New Roman" w:cs="Times New Roman"/>
                <w:color w:val="000000"/>
                <w:sz w:val="18"/>
                <w:szCs w:val="18"/>
              </w:rPr>
            </w:pPr>
            <w:r w:rsidRPr="00F061D0">
              <w:rPr>
                <w:rFonts w:eastAsia="Times New Roman" w:cs="Times New Roman"/>
                <w:color w:val="000000"/>
                <w:sz w:val="18"/>
                <w:szCs w:val="18"/>
              </w:rPr>
              <w:t>Ieņēmumi</w:t>
            </w:r>
          </w:p>
        </w:tc>
        <w:tc>
          <w:tcPr>
            <w:tcW w:w="851" w:type="dxa"/>
            <w:shd w:val="clear" w:color="auto" w:fill="auto"/>
            <w:noWrap/>
            <w:vAlign w:val="center"/>
            <w:hideMark/>
          </w:tcPr>
          <w:p w14:paraId="26870A63"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14 273,8</w:t>
            </w:r>
          </w:p>
        </w:tc>
        <w:tc>
          <w:tcPr>
            <w:tcW w:w="850" w:type="dxa"/>
            <w:shd w:val="clear" w:color="auto" w:fill="auto"/>
            <w:noWrap/>
            <w:vAlign w:val="center"/>
            <w:hideMark/>
          </w:tcPr>
          <w:p w14:paraId="25A63B2D"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15 569,1</w:t>
            </w:r>
          </w:p>
        </w:tc>
        <w:tc>
          <w:tcPr>
            <w:tcW w:w="851" w:type="dxa"/>
            <w:shd w:val="clear" w:color="auto" w:fill="auto"/>
            <w:noWrap/>
            <w:vAlign w:val="center"/>
            <w:hideMark/>
          </w:tcPr>
          <w:p w14:paraId="75390490" w14:textId="77777777" w:rsidR="00EA3632" w:rsidRPr="0051558C" w:rsidRDefault="00EA3632" w:rsidP="005F05A2">
            <w:pPr>
              <w:spacing w:after="0"/>
              <w:ind w:firstLine="0"/>
              <w:contextualSpacing/>
              <w:rPr>
                <w:rFonts w:eastAsia="Times New Roman" w:cs="Times New Roman"/>
                <w:color w:val="FF0000"/>
                <w:sz w:val="18"/>
                <w:szCs w:val="18"/>
              </w:rPr>
            </w:pPr>
            <w:r w:rsidRPr="0051558C">
              <w:rPr>
                <w:rFonts w:cs="Times New Roman"/>
                <w:sz w:val="18"/>
                <w:szCs w:val="18"/>
              </w:rPr>
              <w:t>16 632,0</w:t>
            </w:r>
          </w:p>
        </w:tc>
        <w:tc>
          <w:tcPr>
            <w:tcW w:w="850" w:type="dxa"/>
            <w:shd w:val="clear" w:color="auto" w:fill="auto"/>
            <w:noWrap/>
            <w:vAlign w:val="center"/>
            <w:hideMark/>
          </w:tcPr>
          <w:p w14:paraId="2770F2A3"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17 405,4</w:t>
            </w:r>
          </w:p>
        </w:tc>
        <w:tc>
          <w:tcPr>
            <w:tcW w:w="851" w:type="dxa"/>
            <w:vAlign w:val="center"/>
          </w:tcPr>
          <w:p w14:paraId="33192777"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17 943,2</w:t>
            </w:r>
          </w:p>
        </w:tc>
        <w:tc>
          <w:tcPr>
            <w:tcW w:w="850" w:type="dxa"/>
            <w:shd w:val="clear" w:color="auto" w:fill="auto"/>
            <w:noWrap/>
            <w:vAlign w:val="center"/>
            <w:hideMark/>
          </w:tcPr>
          <w:p w14:paraId="670BC84F"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17 105,0</w:t>
            </w:r>
          </w:p>
        </w:tc>
        <w:tc>
          <w:tcPr>
            <w:tcW w:w="864" w:type="dxa"/>
            <w:shd w:val="clear" w:color="auto" w:fill="auto"/>
            <w:noWrap/>
            <w:vAlign w:val="center"/>
            <w:hideMark/>
          </w:tcPr>
          <w:p w14:paraId="4A1074DC"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17 642,2</w:t>
            </w:r>
          </w:p>
        </w:tc>
        <w:tc>
          <w:tcPr>
            <w:tcW w:w="863" w:type="dxa"/>
            <w:shd w:val="clear" w:color="auto" w:fill="auto"/>
            <w:noWrap/>
            <w:vAlign w:val="center"/>
            <w:hideMark/>
          </w:tcPr>
          <w:p w14:paraId="746006EB" w14:textId="77777777" w:rsidR="00EA3632" w:rsidRPr="0051558C" w:rsidRDefault="00EA3632" w:rsidP="005F05A2">
            <w:pPr>
              <w:spacing w:after="0"/>
              <w:ind w:firstLine="0"/>
              <w:jc w:val="right"/>
              <w:rPr>
                <w:rFonts w:eastAsia="Times New Roman" w:cs="Times New Roman"/>
                <w:color w:val="FF0000"/>
                <w:sz w:val="18"/>
                <w:szCs w:val="18"/>
              </w:rPr>
            </w:pPr>
            <w:r w:rsidRPr="0051558C">
              <w:rPr>
                <w:rFonts w:cs="Times New Roman"/>
                <w:sz w:val="18"/>
                <w:szCs w:val="18"/>
              </w:rPr>
              <w:t>18 274,9</w:t>
            </w:r>
          </w:p>
        </w:tc>
      </w:tr>
      <w:tr w:rsidR="00EA3632" w:rsidRPr="007C4CFB" w14:paraId="3ADF6BAA" w14:textId="77777777" w:rsidTr="005F05A2">
        <w:trPr>
          <w:trHeight w:val="20"/>
          <w:jc w:val="center"/>
        </w:trPr>
        <w:tc>
          <w:tcPr>
            <w:tcW w:w="2263" w:type="dxa"/>
            <w:shd w:val="clear" w:color="auto" w:fill="auto"/>
            <w:vAlign w:val="center"/>
            <w:hideMark/>
          </w:tcPr>
          <w:p w14:paraId="5E173304"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Nodokļu ieņēmumi</w:t>
            </w:r>
          </w:p>
        </w:tc>
        <w:tc>
          <w:tcPr>
            <w:tcW w:w="851" w:type="dxa"/>
            <w:shd w:val="clear" w:color="auto" w:fill="auto"/>
            <w:noWrap/>
            <w:vAlign w:val="center"/>
            <w:hideMark/>
          </w:tcPr>
          <w:p w14:paraId="3B0CFEB7"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11 557,3</w:t>
            </w:r>
          </w:p>
        </w:tc>
        <w:tc>
          <w:tcPr>
            <w:tcW w:w="850" w:type="dxa"/>
            <w:shd w:val="clear" w:color="auto" w:fill="auto"/>
            <w:noWrap/>
            <w:vAlign w:val="center"/>
            <w:hideMark/>
          </w:tcPr>
          <w:p w14:paraId="7C947949" w14:textId="77777777" w:rsidR="00EA3632" w:rsidRPr="0051558C" w:rsidRDefault="00EA3632" w:rsidP="005F05A2">
            <w:pPr>
              <w:spacing w:after="0"/>
              <w:ind w:firstLine="0"/>
              <w:jc w:val="right"/>
              <w:rPr>
                <w:rFonts w:eastAsia="Times New Roman" w:cs="Times New Roman"/>
                <w:color w:val="FF0000"/>
                <w:sz w:val="18"/>
                <w:szCs w:val="18"/>
              </w:rPr>
            </w:pPr>
            <w:r w:rsidRPr="0051558C">
              <w:rPr>
                <w:rFonts w:cs="Times New Roman"/>
                <w:sz w:val="18"/>
                <w:szCs w:val="18"/>
              </w:rPr>
              <w:t>12 678,1</w:t>
            </w:r>
          </w:p>
        </w:tc>
        <w:tc>
          <w:tcPr>
            <w:tcW w:w="851" w:type="dxa"/>
            <w:shd w:val="clear" w:color="auto" w:fill="auto"/>
            <w:noWrap/>
            <w:vAlign w:val="center"/>
            <w:hideMark/>
          </w:tcPr>
          <w:p w14:paraId="66FDD84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13 540,9</w:t>
            </w:r>
          </w:p>
        </w:tc>
        <w:tc>
          <w:tcPr>
            <w:tcW w:w="850" w:type="dxa"/>
            <w:shd w:val="clear" w:color="auto" w:fill="auto"/>
            <w:noWrap/>
            <w:vAlign w:val="center"/>
            <w:hideMark/>
          </w:tcPr>
          <w:p w14:paraId="33603307"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14 354,3</w:t>
            </w:r>
          </w:p>
        </w:tc>
        <w:tc>
          <w:tcPr>
            <w:tcW w:w="851" w:type="dxa"/>
            <w:vAlign w:val="center"/>
          </w:tcPr>
          <w:p w14:paraId="0C9275B4"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15 212,8</w:t>
            </w:r>
          </w:p>
        </w:tc>
        <w:tc>
          <w:tcPr>
            <w:tcW w:w="850" w:type="dxa"/>
            <w:shd w:val="clear" w:color="auto" w:fill="auto"/>
            <w:noWrap/>
            <w:vAlign w:val="center"/>
            <w:hideMark/>
          </w:tcPr>
          <w:p w14:paraId="69BA2BEA"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13 805,9</w:t>
            </w:r>
          </w:p>
        </w:tc>
        <w:tc>
          <w:tcPr>
            <w:tcW w:w="864" w:type="dxa"/>
            <w:shd w:val="clear" w:color="auto" w:fill="auto"/>
            <w:noWrap/>
            <w:vAlign w:val="center"/>
            <w:hideMark/>
          </w:tcPr>
          <w:p w14:paraId="2633B2A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14 582,5</w:t>
            </w:r>
          </w:p>
        </w:tc>
        <w:tc>
          <w:tcPr>
            <w:tcW w:w="863" w:type="dxa"/>
            <w:shd w:val="clear" w:color="auto" w:fill="auto"/>
            <w:noWrap/>
            <w:vAlign w:val="center"/>
            <w:hideMark/>
          </w:tcPr>
          <w:p w14:paraId="285AB506" w14:textId="77777777" w:rsidR="00EA3632" w:rsidRPr="0051558C" w:rsidRDefault="00EA3632" w:rsidP="005F05A2">
            <w:pPr>
              <w:spacing w:after="0"/>
              <w:ind w:firstLine="0"/>
              <w:jc w:val="right"/>
              <w:rPr>
                <w:rFonts w:eastAsia="Times New Roman" w:cs="Times New Roman"/>
                <w:color w:val="FF0000"/>
                <w:sz w:val="18"/>
                <w:szCs w:val="18"/>
              </w:rPr>
            </w:pPr>
            <w:r w:rsidRPr="0051558C">
              <w:rPr>
                <w:rFonts w:cs="Times New Roman"/>
                <w:sz w:val="18"/>
                <w:szCs w:val="18"/>
              </w:rPr>
              <w:t>15 447,3</w:t>
            </w:r>
          </w:p>
        </w:tc>
      </w:tr>
      <w:tr w:rsidR="00EA3632" w:rsidRPr="007C4CFB" w14:paraId="2D280DE4" w14:textId="77777777" w:rsidTr="005F05A2">
        <w:trPr>
          <w:trHeight w:val="20"/>
          <w:jc w:val="center"/>
        </w:trPr>
        <w:tc>
          <w:tcPr>
            <w:tcW w:w="2263" w:type="dxa"/>
            <w:shd w:val="clear" w:color="auto" w:fill="auto"/>
            <w:noWrap/>
            <w:vAlign w:val="center"/>
            <w:hideMark/>
          </w:tcPr>
          <w:p w14:paraId="28323359"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Ne-nodokļu ieņēmumi</w:t>
            </w:r>
          </w:p>
        </w:tc>
        <w:tc>
          <w:tcPr>
            <w:tcW w:w="851" w:type="dxa"/>
            <w:shd w:val="clear" w:color="auto" w:fill="auto"/>
            <w:noWrap/>
            <w:vAlign w:val="center"/>
            <w:hideMark/>
          </w:tcPr>
          <w:p w14:paraId="28E8A7F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847,6</w:t>
            </w:r>
          </w:p>
        </w:tc>
        <w:tc>
          <w:tcPr>
            <w:tcW w:w="850" w:type="dxa"/>
            <w:shd w:val="clear" w:color="auto" w:fill="auto"/>
            <w:noWrap/>
            <w:vAlign w:val="center"/>
            <w:hideMark/>
          </w:tcPr>
          <w:p w14:paraId="00805EEA"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972,4</w:t>
            </w:r>
          </w:p>
        </w:tc>
        <w:tc>
          <w:tcPr>
            <w:tcW w:w="851" w:type="dxa"/>
            <w:shd w:val="clear" w:color="auto" w:fill="auto"/>
            <w:noWrap/>
            <w:vAlign w:val="center"/>
            <w:hideMark/>
          </w:tcPr>
          <w:p w14:paraId="57C5E29D"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747,4</w:t>
            </w:r>
          </w:p>
        </w:tc>
        <w:tc>
          <w:tcPr>
            <w:tcW w:w="850" w:type="dxa"/>
            <w:shd w:val="clear" w:color="auto" w:fill="auto"/>
            <w:noWrap/>
            <w:vAlign w:val="center"/>
            <w:hideMark/>
          </w:tcPr>
          <w:p w14:paraId="5D93964C"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747,0</w:t>
            </w:r>
          </w:p>
        </w:tc>
        <w:tc>
          <w:tcPr>
            <w:tcW w:w="851" w:type="dxa"/>
            <w:vAlign w:val="center"/>
          </w:tcPr>
          <w:p w14:paraId="01F9D12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634,0</w:t>
            </w:r>
          </w:p>
        </w:tc>
        <w:tc>
          <w:tcPr>
            <w:tcW w:w="850" w:type="dxa"/>
            <w:shd w:val="clear" w:color="auto" w:fill="auto"/>
            <w:noWrap/>
            <w:vAlign w:val="center"/>
            <w:hideMark/>
          </w:tcPr>
          <w:p w14:paraId="67DA96F1"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952,4</w:t>
            </w:r>
          </w:p>
        </w:tc>
        <w:tc>
          <w:tcPr>
            <w:tcW w:w="864" w:type="dxa"/>
            <w:shd w:val="clear" w:color="auto" w:fill="auto"/>
            <w:noWrap/>
            <w:vAlign w:val="center"/>
            <w:hideMark/>
          </w:tcPr>
          <w:p w14:paraId="47DD957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753,1</w:t>
            </w:r>
          </w:p>
        </w:tc>
        <w:tc>
          <w:tcPr>
            <w:tcW w:w="863" w:type="dxa"/>
            <w:shd w:val="clear" w:color="auto" w:fill="auto"/>
            <w:noWrap/>
            <w:vAlign w:val="center"/>
            <w:hideMark/>
          </w:tcPr>
          <w:p w14:paraId="1ABBAEA7"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729,0</w:t>
            </w:r>
          </w:p>
        </w:tc>
      </w:tr>
      <w:tr w:rsidR="00EA3632" w:rsidRPr="007C4CFB" w14:paraId="34B04A4C" w14:textId="77777777" w:rsidTr="005F05A2">
        <w:trPr>
          <w:trHeight w:val="20"/>
          <w:jc w:val="center"/>
        </w:trPr>
        <w:tc>
          <w:tcPr>
            <w:tcW w:w="2263" w:type="dxa"/>
            <w:shd w:val="clear" w:color="auto" w:fill="auto"/>
            <w:noWrap/>
            <w:vAlign w:val="center"/>
            <w:hideMark/>
          </w:tcPr>
          <w:p w14:paraId="74A9B9C5"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Pašu ieņēmumi</w:t>
            </w:r>
          </w:p>
        </w:tc>
        <w:tc>
          <w:tcPr>
            <w:tcW w:w="851" w:type="dxa"/>
            <w:shd w:val="clear" w:color="auto" w:fill="auto"/>
            <w:noWrap/>
            <w:vAlign w:val="center"/>
            <w:hideMark/>
          </w:tcPr>
          <w:p w14:paraId="2E48A185"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427,7</w:t>
            </w:r>
          </w:p>
        </w:tc>
        <w:tc>
          <w:tcPr>
            <w:tcW w:w="850" w:type="dxa"/>
            <w:shd w:val="clear" w:color="auto" w:fill="auto"/>
            <w:noWrap/>
            <w:vAlign w:val="center"/>
            <w:hideMark/>
          </w:tcPr>
          <w:p w14:paraId="336934F9"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460,0</w:t>
            </w:r>
          </w:p>
        </w:tc>
        <w:tc>
          <w:tcPr>
            <w:tcW w:w="851" w:type="dxa"/>
            <w:shd w:val="clear" w:color="auto" w:fill="auto"/>
            <w:noWrap/>
            <w:vAlign w:val="center"/>
            <w:hideMark/>
          </w:tcPr>
          <w:p w14:paraId="6621FD23"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462,1</w:t>
            </w:r>
          </w:p>
        </w:tc>
        <w:tc>
          <w:tcPr>
            <w:tcW w:w="850" w:type="dxa"/>
            <w:shd w:val="clear" w:color="auto" w:fill="auto"/>
            <w:noWrap/>
            <w:vAlign w:val="center"/>
            <w:hideMark/>
          </w:tcPr>
          <w:p w14:paraId="40F908E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457,8</w:t>
            </w:r>
          </w:p>
        </w:tc>
        <w:tc>
          <w:tcPr>
            <w:tcW w:w="851" w:type="dxa"/>
            <w:vAlign w:val="center"/>
          </w:tcPr>
          <w:p w14:paraId="2CD7299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461,2</w:t>
            </w:r>
          </w:p>
        </w:tc>
        <w:tc>
          <w:tcPr>
            <w:tcW w:w="850" w:type="dxa"/>
            <w:shd w:val="clear" w:color="auto" w:fill="auto"/>
            <w:noWrap/>
            <w:vAlign w:val="center"/>
            <w:hideMark/>
          </w:tcPr>
          <w:p w14:paraId="556324A6"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464,8</w:t>
            </w:r>
          </w:p>
        </w:tc>
        <w:tc>
          <w:tcPr>
            <w:tcW w:w="864" w:type="dxa"/>
            <w:shd w:val="clear" w:color="auto" w:fill="auto"/>
            <w:noWrap/>
            <w:vAlign w:val="center"/>
            <w:hideMark/>
          </w:tcPr>
          <w:p w14:paraId="5781E73E"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459,7</w:t>
            </w:r>
          </w:p>
        </w:tc>
        <w:tc>
          <w:tcPr>
            <w:tcW w:w="863" w:type="dxa"/>
            <w:shd w:val="clear" w:color="auto" w:fill="auto"/>
            <w:noWrap/>
            <w:vAlign w:val="center"/>
            <w:hideMark/>
          </w:tcPr>
          <w:p w14:paraId="2D9127CA"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463,1</w:t>
            </w:r>
          </w:p>
        </w:tc>
      </w:tr>
      <w:tr w:rsidR="00EA3632" w:rsidRPr="007C4CFB" w14:paraId="47713039" w14:textId="77777777" w:rsidTr="005F05A2">
        <w:trPr>
          <w:trHeight w:val="20"/>
          <w:jc w:val="center"/>
        </w:trPr>
        <w:tc>
          <w:tcPr>
            <w:tcW w:w="2263" w:type="dxa"/>
            <w:shd w:val="clear" w:color="auto" w:fill="auto"/>
            <w:vAlign w:val="center"/>
            <w:hideMark/>
          </w:tcPr>
          <w:p w14:paraId="6A1F1E3F" w14:textId="77777777" w:rsidR="00EA3632" w:rsidRPr="00F061D0" w:rsidRDefault="00EA3632" w:rsidP="005F05A2">
            <w:pPr>
              <w:spacing w:after="0"/>
              <w:ind w:firstLine="0"/>
              <w:contextualSpacing/>
              <w:jc w:val="left"/>
              <w:rPr>
                <w:rFonts w:eastAsia="Times New Roman" w:cs="Times New Roman"/>
                <w:color w:val="000000"/>
                <w:sz w:val="18"/>
                <w:szCs w:val="18"/>
              </w:rPr>
            </w:pPr>
            <w:r w:rsidRPr="00F061D0">
              <w:rPr>
                <w:rFonts w:eastAsia="Times New Roman" w:cs="Times New Roman"/>
                <w:color w:val="000000"/>
                <w:sz w:val="18"/>
                <w:szCs w:val="18"/>
              </w:rPr>
              <w:t xml:space="preserve">        Ārvalstu finanšu palīdzība</w:t>
            </w:r>
          </w:p>
        </w:tc>
        <w:tc>
          <w:tcPr>
            <w:tcW w:w="851" w:type="dxa"/>
            <w:shd w:val="clear" w:color="auto" w:fill="auto"/>
            <w:noWrap/>
            <w:vAlign w:val="center"/>
            <w:hideMark/>
          </w:tcPr>
          <w:p w14:paraId="46D85285"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1 439,7</w:t>
            </w:r>
          </w:p>
        </w:tc>
        <w:tc>
          <w:tcPr>
            <w:tcW w:w="850" w:type="dxa"/>
            <w:shd w:val="clear" w:color="auto" w:fill="auto"/>
            <w:noWrap/>
            <w:vAlign w:val="center"/>
            <w:hideMark/>
          </w:tcPr>
          <w:p w14:paraId="73E286EA"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1 456,9</w:t>
            </w:r>
          </w:p>
        </w:tc>
        <w:tc>
          <w:tcPr>
            <w:tcW w:w="851" w:type="dxa"/>
            <w:shd w:val="clear" w:color="auto" w:fill="auto"/>
            <w:noWrap/>
            <w:vAlign w:val="center"/>
            <w:hideMark/>
          </w:tcPr>
          <w:p w14:paraId="545EAD9A"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1 880,4</w:t>
            </w:r>
          </w:p>
        </w:tc>
        <w:tc>
          <w:tcPr>
            <w:tcW w:w="850" w:type="dxa"/>
            <w:shd w:val="clear" w:color="auto" w:fill="auto"/>
            <w:noWrap/>
            <w:vAlign w:val="center"/>
            <w:hideMark/>
          </w:tcPr>
          <w:p w14:paraId="4F36CAAE"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1 845,0</w:t>
            </w:r>
          </w:p>
        </w:tc>
        <w:tc>
          <w:tcPr>
            <w:tcW w:w="851" w:type="dxa"/>
            <w:vAlign w:val="center"/>
          </w:tcPr>
          <w:p w14:paraId="040A57F8"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1 634,0</w:t>
            </w:r>
          </w:p>
        </w:tc>
        <w:tc>
          <w:tcPr>
            <w:tcW w:w="850" w:type="dxa"/>
            <w:shd w:val="clear" w:color="auto" w:fill="auto"/>
            <w:noWrap/>
            <w:vAlign w:val="center"/>
            <w:hideMark/>
          </w:tcPr>
          <w:p w14:paraId="1BDD8802"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1 880,7</w:t>
            </w:r>
          </w:p>
        </w:tc>
        <w:tc>
          <w:tcPr>
            <w:tcW w:w="864" w:type="dxa"/>
            <w:shd w:val="clear" w:color="auto" w:fill="auto"/>
            <w:noWrap/>
            <w:vAlign w:val="center"/>
            <w:hideMark/>
          </w:tcPr>
          <w:p w14:paraId="1CB77012"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1 845,7</w:t>
            </w:r>
          </w:p>
        </w:tc>
        <w:tc>
          <w:tcPr>
            <w:tcW w:w="863" w:type="dxa"/>
            <w:shd w:val="clear" w:color="auto" w:fill="auto"/>
            <w:noWrap/>
            <w:vAlign w:val="center"/>
            <w:hideMark/>
          </w:tcPr>
          <w:p w14:paraId="445336FC"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1 634,3</w:t>
            </w:r>
          </w:p>
        </w:tc>
      </w:tr>
      <w:tr w:rsidR="00EA3632" w:rsidRPr="007C4CFB" w14:paraId="5C58D187" w14:textId="77777777" w:rsidTr="005F05A2">
        <w:trPr>
          <w:trHeight w:val="20"/>
          <w:jc w:val="center"/>
        </w:trPr>
        <w:tc>
          <w:tcPr>
            <w:tcW w:w="2263" w:type="dxa"/>
            <w:shd w:val="clear" w:color="auto" w:fill="auto"/>
            <w:noWrap/>
            <w:vAlign w:val="center"/>
            <w:hideMark/>
          </w:tcPr>
          <w:p w14:paraId="5C53C9E8"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Pārējie ieņēmumi</w:t>
            </w:r>
          </w:p>
        </w:tc>
        <w:tc>
          <w:tcPr>
            <w:tcW w:w="851" w:type="dxa"/>
            <w:shd w:val="clear" w:color="auto" w:fill="auto"/>
            <w:noWrap/>
            <w:vAlign w:val="center"/>
            <w:hideMark/>
          </w:tcPr>
          <w:p w14:paraId="1575A2E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1,6</w:t>
            </w:r>
          </w:p>
        </w:tc>
        <w:tc>
          <w:tcPr>
            <w:tcW w:w="850" w:type="dxa"/>
            <w:shd w:val="clear" w:color="auto" w:fill="auto"/>
            <w:noWrap/>
            <w:vAlign w:val="center"/>
            <w:hideMark/>
          </w:tcPr>
          <w:p w14:paraId="5CF70E52"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1,7</w:t>
            </w:r>
          </w:p>
        </w:tc>
        <w:tc>
          <w:tcPr>
            <w:tcW w:w="851" w:type="dxa"/>
            <w:shd w:val="clear" w:color="auto" w:fill="auto"/>
            <w:noWrap/>
            <w:vAlign w:val="center"/>
            <w:hideMark/>
          </w:tcPr>
          <w:p w14:paraId="0CED458C"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1,2</w:t>
            </w:r>
          </w:p>
        </w:tc>
        <w:tc>
          <w:tcPr>
            <w:tcW w:w="850" w:type="dxa"/>
            <w:shd w:val="clear" w:color="auto" w:fill="auto"/>
            <w:noWrap/>
            <w:vAlign w:val="center"/>
            <w:hideMark/>
          </w:tcPr>
          <w:p w14:paraId="0591B29A"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1,2</w:t>
            </w:r>
          </w:p>
        </w:tc>
        <w:tc>
          <w:tcPr>
            <w:tcW w:w="851" w:type="dxa"/>
            <w:vAlign w:val="center"/>
          </w:tcPr>
          <w:p w14:paraId="417D6DE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1,2</w:t>
            </w:r>
          </w:p>
        </w:tc>
        <w:tc>
          <w:tcPr>
            <w:tcW w:w="850" w:type="dxa"/>
            <w:shd w:val="clear" w:color="auto" w:fill="auto"/>
            <w:noWrap/>
            <w:vAlign w:val="center"/>
            <w:hideMark/>
          </w:tcPr>
          <w:p w14:paraId="03EDF3FD"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1,2</w:t>
            </w:r>
          </w:p>
        </w:tc>
        <w:tc>
          <w:tcPr>
            <w:tcW w:w="864" w:type="dxa"/>
            <w:shd w:val="clear" w:color="auto" w:fill="auto"/>
            <w:noWrap/>
            <w:vAlign w:val="center"/>
            <w:hideMark/>
          </w:tcPr>
          <w:p w14:paraId="5AB5E5C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1,2</w:t>
            </w:r>
          </w:p>
        </w:tc>
        <w:tc>
          <w:tcPr>
            <w:tcW w:w="863" w:type="dxa"/>
            <w:shd w:val="clear" w:color="auto" w:fill="auto"/>
            <w:noWrap/>
            <w:vAlign w:val="center"/>
            <w:hideMark/>
          </w:tcPr>
          <w:p w14:paraId="0F3E192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1,2</w:t>
            </w:r>
          </w:p>
        </w:tc>
      </w:tr>
      <w:tr w:rsidR="00EA3632" w:rsidRPr="007C4CFB" w14:paraId="58CF5ADF" w14:textId="77777777" w:rsidTr="005F05A2">
        <w:trPr>
          <w:trHeight w:val="20"/>
          <w:jc w:val="center"/>
        </w:trPr>
        <w:tc>
          <w:tcPr>
            <w:tcW w:w="2263" w:type="dxa"/>
            <w:shd w:val="clear" w:color="auto" w:fill="auto"/>
            <w:noWrap/>
            <w:vAlign w:val="center"/>
            <w:hideMark/>
          </w:tcPr>
          <w:p w14:paraId="566AFD63" w14:textId="77777777" w:rsidR="00EA3632" w:rsidRPr="00F061D0" w:rsidRDefault="00EA3632" w:rsidP="005F05A2">
            <w:pPr>
              <w:spacing w:after="0"/>
              <w:ind w:firstLineChars="100" w:firstLine="180"/>
              <w:contextualSpacing/>
              <w:jc w:val="left"/>
              <w:rPr>
                <w:rFonts w:eastAsia="Times New Roman" w:cs="Times New Roman"/>
                <w:color w:val="000000"/>
                <w:sz w:val="18"/>
                <w:szCs w:val="18"/>
              </w:rPr>
            </w:pPr>
            <w:r w:rsidRPr="00F061D0">
              <w:rPr>
                <w:rFonts w:eastAsia="Times New Roman" w:cs="Times New Roman"/>
                <w:color w:val="000000"/>
                <w:sz w:val="18"/>
                <w:szCs w:val="18"/>
              </w:rPr>
              <w:t>Izdevumi</w:t>
            </w:r>
          </w:p>
        </w:tc>
        <w:tc>
          <w:tcPr>
            <w:tcW w:w="851" w:type="dxa"/>
            <w:shd w:val="clear" w:color="auto" w:fill="auto"/>
            <w:noWrap/>
            <w:vAlign w:val="center"/>
            <w:hideMark/>
          </w:tcPr>
          <w:p w14:paraId="61879488"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15 724,5</w:t>
            </w:r>
          </w:p>
        </w:tc>
        <w:tc>
          <w:tcPr>
            <w:tcW w:w="850" w:type="dxa"/>
            <w:shd w:val="clear" w:color="auto" w:fill="auto"/>
            <w:noWrap/>
            <w:vAlign w:val="center"/>
            <w:hideMark/>
          </w:tcPr>
          <w:p w14:paraId="295A0FE2"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16 868,9</w:t>
            </w:r>
          </w:p>
        </w:tc>
        <w:tc>
          <w:tcPr>
            <w:tcW w:w="851" w:type="dxa"/>
            <w:shd w:val="clear" w:color="auto" w:fill="auto"/>
            <w:noWrap/>
            <w:vAlign w:val="center"/>
            <w:hideMark/>
          </w:tcPr>
          <w:p w14:paraId="7F2008D8" w14:textId="77777777" w:rsidR="00EA3632" w:rsidRPr="0051558C" w:rsidRDefault="00EA3632" w:rsidP="005F05A2">
            <w:pPr>
              <w:spacing w:after="0"/>
              <w:ind w:firstLine="0"/>
              <w:contextualSpacing/>
              <w:rPr>
                <w:rFonts w:eastAsia="Times New Roman" w:cs="Times New Roman"/>
                <w:color w:val="FF0000"/>
                <w:sz w:val="18"/>
                <w:szCs w:val="18"/>
              </w:rPr>
            </w:pPr>
            <w:r w:rsidRPr="0051558C">
              <w:rPr>
                <w:rFonts w:cs="Times New Roman"/>
                <w:sz w:val="18"/>
                <w:szCs w:val="18"/>
              </w:rPr>
              <w:t>17 981,9</w:t>
            </w:r>
          </w:p>
        </w:tc>
        <w:tc>
          <w:tcPr>
            <w:tcW w:w="850" w:type="dxa"/>
            <w:shd w:val="clear" w:color="auto" w:fill="auto"/>
            <w:noWrap/>
            <w:vAlign w:val="center"/>
            <w:hideMark/>
          </w:tcPr>
          <w:p w14:paraId="0B004C12"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18 329,6</w:t>
            </w:r>
          </w:p>
        </w:tc>
        <w:tc>
          <w:tcPr>
            <w:tcW w:w="851" w:type="dxa"/>
            <w:vAlign w:val="center"/>
          </w:tcPr>
          <w:p w14:paraId="2572FCEC"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18 180,6</w:t>
            </w:r>
          </w:p>
        </w:tc>
        <w:tc>
          <w:tcPr>
            <w:tcW w:w="850" w:type="dxa"/>
            <w:shd w:val="clear" w:color="auto" w:fill="auto"/>
            <w:noWrap/>
            <w:vAlign w:val="center"/>
            <w:hideMark/>
          </w:tcPr>
          <w:p w14:paraId="475DADEB"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18 894,2</w:t>
            </w:r>
          </w:p>
        </w:tc>
        <w:tc>
          <w:tcPr>
            <w:tcW w:w="864" w:type="dxa"/>
            <w:shd w:val="clear" w:color="auto" w:fill="auto"/>
            <w:noWrap/>
            <w:vAlign w:val="center"/>
            <w:hideMark/>
          </w:tcPr>
          <w:p w14:paraId="6FE5F572"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19 089,4</w:t>
            </w:r>
          </w:p>
        </w:tc>
        <w:tc>
          <w:tcPr>
            <w:tcW w:w="863" w:type="dxa"/>
            <w:shd w:val="clear" w:color="auto" w:fill="auto"/>
            <w:noWrap/>
            <w:vAlign w:val="center"/>
            <w:hideMark/>
          </w:tcPr>
          <w:p w14:paraId="640617E3"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19 117,9</w:t>
            </w:r>
          </w:p>
        </w:tc>
      </w:tr>
      <w:tr w:rsidR="00EA3632" w:rsidRPr="007C4CFB" w14:paraId="5F329894" w14:textId="77777777" w:rsidTr="005F05A2">
        <w:trPr>
          <w:trHeight w:val="20"/>
          <w:jc w:val="center"/>
        </w:trPr>
        <w:tc>
          <w:tcPr>
            <w:tcW w:w="2263" w:type="dxa"/>
            <w:shd w:val="clear" w:color="auto" w:fill="auto"/>
            <w:noWrap/>
            <w:vAlign w:val="center"/>
            <w:hideMark/>
          </w:tcPr>
          <w:p w14:paraId="25DDFD12"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Atlīdzība</w:t>
            </w:r>
          </w:p>
        </w:tc>
        <w:tc>
          <w:tcPr>
            <w:tcW w:w="851" w:type="dxa"/>
            <w:shd w:val="clear" w:color="auto" w:fill="auto"/>
            <w:noWrap/>
            <w:vAlign w:val="center"/>
            <w:hideMark/>
          </w:tcPr>
          <w:p w14:paraId="50427022"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3 120,2</w:t>
            </w:r>
          </w:p>
        </w:tc>
        <w:tc>
          <w:tcPr>
            <w:tcW w:w="850" w:type="dxa"/>
            <w:shd w:val="clear" w:color="auto" w:fill="auto"/>
            <w:noWrap/>
            <w:vAlign w:val="center"/>
            <w:hideMark/>
          </w:tcPr>
          <w:p w14:paraId="1FD4A4F7"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3 543,1</w:t>
            </w:r>
          </w:p>
        </w:tc>
        <w:tc>
          <w:tcPr>
            <w:tcW w:w="851" w:type="dxa"/>
            <w:shd w:val="clear" w:color="auto" w:fill="auto"/>
            <w:noWrap/>
            <w:vAlign w:val="center"/>
            <w:hideMark/>
          </w:tcPr>
          <w:p w14:paraId="3BC95EB0"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3 723,4</w:t>
            </w:r>
          </w:p>
        </w:tc>
        <w:tc>
          <w:tcPr>
            <w:tcW w:w="850" w:type="dxa"/>
            <w:shd w:val="clear" w:color="auto" w:fill="auto"/>
            <w:noWrap/>
            <w:vAlign w:val="center"/>
            <w:hideMark/>
          </w:tcPr>
          <w:p w14:paraId="3742604D"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3 737,3</w:t>
            </w:r>
          </w:p>
        </w:tc>
        <w:tc>
          <w:tcPr>
            <w:tcW w:w="851" w:type="dxa"/>
            <w:vAlign w:val="center"/>
          </w:tcPr>
          <w:p w14:paraId="08754610"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3 769,0</w:t>
            </w:r>
          </w:p>
        </w:tc>
        <w:tc>
          <w:tcPr>
            <w:tcW w:w="850" w:type="dxa"/>
            <w:shd w:val="clear" w:color="auto" w:fill="auto"/>
            <w:noWrap/>
            <w:vAlign w:val="center"/>
            <w:hideMark/>
          </w:tcPr>
          <w:p w14:paraId="160D905C"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3 943,2</w:t>
            </w:r>
          </w:p>
        </w:tc>
        <w:tc>
          <w:tcPr>
            <w:tcW w:w="864" w:type="dxa"/>
            <w:shd w:val="clear" w:color="auto" w:fill="auto"/>
            <w:noWrap/>
            <w:vAlign w:val="center"/>
            <w:hideMark/>
          </w:tcPr>
          <w:p w14:paraId="2167C3E9"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3 966,7</w:t>
            </w:r>
          </w:p>
        </w:tc>
        <w:tc>
          <w:tcPr>
            <w:tcW w:w="863" w:type="dxa"/>
            <w:shd w:val="clear" w:color="auto" w:fill="auto"/>
            <w:noWrap/>
            <w:vAlign w:val="center"/>
            <w:hideMark/>
          </w:tcPr>
          <w:p w14:paraId="24D374B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4 022,6</w:t>
            </w:r>
          </w:p>
        </w:tc>
      </w:tr>
      <w:tr w:rsidR="00EA3632" w:rsidRPr="007C4CFB" w14:paraId="45A452B5" w14:textId="77777777" w:rsidTr="005F05A2">
        <w:trPr>
          <w:trHeight w:val="20"/>
          <w:jc w:val="center"/>
        </w:trPr>
        <w:tc>
          <w:tcPr>
            <w:tcW w:w="2263" w:type="dxa"/>
            <w:shd w:val="clear" w:color="auto" w:fill="auto"/>
            <w:vAlign w:val="center"/>
            <w:hideMark/>
          </w:tcPr>
          <w:p w14:paraId="331453C3"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Preces un pakalpojumi</w:t>
            </w:r>
          </w:p>
        </w:tc>
        <w:tc>
          <w:tcPr>
            <w:tcW w:w="851" w:type="dxa"/>
            <w:shd w:val="clear" w:color="auto" w:fill="auto"/>
            <w:noWrap/>
            <w:vAlign w:val="center"/>
            <w:hideMark/>
          </w:tcPr>
          <w:p w14:paraId="2DDE2C31"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2 313,2</w:t>
            </w:r>
          </w:p>
        </w:tc>
        <w:tc>
          <w:tcPr>
            <w:tcW w:w="850" w:type="dxa"/>
            <w:shd w:val="clear" w:color="auto" w:fill="auto"/>
            <w:noWrap/>
            <w:vAlign w:val="center"/>
            <w:hideMark/>
          </w:tcPr>
          <w:p w14:paraId="3F523129"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2 054,5</w:t>
            </w:r>
          </w:p>
        </w:tc>
        <w:tc>
          <w:tcPr>
            <w:tcW w:w="851" w:type="dxa"/>
            <w:shd w:val="clear" w:color="auto" w:fill="auto"/>
            <w:noWrap/>
            <w:vAlign w:val="center"/>
            <w:hideMark/>
          </w:tcPr>
          <w:p w14:paraId="4F34D82C"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1 944,3</w:t>
            </w:r>
          </w:p>
        </w:tc>
        <w:tc>
          <w:tcPr>
            <w:tcW w:w="850" w:type="dxa"/>
            <w:shd w:val="clear" w:color="auto" w:fill="auto"/>
            <w:noWrap/>
            <w:vAlign w:val="center"/>
            <w:hideMark/>
          </w:tcPr>
          <w:p w14:paraId="3955E780"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1 994,8</w:t>
            </w:r>
          </w:p>
        </w:tc>
        <w:tc>
          <w:tcPr>
            <w:tcW w:w="851" w:type="dxa"/>
            <w:vAlign w:val="center"/>
          </w:tcPr>
          <w:p w14:paraId="2F9EF95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2 009,2</w:t>
            </w:r>
          </w:p>
        </w:tc>
        <w:tc>
          <w:tcPr>
            <w:tcW w:w="850" w:type="dxa"/>
            <w:shd w:val="clear" w:color="auto" w:fill="auto"/>
            <w:noWrap/>
            <w:vAlign w:val="center"/>
            <w:hideMark/>
          </w:tcPr>
          <w:p w14:paraId="00D017EF"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1 920,5</w:t>
            </w:r>
          </w:p>
        </w:tc>
        <w:tc>
          <w:tcPr>
            <w:tcW w:w="864" w:type="dxa"/>
            <w:shd w:val="clear" w:color="auto" w:fill="auto"/>
            <w:noWrap/>
            <w:vAlign w:val="center"/>
            <w:hideMark/>
          </w:tcPr>
          <w:p w14:paraId="4A32EE6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1 953,9</w:t>
            </w:r>
          </w:p>
        </w:tc>
        <w:tc>
          <w:tcPr>
            <w:tcW w:w="863" w:type="dxa"/>
            <w:shd w:val="clear" w:color="auto" w:fill="auto"/>
            <w:noWrap/>
            <w:vAlign w:val="center"/>
            <w:hideMark/>
          </w:tcPr>
          <w:p w14:paraId="1EF2048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2 038,0</w:t>
            </w:r>
          </w:p>
        </w:tc>
      </w:tr>
      <w:tr w:rsidR="00EA3632" w:rsidRPr="007C4CFB" w14:paraId="39399618" w14:textId="77777777" w:rsidTr="005F05A2">
        <w:trPr>
          <w:trHeight w:val="20"/>
          <w:jc w:val="center"/>
        </w:trPr>
        <w:tc>
          <w:tcPr>
            <w:tcW w:w="2263" w:type="dxa"/>
            <w:shd w:val="clear" w:color="auto" w:fill="auto"/>
            <w:noWrap/>
            <w:vAlign w:val="center"/>
            <w:hideMark/>
          </w:tcPr>
          <w:p w14:paraId="4C05D547"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Procentu izdevumi</w:t>
            </w:r>
          </w:p>
        </w:tc>
        <w:tc>
          <w:tcPr>
            <w:tcW w:w="851" w:type="dxa"/>
            <w:shd w:val="clear" w:color="auto" w:fill="auto"/>
            <w:noWrap/>
            <w:vAlign w:val="center"/>
            <w:hideMark/>
          </w:tcPr>
          <w:p w14:paraId="16D3D15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196,5</w:t>
            </w:r>
          </w:p>
        </w:tc>
        <w:tc>
          <w:tcPr>
            <w:tcW w:w="850" w:type="dxa"/>
            <w:shd w:val="clear" w:color="auto" w:fill="auto"/>
            <w:noWrap/>
            <w:vAlign w:val="center"/>
            <w:hideMark/>
          </w:tcPr>
          <w:p w14:paraId="5713F56A"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233,4</w:t>
            </w:r>
          </w:p>
        </w:tc>
        <w:tc>
          <w:tcPr>
            <w:tcW w:w="851" w:type="dxa"/>
            <w:shd w:val="clear" w:color="auto" w:fill="auto"/>
            <w:noWrap/>
            <w:vAlign w:val="center"/>
            <w:hideMark/>
          </w:tcPr>
          <w:p w14:paraId="33BABD6C"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382,0</w:t>
            </w:r>
          </w:p>
        </w:tc>
        <w:tc>
          <w:tcPr>
            <w:tcW w:w="850" w:type="dxa"/>
            <w:shd w:val="clear" w:color="auto" w:fill="auto"/>
            <w:noWrap/>
            <w:vAlign w:val="center"/>
            <w:hideMark/>
          </w:tcPr>
          <w:p w14:paraId="1E01B0E0"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469,0</w:t>
            </w:r>
          </w:p>
        </w:tc>
        <w:tc>
          <w:tcPr>
            <w:tcW w:w="851" w:type="dxa"/>
            <w:vAlign w:val="center"/>
          </w:tcPr>
          <w:p w14:paraId="41EB56A5"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508,5</w:t>
            </w:r>
          </w:p>
        </w:tc>
        <w:tc>
          <w:tcPr>
            <w:tcW w:w="850" w:type="dxa"/>
            <w:shd w:val="clear" w:color="auto" w:fill="auto"/>
            <w:noWrap/>
            <w:vAlign w:val="center"/>
            <w:hideMark/>
          </w:tcPr>
          <w:p w14:paraId="7C67C68A"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381,0</w:t>
            </w:r>
          </w:p>
        </w:tc>
        <w:tc>
          <w:tcPr>
            <w:tcW w:w="864" w:type="dxa"/>
            <w:shd w:val="clear" w:color="auto" w:fill="auto"/>
            <w:noWrap/>
            <w:vAlign w:val="center"/>
            <w:hideMark/>
          </w:tcPr>
          <w:p w14:paraId="34388ABA"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467,7</w:t>
            </w:r>
          </w:p>
        </w:tc>
        <w:tc>
          <w:tcPr>
            <w:tcW w:w="863" w:type="dxa"/>
            <w:shd w:val="clear" w:color="auto" w:fill="auto"/>
            <w:noWrap/>
            <w:vAlign w:val="center"/>
            <w:hideMark/>
          </w:tcPr>
          <w:p w14:paraId="782EDF4D"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508,5</w:t>
            </w:r>
          </w:p>
        </w:tc>
      </w:tr>
      <w:tr w:rsidR="00EA3632" w:rsidRPr="007C4CFB" w14:paraId="0AAD4770" w14:textId="77777777" w:rsidTr="005F05A2">
        <w:trPr>
          <w:trHeight w:val="20"/>
          <w:jc w:val="center"/>
        </w:trPr>
        <w:tc>
          <w:tcPr>
            <w:tcW w:w="2263" w:type="dxa"/>
            <w:shd w:val="clear" w:color="auto" w:fill="auto"/>
            <w:vAlign w:val="center"/>
            <w:hideMark/>
          </w:tcPr>
          <w:p w14:paraId="713FD9C7"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Subsīdijas un dotācijas</w:t>
            </w:r>
          </w:p>
        </w:tc>
        <w:tc>
          <w:tcPr>
            <w:tcW w:w="851" w:type="dxa"/>
            <w:shd w:val="clear" w:color="auto" w:fill="auto"/>
            <w:noWrap/>
            <w:vAlign w:val="center"/>
            <w:hideMark/>
          </w:tcPr>
          <w:p w14:paraId="399296F0"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3 840,9</w:t>
            </w:r>
          </w:p>
        </w:tc>
        <w:tc>
          <w:tcPr>
            <w:tcW w:w="850" w:type="dxa"/>
            <w:shd w:val="clear" w:color="auto" w:fill="auto"/>
            <w:noWrap/>
            <w:vAlign w:val="center"/>
            <w:hideMark/>
          </w:tcPr>
          <w:p w14:paraId="47B5418A"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4 225,8</w:t>
            </w:r>
          </w:p>
        </w:tc>
        <w:tc>
          <w:tcPr>
            <w:tcW w:w="851" w:type="dxa"/>
            <w:shd w:val="clear" w:color="auto" w:fill="auto"/>
            <w:noWrap/>
            <w:vAlign w:val="center"/>
            <w:hideMark/>
          </w:tcPr>
          <w:p w14:paraId="0FA0287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4 748,3</w:t>
            </w:r>
          </w:p>
        </w:tc>
        <w:tc>
          <w:tcPr>
            <w:tcW w:w="850" w:type="dxa"/>
            <w:shd w:val="clear" w:color="auto" w:fill="auto"/>
            <w:noWrap/>
            <w:vAlign w:val="center"/>
            <w:hideMark/>
          </w:tcPr>
          <w:p w14:paraId="0E3E500E"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4 685,0</w:t>
            </w:r>
          </w:p>
        </w:tc>
        <w:tc>
          <w:tcPr>
            <w:tcW w:w="851" w:type="dxa"/>
            <w:vAlign w:val="center"/>
          </w:tcPr>
          <w:p w14:paraId="0791DA3E"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3 874,8</w:t>
            </w:r>
          </w:p>
        </w:tc>
        <w:tc>
          <w:tcPr>
            <w:tcW w:w="850" w:type="dxa"/>
            <w:shd w:val="clear" w:color="auto" w:fill="auto"/>
            <w:noWrap/>
            <w:vAlign w:val="center"/>
            <w:hideMark/>
          </w:tcPr>
          <w:p w14:paraId="016E35FF"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5 426,3</w:t>
            </w:r>
          </w:p>
        </w:tc>
        <w:tc>
          <w:tcPr>
            <w:tcW w:w="864" w:type="dxa"/>
            <w:shd w:val="clear" w:color="auto" w:fill="auto"/>
            <w:noWrap/>
            <w:vAlign w:val="center"/>
            <w:hideMark/>
          </w:tcPr>
          <w:p w14:paraId="7C1A3753"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5 193,3</w:t>
            </w:r>
          </w:p>
        </w:tc>
        <w:tc>
          <w:tcPr>
            <w:tcW w:w="863" w:type="dxa"/>
            <w:shd w:val="clear" w:color="auto" w:fill="auto"/>
            <w:noWrap/>
            <w:vAlign w:val="center"/>
            <w:hideMark/>
          </w:tcPr>
          <w:p w14:paraId="14C95422"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4 416,3</w:t>
            </w:r>
          </w:p>
        </w:tc>
      </w:tr>
      <w:tr w:rsidR="00EA3632" w:rsidRPr="007C4CFB" w14:paraId="1C76530C" w14:textId="77777777" w:rsidTr="005F05A2">
        <w:trPr>
          <w:trHeight w:val="20"/>
          <w:jc w:val="center"/>
        </w:trPr>
        <w:tc>
          <w:tcPr>
            <w:tcW w:w="2263" w:type="dxa"/>
            <w:shd w:val="clear" w:color="auto" w:fill="auto"/>
            <w:noWrap/>
            <w:vAlign w:val="center"/>
            <w:hideMark/>
          </w:tcPr>
          <w:p w14:paraId="349A582C"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Sociālie pabalsti</w:t>
            </w:r>
          </w:p>
        </w:tc>
        <w:tc>
          <w:tcPr>
            <w:tcW w:w="851" w:type="dxa"/>
            <w:shd w:val="clear" w:color="auto" w:fill="auto"/>
            <w:noWrap/>
            <w:vAlign w:val="center"/>
            <w:hideMark/>
          </w:tcPr>
          <w:p w14:paraId="20356A93"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4 523,6</w:t>
            </w:r>
          </w:p>
        </w:tc>
        <w:tc>
          <w:tcPr>
            <w:tcW w:w="850" w:type="dxa"/>
            <w:shd w:val="clear" w:color="auto" w:fill="auto"/>
            <w:noWrap/>
            <w:vAlign w:val="center"/>
            <w:hideMark/>
          </w:tcPr>
          <w:p w14:paraId="3C465408"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4 829,1</w:t>
            </w:r>
          </w:p>
        </w:tc>
        <w:tc>
          <w:tcPr>
            <w:tcW w:w="851" w:type="dxa"/>
            <w:shd w:val="clear" w:color="auto" w:fill="auto"/>
            <w:noWrap/>
            <w:vAlign w:val="center"/>
            <w:hideMark/>
          </w:tcPr>
          <w:p w14:paraId="71128D72"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5 164,0</w:t>
            </w:r>
          </w:p>
        </w:tc>
        <w:tc>
          <w:tcPr>
            <w:tcW w:w="850" w:type="dxa"/>
            <w:shd w:val="clear" w:color="auto" w:fill="auto"/>
            <w:noWrap/>
            <w:vAlign w:val="center"/>
            <w:hideMark/>
          </w:tcPr>
          <w:p w14:paraId="6FC946B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5 500,8</w:t>
            </w:r>
          </w:p>
        </w:tc>
        <w:tc>
          <w:tcPr>
            <w:tcW w:w="851" w:type="dxa"/>
            <w:vAlign w:val="center"/>
          </w:tcPr>
          <w:p w14:paraId="17AC02CD"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5 896,8</w:t>
            </w:r>
          </w:p>
        </w:tc>
        <w:tc>
          <w:tcPr>
            <w:tcW w:w="850" w:type="dxa"/>
            <w:shd w:val="clear" w:color="auto" w:fill="auto"/>
            <w:noWrap/>
            <w:vAlign w:val="center"/>
            <w:hideMark/>
          </w:tcPr>
          <w:p w14:paraId="3CF43E3A"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5 174,1</w:t>
            </w:r>
          </w:p>
        </w:tc>
        <w:tc>
          <w:tcPr>
            <w:tcW w:w="864" w:type="dxa"/>
            <w:shd w:val="clear" w:color="auto" w:fill="auto"/>
            <w:noWrap/>
            <w:vAlign w:val="center"/>
            <w:hideMark/>
          </w:tcPr>
          <w:p w14:paraId="0104030D"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5 525,1</w:t>
            </w:r>
          </w:p>
        </w:tc>
        <w:tc>
          <w:tcPr>
            <w:tcW w:w="863" w:type="dxa"/>
            <w:shd w:val="clear" w:color="auto" w:fill="auto"/>
            <w:noWrap/>
            <w:vAlign w:val="center"/>
            <w:hideMark/>
          </w:tcPr>
          <w:p w14:paraId="11F5C43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5 941,2</w:t>
            </w:r>
          </w:p>
        </w:tc>
      </w:tr>
      <w:tr w:rsidR="00EA3632" w:rsidRPr="007C4CFB" w14:paraId="7CF4949F" w14:textId="77777777" w:rsidTr="005F05A2">
        <w:trPr>
          <w:trHeight w:val="20"/>
          <w:jc w:val="center"/>
        </w:trPr>
        <w:tc>
          <w:tcPr>
            <w:tcW w:w="2263" w:type="dxa"/>
            <w:shd w:val="clear" w:color="auto" w:fill="auto"/>
            <w:noWrap/>
            <w:vAlign w:val="center"/>
          </w:tcPr>
          <w:p w14:paraId="025CAE25"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Iemaksas ES budžetā</w:t>
            </w:r>
          </w:p>
        </w:tc>
        <w:tc>
          <w:tcPr>
            <w:tcW w:w="851" w:type="dxa"/>
            <w:shd w:val="clear" w:color="auto" w:fill="auto"/>
            <w:noWrap/>
            <w:vAlign w:val="center"/>
          </w:tcPr>
          <w:p w14:paraId="389174CE" w14:textId="77777777" w:rsidR="00EA3632" w:rsidRPr="0051558C" w:rsidRDefault="00EA3632" w:rsidP="005F05A2">
            <w:pPr>
              <w:spacing w:after="0"/>
              <w:ind w:firstLine="0"/>
              <w:contextualSpacing/>
              <w:jc w:val="right"/>
              <w:rPr>
                <w:rFonts w:eastAsia="Times New Roman" w:cs="Times New Roman"/>
                <w:color w:val="FF0000"/>
                <w:sz w:val="18"/>
                <w:szCs w:val="18"/>
                <w:lang w:eastAsia="en-US"/>
              </w:rPr>
            </w:pPr>
            <w:r w:rsidRPr="0051558C">
              <w:rPr>
                <w:rFonts w:cs="Times New Roman"/>
                <w:sz w:val="18"/>
                <w:szCs w:val="18"/>
              </w:rPr>
              <w:t>391,9</w:t>
            </w:r>
          </w:p>
        </w:tc>
        <w:tc>
          <w:tcPr>
            <w:tcW w:w="850" w:type="dxa"/>
            <w:shd w:val="clear" w:color="auto" w:fill="auto"/>
            <w:noWrap/>
            <w:vAlign w:val="center"/>
          </w:tcPr>
          <w:p w14:paraId="3F3ADD3D" w14:textId="77777777" w:rsidR="00EA3632" w:rsidRPr="0051558C" w:rsidRDefault="00EA3632" w:rsidP="005F05A2">
            <w:pPr>
              <w:spacing w:after="0"/>
              <w:ind w:firstLine="0"/>
              <w:contextualSpacing/>
              <w:jc w:val="right"/>
              <w:rPr>
                <w:rFonts w:eastAsia="Times New Roman" w:cs="Times New Roman"/>
                <w:color w:val="FF0000"/>
                <w:sz w:val="18"/>
                <w:szCs w:val="18"/>
                <w:lang w:eastAsia="en-US"/>
              </w:rPr>
            </w:pPr>
            <w:r w:rsidRPr="0051558C">
              <w:rPr>
                <w:rFonts w:cs="Times New Roman"/>
                <w:sz w:val="18"/>
                <w:szCs w:val="18"/>
              </w:rPr>
              <w:t>407,8</w:t>
            </w:r>
          </w:p>
        </w:tc>
        <w:tc>
          <w:tcPr>
            <w:tcW w:w="851" w:type="dxa"/>
            <w:shd w:val="clear" w:color="auto" w:fill="auto"/>
            <w:noWrap/>
            <w:vAlign w:val="center"/>
          </w:tcPr>
          <w:p w14:paraId="50465084" w14:textId="77777777" w:rsidR="00EA3632" w:rsidRPr="0051558C" w:rsidRDefault="00EA3632" w:rsidP="005F05A2">
            <w:pPr>
              <w:spacing w:after="0"/>
              <w:ind w:firstLine="0"/>
              <w:contextualSpacing/>
              <w:jc w:val="right"/>
              <w:rPr>
                <w:rFonts w:eastAsia="Times New Roman" w:cs="Times New Roman"/>
                <w:color w:val="FF0000"/>
                <w:sz w:val="18"/>
                <w:szCs w:val="18"/>
                <w:lang w:eastAsia="en-US"/>
              </w:rPr>
            </w:pPr>
            <w:r w:rsidRPr="0051558C">
              <w:rPr>
                <w:rFonts w:cs="Times New Roman"/>
                <w:sz w:val="18"/>
                <w:szCs w:val="18"/>
              </w:rPr>
              <w:t>424,0</w:t>
            </w:r>
          </w:p>
        </w:tc>
        <w:tc>
          <w:tcPr>
            <w:tcW w:w="850" w:type="dxa"/>
            <w:shd w:val="clear" w:color="auto" w:fill="auto"/>
            <w:noWrap/>
            <w:vAlign w:val="center"/>
          </w:tcPr>
          <w:p w14:paraId="348BAC40" w14:textId="77777777" w:rsidR="00EA3632" w:rsidRPr="0051558C" w:rsidRDefault="00EA3632" w:rsidP="005F05A2">
            <w:pPr>
              <w:spacing w:after="0"/>
              <w:ind w:firstLine="0"/>
              <w:contextualSpacing/>
              <w:jc w:val="right"/>
              <w:rPr>
                <w:rFonts w:eastAsia="Times New Roman" w:cs="Times New Roman"/>
                <w:color w:val="FF0000"/>
                <w:sz w:val="18"/>
                <w:szCs w:val="18"/>
                <w:lang w:eastAsia="en-US"/>
              </w:rPr>
            </w:pPr>
            <w:r w:rsidRPr="0051558C">
              <w:rPr>
                <w:rFonts w:cs="Times New Roman"/>
                <w:sz w:val="18"/>
                <w:szCs w:val="18"/>
              </w:rPr>
              <w:t>434,5</w:t>
            </w:r>
          </w:p>
        </w:tc>
        <w:tc>
          <w:tcPr>
            <w:tcW w:w="851" w:type="dxa"/>
            <w:vAlign w:val="center"/>
          </w:tcPr>
          <w:p w14:paraId="6D5BD3FC" w14:textId="77777777" w:rsidR="00EA3632" w:rsidRPr="0051558C" w:rsidRDefault="00EA3632" w:rsidP="005F05A2">
            <w:pPr>
              <w:spacing w:after="0"/>
              <w:ind w:firstLine="0"/>
              <w:contextualSpacing/>
              <w:jc w:val="right"/>
              <w:rPr>
                <w:rFonts w:eastAsia="Times New Roman" w:cs="Times New Roman"/>
                <w:color w:val="FF0000"/>
                <w:sz w:val="18"/>
                <w:szCs w:val="18"/>
                <w:lang w:eastAsia="en-US"/>
              </w:rPr>
            </w:pPr>
            <w:r w:rsidRPr="0051558C">
              <w:rPr>
                <w:rFonts w:cs="Times New Roman"/>
                <w:sz w:val="18"/>
                <w:szCs w:val="18"/>
              </w:rPr>
              <w:t>476,2</w:t>
            </w:r>
          </w:p>
        </w:tc>
        <w:tc>
          <w:tcPr>
            <w:tcW w:w="850" w:type="dxa"/>
            <w:shd w:val="clear" w:color="auto" w:fill="auto"/>
            <w:noWrap/>
            <w:vAlign w:val="center"/>
          </w:tcPr>
          <w:p w14:paraId="76E06859" w14:textId="77777777" w:rsidR="00EA3632" w:rsidRPr="00074852" w:rsidRDefault="00EA3632" w:rsidP="005F05A2">
            <w:pPr>
              <w:spacing w:after="0"/>
              <w:ind w:firstLine="0"/>
              <w:contextualSpacing/>
              <w:jc w:val="right"/>
              <w:rPr>
                <w:rFonts w:eastAsia="Times New Roman" w:cs="Times New Roman"/>
                <w:color w:val="FF0000"/>
                <w:sz w:val="18"/>
                <w:szCs w:val="18"/>
                <w:lang w:eastAsia="en-US"/>
              </w:rPr>
            </w:pPr>
            <w:r w:rsidRPr="00074852">
              <w:rPr>
                <w:rFonts w:cs="Times New Roman"/>
                <w:sz w:val="18"/>
                <w:szCs w:val="18"/>
              </w:rPr>
              <w:t>424,0</w:t>
            </w:r>
          </w:p>
        </w:tc>
        <w:tc>
          <w:tcPr>
            <w:tcW w:w="864" w:type="dxa"/>
            <w:shd w:val="clear" w:color="auto" w:fill="auto"/>
            <w:noWrap/>
            <w:vAlign w:val="center"/>
          </w:tcPr>
          <w:p w14:paraId="1A101DA3" w14:textId="77777777" w:rsidR="00EA3632" w:rsidRPr="0051558C" w:rsidRDefault="00EA3632" w:rsidP="005F05A2">
            <w:pPr>
              <w:spacing w:after="0"/>
              <w:ind w:firstLine="0"/>
              <w:contextualSpacing/>
              <w:jc w:val="right"/>
              <w:rPr>
                <w:rFonts w:eastAsia="Times New Roman" w:cs="Times New Roman"/>
                <w:color w:val="FF0000"/>
                <w:sz w:val="18"/>
                <w:szCs w:val="18"/>
                <w:lang w:eastAsia="en-US"/>
              </w:rPr>
            </w:pPr>
            <w:r w:rsidRPr="0051558C">
              <w:rPr>
                <w:rFonts w:cs="Times New Roman"/>
                <w:sz w:val="18"/>
                <w:szCs w:val="18"/>
              </w:rPr>
              <w:t>434,5</w:t>
            </w:r>
          </w:p>
        </w:tc>
        <w:tc>
          <w:tcPr>
            <w:tcW w:w="863" w:type="dxa"/>
            <w:shd w:val="clear" w:color="auto" w:fill="auto"/>
            <w:noWrap/>
            <w:vAlign w:val="center"/>
          </w:tcPr>
          <w:p w14:paraId="774DC111" w14:textId="77777777" w:rsidR="00EA3632" w:rsidRPr="0051558C" w:rsidRDefault="00EA3632" w:rsidP="005F05A2">
            <w:pPr>
              <w:spacing w:after="0"/>
              <w:ind w:firstLine="0"/>
              <w:contextualSpacing/>
              <w:jc w:val="right"/>
              <w:rPr>
                <w:rFonts w:eastAsia="Times New Roman" w:cs="Times New Roman"/>
                <w:color w:val="FF0000"/>
                <w:sz w:val="18"/>
                <w:szCs w:val="18"/>
                <w:lang w:eastAsia="en-US"/>
              </w:rPr>
            </w:pPr>
            <w:r w:rsidRPr="0051558C">
              <w:rPr>
                <w:rFonts w:cs="Times New Roman"/>
                <w:sz w:val="18"/>
                <w:szCs w:val="18"/>
              </w:rPr>
              <w:t>476,2</w:t>
            </w:r>
          </w:p>
        </w:tc>
      </w:tr>
      <w:tr w:rsidR="00EA3632" w:rsidRPr="007C4CFB" w14:paraId="37E106AB" w14:textId="77777777" w:rsidTr="005F05A2">
        <w:trPr>
          <w:trHeight w:val="20"/>
          <w:jc w:val="center"/>
        </w:trPr>
        <w:tc>
          <w:tcPr>
            <w:tcW w:w="2263" w:type="dxa"/>
            <w:shd w:val="clear" w:color="auto" w:fill="auto"/>
            <w:noWrap/>
            <w:vAlign w:val="center"/>
            <w:hideMark/>
          </w:tcPr>
          <w:p w14:paraId="4DF683E2"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lastRenderedPageBreak/>
              <w:t>Kapitālie izdevumi</w:t>
            </w:r>
          </w:p>
        </w:tc>
        <w:tc>
          <w:tcPr>
            <w:tcW w:w="851" w:type="dxa"/>
            <w:shd w:val="clear" w:color="auto" w:fill="auto"/>
            <w:noWrap/>
            <w:vAlign w:val="center"/>
            <w:hideMark/>
          </w:tcPr>
          <w:p w14:paraId="052E5324"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1 280,4</w:t>
            </w:r>
          </w:p>
        </w:tc>
        <w:tc>
          <w:tcPr>
            <w:tcW w:w="850" w:type="dxa"/>
            <w:shd w:val="clear" w:color="auto" w:fill="auto"/>
            <w:noWrap/>
            <w:vAlign w:val="center"/>
            <w:hideMark/>
          </w:tcPr>
          <w:p w14:paraId="5D383DFB"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1 485,0</w:t>
            </w:r>
          </w:p>
        </w:tc>
        <w:tc>
          <w:tcPr>
            <w:tcW w:w="851" w:type="dxa"/>
            <w:shd w:val="clear" w:color="auto" w:fill="auto"/>
            <w:noWrap/>
            <w:vAlign w:val="center"/>
            <w:hideMark/>
          </w:tcPr>
          <w:p w14:paraId="51AE9EF9"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1 545,1</w:t>
            </w:r>
          </w:p>
        </w:tc>
        <w:tc>
          <w:tcPr>
            <w:tcW w:w="850" w:type="dxa"/>
            <w:shd w:val="clear" w:color="auto" w:fill="auto"/>
            <w:noWrap/>
            <w:vAlign w:val="center"/>
            <w:hideMark/>
          </w:tcPr>
          <w:p w14:paraId="331599AA"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1 458,8</w:t>
            </w:r>
          </w:p>
        </w:tc>
        <w:tc>
          <w:tcPr>
            <w:tcW w:w="851" w:type="dxa"/>
            <w:vAlign w:val="center"/>
          </w:tcPr>
          <w:p w14:paraId="5EB4D51D"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1 596,8</w:t>
            </w:r>
          </w:p>
        </w:tc>
        <w:tc>
          <w:tcPr>
            <w:tcW w:w="850" w:type="dxa"/>
            <w:shd w:val="clear" w:color="auto" w:fill="auto"/>
            <w:noWrap/>
            <w:vAlign w:val="center"/>
            <w:hideMark/>
          </w:tcPr>
          <w:p w14:paraId="5A60A8E1" w14:textId="77777777" w:rsidR="00EA3632" w:rsidRPr="00074852" w:rsidRDefault="00EA3632" w:rsidP="005F05A2">
            <w:pPr>
              <w:spacing w:after="0"/>
              <w:ind w:firstLine="0"/>
              <w:contextualSpacing/>
              <w:jc w:val="right"/>
              <w:rPr>
                <w:rFonts w:eastAsia="Times New Roman" w:cs="Times New Roman"/>
                <w:color w:val="FF0000"/>
                <w:sz w:val="18"/>
                <w:szCs w:val="18"/>
              </w:rPr>
            </w:pPr>
            <w:r w:rsidRPr="00074852">
              <w:rPr>
                <w:rFonts w:cs="Times New Roman"/>
                <w:sz w:val="18"/>
                <w:szCs w:val="18"/>
              </w:rPr>
              <w:t>1 573,9</w:t>
            </w:r>
          </w:p>
        </w:tc>
        <w:tc>
          <w:tcPr>
            <w:tcW w:w="864" w:type="dxa"/>
            <w:shd w:val="clear" w:color="auto" w:fill="auto"/>
            <w:noWrap/>
            <w:vAlign w:val="center"/>
            <w:hideMark/>
          </w:tcPr>
          <w:p w14:paraId="493B966E"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1 497,6</w:t>
            </w:r>
          </w:p>
        </w:tc>
        <w:tc>
          <w:tcPr>
            <w:tcW w:w="863" w:type="dxa"/>
            <w:shd w:val="clear" w:color="auto" w:fill="auto"/>
            <w:noWrap/>
            <w:vAlign w:val="center"/>
            <w:hideMark/>
          </w:tcPr>
          <w:p w14:paraId="0E06D9D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1 663,9</w:t>
            </w:r>
          </w:p>
        </w:tc>
      </w:tr>
      <w:tr w:rsidR="00EA3632" w:rsidRPr="005E539C" w14:paraId="72E421E1" w14:textId="77777777" w:rsidTr="005F05A2">
        <w:trPr>
          <w:trHeight w:val="20"/>
          <w:jc w:val="center"/>
        </w:trPr>
        <w:tc>
          <w:tcPr>
            <w:tcW w:w="2263" w:type="dxa"/>
            <w:shd w:val="clear" w:color="auto" w:fill="auto"/>
            <w:noWrap/>
            <w:vAlign w:val="center"/>
            <w:hideMark/>
          </w:tcPr>
          <w:p w14:paraId="4EC9B2F9" w14:textId="77777777" w:rsidR="00EA3632" w:rsidRPr="00F061D0" w:rsidRDefault="00EA3632" w:rsidP="005F05A2">
            <w:pPr>
              <w:spacing w:after="0"/>
              <w:ind w:firstLineChars="200" w:firstLine="360"/>
              <w:contextualSpacing/>
              <w:jc w:val="left"/>
              <w:rPr>
                <w:rFonts w:eastAsia="Times New Roman" w:cs="Times New Roman"/>
                <w:color w:val="000000"/>
                <w:sz w:val="18"/>
                <w:szCs w:val="18"/>
              </w:rPr>
            </w:pPr>
            <w:r w:rsidRPr="00F061D0">
              <w:rPr>
                <w:rFonts w:eastAsia="Times New Roman" w:cs="Times New Roman"/>
                <w:color w:val="000000"/>
                <w:sz w:val="18"/>
                <w:szCs w:val="18"/>
              </w:rPr>
              <w:t>Pārējie izdevumi</w:t>
            </w:r>
          </w:p>
        </w:tc>
        <w:tc>
          <w:tcPr>
            <w:tcW w:w="851" w:type="dxa"/>
            <w:shd w:val="clear" w:color="auto" w:fill="auto"/>
            <w:noWrap/>
            <w:vAlign w:val="center"/>
            <w:hideMark/>
          </w:tcPr>
          <w:p w14:paraId="2AE3E708"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57,8</w:t>
            </w:r>
          </w:p>
        </w:tc>
        <w:tc>
          <w:tcPr>
            <w:tcW w:w="850" w:type="dxa"/>
            <w:shd w:val="clear" w:color="auto" w:fill="auto"/>
            <w:noWrap/>
            <w:vAlign w:val="center"/>
            <w:hideMark/>
          </w:tcPr>
          <w:p w14:paraId="0422D8F4"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90,1</w:t>
            </w:r>
          </w:p>
        </w:tc>
        <w:tc>
          <w:tcPr>
            <w:tcW w:w="851" w:type="dxa"/>
            <w:shd w:val="clear" w:color="auto" w:fill="auto"/>
            <w:noWrap/>
            <w:vAlign w:val="center"/>
            <w:hideMark/>
          </w:tcPr>
          <w:p w14:paraId="47E9C13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50,7</w:t>
            </w:r>
          </w:p>
        </w:tc>
        <w:tc>
          <w:tcPr>
            <w:tcW w:w="850" w:type="dxa"/>
            <w:shd w:val="clear" w:color="auto" w:fill="auto"/>
            <w:noWrap/>
            <w:vAlign w:val="center"/>
            <w:hideMark/>
          </w:tcPr>
          <w:p w14:paraId="6DA613C6"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49,4</w:t>
            </w:r>
          </w:p>
        </w:tc>
        <w:tc>
          <w:tcPr>
            <w:tcW w:w="851" w:type="dxa"/>
            <w:vAlign w:val="center"/>
          </w:tcPr>
          <w:p w14:paraId="175186F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49,3</w:t>
            </w:r>
          </w:p>
        </w:tc>
        <w:tc>
          <w:tcPr>
            <w:tcW w:w="850" w:type="dxa"/>
            <w:shd w:val="clear" w:color="auto" w:fill="auto"/>
            <w:noWrap/>
            <w:vAlign w:val="center"/>
            <w:hideMark/>
          </w:tcPr>
          <w:p w14:paraId="2DB4A60D"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51,3</w:t>
            </w:r>
          </w:p>
        </w:tc>
        <w:tc>
          <w:tcPr>
            <w:tcW w:w="864" w:type="dxa"/>
            <w:shd w:val="clear" w:color="auto" w:fill="auto"/>
            <w:noWrap/>
            <w:vAlign w:val="center"/>
            <w:hideMark/>
          </w:tcPr>
          <w:p w14:paraId="06530A28"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50,6</w:t>
            </w:r>
          </w:p>
        </w:tc>
        <w:tc>
          <w:tcPr>
            <w:tcW w:w="863" w:type="dxa"/>
            <w:shd w:val="clear" w:color="auto" w:fill="auto"/>
            <w:noWrap/>
            <w:vAlign w:val="center"/>
            <w:hideMark/>
          </w:tcPr>
          <w:p w14:paraId="3AB9544F" w14:textId="77777777" w:rsidR="00EA3632" w:rsidRPr="0051558C" w:rsidRDefault="00EA3632" w:rsidP="005F05A2">
            <w:pPr>
              <w:spacing w:after="0"/>
              <w:ind w:firstLine="0"/>
              <w:contextualSpacing/>
              <w:jc w:val="right"/>
              <w:rPr>
                <w:rFonts w:eastAsia="Times New Roman" w:cs="Times New Roman"/>
                <w:color w:val="FF0000"/>
                <w:sz w:val="18"/>
                <w:szCs w:val="18"/>
              </w:rPr>
            </w:pPr>
            <w:r w:rsidRPr="0051558C">
              <w:rPr>
                <w:rFonts w:cs="Times New Roman"/>
                <w:sz w:val="18"/>
                <w:szCs w:val="18"/>
              </w:rPr>
              <w:t>51,3</w:t>
            </w:r>
          </w:p>
        </w:tc>
      </w:tr>
    </w:tbl>
    <w:p w14:paraId="78FCFD3B" w14:textId="77777777" w:rsidR="00117F48" w:rsidRPr="0027570C" w:rsidRDefault="00117F48" w:rsidP="0048510B">
      <w:pPr>
        <w:spacing w:after="0"/>
        <w:ind w:firstLine="0"/>
        <w:rPr>
          <w:rFonts w:eastAsia="Times New Roman" w:cs="Times New Roman"/>
          <w:b/>
          <w:sz w:val="28"/>
          <w:szCs w:val="32"/>
          <w:lang w:eastAsia="en-US"/>
        </w:rPr>
      </w:pPr>
    </w:p>
    <w:p w14:paraId="5852A30C" w14:textId="18D3309F" w:rsidR="005E539C" w:rsidRPr="0027570C" w:rsidRDefault="005E539C" w:rsidP="006F1373">
      <w:pPr>
        <w:pStyle w:val="H5"/>
      </w:pPr>
      <w:r w:rsidRPr="0027570C">
        <w:t>Valsts pamatbudžets</w:t>
      </w:r>
    </w:p>
    <w:p w14:paraId="404F8CB1" w14:textId="77777777" w:rsidR="0027570C" w:rsidRDefault="0027570C" w:rsidP="0027570C">
      <w:pPr>
        <w:rPr>
          <w:rFonts w:eastAsia="Times New Roman" w:cs="Times New Roman"/>
          <w:szCs w:val="24"/>
        </w:rPr>
      </w:pPr>
      <w:r w:rsidRPr="00C43A3E">
        <w:rPr>
          <w:rFonts w:eastAsia="Times New Roman" w:cs="Times New Roman"/>
          <w:bCs/>
          <w:szCs w:val="24"/>
          <w:lang w:eastAsia="en-US"/>
        </w:rPr>
        <w:t xml:space="preserve">Valsts pamatbudžetā </w:t>
      </w:r>
      <w:r w:rsidRPr="00C43A3E">
        <w:rPr>
          <w:rFonts w:eastAsia="Times New Roman" w:cs="Times New Roman"/>
          <w:szCs w:val="24"/>
          <w:lang w:eastAsia="en-US"/>
        </w:rPr>
        <w:t>2023. gadā joprojām augstāku izdevumu līmeni noteica valdības apstiprinātie atbalsta pasākumi krīžu mazināšanai. Lai gan jau ar 2024. gadu specifisku atbalsta pasākumu finansējums būs ievērojami mazāks, tomēr izdevumu līmenis valsts pamatbudžetā 2024. gadā un vidējā termiņā joprojām saglabāsies augsts, tādējādi valsts pamatbudžetā būs ļoti augsts deficīta līmenis.</w:t>
      </w:r>
    </w:p>
    <w:p w14:paraId="46D53552" w14:textId="77777777" w:rsidR="0027570C" w:rsidRDefault="0027570C" w:rsidP="0027570C">
      <w:pPr>
        <w:rPr>
          <w:rFonts w:eastAsia="Times New Roman" w:cs="Times New Roman"/>
          <w:szCs w:val="24"/>
        </w:rPr>
      </w:pPr>
      <w:r>
        <w:rPr>
          <w:rFonts w:eastAsia="Times New Roman" w:cs="Times New Roman"/>
          <w:noProof/>
          <w:szCs w:val="24"/>
        </w:rPr>
        <w:t xml:space="preserve">Plaša energoatbalsta sniegšana 2024. gada budžetā netiek paredzēta, un valdība atvēlējusi 50 milj. </w:t>
      </w:r>
      <w:r w:rsidRPr="00064683">
        <w:rPr>
          <w:rFonts w:eastAsia="Times New Roman" w:cs="Times New Roman"/>
          <w:i/>
          <w:iCs/>
          <w:noProof/>
          <w:szCs w:val="24"/>
        </w:rPr>
        <w:t>euro</w:t>
      </w:r>
      <w:r>
        <w:rPr>
          <w:rFonts w:eastAsia="Times New Roman" w:cs="Times New Roman"/>
          <w:noProof/>
          <w:szCs w:val="24"/>
        </w:rPr>
        <w:t xml:space="preserve">, lai mazinātu ietekmi no </w:t>
      </w:r>
      <w:r w:rsidRPr="00064683">
        <w:rPr>
          <w:rFonts w:eastAsia="Times New Roman" w:cs="Times New Roman"/>
          <w:noProof/>
          <w:szCs w:val="24"/>
        </w:rPr>
        <w:t>elektroenerģijas tarifu pieauguma</w:t>
      </w:r>
      <w:r>
        <w:rPr>
          <w:rFonts w:eastAsia="Times New Roman" w:cs="Times New Roman"/>
          <w:noProof/>
          <w:szCs w:val="24"/>
        </w:rPr>
        <w:t xml:space="preserve">, bet 70 milj. </w:t>
      </w:r>
      <w:r w:rsidRPr="00064683">
        <w:rPr>
          <w:rFonts w:eastAsia="Times New Roman" w:cs="Times New Roman"/>
          <w:i/>
          <w:iCs/>
          <w:noProof/>
          <w:szCs w:val="24"/>
        </w:rPr>
        <w:t>euro</w:t>
      </w:r>
      <w:r>
        <w:rPr>
          <w:rFonts w:eastAsia="Times New Roman" w:cs="Times New Roman"/>
          <w:noProof/>
          <w:szCs w:val="24"/>
        </w:rPr>
        <w:t xml:space="preserve"> paredzēti Ukrainas civiliedzīvotāju atbalstam, un šis finansējums saglabāsies tuvu iepriekšējos gados veikto</w:t>
      </w:r>
      <w:r>
        <w:rPr>
          <w:rFonts w:eastAsia="Times New Roman" w:cs="Times New Roman"/>
          <w:szCs w:val="24"/>
        </w:rPr>
        <w:t xml:space="preserve"> izdevumu līmenim. Joprojām vidējā termiņā valsts budžetā tiek plānots finansējums Covid-19 vakcīnu iegādei, tomēr tā apmērs jau ir būtiski zemāks kā iepriekšējos gados.</w:t>
      </w:r>
    </w:p>
    <w:p w14:paraId="7C6B6E84" w14:textId="77777777" w:rsidR="0027570C" w:rsidRPr="00C43A3E" w:rsidRDefault="0027570C" w:rsidP="0027570C">
      <w:pPr>
        <w:rPr>
          <w:rFonts w:eastAsia="Times New Roman" w:cs="Times New Roman"/>
          <w:szCs w:val="24"/>
          <w:lang w:eastAsia="en-US"/>
        </w:rPr>
      </w:pPr>
      <w:r>
        <w:rPr>
          <w:rFonts w:eastAsia="Times New Roman" w:cs="Times New Roman"/>
          <w:szCs w:val="24"/>
        </w:rPr>
        <w:t>Galvenajām prioritātēm iekšējai un ārējai drošībai, veselības nozarei finansējums nesadalītā veidā rezervēts 74.resora “</w:t>
      </w:r>
      <w:r w:rsidRPr="00272D28">
        <w:rPr>
          <w:rFonts w:eastAsia="Times New Roman" w:cs="Times New Roman"/>
          <w:szCs w:val="24"/>
        </w:rPr>
        <w:t>Gadskārtējā valsts budžeta izpildes procesā pārdalāmais finansējums</w:t>
      </w:r>
      <w:r>
        <w:rPr>
          <w:rFonts w:eastAsia="Times New Roman" w:cs="Times New Roman"/>
          <w:szCs w:val="24"/>
        </w:rPr>
        <w:t>” budžetā. Vairāk par valdības apstiprinātajām prioritātēm skatīt informatīvajā ziņojumā par 2024. gada prioritārajiem pasākumiem</w:t>
      </w:r>
      <w:r>
        <w:rPr>
          <w:rStyle w:val="FootnoteReference"/>
          <w:rFonts w:eastAsia="Times New Roman" w:cs="Times New Roman"/>
          <w:szCs w:val="24"/>
        </w:rPr>
        <w:footnoteReference w:id="19"/>
      </w:r>
      <w:r>
        <w:rPr>
          <w:rFonts w:eastAsia="Times New Roman" w:cs="Times New Roman"/>
          <w:szCs w:val="24"/>
        </w:rPr>
        <w:t>.</w:t>
      </w:r>
    </w:p>
    <w:p w14:paraId="407BB517" w14:textId="1147E9CA" w:rsidR="0027570C" w:rsidRDefault="0027570C" w:rsidP="0027570C">
      <w:pPr>
        <w:rPr>
          <w:rFonts w:eastAsia="Times New Roman" w:cs="Times New Roman"/>
          <w:szCs w:val="24"/>
        </w:rPr>
      </w:pPr>
      <w:r>
        <w:rPr>
          <w:rFonts w:eastAsia="Times New Roman" w:cs="Times New Roman"/>
          <w:szCs w:val="24"/>
        </w:rPr>
        <w:t>Ja</w:t>
      </w:r>
      <w:r w:rsidRPr="00064683">
        <w:rPr>
          <w:rFonts w:eastAsia="Times New Roman" w:cs="Times New Roman"/>
          <w:szCs w:val="24"/>
        </w:rPr>
        <w:t>un</w:t>
      </w:r>
      <w:r>
        <w:rPr>
          <w:rFonts w:eastAsia="Times New Roman" w:cs="Times New Roman"/>
          <w:szCs w:val="24"/>
        </w:rPr>
        <w:t>o</w:t>
      </w:r>
      <w:r w:rsidRPr="00064683">
        <w:rPr>
          <w:rFonts w:eastAsia="Times New Roman" w:cs="Times New Roman"/>
          <w:szCs w:val="24"/>
        </w:rPr>
        <w:t xml:space="preserve"> elektrovilcienu piegāde</w:t>
      </w:r>
      <w:r>
        <w:rPr>
          <w:rFonts w:eastAsia="Times New Roman" w:cs="Times New Roman"/>
          <w:szCs w:val="24"/>
        </w:rPr>
        <w:t xml:space="preserve">s termiņi jau vairākkārt tikuši pārlikti un to faktiskā piegāde un lietošana plānojas tikai 2023. gada izskaņā, bet lielākoties 2024. gadā. Lai gan sākotnēji daļu no 32 jaunajiem elektrovilcieniem bija plānots finansēt no valsts budžeta līdzekļiem, tomēr šobrīd plānots, ka visu </w:t>
      </w:r>
      <w:r w:rsidRPr="00064683">
        <w:rPr>
          <w:rFonts w:eastAsia="Times New Roman" w:cs="Times New Roman"/>
          <w:szCs w:val="24"/>
        </w:rPr>
        <w:t>vilcienu iegādes darījum</w:t>
      </w:r>
      <w:r>
        <w:rPr>
          <w:rFonts w:eastAsia="Times New Roman" w:cs="Times New Roman"/>
          <w:szCs w:val="24"/>
        </w:rPr>
        <w:t>s</w:t>
      </w:r>
      <w:r w:rsidRPr="00064683">
        <w:rPr>
          <w:rFonts w:eastAsia="Times New Roman" w:cs="Times New Roman"/>
          <w:szCs w:val="24"/>
        </w:rPr>
        <w:t xml:space="preserve"> tiek finansēt</w:t>
      </w:r>
      <w:r>
        <w:rPr>
          <w:rFonts w:eastAsia="Times New Roman" w:cs="Times New Roman"/>
          <w:szCs w:val="24"/>
        </w:rPr>
        <w:t>s</w:t>
      </w:r>
      <w:r w:rsidRPr="00064683">
        <w:rPr>
          <w:rFonts w:eastAsia="Times New Roman" w:cs="Times New Roman"/>
          <w:szCs w:val="24"/>
        </w:rPr>
        <w:t xml:space="preserve"> no ES Kohēzijas fonda līdzekļiem</w:t>
      </w:r>
      <w:r>
        <w:rPr>
          <w:rFonts w:eastAsia="Times New Roman" w:cs="Times New Roman"/>
          <w:szCs w:val="24"/>
        </w:rPr>
        <w:t xml:space="preserve"> ar</w:t>
      </w:r>
      <w:r w:rsidRPr="00064683">
        <w:rPr>
          <w:rFonts w:eastAsia="Times New Roman" w:cs="Times New Roman"/>
          <w:szCs w:val="24"/>
        </w:rPr>
        <w:t xml:space="preserve"> valsts budžeta </w:t>
      </w:r>
      <w:r w:rsidR="00CD4CB7" w:rsidRPr="00064683">
        <w:rPr>
          <w:rFonts w:eastAsia="Times New Roman" w:cs="Times New Roman"/>
          <w:szCs w:val="24"/>
        </w:rPr>
        <w:t>līdzfinansējum</w:t>
      </w:r>
      <w:r w:rsidR="00CD4CB7">
        <w:rPr>
          <w:rFonts w:eastAsia="Times New Roman" w:cs="Times New Roman"/>
          <w:szCs w:val="24"/>
        </w:rPr>
        <w:t>u</w:t>
      </w:r>
      <w:r>
        <w:rPr>
          <w:rFonts w:eastAsia="Times New Roman" w:cs="Times New Roman"/>
          <w:szCs w:val="24"/>
        </w:rPr>
        <w:t>. Atbilstoši EK</w:t>
      </w:r>
      <w:r w:rsidRPr="00064683">
        <w:rPr>
          <w:rFonts w:eastAsia="Times New Roman" w:cs="Times New Roman"/>
          <w:szCs w:val="24"/>
        </w:rPr>
        <w:t xml:space="preserve">S metodoloģijas izdevumi </w:t>
      </w:r>
      <w:r>
        <w:rPr>
          <w:rFonts w:eastAsia="Times New Roman" w:cs="Times New Roman"/>
          <w:szCs w:val="24"/>
        </w:rPr>
        <w:t>vispārējās valdības budžetā tiks</w:t>
      </w:r>
      <w:r w:rsidRPr="00064683">
        <w:rPr>
          <w:rFonts w:eastAsia="Times New Roman" w:cs="Times New Roman"/>
          <w:szCs w:val="24"/>
        </w:rPr>
        <w:t xml:space="preserve"> uzskaitīti atbilstoši vilcienu faktiskajai piegādei.</w:t>
      </w:r>
    </w:p>
    <w:p w14:paraId="64DF0600" w14:textId="7D7AD714" w:rsidR="0027570C" w:rsidRPr="00064683" w:rsidRDefault="0027570C" w:rsidP="0027570C">
      <w:pPr>
        <w:rPr>
          <w:rFonts w:eastAsia="Times New Roman" w:cs="Times New Roman"/>
          <w:szCs w:val="24"/>
        </w:rPr>
      </w:pPr>
      <w:r w:rsidRPr="00C43A3E">
        <w:rPr>
          <w:rFonts w:eastAsia="Times New Roman" w:cs="Times New Roman"/>
          <w:szCs w:val="24"/>
          <w:lang w:eastAsia="en-US"/>
        </w:rPr>
        <w:t xml:space="preserve">2024. un 2025. gadā valsts pamatbudžetā </w:t>
      </w:r>
      <w:r>
        <w:rPr>
          <w:rFonts w:eastAsia="Times New Roman" w:cs="Times New Roman"/>
          <w:szCs w:val="24"/>
        </w:rPr>
        <w:t xml:space="preserve">kopumā </w:t>
      </w:r>
      <w:r w:rsidRPr="00C43A3E">
        <w:rPr>
          <w:rFonts w:eastAsia="Times New Roman" w:cs="Times New Roman"/>
          <w:szCs w:val="24"/>
          <w:lang w:eastAsia="en-US"/>
        </w:rPr>
        <w:t>tiek prognozēti ievērojami lielāki izdevumi ārvalstu finanšu palīdzības līdzfinansēto projektu īstenošanai salīdzinājumā ar iepriekšējiem gadiem. To sekmēs 2014</w:t>
      </w:r>
      <w:r w:rsidR="00CD4CB7" w:rsidRPr="00C43A3E">
        <w:rPr>
          <w:rFonts w:eastAsia="Times New Roman" w:cs="Times New Roman"/>
          <w:szCs w:val="24"/>
          <w:lang w:eastAsia="en-US"/>
        </w:rPr>
        <w:t>.</w:t>
      </w:r>
      <w:r w:rsidR="00CD4CB7">
        <w:rPr>
          <w:rFonts w:eastAsia="Times New Roman" w:cs="Times New Roman"/>
          <w:szCs w:val="24"/>
          <w:lang w:eastAsia="en-US"/>
        </w:rPr>
        <w:t xml:space="preserve"> – </w:t>
      </w:r>
      <w:r w:rsidRPr="00C43A3E">
        <w:rPr>
          <w:rFonts w:eastAsia="Times New Roman" w:cs="Times New Roman"/>
          <w:szCs w:val="24"/>
          <w:lang w:eastAsia="en-US"/>
        </w:rPr>
        <w:t>2020. gada ES fondu plānošanas perioda noslēguma maksājumi (2024. gadā), finansējums ES fondu 2021.</w:t>
      </w:r>
      <w:r w:rsidR="00CD4CB7" w:rsidRPr="00CD4CB7">
        <w:rPr>
          <w:rFonts w:eastAsia="Times New Roman" w:cs="Times New Roman"/>
          <w:szCs w:val="24"/>
          <w:lang w:eastAsia="en-US"/>
        </w:rPr>
        <w:t xml:space="preserve"> </w:t>
      </w:r>
      <w:r w:rsidR="00CD4CB7">
        <w:rPr>
          <w:rFonts w:eastAsia="Times New Roman" w:cs="Times New Roman"/>
          <w:szCs w:val="24"/>
          <w:lang w:eastAsia="en-US"/>
        </w:rPr>
        <w:t xml:space="preserve">– </w:t>
      </w:r>
      <w:r w:rsidRPr="00C43A3E">
        <w:rPr>
          <w:rFonts w:eastAsia="Times New Roman" w:cs="Times New Roman"/>
          <w:szCs w:val="24"/>
          <w:lang w:eastAsia="en-US"/>
        </w:rPr>
        <w:t xml:space="preserve">2027. gada plānošanas perioda projektu īstenošanai, kā arī finansējums Atveseļošanas fonda projektiem un </w:t>
      </w:r>
      <w:r w:rsidRPr="00C43A3E">
        <w:rPr>
          <w:rFonts w:eastAsia="Times New Roman" w:cs="Times New Roman"/>
          <w:i/>
          <w:iCs/>
          <w:noProof/>
          <w:szCs w:val="24"/>
          <w:lang w:eastAsia="en-US"/>
        </w:rPr>
        <w:t>Rail Baltica</w:t>
      </w:r>
      <w:r w:rsidRPr="00C43A3E">
        <w:rPr>
          <w:rFonts w:eastAsia="Times New Roman" w:cs="Times New Roman"/>
          <w:noProof/>
          <w:szCs w:val="24"/>
          <w:lang w:eastAsia="en-US"/>
        </w:rPr>
        <w:t xml:space="preserve"> </w:t>
      </w:r>
      <w:r w:rsidRPr="00C43A3E">
        <w:rPr>
          <w:rFonts w:eastAsia="Times New Roman" w:cs="Times New Roman"/>
          <w:szCs w:val="24"/>
          <w:lang w:eastAsia="en-US"/>
        </w:rPr>
        <w:t xml:space="preserve">īstenošanai. </w:t>
      </w:r>
    </w:p>
    <w:p w14:paraId="53EF83E1" w14:textId="77777777" w:rsidR="005E539C" w:rsidRPr="0027570C" w:rsidRDefault="005E539C" w:rsidP="006F1373">
      <w:pPr>
        <w:pStyle w:val="H5"/>
      </w:pPr>
      <w:r w:rsidRPr="0027570C">
        <w:t>Valsts speciālais budžets</w:t>
      </w:r>
    </w:p>
    <w:p w14:paraId="686531CC" w14:textId="77777777" w:rsidR="0027570C" w:rsidRPr="0096467F" w:rsidRDefault="0027570C" w:rsidP="0027570C">
      <w:pPr>
        <w:rPr>
          <w:rFonts w:eastAsia="Times New Roman" w:cs="Times New Roman"/>
          <w:color w:val="FF0000"/>
          <w:szCs w:val="20"/>
          <w:lang w:eastAsia="en-US"/>
        </w:rPr>
      </w:pPr>
      <w:r w:rsidRPr="00B07788">
        <w:rPr>
          <w:rFonts w:eastAsia="Times New Roman" w:cs="Times New Roman"/>
          <w:szCs w:val="20"/>
          <w:lang w:eastAsia="en-US"/>
        </w:rPr>
        <w:t>Ņemot vērā 2022. gada ļoti augsto pensiju indeksācijas koeficientu, valsts speciālā budžeta pārpalikums 2023.</w:t>
      </w:r>
      <w:r>
        <w:rPr>
          <w:rFonts w:eastAsia="Times New Roman" w:cs="Times New Roman"/>
          <w:szCs w:val="20"/>
          <w:lang w:eastAsia="en-US"/>
        </w:rPr>
        <w:t> </w:t>
      </w:r>
      <w:r w:rsidRPr="00B07788">
        <w:rPr>
          <w:rFonts w:eastAsia="Times New Roman" w:cs="Times New Roman"/>
          <w:szCs w:val="20"/>
          <w:lang w:eastAsia="en-US"/>
        </w:rPr>
        <w:t xml:space="preserve">gadā būs krietni zemāks kā pērn. </w:t>
      </w:r>
      <w:r w:rsidRPr="00B07788">
        <w:rPr>
          <w:rFonts w:eastAsia="Times New Roman" w:cs="Times New Roman"/>
          <w:szCs w:val="28"/>
          <w:lang w:eastAsia="en-US"/>
        </w:rPr>
        <w:t>2023.</w:t>
      </w:r>
      <w:r>
        <w:rPr>
          <w:rFonts w:eastAsia="Times New Roman" w:cs="Times New Roman"/>
          <w:szCs w:val="28"/>
          <w:lang w:eastAsia="en-US"/>
        </w:rPr>
        <w:t> </w:t>
      </w:r>
      <w:r w:rsidRPr="00B07788">
        <w:rPr>
          <w:rFonts w:eastAsia="Times New Roman" w:cs="Times New Roman"/>
          <w:szCs w:val="28"/>
          <w:lang w:eastAsia="en-US"/>
        </w:rPr>
        <w:t xml:space="preserve">gadā vērojams nozīmīgs sociālās apdrošināšanas iemaksu ieņēmumu pieaugums, pieaugot darba samaksai, un valsts speciālā budžeta izdevumi </w:t>
      </w:r>
      <w:r>
        <w:rPr>
          <w:rFonts w:eastAsia="Times New Roman" w:cs="Times New Roman"/>
          <w:szCs w:val="28"/>
          <w:lang w:eastAsia="en-US"/>
        </w:rPr>
        <w:t>tiek novērtēti</w:t>
      </w:r>
      <w:r w:rsidRPr="00B07788">
        <w:rPr>
          <w:rFonts w:eastAsia="Times New Roman" w:cs="Times New Roman"/>
          <w:szCs w:val="28"/>
          <w:lang w:eastAsia="en-US"/>
        </w:rPr>
        <w:t xml:space="preserve"> par nepilniem 9% augstāki kā 2022. gadā. </w:t>
      </w:r>
      <w:r>
        <w:rPr>
          <w:rFonts w:eastAsia="Times New Roman" w:cs="Times New Roman"/>
          <w:szCs w:val="20"/>
          <w:lang w:eastAsia="en-US"/>
        </w:rPr>
        <w:t>Savukārt,</w:t>
      </w:r>
      <w:r w:rsidRPr="00B07788">
        <w:rPr>
          <w:rFonts w:eastAsia="Times New Roman" w:cs="Times New Roman"/>
          <w:szCs w:val="20"/>
          <w:lang w:eastAsia="en-US"/>
        </w:rPr>
        <w:t xml:space="preserve"> izdevumu pieaugums sagaidāms 12,3% apmērā, </w:t>
      </w:r>
      <w:r>
        <w:rPr>
          <w:rFonts w:eastAsia="Times New Roman" w:cs="Times New Roman"/>
          <w:szCs w:val="20"/>
          <w:lang w:eastAsia="en-US"/>
        </w:rPr>
        <w:t>tādējādi samazinot pārpalikumu</w:t>
      </w:r>
      <w:r w:rsidRPr="00B07788">
        <w:rPr>
          <w:rFonts w:eastAsia="Times New Roman" w:cs="Times New Roman"/>
          <w:szCs w:val="20"/>
          <w:lang w:eastAsia="en-US"/>
        </w:rPr>
        <w:t xml:space="preserve">. </w:t>
      </w:r>
      <w:r>
        <w:rPr>
          <w:rFonts w:eastAsia="Times New Roman" w:cs="Times New Roman"/>
          <w:szCs w:val="20"/>
          <w:lang w:eastAsia="en-US"/>
        </w:rPr>
        <w:t>Izdevumu pieaugumu nosaka</w:t>
      </w:r>
      <w:r w:rsidRPr="00B07788">
        <w:rPr>
          <w:rFonts w:eastAsia="Times New Roman" w:cs="Times New Roman"/>
          <w:szCs w:val="28"/>
          <w:lang w:eastAsia="en-US"/>
        </w:rPr>
        <w:t xml:space="preserve"> pieaugums vecuma pensijām 2022. gadā veiktās augstās indeksācijas ietekmē. Savukārt pārējo pabalstu izdevumiem pieaugums būs mērens, jo</w:t>
      </w:r>
      <w:r>
        <w:rPr>
          <w:rFonts w:eastAsia="Times New Roman" w:cs="Times New Roman"/>
          <w:szCs w:val="28"/>
          <w:lang w:eastAsia="en-US"/>
        </w:rPr>
        <w:t>,</w:t>
      </w:r>
      <w:r w:rsidRPr="00B07788">
        <w:rPr>
          <w:rFonts w:eastAsia="Times New Roman" w:cs="Times New Roman"/>
          <w:szCs w:val="28"/>
          <w:lang w:eastAsia="en-US"/>
        </w:rPr>
        <w:t xml:space="preserve"> Covid-19 ietekmei mazinoties</w:t>
      </w:r>
      <w:r>
        <w:rPr>
          <w:rFonts w:eastAsia="Times New Roman" w:cs="Times New Roman"/>
          <w:szCs w:val="28"/>
          <w:lang w:eastAsia="en-US"/>
        </w:rPr>
        <w:t>,</w:t>
      </w:r>
      <w:r w:rsidRPr="00B07788">
        <w:rPr>
          <w:rFonts w:eastAsia="Times New Roman" w:cs="Times New Roman"/>
          <w:szCs w:val="28"/>
          <w:lang w:eastAsia="en-US"/>
        </w:rPr>
        <w:t xml:space="preserve"> sagaidāms mazāks izdevumu apmērs slimības pabalstiem kā 2022. gadā. </w:t>
      </w:r>
    </w:p>
    <w:p w14:paraId="0D34508E" w14:textId="6C9A02B7" w:rsidR="0027570C" w:rsidRPr="00275649" w:rsidRDefault="0027570C" w:rsidP="0027570C">
      <w:pPr>
        <w:rPr>
          <w:rFonts w:eastAsia="Times New Roman" w:cs="Times New Roman"/>
          <w:szCs w:val="28"/>
          <w:lang w:eastAsia="en-US"/>
        </w:rPr>
      </w:pPr>
      <w:r w:rsidRPr="00275649">
        <w:rPr>
          <w:rFonts w:eastAsia="Times New Roman" w:cs="Times New Roman"/>
          <w:szCs w:val="28"/>
          <w:lang w:eastAsia="en-US"/>
        </w:rPr>
        <w:lastRenderedPageBreak/>
        <w:t>202</w:t>
      </w:r>
      <w:r>
        <w:rPr>
          <w:rFonts w:eastAsia="Times New Roman" w:cs="Times New Roman"/>
          <w:szCs w:val="28"/>
          <w:lang w:eastAsia="en-US"/>
        </w:rPr>
        <w:t>4</w:t>
      </w:r>
      <w:r w:rsidRPr="00275649">
        <w:rPr>
          <w:rFonts w:eastAsia="Times New Roman" w:cs="Times New Roman"/>
          <w:szCs w:val="28"/>
          <w:lang w:eastAsia="en-US"/>
        </w:rPr>
        <w:t>.</w:t>
      </w:r>
      <w:r w:rsidR="00CD4CB7" w:rsidRPr="00CD4CB7">
        <w:rPr>
          <w:rFonts w:eastAsia="Times New Roman" w:cs="Times New Roman"/>
          <w:szCs w:val="24"/>
          <w:lang w:eastAsia="en-US"/>
        </w:rPr>
        <w:t xml:space="preserve"> </w:t>
      </w:r>
      <w:r w:rsidR="00CD4CB7">
        <w:rPr>
          <w:rFonts w:eastAsia="Times New Roman" w:cs="Times New Roman"/>
          <w:szCs w:val="24"/>
          <w:lang w:eastAsia="en-US"/>
        </w:rPr>
        <w:t xml:space="preserve">– </w:t>
      </w:r>
      <w:r w:rsidRPr="00275649">
        <w:rPr>
          <w:rFonts w:eastAsia="Times New Roman" w:cs="Times New Roman"/>
          <w:szCs w:val="28"/>
          <w:lang w:eastAsia="en-US"/>
        </w:rPr>
        <w:t>2026. gadā valsts speciāl</w:t>
      </w:r>
      <w:r>
        <w:rPr>
          <w:rFonts w:eastAsia="Times New Roman" w:cs="Times New Roman"/>
          <w:szCs w:val="28"/>
          <w:lang w:eastAsia="en-US"/>
        </w:rPr>
        <w:t>aj</w:t>
      </w:r>
      <w:r w:rsidRPr="00275649">
        <w:rPr>
          <w:rFonts w:eastAsia="Times New Roman" w:cs="Times New Roman"/>
          <w:szCs w:val="28"/>
          <w:lang w:eastAsia="en-US"/>
        </w:rPr>
        <w:t>ā budžet</w:t>
      </w:r>
      <w:r>
        <w:rPr>
          <w:rFonts w:eastAsia="Times New Roman" w:cs="Times New Roman"/>
          <w:szCs w:val="28"/>
          <w:lang w:eastAsia="en-US"/>
        </w:rPr>
        <w:t>ā</w:t>
      </w:r>
      <w:r w:rsidRPr="00275649">
        <w:rPr>
          <w:rFonts w:eastAsia="Times New Roman" w:cs="Times New Roman"/>
          <w:szCs w:val="28"/>
          <w:lang w:eastAsia="en-US"/>
        </w:rPr>
        <w:t xml:space="preserve"> tiek prognozēt</w:t>
      </w:r>
      <w:r>
        <w:rPr>
          <w:rFonts w:eastAsia="Times New Roman" w:cs="Times New Roman"/>
          <w:szCs w:val="28"/>
          <w:lang w:eastAsia="en-US"/>
        </w:rPr>
        <w:t>s augsts</w:t>
      </w:r>
      <w:r w:rsidRPr="00275649">
        <w:rPr>
          <w:rFonts w:eastAsia="Times New Roman" w:cs="Times New Roman"/>
          <w:szCs w:val="28"/>
          <w:lang w:eastAsia="en-US"/>
        </w:rPr>
        <w:t xml:space="preserve"> pārpalikuma </w:t>
      </w:r>
      <w:r>
        <w:rPr>
          <w:rFonts w:eastAsia="Times New Roman" w:cs="Times New Roman"/>
          <w:szCs w:val="28"/>
          <w:lang w:eastAsia="en-US"/>
        </w:rPr>
        <w:t xml:space="preserve">līmenis. Darba samaksas pieauguma temps joprojām būs augsts, tostarp ceļot minimālās algas līmeni, bet pensiju indeksi, patēriņa cenām stabilizējoties, sagaidāmi zemākā līmenī. </w:t>
      </w:r>
      <w:r w:rsidRPr="00275649">
        <w:rPr>
          <w:rFonts w:eastAsia="Times New Roman" w:cs="Times New Roman"/>
          <w:szCs w:val="20"/>
          <w:lang w:eastAsia="en-US"/>
        </w:rPr>
        <w:t xml:space="preserve">Pensiju saņēmēju skaits pensionēšanās vecuma paaugstināšanas dēļ turpina sarukt, tomēr 2025. gadā pensiju reforma noslēgsies, un pēc tās atbilstoši </w:t>
      </w:r>
      <w:r w:rsidRPr="00275649">
        <w:rPr>
          <w:rFonts w:eastAsia="Times New Roman" w:cs="Times New Roman"/>
          <w:i/>
          <w:iCs/>
          <w:noProof/>
          <w:szCs w:val="20"/>
          <w:lang w:eastAsia="en-US"/>
        </w:rPr>
        <w:t xml:space="preserve">Eurostat </w:t>
      </w:r>
      <w:r w:rsidRPr="00275649">
        <w:rPr>
          <w:rFonts w:eastAsia="Times New Roman" w:cs="Times New Roman"/>
          <w:szCs w:val="28"/>
          <w:lang w:eastAsia="en-US"/>
        </w:rPr>
        <w:t xml:space="preserve">demogrāfiskajām prognozēm ir sagaidāms iedzīvotāju </w:t>
      </w:r>
      <w:r>
        <w:rPr>
          <w:rFonts w:eastAsia="Times New Roman" w:cs="Times New Roman"/>
          <w:szCs w:val="28"/>
          <w:lang w:eastAsia="en-US"/>
        </w:rPr>
        <w:t xml:space="preserve">skaita </w:t>
      </w:r>
      <w:r w:rsidRPr="00275649">
        <w:rPr>
          <w:rFonts w:eastAsia="Times New Roman" w:cs="Times New Roman"/>
          <w:szCs w:val="28"/>
          <w:lang w:eastAsia="en-US"/>
        </w:rPr>
        <w:t>pieaugums</w:t>
      </w:r>
      <w:r>
        <w:rPr>
          <w:rFonts w:eastAsia="Times New Roman" w:cs="Times New Roman"/>
          <w:szCs w:val="28"/>
          <w:lang w:eastAsia="en-US"/>
        </w:rPr>
        <w:t xml:space="preserve"> 65+ vecuma grupā</w:t>
      </w:r>
      <w:r w:rsidRPr="00275649">
        <w:rPr>
          <w:rFonts w:eastAsia="Times New Roman" w:cs="Times New Roman"/>
          <w:szCs w:val="28"/>
          <w:lang w:eastAsia="en-US"/>
        </w:rPr>
        <w:t xml:space="preserve">. </w:t>
      </w:r>
      <w:r>
        <w:rPr>
          <w:rFonts w:eastAsia="Times New Roman" w:cs="Times New Roman"/>
          <w:szCs w:val="28"/>
          <w:lang w:eastAsia="en-US"/>
        </w:rPr>
        <w:t>Tādēļ jau 2026. gadā izdevumu pieaugums sagaidāms straujāks par ieņēmumu pieaugumu. Tāpat</w:t>
      </w:r>
      <w:r w:rsidRPr="00275649">
        <w:rPr>
          <w:rFonts w:eastAsia="Times New Roman" w:cs="Times New Roman"/>
          <w:szCs w:val="28"/>
          <w:lang w:eastAsia="en-US"/>
        </w:rPr>
        <w:t xml:space="preserve"> </w:t>
      </w:r>
      <w:r>
        <w:rPr>
          <w:rFonts w:eastAsia="Times New Roman" w:cs="Times New Roman"/>
          <w:szCs w:val="28"/>
          <w:lang w:eastAsia="en-US"/>
        </w:rPr>
        <w:t>turpmākajos</w:t>
      </w:r>
      <w:r w:rsidRPr="00275649">
        <w:rPr>
          <w:rFonts w:eastAsia="Times New Roman" w:cs="Times New Roman"/>
          <w:szCs w:val="28"/>
          <w:lang w:eastAsia="en-US"/>
        </w:rPr>
        <w:t xml:space="preserve"> gad</w:t>
      </w:r>
      <w:r>
        <w:rPr>
          <w:rFonts w:eastAsia="Times New Roman" w:cs="Times New Roman"/>
          <w:szCs w:val="28"/>
          <w:lang w:eastAsia="en-US"/>
        </w:rPr>
        <w:t>os sagaidāms</w:t>
      </w:r>
      <w:r w:rsidRPr="00275649">
        <w:rPr>
          <w:rFonts w:eastAsia="Times New Roman" w:cs="Times New Roman"/>
          <w:szCs w:val="28"/>
          <w:lang w:eastAsia="en-US"/>
        </w:rPr>
        <w:t xml:space="preserve"> izdevumu palielinājums vecuma un invaliditātes pensijām</w:t>
      </w:r>
      <w:r>
        <w:rPr>
          <w:rFonts w:eastAsia="Times New Roman" w:cs="Times New Roman"/>
          <w:szCs w:val="28"/>
          <w:lang w:eastAsia="en-US"/>
        </w:rPr>
        <w:t>, kas</w:t>
      </w:r>
      <w:r w:rsidRPr="00275649">
        <w:rPr>
          <w:rFonts w:eastAsia="Times New Roman" w:cs="Times New Roman"/>
          <w:szCs w:val="28"/>
          <w:lang w:eastAsia="en-US"/>
        </w:rPr>
        <w:t xml:space="preserve"> </w:t>
      </w:r>
      <w:r w:rsidRPr="004B6F41">
        <w:rPr>
          <w:rFonts w:eastAsia="Times New Roman" w:cs="Times New Roman"/>
          <w:szCs w:val="28"/>
          <w:lang w:eastAsia="en-US"/>
        </w:rPr>
        <w:t>saistīts ar pakāpenisku piemaksu par apdrošināšanas stāžu līdz 1996. gadam atjaunošanu.</w:t>
      </w:r>
    </w:p>
    <w:p w14:paraId="2B030B37" w14:textId="77777777" w:rsidR="0027570C" w:rsidRPr="00275649" w:rsidRDefault="0027570C" w:rsidP="0027570C">
      <w:pPr>
        <w:rPr>
          <w:rFonts w:eastAsia="Times New Roman" w:cs="Times New Roman"/>
          <w:noProof/>
          <w:szCs w:val="28"/>
          <w:lang w:eastAsia="en-US"/>
        </w:rPr>
      </w:pPr>
      <w:r w:rsidRPr="00275649">
        <w:rPr>
          <w:rFonts w:eastAsia="Times New Roman" w:cs="Times New Roman"/>
          <w:noProof/>
          <w:szCs w:val="28"/>
          <w:lang w:eastAsia="en-US"/>
        </w:rPr>
        <w:t>Prognozējot izdevumus pensijām un sociālajiem pabalstiem vidējā termiņā, ir ņemtas vērā šādas izmaiņas:</w:t>
      </w:r>
    </w:p>
    <w:p w14:paraId="2ED1F63A" w14:textId="77777777" w:rsidR="0027570C" w:rsidRPr="00275649" w:rsidRDefault="0027570C" w:rsidP="007A2134">
      <w:pPr>
        <w:numPr>
          <w:ilvl w:val="0"/>
          <w:numId w:val="10"/>
        </w:numPr>
        <w:rPr>
          <w:rFonts w:eastAsia="Times New Roman" w:cs="Times New Roman"/>
          <w:szCs w:val="28"/>
          <w:lang w:eastAsia="en-US"/>
        </w:rPr>
      </w:pPr>
      <w:r w:rsidRPr="00275649">
        <w:rPr>
          <w:rFonts w:eastAsia="Times New Roman" w:cs="Times New Roman"/>
          <w:szCs w:val="28"/>
          <w:lang w:eastAsia="en-US"/>
        </w:rPr>
        <w:t>No 2014. gada pakāpeniski palielinās pensionēšanās vecums – ik gadu par trim mēnešiem, līdz 2025. gadā tiks sasniegts 65 gadu vecums. Tiesības uz valsts vecuma pensiju 2024. gadā būs personām, kuras sasniegs 64 gadu un 9 mēnešu vecumu. Personām, kuru apdrošināšanas stāžs nav mazāks par 30 gadiem, ir tiesības pensionēties priekšlaicīgi – divus gadus pirms vispārējā pensionēšanās vecuma sasniegšanas, tātad 2024. gadā pensionēties priekšlaicīgi var personas, kuras sasniegušas 62 gadu un 9 mēnešu vecumu;</w:t>
      </w:r>
    </w:p>
    <w:p w14:paraId="47DFE038" w14:textId="77777777" w:rsidR="0027570C" w:rsidRPr="00275649" w:rsidRDefault="0027570C" w:rsidP="007A2134">
      <w:pPr>
        <w:numPr>
          <w:ilvl w:val="0"/>
          <w:numId w:val="10"/>
        </w:numPr>
        <w:rPr>
          <w:rFonts w:eastAsia="Times New Roman" w:cs="Times New Roman"/>
          <w:szCs w:val="28"/>
          <w:lang w:eastAsia="en-US"/>
        </w:rPr>
      </w:pPr>
      <w:r w:rsidRPr="00275649">
        <w:rPr>
          <w:rFonts w:eastAsia="Times New Roman" w:cs="Times New Roman"/>
          <w:szCs w:val="28"/>
          <w:lang w:eastAsia="en-US"/>
        </w:rPr>
        <w:t xml:space="preserve">2023. gada oktobrī indeksēja pensijas un atlīdzības vai to daļu, kas nepārsniedz </w:t>
      </w:r>
      <w:r w:rsidRPr="00275649">
        <w:rPr>
          <w:rFonts w:eastAsia="Times New Roman" w:cs="Times New Roman"/>
          <w:noProof/>
          <w:szCs w:val="28"/>
          <w:lang w:eastAsia="en-US"/>
        </w:rPr>
        <w:t>609 </w:t>
      </w:r>
      <w:r w:rsidRPr="00275649">
        <w:rPr>
          <w:rFonts w:eastAsia="Times New Roman" w:cs="Times New Roman"/>
          <w:i/>
          <w:iCs/>
          <w:noProof/>
          <w:szCs w:val="28"/>
          <w:lang w:eastAsia="en-US"/>
        </w:rPr>
        <w:t>euro</w:t>
      </w:r>
      <w:r w:rsidRPr="00275649">
        <w:rPr>
          <w:rFonts w:eastAsia="Times New Roman" w:cs="Times New Roman"/>
          <w:noProof/>
          <w:szCs w:val="28"/>
          <w:lang w:eastAsia="en-US"/>
        </w:rPr>
        <w:t xml:space="preserve"> mēnesī. Indeksētas tika vecuma, invaliditātes, izdienas un apgādnieka zaudējuma pensijas un atlīdzības, kuras piešķirtas vai pārrēķinātas līdz 2023. gada 30. septembrim. Vecuma pensijām neatkarīgi no apdrošināšanas stāža tika piemērots indekss 1,064;</w:t>
      </w:r>
    </w:p>
    <w:p w14:paraId="72A99351" w14:textId="77777777" w:rsidR="0027570C" w:rsidRDefault="0027570C" w:rsidP="007A2134">
      <w:pPr>
        <w:numPr>
          <w:ilvl w:val="0"/>
          <w:numId w:val="10"/>
        </w:numPr>
        <w:shd w:val="clear" w:color="auto" w:fill="FFFFFF"/>
        <w:rPr>
          <w:rFonts w:eastAsia="Times New Roman" w:cs="Times New Roman"/>
          <w:noProof/>
          <w:szCs w:val="28"/>
          <w:lang w:eastAsia="en-US"/>
        </w:rPr>
      </w:pPr>
      <w:r w:rsidRPr="00275649">
        <w:rPr>
          <w:rFonts w:eastAsia="Times New Roman" w:cs="Times New Roman"/>
          <w:szCs w:val="28"/>
          <w:lang w:eastAsia="en-US"/>
        </w:rPr>
        <w:t>No 2024. gada plānots atjaunot piemaksas pie pensijas par apdrošināšanas stāžu, kas uzkrāts līdz 1996. gadam. Laikā no 2024. līdz 2029. gadam ik pa trijiem gadiem piemaksas tiks atjaunotas tām vecuma un invaliditātes pensijām, kas piešķirtas no 2012. līdz 2028. gadam. Savukārt no 2029. gada visiem vecuma un invaliditātes pensijas saņēmējiem par apdrošināšanas stāžu, kas uzkrāts līdz 1995.</w:t>
      </w:r>
      <w:r>
        <w:rPr>
          <w:rFonts w:eastAsia="Times New Roman" w:cs="Times New Roman"/>
          <w:szCs w:val="28"/>
          <w:lang w:eastAsia="en-US"/>
        </w:rPr>
        <w:t> </w:t>
      </w:r>
      <w:r w:rsidRPr="00275649">
        <w:rPr>
          <w:rFonts w:eastAsia="Times New Roman" w:cs="Times New Roman"/>
          <w:szCs w:val="28"/>
          <w:lang w:eastAsia="en-US"/>
        </w:rPr>
        <w:t>gada 31.</w:t>
      </w:r>
      <w:r>
        <w:rPr>
          <w:rFonts w:eastAsia="Times New Roman" w:cs="Times New Roman"/>
          <w:szCs w:val="28"/>
          <w:lang w:eastAsia="en-US"/>
        </w:rPr>
        <w:t> </w:t>
      </w:r>
      <w:r w:rsidRPr="00275649">
        <w:rPr>
          <w:rFonts w:eastAsia="Times New Roman" w:cs="Times New Roman"/>
          <w:szCs w:val="28"/>
          <w:lang w:eastAsia="en-US"/>
        </w:rPr>
        <w:t>decembrim, jau uzreiz piešķirs piemaksu pie vecuma un invaliditātes pensijas. Katru gadu vienlaikus ar pensiju indeksāciju pārskata arī piemaksas apmēru. 2023.</w:t>
      </w:r>
      <w:r>
        <w:rPr>
          <w:rFonts w:eastAsia="Times New Roman" w:cs="Times New Roman"/>
          <w:szCs w:val="28"/>
          <w:lang w:eastAsia="en-US"/>
        </w:rPr>
        <w:t> </w:t>
      </w:r>
      <w:r w:rsidRPr="00275649">
        <w:rPr>
          <w:rFonts w:eastAsia="Times New Roman" w:cs="Times New Roman"/>
          <w:szCs w:val="28"/>
          <w:lang w:eastAsia="en-US"/>
        </w:rPr>
        <w:t xml:space="preserve">gadā pēc 1. oktobra indeksācijas piemaksas </w:t>
      </w:r>
      <w:r w:rsidRPr="00275649">
        <w:rPr>
          <w:rFonts w:eastAsia="Times New Roman" w:cs="Times New Roman"/>
          <w:noProof/>
          <w:szCs w:val="28"/>
          <w:lang w:eastAsia="en-US"/>
        </w:rPr>
        <w:t>apmērs tika palielināts no 1,43</w:t>
      </w:r>
      <w:r>
        <w:rPr>
          <w:rFonts w:eastAsia="Times New Roman" w:cs="Times New Roman"/>
          <w:noProof/>
          <w:szCs w:val="28"/>
          <w:lang w:eastAsia="en-US"/>
        </w:rPr>
        <w:t> </w:t>
      </w:r>
      <w:r w:rsidRPr="00275649">
        <w:rPr>
          <w:rFonts w:eastAsia="Times New Roman" w:cs="Times New Roman"/>
          <w:i/>
          <w:iCs/>
          <w:noProof/>
          <w:szCs w:val="28"/>
          <w:lang w:eastAsia="en-US"/>
        </w:rPr>
        <w:t>euro</w:t>
      </w:r>
      <w:r w:rsidRPr="00275649">
        <w:rPr>
          <w:rFonts w:eastAsia="Times New Roman" w:cs="Times New Roman"/>
          <w:noProof/>
          <w:szCs w:val="28"/>
          <w:lang w:eastAsia="en-US"/>
        </w:rPr>
        <w:t xml:space="preserve"> līdz 1,52</w:t>
      </w:r>
      <w:r>
        <w:rPr>
          <w:rFonts w:eastAsia="Times New Roman" w:cs="Times New Roman"/>
          <w:noProof/>
          <w:szCs w:val="28"/>
          <w:lang w:eastAsia="en-US"/>
        </w:rPr>
        <w:t> </w:t>
      </w:r>
      <w:r w:rsidRPr="00275649">
        <w:rPr>
          <w:rFonts w:eastAsia="Times New Roman" w:cs="Times New Roman"/>
          <w:i/>
          <w:iCs/>
          <w:noProof/>
          <w:szCs w:val="28"/>
          <w:lang w:eastAsia="en-US"/>
        </w:rPr>
        <w:t>euro</w:t>
      </w:r>
      <w:r w:rsidRPr="00275649">
        <w:rPr>
          <w:rFonts w:eastAsia="Times New Roman" w:cs="Times New Roman"/>
          <w:noProof/>
          <w:szCs w:val="28"/>
          <w:lang w:eastAsia="en-US"/>
        </w:rPr>
        <w:t xml:space="preserve"> par stāža gadu</w:t>
      </w:r>
      <w:r>
        <w:rPr>
          <w:rFonts w:eastAsia="Times New Roman" w:cs="Times New Roman"/>
          <w:noProof/>
          <w:szCs w:val="28"/>
          <w:lang w:eastAsia="en-US"/>
        </w:rPr>
        <w:t>;</w:t>
      </w:r>
    </w:p>
    <w:p w14:paraId="6E85757F" w14:textId="77777777" w:rsidR="0027570C" w:rsidRPr="004B6F41" w:rsidRDefault="0027570C" w:rsidP="007A2134">
      <w:pPr>
        <w:numPr>
          <w:ilvl w:val="0"/>
          <w:numId w:val="10"/>
        </w:numPr>
        <w:shd w:val="clear" w:color="auto" w:fill="FFFFFF"/>
        <w:rPr>
          <w:rFonts w:eastAsia="Times New Roman" w:cs="Times New Roman"/>
          <w:szCs w:val="28"/>
          <w:lang w:eastAsia="en-US"/>
        </w:rPr>
      </w:pPr>
      <w:r w:rsidRPr="00275649">
        <w:rPr>
          <w:rFonts w:eastAsia="Times New Roman" w:cs="Times New Roman"/>
          <w:szCs w:val="28"/>
          <w:lang w:eastAsia="en-US"/>
        </w:rPr>
        <w:t xml:space="preserve">No 2023. gada 1. jūlija minimālo ienākumu slieksnis nav zemāks par 20% no ienākumu mediānas. </w:t>
      </w:r>
      <w:r>
        <w:rPr>
          <w:rFonts w:eastAsia="Times New Roman" w:cs="Times New Roman"/>
          <w:szCs w:val="28"/>
          <w:lang w:eastAsia="en-US"/>
        </w:rPr>
        <w:t>I</w:t>
      </w:r>
      <w:r w:rsidRPr="00275649">
        <w:rPr>
          <w:rFonts w:eastAsia="Times New Roman" w:cs="Times New Roman"/>
          <w:szCs w:val="28"/>
          <w:lang w:eastAsia="en-US"/>
        </w:rPr>
        <w:t>r noteikti diferencēti minimālo ienākumu sliekšņi, tie attiecas uz valsts sociālā nodrošinājuma pabalsta saņēmējiem, minimālo vecuma un invaliditātes pensiju saņēmējiem un sociālās palīdzības pašvaldībā saņēmējiem. Minimālo ienākumu sliekšņi stājās spēkā no 2023. gada 1. jūlija, bet turpmāk, sākot ar 2024. gadu, tie tiks pārskatīti katra gada janvārī</w:t>
      </w:r>
      <w:r>
        <w:rPr>
          <w:rFonts w:eastAsia="Times New Roman" w:cs="Times New Roman"/>
          <w:szCs w:val="28"/>
          <w:lang w:eastAsia="en-US"/>
        </w:rPr>
        <w:t>.</w:t>
      </w:r>
    </w:p>
    <w:p w14:paraId="5D3E56C4" w14:textId="1C8BA67D" w:rsidR="005E539C" w:rsidRPr="0027570C" w:rsidRDefault="005E539C" w:rsidP="006F1373">
      <w:pPr>
        <w:pStyle w:val="H5"/>
      </w:pPr>
      <w:r w:rsidRPr="0027570C">
        <w:t>Atvasināto publisko personu budžets</w:t>
      </w:r>
    </w:p>
    <w:p w14:paraId="33F5267B" w14:textId="2D04E6F9" w:rsidR="0027570C" w:rsidRPr="00DC5C06" w:rsidRDefault="0027570C" w:rsidP="0027570C">
      <w:pPr>
        <w:spacing w:before="120"/>
        <w:ind w:firstLine="709"/>
        <w:rPr>
          <w:rFonts w:eastAsia="Times New Roman" w:cs="Times New Roman"/>
          <w:szCs w:val="28"/>
          <w:highlight w:val="yellow"/>
          <w:lang w:eastAsia="en-US"/>
        </w:rPr>
      </w:pPr>
      <w:bookmarkStart w:id="67" w:name="_Hlk83887502"/>
      <w:bookmarkStart w:id="68" w:name="_Hlk83887516"/>
      <w:bookmarkEnd w:id="65"/>
      <w:r w:rsidRPr="00DC5C06">
        <w:rPr>
          <w:rFonts w:eastAsia="Times New Roman" w:cs="Times New Roman"/>
          <w:bCs/>
          <w:noProof/>
          <w:szCs w:val="28"/>
          <w:lang w:eastAsia="en-US"/>
        </w:rPr>
        <w:t>Atvasināto publisko personu budžetā (</w:t>
      </w:r>
      <w:r w:rsidRPr="00DC5C06">
        <w:rPr>
          <w:rFonts w:eastAsia="Times New Roman" w:cs="Times New Roman"/>
          <w:noProof/>
          <w:szCs w:val="28"/>
          <w:lang w:eastAsia="en-US"/>
        </w:rPr>
        <w:t>turpmāk –</w:t>
      </w:r>
      <w:r w:rsidRPr="00DC5C06">
        <w:rPr>
          <w:rFonts w:eastAsia="Times New Roman" w:cs="Times New Roman"/>
          <w:b/>
          <w:noProof/>
          <w:szCs w:val="28"/>
          <w:lang w:eastAsia="en-US"/>
        </w:rPr>
        <w:t xml:space="preserve"> </w:t>
      </w:r>
      <w:r w:rsidRPr="00DC5C06">
        <w:rPr>
          <w:rFonts w:eastAsia="Times New Roman" w:cs="Times New Roman"/>
          <w:noProof/>
          <w:szCs w:val="28"/>
          <w:lang w:eastAsia="en-US"/>
        </w:rPr>
        <w:t>APP) jau kopš 2016. gada ik gadu veidojas pārpalikums, kas saistīts ar pieaugošu valsts budžeta transfertu apmēru, tāpat arī palielinoties pašu ieņēmumiem, tai skaitā par saņemtajiem maksas pakalpojumiem, ko lielā mērā ietekmē augošie mācību maksu ieņēmumi universitātēs. Vēsturiski deficīta veidošanos APP noteicis augsts kapitālo izdevumu jeb investīciju līmenis, piemēram, 2015. gadā noslēdzoties ES fondu 2007.</w:t>
      </w:r>
      <w:r w:rsidR="003D276E" w:rsidRPr="003D276E">
        <w:rPr>
          <w:rFonts w:eastAsia="Times New Roman" w:cs="Times New Roman"/>
          <w:szCs w:val="24"/>
          <w:lang w:eastAsia="en-US"/>
        </w:rPr>
        <w:t xml:space="preserve"> </w:t>
      </w:r>
      <w:r w:rsidR="003D276E">
        <w:rPr>
          <w:rFonts w:eastAsia="Times New Roman" w:cs="Times New Roman"/>
          <w:szCs w:val="24"/>
          <w:lang w:eastAsia="en-US"/>
        </w:rPr>
        <w:t xml:space="preserve">– </w:t>
      </w:r>
      <w:r w:rsidRPr="00DC5C06">
        <w:rPr>
          <w:rFonts w:eastAsia="Times New Roman" w:cs="Times New Roman"/>
          <w:noProof/>
          <w:szCs w:val="28"/>
          <w:lang w:eastAsia="en-US"/>
        </w:rPr>
        <w:t xml:space="preserve">2013. gada plānošanas perioda ciklam. Pēdējos gados straujas svārstības investīciju apmēros APP netiek novērotas un nozīmīgu deficīta veidošanos šajā budžeta līmenī nevar gaidīt. Tiek prognozēts, ka vidējā termiņā, ES fondu ieņēmumu plūsmas </w:t>
      </w:r>
      <w:r w:rsidRPr="00DC5C06">
        <w:rPr>
          <w:rFonts w:eastAsia="Times New Roman" w:cs="Times New Roman"/>
          <w:noProof/>
          <w:szCs w:val="28"/>
          <w:lang w:eastAsia="en-US"/>
        </w:rPr>
        <w:lastRenderedPageBreak/>
        <w:t xml:space="preserve">no valsts pamatbudžeta būs līdzvērtīgas APP īstenoto ES fondu projektu investīcijām un APP budžetā bilance būs tuvu sabalansētai. </w:t>
      </w:r>
    </w:p>
    <w:p w14:paraId="5A2F86DD" w14:textId="6C55A8F8" w:rsidR="005273F0" w:rsidRPr="005273F0" w:rsidRDefault="0027570C" w:rsidP="005273F0">
      <w:pPr>
        <w:rPr>
          <w:rFonts w:eastAsia="Times New Roman" w:cs="Times New Roman"/>
          <w:szCs w:val="28"/>
          <w:lang w:eastAsia="en-US"/>
        </w:rPr>
      </w:pPr>
      <w:r w:rsidRPr="00DC5C06">
        <w:rPr>
          <w:rFonts w:eastAsia="Times New Roman" w:cs="Times New Roman"/>
          <w:szCs w:val="28"/>
          <w:lang w:eastAsia="en-US"/>
        </w:rPr>
        <w:t>APP budžetā vidējā termiņā paredzēti papildu līdzekļi pedagogu darba samaksas celšanai</w:t>
      </w:r>
      <w:r>
        <w:rPr>
          <w:rFonts w:eastAsia="Times New Roman" w:cs="Times New Roman"/>
          <w:szCs w:val="28"/>
          <w:lang w:eastAsia="en-US"/>
        </w:rPr>
        <w:t xml:space="preserve"> </w:t>
      </w:r>
      <w:r w:rsidRPr="00DC5C06">
        <w:rPr>
          <w:rFonts w:eastAsia="Times New Roman" w:cs="Times New Roman"/>
          <w:szCs w:val="28"/>
          <w:lang w:eastAsia="en-US"/>
        </w:rPr>
        <w:t>augstāk</w:t>
      </w:r>
      <w:r>
        <w:rPr>
          <w:rFonts w:eastAsia="Times New Roman" w:cs="Times New Roman"/>
          <w:szCs w:val="28"/>
          <w:lang w:eastAsia="en-US"/>
        </w:rPr>
        <w:t>ajā</w:t>
      </w:r>
      <w:r w:rsidRPr="00DC5C06">
        <w:rPr>
          <w:rFonts w:eastAsia="Times New Roman" w:cs="Times New Roman"/>
          <w:szCs w:val="28"/>
          <w:lang w:eastAsia="en-US"/>
        </w:rPr>
        <w:t xml:space="preserve"> izglītīb</w:t>
      </w:r>
      <w:r>
        <w:rPr>
          <w:rFonts w:eastAsia="Times New Roman" w:cs="Times New Roman"/>
          <w:szCs w:val="28"/>
          <w:lang w:eastAsia="en-US"/>
        </w:rPr>
        <w:t>ā</w:t>
      </w:r>
      <w:r w:rsidRPr="00DC5C06">
        <w:rPr>
          <w:rFonts w:eastAsia="Times New Roman" w:cs="Times New Roman"/>
          <w:szCs w:val="28"/>
          <w:lang w:eastAsia="en-US"/>
        </w:rPr>
        <w:t>, pētījumu programmu īstenošanai</w:t>
      </w:r>
      <w:r>
        <w:rPr>
          <w:rFonts w:eastAsia="Times New Roman" w:cs="Times New Roman"/>
          <w:szCs w:val="28"/>
          <w:lang w:eastAsia="en-US"/>
        </w:rPr>
        <w:t xml:space="preserve"> un</w:t>
      </w:r>
      <w:r w:rsidRPr="00DC5C06">
        <w:rPr>
          <w:rFonts w:eastAsia="Times New Roman" w:cs="Times New Roman"/>
          <w:szCs w:val="28"/>
          <w:lang w:eastAsia="en-US"/>
        </w:rPr>
        <w:t xml:space="preserve"> citām prioritātēm. Pieaugošs izdevumu līmenis APP budžetā, galvenokārt, skaidrojams ar atlīdzības līmeņa celšanos, kamēr citi izdevumi pamatā prognozēti stabili, bez būtiskām svārstībām.</w:t>
      </w:r>
    </w:p>
    <w:p w14:paraId="3CAB64DF" w14:textId="2AE5E4DF" w:rsidR="0027570C" w:rsidRPr="00F061D0" w:rsidRDefault="0027570C" w:rsidP="0027570C">
      <w:pPr>
        <w:spacing w:after="0"/>
        <w:ind w:firstLine="0"/>
        <w:jc w:val="right"/>
        <w:rPr>
          <w:rFonts w:eastAsia="Times New Roman" w:cs="Times New Roman"/>
          <w:b/>
          <w:i/>
          <w:szCs w:val="24"/>
          <w:lang w:eastAsia="en-US"/>
        </w:rPr>
      </w:pPr>
      <w:r w:rsidRPr="00F061D0">
        <w:rPr>
          <w:rFonts w:eastAsia="Times New Roman" w:cs="Times New Roman"/>
          <w:b/>
          <w:i/>
          <w:szCs w:val="24"/>
          <w:lang w:eastAsia="en-US"/>
        </w:rPr>
        <w:t>2.</w:t>
      </w:r>
      <w:r w:rsidR="005273F0">
        <w:rPr>
          <w:rFonts w:eastAsia="Times New Roman" w:cs="Times New Roman"/>
          <w:b/>
          <w:i/>
          <w:szCs w:val="24"/>
          <w:lang w:eastAsia="en-US"/>
        </w:rPr>
        <w:t>9</w:t>
      </w:r>
      <w:r w:rsidRPr="00F061D0">
        <w:rPr>
          <w:rFonts w:eastAsia="Times New Roman" w:cs="Times New Roman"/>
          <w:b/>
          <w:i/>
          <w:szCs w:val="24"/>
          <w:lang w:eastAsia="en-US"/>
        </w:rPr>
        <w:t xml:space="preserve">. tabula. Valsts konsolidētā budžeta bilance 2022. – 2026. gadā, milj. </w:t>
      </w:r>
      <w:r w:rsidRPr="00F061D0">
        <w:rPr>
          <w:rFonts w:eastAsia="Times New Roman" w:cs="Times New Roman"/>
          <w:b/>
          <w:i/>
          <w:noProof/>
          <w:szCs w:val="24"/>
          <w:lang w:eastAsia="en-US"/>
        </w:rPr>
        <w:t>euro</w:t>
      </w:r>
    </w:p>
    <w:tbl>
      <w:tblPr>
        <w:tblW w:w="9067" w:type="dxa"/>
        <w:jc w:val="center"/>
        <w:tblLook w:val="04A0" w:firstRow="1" w:lastRow="0" w:firstColumn="1" w:lastColumn="0" w:noHBand="0" w:noVBand="1"/>
      </w:tblPr>
      <w:tblGrid>
        <w:gridCol w:w="2263"/>
        <w:gridCol w:w="851"/>
        <w:gridCol w:w="850"/>
        <w:gridCol w:w="851"/>
        <w:gridCol w:w="850"/>
        <w:gridCol w:w="851"/>
        <w:gridCol w:w="850"/>
        <w:gridCol w:w="851"/>
        <w:gridCol w:w="850"/>
      </w:tblGrid>
      <w:tr w:rsidR="0027570C" w:rsidRPr="00F061D0" w14:paraId="4743A31F" w14:textId="77777777" w:rsidTr="005F05A2">
        <w:trPr>
          <w:trHeight w:val="75"/>
          <w:tblHeader/>
          <w:jc w:val="center"/>
        </w:trPr>
        <w:tc>
          <w:tcPr>
            <w:tcW w:w="2263"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bookmarkEnd w:id="67"/>
          <w:p w14:paraId="16498286" w14:textId="77777777" w:rsidR="0027570C" w:rsidRPr="00550337" w:rsidRDefault="0027570C" w:rsidP="005F05A2">
            <w:pPr>
              <w:spacing w:after="0"/>
              <w:ind w:firstLine="0"/>
              <w:jc w:val="left"/>
              <w:rPr>
                <w:rFonts w:eastAsia="Times New Roman" w:cs="Times New Roman"/>
                <w:sz w:val="18"/>
                <w:szCs w:val="18"/>
              </w:rPr>
            </w:pPr>
            <w:r w:rsidRPr="00550337">
              <w:rPr>
                <w:rFonts w:eastAsia="Times New Roman" w:cs="Times New Roman"/>
                <w:sz w:val="18"/>
                <w:szCs w:val="18"/>
              </w:rPr>
              <w:t> </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D211B69" w14:textId="77777777" w:rsidR="0027570C" w:rsidRPr="00550337" w:rsidRDefault="0027570C" w:rsidP="005F05A2">
            <w:pPr>
              <w:spacing w:after="0"/>
              <w:ind w:firstLine="0"/>
              <w:jc w:val="center"/>
              <w:rPr>
                <w:rFonts w:eastAsia="Times New Roman" w:cs="Times New Roman"/>
                <w:b/>
                <w:bCs/>
                <w:sz w:val="18"/>
                <w:szCs w:val="18"/>
              </w:rPr>
            </w:pPr>
            <w:r w:rsidRPr="00550337">
              <w:rPr>
                <w:rFonts w:eastAsia="Times New Roman" w:cs="Times New Roman"/>
                <w:b/>
                <w:bCs/>
                <w:sz w:val="18"/>
                <w:szCs w:val="18"/>
              </w:rPr>
              <w:t>2022</w:t>
            </w: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A253E9F" w14:textId="77777777" w:rsidR="0027570C" w:rsidRPr="00550337" w:rsidRDefault="0027570C" w:rsidP="005F05A2">
            <w:pPr>
              <w:spacing w:after="0"/>
              <w:ind w:firstLine="0"/>
              <w:jc w:val="center"/>
              <w:rPr>
                <w:rFonts w:eastAsia="Times New Roman" w:cs="Times New Roman"/>
                <w:b/>
                <w:bCs/>
                <w:sz w:val="18"/>
                <w:szCs w:val="18"/>
              </w:rPr>
            </w:pPr>
            <w:r w:rsidRPr="00550337">
              <w:rPr>
                <w:rFonts w:eastAsia="Times New Roman" w:cs="Times New Roman"/>
                <w:b/>
                <w:bCs/>
                <w:sz w:val="18"/>
                <w:szCs w:val="18"/>
              </w:rPr>
              <w:t>2023</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21E02B70" w14:textId="77777777" w:rsidR="0027570C" w:rsidRPr="00550337" w:rsidRDefault="0027570C" w:rsidP="005F05A2">
            <w:pPr>
              <w:spacing w:after="0"/>
              <w:ind w:firstLine="0"/>
              <w:jc w:val="center"/>
              <w:rPr>
                <w:rFonts w:eastAsia="Times New Roman" w:cs="Times New Roman"/>
                <w:b/>
                <w:bCs/>
                <w:sz w:val="18"/>
                <w:szCs w:val="18"/>
              </w:rPr>
            </w:pPr>
            <w:r w:rsidRPr="00550337">
              <w:rPr>
                <w:rFonts w:eastAsia="Times New Roman" w:cs="Times New Roman"/>
                <w:b/>
                <w:bCs/>
                <w:sz w:val="18"/>
                <w:szCs w:val="18"/>
              </w:rPr>
              <w:t>2024</w:t>
            </w: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2FEF1AB7" w14:textId="77777777" w:rsidR="0027570C" w:rsidRPr="00550337" w:rsidRDefault="0027570C" w:rsidP="005F05A2">
            <w:pPr>
              <w:spacing w:after="0"/>
              <w:ind w:firstLine="0"/>
              <w:jc w:val="center"/>
              <w:rPr>
                <w:rFonts w:eastAsia="Times New Roman" w:cs="Times New Roman"/>
                <w:b/>
                <w:bCs/>
                <w:sz w:val="18"/>
                <w:szCs w:val="18"/>
              </w:rPr>
            </w:pPr>
            <w:r w:rsidRPr="00550337">
              <w:rPr>
                <w:rFonts w:eastAsia="Times New Roman" w:cs="Times New Roman"/>
                <w:b/>
                <w:bCs/>
                <w:sz w:val="18"/>
                <w:szCs w:val="18"/>
              </w:rPr>
              <w:t>2025</w:t>
            </w:r>
          </w:p>
        </w:tc>
        <w:tc>
          <w:tcPr>
            <w:tcW w:w="851" w:type="dxa"/>
            <w:tcBorders>
              <w:top w:val="single" w:sz="4" w:space="0" w:color="auto"/>
              <w:left w:val="nil"/>
              <w:bottom w:val="single" w:sz="4" w:space="0" w:color="auto"/>
              <w:right w:val="single" w:sz="4" w:space="0" w:color="auto"/>
            </w:tcBorders>
            <w:shd w:val="clear" w:color="auto" w:fill="BDD6EE" w:themeFill="accent1" w:themeFillTint="66"/>
          </w:tcPr>
          <w:p w14:paraId="02E0ACB6" w14:textId="77777777" w:rsidR="0027570C" w:rsidRPr="00550337" w:rsidRDefault="0027570C" w:rsidP="005F05A2">
            <w:pPr>
              <w:spacing w:after="0"/>
              <w:ind w:firstLine="0"/>
              <w:jc w:val="center"/>
              <w:rPr>
                <w:rFonts w:eastAsia="Times New Roman" w:cs="Times New Roman"/>
                <w:b/>
                <w:bCs/>
                <w:sz w:val="18"/>
                <w:szCs w:val="18"/>
              </w:rPr>
            </w:pPr>
            <w:r w:rsidRPr="00550337">
              <w:rPr>
                <w:rFonts w:eastAsia="Times New Roman" w:cs="Times New Roman"/>
                <w:b/>
                <w:bCs/>
                <w:sz w:val="18"/>
                <w:szCs w:val="18"/>
              </w:rPr>
              <w:t>2026</w:t>
            </w:r>
          </w:p>
        </w:tc>
        <w:tc>
          <w:tcPr>
            <w:tcW w:w="850"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004E6783" w14:textId="77777777" w:rsidR="0027570C" w:rsidRPr="00550337" w:rsidRDefault="0027570C" w:rsidP="005F05A2">
            <w:pPr>
              <w:spacing w:after="0"/>
              <w:ind w:firstLine="0"/>
              <w:jc w:val="center"/>
              <w:rPr>
                <w:rFonts w:eastAsia="Times New Roman" w:cs="Times New Roman"/>
                <w:b/>
                <w:bCs/>
                <w:sz w:val="18"/>
                <w:szCs w:val="18"/>
              </w:rPr>
            </w:pPr>
            <w:r w:rsidRPr="00550337">
              <w:rPr>
                <w:rFonts w:eastAsia="Times New Roman" w:cs="Times New Roman"/>
                <w:b/>
                <w:bCs/>
                <w:sz w:val="18"/>
                <w:szCs w:val="18"/>
              </w:rPr>
              <w:t>2024</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5AE5B234" w14:textId="77777777" w:rsidR="0027570C" w:rsidRPr="00550337" w:rsidRDefault="0027570C" w:rsidP="005F05A2">
            <w:pPr>
              <w:spacing w:after="0"/>
              <w:ind w:firstLine="0"/>
              <w:jc w:val="center"/>
              <w:rPr>
                <w:rFonts w:eastAsia="Times New Roman" w:cs="Times New Roman"/>
                <w:b/>
                <w:bCs/>
                <w:sz w:val="18"/>
                <w:szCs w:val="18"/>
              </w:rPr>
            </w:pPr>
            <w:r w:rsidRPr="00550337">
              <w:rPr>
                <w:rFonts w:eastAsia="Times New Roman" w:cs="Times New Roman"/>
                <w:b/>
                <w:bCs/>
                <w:sz w:val="18"/>
                <w:szCs w:val="18"/>
              </w:rPr>
              <w:t>2025</w:t>
            </w: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hideMark/>
          </w:tcPr>
          <w:p w14:paraId="38F26CC5" w14:textId="77777777" w:rsidR="0027570C" w:rsidRPr="00550337" w:rsidRDefault="0027570C" w:rsidP="005F05A2">
            <w:pPr>
              <w:spacing w:after="0"/>
              <w:ind w:firstLine="0"/>
              <w:jc w:val="center"/>
              <w:rPr>
                <w:rFonts w:eastAsia="Times New Roman" w:cs="Times New Roman"/>
                <w:b/>
                <w:bCs/>
                <w:sz w:val="18"/>
                <w:szCs w:val="18"/>
              </w:rPr>
            </w:pPr>
            <w:r w:rsidRPr="00550337">
              <w:rPr>
                <w:rFonts w:eastAsia="Times New Roman" w:cs="Times New Roman"/>
                <w:b/>
                <w:bCs/>
                <w:sz w:val="18"/>
                <w:szCs w:val="18"/>
              </w:rPr>
              <w:t>2026</w:t>
            </w:r>
          </w:p>
        </w:tc>
      </w:tr>
      <w:tr w:rsidR="0027570C" w:rsidRPr="00F061D0" w14:paraId="32130550" w14:textId="77777777" w:rsidTr="005F05A2">
        <w:trPr>
          <w:trHeight w:val="75"/>
          <w:tblHeader/>
          <w:jc w:val="center"/>
        </w:trPr>
        <w:tc>
          <w:tcPr>
            <w:tcW w:w="2263" w:type="dxa"/>
            <w:tcBorders>
              <w:top w:val="nil"/>
              <w:left w:val="single" w:sz="4" w:space="0" w:color="auto"/>
              <w:bottom w:val="single" w:sz="4" w:space="0" w:color="auto"/>
              <w:right w:val="single" w:sz="4" w:space="0" w:color="auto"/>
            </w:tcBorders>
            <w:shd w:val="clear" w:color="auto" w:fill="BDD6EE" w:themeFill="accent1" w:themeFillTint="66"/>
            <w:noWrap/>
            <w:vAlign w:val="bottom"/>
            <w:hideMark/>
          </w:tcPr>
          <w:p w14:paraId="08D5C923" w14:textId="77777777" w:rsidR="0027570C" w:rsidRPr="00A16BA8" w:rsidRDefault="0027570C" w:rsidP="005F05A2">
            <w:pPr>
              <w:spacing w:after="0"/>
              <w:ind w:firstLine="0"/>
              <w:jc w:val="left"/>
              <w:rPr>
                <w:rFonts w:eastAsia="Times New Roman" w:cs="Times New Roman"/>
                <w:b/>
                <w:bCs/>
                <w:sz w:val="18"/>
                <w:szCs w:val="18"/>
              </w:rPr>
            </w:pPr>
            <w:r w:rsidRPr="00A16BA8">
              <w:rPr>
                <w:rFonts w:eastAsia="Times New Roman" w:cs="Times New Roman"/>
                <w:b/>
                <w:bCs/>
                <w:sz w:val="18"/>
                <w:szCs w:val="18"/>
              </w:rPr>
              <w:t> </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0C91F446" w14:textId="77777777" w:rsidR="0027570C" w:rsidRPr="00A16BA8" w:rsidRDefault="0027570C" w:rsidP="005F05A2">
            <w:pPr>
              <w:spacing w:after="0"/>
              <w:ind w:firstLine="0"/>
              <w:jc w:val="center"/>
              <w:rPr>
                <w:rFonts w:eastAsia="Times New Roman" w:cs="Times New Roman"/>
                <w:b/>
                <w:sz w:val="18"/>
                <w:szCs w:val="18"/>
              </w:rPr>
            </w:pPr>
            <w:r w:rsidRPr="00A16BA8">
              <w:rPr>
                <w:rFonts w:eastAsia="Times New Roman" w:cs="Times New Roman"/>
                <w:b/>
                <w:sz w:val="18"/>
                <w:szCs w:val="18"/>
              </w:rPr>
              <w:t>Fakts</w:t>
            </w:r>
          </w:p>
        </w:tc>
        <w:tc>
          <w:tcPr>
            <w:tcW w:w="850" w:type="dxa"/>
            <w:tcBorders>
              <w:top w:val="single" w:sz="4" w:space="0" w:color="auto"/>
              <w:left w:val="nil"/>
              <w:bottom w:val="single" w:sz="4" w:space="0" w:color="auto"/>
              <w:right w:val="single" w:sz="4" w:space="0" w:color="auto"/>
            </w:tcBorders>
            <w:shd w:val="clear" w:color="auto" w:fill="BDD6EE" w:themeFill="accent1" w:themeFillTint="66"/>
            <w:vAlign w:val="center"/>
          </w:tcPr>
          <w:p w14:paraId="5654C984" w14:textId="77777777" w:rsidR="0027570C" w:rsidRPr="00550337" w:rsidRDefault="0027570C" w:rsidP="005F05A2">
            <w:pPr>
              <w:spacing w:after="0"/>
              <w:ind w:firstLine="0"/>
              <w:jc w:val="center"/>
              <w:rPr>
                <w:rFonts w:eastAsia="Times New Roman" w:cs="Times New Roman"/>
                <w:b/>
                <w:sz w:val="18"/>
                <w:szCs w:val="18"/>
              </w:rPr>
            </w:pPr>
            <w:r w:rsidRPr="00550337">
              <w:rPr>
                <w:rFonts w:eastAsia="Times New Roman" w:cs="Times New Roman"/>
                <w:b/>
                <w:sz w:val="18"/>
                <w:szCs w:val="18"/>
              </w:rPr>
              <w:t>Novērt.</w:t>
            </w:r>
          </w:p>
        </w:tc>
        <w:tc>
          <w:tcPr>
            <w:tcW w:w="2552" w:type="dxa"/>
            <w:gridSpan w:val="3"/>
            <w:tcBorders>
              <w:top w:val="single" w:sz="4" w:space="0" w:color="auto"/>
              <w:left w:val="nil"/>
              <w:bottom w:val="single" w:sz="4" w:space="0" w:color="auto"/>
              <w:right w:val="single" w:sz="4" w:space="0" w:color="auto"/>
            </w:tcBorders>
            <w:shd w:val="clear" w:color="auto" w:fill="BDD6EE" w:themeFill="accent1" w:themeFillTint="66"/>
            <w:vAlign w:val="center"/>
          </w:tcPr>
          <w:p w14:paraId="0DC3AD9D" w14:textId="77777777" w:rsidR="0027570C" w:rsidRPr="00550337" w:rsidRDefault="0027570C" w:rsidP="005F05A2">
            <w:pPr>
              <w:spacing w:after="0"/>
              <w:ind w:firstLine="0"/>
              <w:jc w:val="center"/>
              <w:rPr>
                <w:rFonts w:eastAsia="Times New Roman" w:cs="Times New Roman"/>
                <w:b/>
                <w:sz w:val="18"/>
                <w:szCs w:val="18"/>
              </w:rPr>
            </w:pPr>
            <w:r w:rsidRPr="00550337">
              <w:rPr>
                <w:rFonts w:eastAsia="Times New Roman" w:cs="Times New Roman"/>
                <w:b/>
                <w:sz w:val="18"/>
                <w:szCs w:val="18"/>
              </w:rPr>
              <w:t>Prognoze</w:t>
            </w:r>
            <w:r w:rsidRPr="00550337">
              <w:rPr>
                <w:rFonts w:eastAsia="Times New Roman" w:cs="Times New Roman"/>
                <w:b/>
                <w:sz w:val="18"/>
                <w:szCs w:val="18"/>
              </w:rPr>
              <w:br/>
              <w:t>(pie nemainīgas politikas)</w:t>
            </w:r>
            <w:r w:rsidRPr="00550337">
              <w:rPr>
                <w:rFonts w:eastAsia="Times New Roman" w:cs="Times New Roman"/>
                <w:b/>
                <w:sz w:val="18"/>
                <w:szCs w:val="18"/>
                <w:vertAlign w:val="superscript"/>
              </w:rPr>
              <w:footnoteReference w:id="20"/>
            </w:r>
          </w:p>
        </w:tc>
        <w:tc>
          <w:tcPr>
            <w:tcW w:w="2551" w:type="dxa"/>
            <w:gridSpan w:val="3"/>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6E81FA7" w14:textId="77777777" w:rsidR="0027570C" w:rsidRPr="00550337" w:rsidRDefault="0027570C" w:rsidP="005F05A2">
            <w:pPr>
              <w:spacing w:after="0"/>
              <w:ind w:firstLine="0"/>
              <w:jc w:val="center"/>
              <w:rPr>
                <w:rFonts w:eastAsia="Times New Roman" w:cs="Times New Roman"/>
                <w:b/>
                <w:sz w:val="18"/>
                <w:szCs w:val="18"/>
              </w:rPr>
            </w:pPr>
            <w:r w:rsidRPr="00550337">
              <w:rPr>
                <w:rFonts w:eastAsia="Times New Roman" w:cs="Times New Roman"/>
                <w:b/>
                <w:sz w:val="18"/>
                <w:szCs w:val="18"/>
              </w:rPr>
              <w:t xml:space="preserve">Prognoze </w:t>
            </w:r>
          </w:p>
        </w:tc>
      </w:tr>
      <w:tr w:rsidR="0027570C" w:rsidRPr="00F061D0" w14:paraId="6524C416" w14:textId="77777777" w:rsidTr="005F05A2">
        <w:trPr>
          <w:trHeight w:val="75"/>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F9805" w14:textId="77777777" w:rsidR="0027570C" w:rsidRPr="00A16BA8" w:rsidRDefault="0027570C" w:rsidP="005F05A2">
            <w:pPr>
              <w:spacing w:after="0"/>
              <w:ind w:firstLine="0"/>
              <w:jc w:val="left"/>
              <w:rPr>
                <w:rFonts w:eastAsia="Times New Roman" w:cs="Times New Roman"/>
                <w:b/>
                <w:bCs/>
                <w:sz w:val="19"/>
                <w:szCs w:val="19"/>
              </w:rPr>
            </w:pPr>
            <w:r w:rsidRPr="00A16BA8">
              <w:rPr>
                <w:rFonts w:eastAsia="Times New Roman" w:cs="Times New Roman"/>
                <w:b/>
                <w:bCs/>
                <w:sz w:val="19"/>
                <w:szCs w:val="19"/>
              </w:rPr>
              <w:t>VALSTS BUDŽETA BILANCE</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737B602" w14:textId="77777777" w:rsidR="0027570C" w:rsidRPr="00A16BA8" w:rsidRDefault="0027570C" w:rsidP="005F05A2">
            <w:pPr>
              <w:spacing w:after="0"/>
              <w:ind w:firstLine="0"/>
              <w:jc w:val="right"/>
              <w:rPr>
                <w:rFonts w:eastAsia="Times New Roman" w:cs="Times New Roman"/>
                <w:b/>
                <w:bCs/>
                <w:sz w:val="18"/>
                <w:szCs w:val="18"/>
                <w:highlight w:val="yellow"/>
              </w:rPr>
            </w:pPr>
            <w:r w:rsidRPr="00A16BA8">
              <w:rPr>
                <w:b/>
                <w:bCs/>
                <w:sz w:val="18"/>
                <w:szCs w:val="18"/>
              </w:rPr>
              <w:t>-1 513,6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4E3B6C"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-1 271,8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74A9021"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-1 282,0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87F90F"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-957,5</w:t>
            </w:r>
          </w:p>
        </w:tc>
        <w:tc>
          <w:tcPr>
            <w:tcW w:w="851" w:type="dxa"/>
            <w:tcBorders>
              <w:top w:val="single" w:sz="4" w:space="0" w:color="auto"/>
              <w:left w:val="nil"/>
              <w:bottom w:val="single" w:sz="4" w:space="0" w:color="auto"/>
              <w:right w:val="single" w:sz="4" w:space="0" w:color="auto"/>
            </w:tcBorders>
            <w:shd w:val="clear" w:color="auto" w:fill="auto"/>
            <w:vAlign w:val="center"/>
          </w:tcPr>
          <w:p w14:paraId="656AA1B1"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-276,2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9FD36" w14:textId="77777777" w:rsidR="0027570C" w:rsidRPr="00074852" w:rsidRDefault="0027570C" w:rsidP="005F05A2">
            <w:pPr>
              <w:spacing w:after="0"/>
              <w:ind w:firstLine="0"/>
              <w:jc w:val="right"/>
              <w:rPr>
                <w:rFonts w:eastAsia="Times New Roman" w:cs="Times New Roman"/>
                <w:b/>
                <w:bCs/>
                <w:color w:val="FF0000"/>
                <w:sz w:val="18"/>
                <w:szCs w:val="18"/>
              </w:rPr>
            </w:pPr>
            <w:r w:rsidRPr="00074852">
              <w:rPr>
                <w:b/>
                <w:bCs/>
                <w:sz w:val="18"/>
                <w:szCs w:val="18"/>
              </w:rPr>
              <w:t>-1 723,4</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E03C866" w14:textId="77777777" w:rsidR="0027570C" w:rsidRPr="00F061D0" w:rsidRDefault="0027570C" w:rsidP="005F05A2">
            <w:pPr>
              <w:spacing w:after="0"/>
              <w:ind w:firstLine="0"/>
              <w:jc w:val="right"/>
              <w:rPr>
                <w:rFonts w:eastAsia="Times New Roman" w:cs="Times New Roman"/>
                <w:b/>
                <w:bCs/>
                <w:color w:val="FF0000"/>
                <w:sz w:val="18"/>
                <w:szCs w:val="18"/>
              </w:rPr>
            </w:pPr>
            <w:r>
              <w:rPr>
                <w:b/>
                <w:bCs/>
                <w:sz w:val="18"/>
                <w:szCs w:val="18"/>
              </w:rPr>
              <w:t>-1 481,3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22BCB59" w14:textId="77777777" w:rsidR="0027570C" w:rsidRPr="00F061D0" w:rsidRDefault="0027570C" w:rsidP="005F05A2">
            <w:pPr>
              <w:spacing w:after="0"/>
              <w:ind w:firstLine="0"/>
              <w:jc w:val="right"/>
              <w:rPr>
                <w:rFonts w:eastAsia="Times New Roman" w:cs="Times New Roman"/>
                <w:b/>
                <w:bCs/>
                <w:color w:val="FF0000"/>
                <w:sz w:val="18"/>
                <w:szCs w:val="18"/>
              </w:rPr>
            </w:pPr>
            <w:r>
              <w:rPr>
                <w:b/>
                <w:bCs/>
                <w:sz w:val="18"/>
                <w:szCs w:val="18"/>
              </w:rPr>
              <w:t>-889,6</w:t>
            </w:r>
          </w:p>
        </w:tc>
      </w:tr>
      <w:tr w:rsidR="0027570C" w:rsidRPr="00F061D0" w14:paraId="51691431"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E836705" w14:textId="77777777" w:rsidR="0027570C" w:rsidRPr="00A16BA8" w:rsidRDefault="0027570C" w:rsidP="005F05A2">
            <w:pPr>
              <w:spacing w:after="0"/>
              <w:ind w:left="-183" w:firstLineChars="100" w:firstLine="190"/>
              <w:jc w:val="left"/>
              <w:rPr>
                <w:rFonts w:eastAsia="Times New Roman" w:cs="Times New Roman"/>
                <w:sz w:val="19"/>
                <w:szCs w:val="19"/>
              </w:rPr>
            </w:pPr>
            <w:r w:rsidRPr="00A16BA8">
              <w:rPr>
                <w:rFonts w:eastAsia="Times New Roman" w:cs="Times New Roman"/>
                <w:sz w:val="19"/>
                <w:szCs w:val="19"/>
              </w:rPr>
              <w:t>Ieņēmumi</w:t>
            </w:r>
          </w:p>
        </w:tc>
        <w:tc>
          <w:tcPr>
            <w:tcW w:w="851" w:type="dxa"/>
            <w:tcBorders>
              <w:top w:val="nil"/>
              <w:left w:val="nil"/>
              <w:bottom w:val="single" w:sz="4" w:space="0" w:color="auto"/>
              <w:right w:val="single" w:sz="4" w:space="0" w:color="auto"/>
            </w:tcBorders>
            <w:shd w:val="clear" w:color="auto" w:fill="auto"/>
            <w:noWrap/>
            <w:vAlign w:val="center"/>
          </w:tcPr>
          <w:p w14:paraId="2214124B"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12 110,9</w:t>
            </w:r>
          </w:p>
        </w:tc>
        <w:tc>
          <w:tcPr>
            <w:tcW w:w="850" w:type="dxa"/>
            <w:tcBorders>
              <w:top w:val="nil"/>
              <w:left w:val="nil"/>
              <w:bottom w:val="single" w:sz="4" w:space="0" w:color="auto"/>
              <w:right w:val="single" w:sz="4" w:space="0" w:color="auto"/>
            </w:tcBorders>
            <w:shd w:val="clear" w:color="auto" w:fill="auto"/>
            <w:noWrap/>
            <w:vAlign w:val="center"/>
          </w:tcPr>
          <w:p w14:paraId="770E9B2A"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13 276,3</w:t>
            </w:r>
          </w:p>
        </w:tc>
        <w:tc>
          <w:tcPr>
            <w:tcW w:w="851" w:type="dxa"/>
            <w:tcBorders>
              <w:top w:val="nil"/>
              <w:left w:val="nil"/>
              <w:bottom w:val="single" w:sz="4" w:space="0" w:color="auto"/>
              <w:right w:val="single" w:sz="4" w:space="0" w:color="auto"/>
            </w:tcBorders>
            <w:shd w:val="clear" w:color="auto" w:fill="auto"/>
            <w:noWrap/>
            <w:vAlign w:val="center"/>
          </w:tcPr>
          <w:p w14:paraId="066384E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14 232,7</w:t>
            </w:r>
          </w:p>
        </w:tc>
        <w:tc>
          <w:tcPr>
            <w:tcW w:w="850" w:type="dxa"/>
            <w:tcBorders>
              <w:top w:val="nil"/>
              <w:left w:val="nil"/>
              <w:bottom w:val="single" w:sz="4" w:space="0" w:color="auto"/>
              <w:right w:val="single" w:sz="4" w:space="0" w:color="auto"/>
            </w:tcBorders>
            <w:shd w:val="clear" w:color="auto" w:fill="auto"/>
            <w:noWrap/>
            <w:vAlign w:val="center"/>
          </w:tcPr>
          <w:p w14:paraId="32ED97DC"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14 877,2</w:t>
            </w:r>
          </w:p>
        </w:tc>
        <w:tc>
          <w:tcPr>
            <w:tcW w:w="851" w:type="dxa"/>
            <w:tcBorders>
              <w:top w:val="single" w:sz="4" w:space="0" w:color="auto"/>
              <w:left w:val="nil"/>
              <w:bottom w:val="single" w:sz="4" w:space="0" w:color="auto"/>
              <w:right w:val="single" w:sz="4" w:space="0" w:color="auto"/>
            </w:tcBorders>
            <w:vAlign w:val="center"/>
          </w:tcPr>
          <w:p w14:paraId="5FE7B0E1"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15 264,1</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56799F66"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14 678,0</w:t>
            </w:r>
          </w:p>
        </w:tc>
        <w:tc>
          <w:tcPr>
            <w:tcW w:w="851" w:type="dxa"/>
            <w:tcBorders>
              <w:top w:val="nil"/>
              <w:left w:val="nil"/>
              <w:bottom w:val="single" w:sz="4" w:space="0" w:color="auto"/>
              <w:right w:val="single" w:sz="4" w:space="0" w:color="auto"/>
            </w:tcBorders>
            <w:shd w:val="clear" w:color="auto" w:fill="auto"/>
            <w:noWrap/>
            <w:vAlign w:val="center"/>
          </w:tcPr>
          <w:p w14:paraId="12E4E8F8"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15 081,2</w:t>
            </w:r>
          </w:p>
        </w:tc>
        <w:tc>
          <w:tcPr>
            <w:tcW w:w="850" w:type="dxa"/>
            <w:tcBorders>
              <w:top w:val="nil"/>
              <w:left w:val="nil"/>
              <w:bottom w:val="single" w:sz="4" w:space="0" w:color="auto"/>
              <w:right w:val="single" w:sz="4" w:space="0" w:color="auto"/>
            </w:tcBorders>
            <w:shd w:val="clear" w:color="auto" w:fill="auto"/>
            <w:noWrap/>
            <w:vAlign w:val="center"/>
          </w:tcPr>
          <w:p w14:paraId="72CA2E8F"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15 557,0</w:t>
            </w:r>
          </w:p>
        </w:tc>
      </w:tr>
      <w:tr w:rsidR="0027570C" w:rsidRPr="00F061D0" w14:paraId="103AAE8E"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7387989"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Nodokļu ieņēmumi</w:t>
            </w:r>
          </w:p>
        </w:tc>
        <w:tc>
          <w:tcPr>
            <w:tcW w:w="851" w:type="dxa"/>
            <w:tcBorders>
              <w:top w:val="nil"/>
              <w:left w:val="nil"/>
              <w:bottom w:val="single" w:sz="4" w:space="0" w:color="auto"/>
              <w:right w:val="single" w:sz="4" w:space="0" w:color="auto"/>
            </w:tcBorders>
            <w:shd w:val="clear" w:color="auto" w:fill="auto"/>
            <w:noWrap/>
            <w:vAlign w:val="center"/>
          </w:tcPr>
          <w:p w14:paraId="5C9B5F86"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9 617,8</w:t>
            </w:r>
          </w:p>
        </w:tc>
        <w:tc>
          <w:tcPr>
            <w:tcW w:w="850" w:type="dxa"/>
            <w:tcBorders>
              <w:top w:val="nil"/>
              <w:left w:val="nil"/>
              <w:bottom w:val="single" w:sz="4" w:space="0" w:color="auto"/>
              <w:right w:val="single" w:sz="4" w:space="0" w:color="auto"/>
            </w:tcBorders>
            <w:shd w:val="clear" w:color="auto" w:fill="auto"/>
            <w:noWrap/>
            <w:vAlign w:val="center"/>
          </w:tcPr>
          <w:p w14:paraId="4FAC80F4"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10 614,5</w:t>
            </w:r>
          </w:p>
        </w:tc>
        <w:tc>
          <w:tcPr>
            <w:tcW w:w="851" w:type="dxa"/>
            <w:tcBorders>
              <w:top w:val="nil"/>
              <w:left w:val="nil"/>
              <w:bottom w:val="single" w:sz="4" w:space="0" w:color="auto"/>
              <w:right w:val="single" w:sz="4" w:space="0" w:color="auto"/>
            </w:tcBorders>
            <w:shd w:val="clear" w:color="auto" w:fill="auto"/>
            <w:noWrap/>
            <w:vAlign w:val="center"/>
          </w:tcPr>
          <w:p w14:paraId="27DBF259"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11 335,4</w:t>
            </w:r>
          </w:p>
        </w:tc>
        <w:tc>
          <w:tcPr>
            <w:tcW w:w="850" w:type="dxa"/>
            <w:tcBorders>
              <w:top w:val="nil"/>
              <w:left w:val="nil"/>
              <w:bottom w:val="single" w:sz="4" w:space="0" w:color="auto"/>
              <w:right w:val="single" w:sz="4" w:space="0" w:color="auto"/>
            </w:tcBorders>
            <w:shd w:val="clear" w:color="auto" w:fill="auto"/>
            <w:noWrap/>
            <w:vAlign w:val="center"/>
          </w:tcPr>
          <w:p w14:paraId="3BED14C7"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12 017,1</w:t>
            </w:r>
          </w:p>
        </w:tc>
        <w:tc>
          <w:tcPr>
            <w:tcW w:w="851" w:type="dxa"/>
            <w:tcBorders>
              <w:top w:val="single" w:sz="4" w:space="0" w:color="auto"/>
              <w:left w:val="nil"/>
              <w:bottom w:val="single" w:sz="4" w:space="0" w:color="auto"/>
              <w:right w:val="single" w:sz="4" w:space="0" w:color="auto"/>
            </w:tcBorders>
            <w:vAlign w:val="center"/>
          </w:tcPr>
          <w:p w14:paraId="1142E4F9"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12 723,4</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4E56CD4B"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11 572,8</w:t>
            </w:r>
          </w:p>
        </w:tc>
        <w:tc>
          <w:tcPr>
            <w:tcW w:w="851" w:type="dxa"/>
            <w:tcBorders>
              <w:top w:val="nil"/>
              <w:left w:val="nil"/>
              <w:bottom w:val="single" w:sz="4" w:space="0" w:color="auto"/>
              <w:right w:val="single" w:sz="4" w:space="0" w:color="auto"/>
            </w:tcBorders>
            <w:shd w:val="clear" w:color="auto" w:fill="auto"/>
            <w:noWrap/>
            <w:vAlign w:val="center"/>
          </w:tcPr>
          <w:p w14:paraId="730E8FDC"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12 212,4</w:t>
            </w:r>
          </w:p>
        </w:tc>
        <w:tc>
          <w:tcPr>
            <w:tcW w:w="850" w:type="dxa"/>
            <w:tcBorders>
              <w:top w:val="nil"/>
              <w:left w:val="nil"/>
              <w:bottom w:val="single" w:sz="4" w:space="0" w:color="auto"/>
              <w:right w:val="single" w:sz="4" w:space="0" w:color="auto"/>
            </w:tcBorders>
            <w:shd w:val="clear" w:color="auto" w:fill="auto"/>
            <w:noWrap/>
            <w:vAlign w:val="center"/>
          </w:tcPr>
          <w:p w14:paraId="10B1CE0E"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12 919,1</w:t>
            </w:r>
          </w:p>
        </w:tc>
      </w:tr>
      <w:tr w:rsidR="0027570C" w:rsidRPr="00F061D0" w14:paraId="229648E2"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6472B4B"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Ne-nodokļu ieņēmumi</w:t>
            </w:r>
          </w:p>
        </w:tc>
        <w:tc>
          <w:tcPr>
            <w:tcW w:w="851" w:type="dxa"/>
            <w:tcBorders>
              <w:top w:val="nil"/>
              <w:left w:val="nil"/>
              <w:bottom w:val="single" w:sz="4" w:space="0" w:color="auto"/>
              <w:right w:val="single" w:sz="4" w:space="0" w:color="auto"/>
            </w:tcBorders>
            <w:shd w:val="clear" w:color="auto" w:fill="auto"/>
            <w:noWrap/>
            <w:vAlign w:val="center"/>
          </w:tcPr>
          <w:p w14:paraId="6354AE71"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762,9</w:t>
            </w:r>
          </w:p>
        </w:tc>
        <w:tc>
          <w:tcPr>
            <w:tcW w:w="850" w:type="dxa"/>
            <w:tcBorders>
              <w:top w:val="nil"/>
              <w:left w:val="nil"/>
              <w:bottom w:val="single" w:sz="4" w:space="0" w:color="auto"/>
              <w:right w:val="single" w:sz="4" w:space="0" w:color="auto"/>
            </w:tcBorders>
            <w:shd w:val="clear" w:color="auto" w:fill="auto"/>
            <w:noWrap/>
            <w:vAlign w:val="center"/>
          </w:tcPr>
          <w:p w14:paraId="42B508DB"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909,4</w:t>
            </w:r>
          </w:p>
        </w:tc>
        <w:tc>
          <w:tcPr>
            <w:tcW w:w="851" w:type="dxa"/>
            <w:tcBorders>
              <w:top w:val="nil"/>
              <w:left w:val="nil"/>
              <w:bottom w:val="single" w:sz="4" w:space="0" w:color="auto"/>
              <w:right w:val="single" w:sz="4" w:space="0" w:color="auto"/>
            </w:tcBorders>
            <w:shd w:val="clear" w:color="auto" w:fill="auto"/>
            <w:noWrap/>
            <w:vAlign w:val="center"/>
          </w:tcPr>
          <w:p w14:paraId="3621914D"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718,4</w:t>
            </w:r>
          </w:p>
        </w:tc>
        <w:tc>
          <w:tcPr>
            <w:tcW w:w="850" w:type="dxa"/>
            <w:tcBorders>
              <w:top w:val="nil"/>
              <w:left w:val="nil"/>
              <w:bottom w:val="single" w:sz="4" w:space="0" w:color="auto"/>
              <w:right w:val="single" w:sz="4" w:space="0" w:color="auto"/>
            </w:tcBorders>
            <w:shd w:val="clear" w:color="auto" w:fill="auto"/>
            <w:noWrap/>
            <w:vAlign w:val="center"/>
          </w:tcPr>
          <w:p w14:paraId="40D00559"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721,0</w:t>
            </w:r>
          </w:p>
        </w:tc>
        <w:tc>
          <w:tcPr>
            <w:tcW w:w="851" w:type="dxa"/>
            <w:tcBorders>
              <w:top w:val="single" w:sz="4" w:space="0" w:color="auto"/>
              <w:left w:val="nil"/>
              <w:bottom w:val="single" w:sz="4" w:space="0" w:color="auto"/>
              <w:right w:val="single" w:sz="4" w:space="0" w:color="auto"/>
            </w:tcBorders>
            <w:vAlign w:val="center"/>
          </w:tcPr>
          <w:p w14:paraId="076A0106"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609,2</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08B606EB"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923,4</w:t>
            </w:r>
          </w:p>
        </w:tc>
        <w:tc>
          <w:tcPr>
            <w:tcW w:w="851" w:type="dxa"/>
            <w:tcBorders>
              <w:top w:val="nil"/>
              <w:left w:val="nil"/>
              <w:bottom w:val="single" w:sz="4" w:space="0" w:color="auto"/>
              <w:right w:val="single" w:sz="4" w:space="0" w:color="auto"/>
            </w:tcBorders>
            <w:shd w:val="clear" w:color="auto" w:fill="auto"/>
            <w:noWrap/>
            <w:vAlign w:val="center"/>
          </w:tcPr>
          <w:p w14:paraId="4A3420A4"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727,1</w:t>
            </w:r>
          </w:p>
        </w:tc>
        <w:tc>
          <w:tcPr>
            <w:tcW w:w="850" w:type="dxa"/>
            <w:tcBorders>
              <w:top w:val="nil"/>
              <w:left w:val="nil"/>
              <w:bottom w:val="single" w:sz="4" w:space="0" w:color="auto"/>
              <w:right w:val="single" w:sz="4" w:space="0" w:color="auto"/>
            </w:tcBorders>
            <w:shd w:val="clear" w:color="auto" w:fill="auto"/>
            <w:noWrap/>
            <w:vAlign w:val="center"/>
          </w:tcPr>
          <w:p w14:paraId="4CD5010E"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704,2</w:t>
            </w:r>
          </w:p>
        </w:tc>
      </w:tr>
      <w:tr w:rsidR="0027570C" w:rsidRPr="00F061D0" w14:paraId="001AC823"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A76D4EC" w14:textId="77777777" w:rsidR="0027570C" w:rsidRPr="00A16BA8" w:rsidRDefault="0027570C" w:rsidP="005F05A2">
            <w:pPr>
              <w:spacing w:after="0"/>
              <w:ind w:firstLineChars="74" w:firstLine="141"/>
              <w:jc w:val="left"/>
              <w:rPr>
                <w:rFonts w:eastAsia="Times New Roman" w:cs="Times New Roman"/>
                <w:sz w:val="19"/>
                <w:szCs w:val="19"/>
              </w:rPr>
            </w:pPr>
            <w:r w:rsidRPr="00A16BA8">
              <w:rPr>
                <w:rFonts w:eastAsia="Times New Roman" w:cs="Times New Roman"/>
                <w:sz w:val="19"/>
                <w:szCs w:val="19"/>
              </w:rPr>
              <w:t>Ārvalstu finanšu palīdzība</w:t>
            </w:r>
          </w:p>
        </w:tc>
        <w:tc>
          <w:tcPr>
            <w:tcW w:w="851" w:type="dxa"/>
            <w:tcBorders>
              <w:top w:val="nil"/>
              <w:left w:val="nil"/>
              <w:bottom w:val="single" w:sz="4" w:space="0" w:color="auto"/>
              <w:right w:val="single" w:sz="4" w:space="0" w:color="auto"/>
            </w:tcBorders>
            <w:shd w:val="clear" w:color="auto" w:fill="auto"/>
            <w:noWrap/>
            <w:vAlign w:val="center"/>
          </w:tcPr>
          <w:p w14:paraId="3BD3653C"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1 435,0</w:t>
            </w:r>
          </w:p>
        </w:tc>
        <w:tc>
          <w:tcPr>
            <w:tcW w:w="850" w:type="dxa"/>
            <w:tcBorders>
              <w:top w:val="nil"/>
              <w:left w:val="nil"/>
              <w:bottom w:val="single" w:sz="4" w:space="0" w:color="auto"/>
              <w:right w:val="single" w:sz="4" w:space="0" w:color="auto"/>
            </w:tcBorders>
            <w:shd w:val="clear" w:color="auto" w:fill="auto"/>
            <w:noWrap/>
            <w:vAlign w:val="center"/>
          </w:tcPr>
          <w:p w14:paraId="37DF803F"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1 451,6</w:t>
            </w:r>
          </w:p>
        </w:tc>
        <w:tc>
          <w:tcPr>
            <w:tcW w:w="851" w:type="dxa"/>
            <w:tcBorders>
              <w:top w:val="nil"/>
              <w:left w:val="nil"/>
              <w:bottom w:val="single" w:sz="4" w:space="0" w:color="auto"/>
              <w:right w:val="single" w:sz="4" w:space="0" w:color="auto"/>
            </w:tcBorders>
            <w:shd w:val="clear" w:color="auto" w:fill="auto"/>
            <w:noWrap/>
            <w:vAlign w:val="center"/>
          </w:tcPr>
          <w:p w14:paraId="1447B560"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1 875,1</w:t>
            </w:r>
          </w:p>
        </w:tc>
        <w:tc>
          <w:tcPr>
            <w:tcW w:w="850" w:type="dxa"/>
            <w:tcBorders>
              <w:top w:val="nil"/>
              <w:left w:val="nil"/>
              <w:bottom w:val="single" w:sz="4" w:space="0" w:color="auto"/>
              <w:right w:val="single" w:sz="4" w:space="0" w:color="auto"/>
            </w:tcBorders>
            <w:shd w:val="clear" w:color="auto" w:fill="auto"/>
            <w:noWrap/>
            <w:vAlign w:val="center"/>
          </w:tcPr>
          <w:p w14:paraId="1E05D81A"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1 839,7</w:t>
            </w:r>
          </w:p>
        </w:tc>
        <w:tc>
          <w:tcPr>
            <w:tcW w:w="851" w:type="dxa"/>
            <w:tcBorders>
              <w:top w:val="single" w:sz="4" w:space="0" w:color="auto"/>
              <w:left w:val="nil"/>
              <w:bottom w:val="single" w:sz="4" w:space="0" w:color="auto"/>
              <w:right w:val="single" w:sz="4" w:space="0" w:color="auto"/>
            </w:tcBorders>
            <w:vAlign w:val="center"/>
          </w:tcPr>
          <w:p w14:paraId="6140281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1 628,7</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54E3771"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1 875,4</w:t>
            </w:r>
          </w:p>
        </w:tc>
        <w:tc>
          <w:tcPr>
            <w:tcW w:w="851" w:type="dxa"/>
            <w:tcBorders>
              <w:top w:val="nil"/>
              <w:left w:val="nil"/>
              <w:bottom w:val="single" w:sz="4" w:space="0" w:color="auto"/>
              <w:right w:val="single" w:sz="4" w:space="0" w:color="auto"/>
            </w:tcBorders>
            <w:shd w:val="clear" w:color="auto" w:fill="auto"/>
            <w:noWrap/>
            <w:vAlign w:val="center"/>
          </w:tcPr>
          <w:p w14:paraId="54B1E262"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1 840,4</w:t>
            </w:r>
          </w:p>
        </w:tc>
        <w:tc>
          <w:tcPr>
            <w:tcW w:w="850" w:type="dxa"/>
            <w:tcBorders>
              <w:top w:val="nil"/>
              <w:left w:val="nil"/>
              <w:bottom w:val="single" w:sz="4" w:space="0" w:color="auto"/>
              <w:right w:val="single" w:sz="4" w:space="0" w:color="auto"/>
            </w:tcBorders>
            <w:shd w:val="clear" w:color="auto" w:fill="auto"/>
            <w:noWrap/>
            <w:vAlign w:val="center"/>
          </w:tcPr>
          <w:p w14:paraId="4746BF04"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1 629,0</w:t>
            </w:r>
          </w:p>
        </w:tc>
      </w:tr>
      <w:tr w:rsidR="0027570C" w:rsidRPr="00F061D0" w14:paraId="0851A1F5"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E7C855D"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Pārējie ieņēmumi</w:t>
            </w:r>
          </w:p>
        </w:tc>
        <w:tc>
          <w:tcPr>
            <w:tcW w:w="851" w:type="dxa"/>
            <w:tcBorders>
              <w:top w:val="nil"/>
              <w:left w:val="nil"/>
              <w:bottom w:val="single" w:sz="4" w:space="0" w:color="auto"/>
              <w:right w:val="single" w:sz="4" w:space="0" w:color="auto"/>
            </w:tcBorders>
            <w:shd w:val="clear" w:color="auto" w:fill="auto"/>
            <w:noWrap/>
            <w:vAlign w:val="center"/>
          </w:tcPr>
          <w:p w14:paraId="2A14FF6E"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295,2</w:t>
            </w:r>
          </w:p>
        </w:tc>
        <w:tc>
          <w:tcPr>
            <w:tcW w:w="850" w:type="dxa"/>
            <w:tcBorders>
              <w:top w:val="nil"/>
              <w:left w:val="nil"/>
              <w:bottom w:val="single" w:sz="4" w:space="0" w:color="auto"/>
              <w:right w:val="single" w:sz="4" w:space="0" w:color="auto"/>
            </w:tcBorders>
            <w:shd w:val="clear" w:color="auto" w:fill="auto"/>
            <w:noWrap/>
            <w:vAlign w:val="center"/>
          </w:tcPr>
          <w:p w14:paraId="0297DB2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300,8</w:t>
            </w:r>
          </w:p>
        </w:tc>
        <w:tc>
          <w:tcPr>
            <w:tcW w:w="851" w:type="dxa"/>
            <w:tcBorders>
              <w:top w:val="nil"/>
              <w:left w:val="nil"/>
              <w:bottom w:val="single" w:sz="4" w:space="0" w:color="auto"/>
              <w:right w:val="single" w:sz="4" w:space="0" w:color="auto"/>
            </w:tcBorders>
            <w:shd w:val="clear" w:color="auto" w:fill="auto"/>
            <w:noWrap/>
            <w:vAlign w:val="center"/>
          </w:tcPr>
          <w:p w14:paraId="16BE555C"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303,7</w:t>
            </w:r>
          </w:p>
        </w:tc>
        <w:tc>
          <w:tcPr>
            <w:tcW w:w="850" w:type="dxa"/>
            <w:tcBorders>
              <w:top w:val="nil"/>
              <w:left w:val="nil"/>
              <w:bottom w:val="single" w:sz="4" w:space="0" w:color="auto"/>
              <w:right w:val="single" w:sz="4" w:space="0" w:color="auto"/>
            </w:tcBorders>
            <w:shd w:val="clear" w:color="auto" w:fill="auto"/>
            <w:noWrap/>
            <w:vAlign w:val="center"/>
          </w:tcPr>
          <w:p w14:paraId="1EDD722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299,4</w:t>
            </w:r>
          </w:p>
        </w:tc>
        <w:tc>
          <w:tcPr>
            <w:tcW w:w="851" w:type="dxa"/>
            <w:tcBorders>
              <w:top w:val="single" w:sz="4" w:space="0" w:color="auto"/>
              <w:left w:val="nil"/>
              <w:bottom w:val="single" w:sz="4" w:space="0" w:color="auto"/>
              <w:right w:val="single" w:sz="4" w:space="0" w:color="auto"/>
            </w:tcBorders>
            <w:vAlign w:val="center"/>
          </w:tcPr>
          <w:p w14:paraId="30704650"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302,8</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5E463B3C"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306,4</w:t>
            </w:r>
          </w:p>
        </w:tc>
        <w:tc>
          <w:tcPr>
            <w:tcW w:w="851" w:type="dxa"/>
            <w:tcBorders>
              <w:top w:val="nil"/>
              <w:left w:val="nil"/>
              <w:bottom w:val="single" w:sz="4" w:space="0" w:color="auto"/>
              <w:right w:val="single" w:sz="4" w:space="0" w:color="auto"/>
            </w:tcBorders>
            <w:shd w:val="clear" w:color="auto" w:fill="auto"/>
            <w:noWrap/>
            <w:vAlign w:val="center"/>
          </w:tcPr>
          <w:p w14:paraId="475B5446"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301,3</w:t>
            </w:r>
          </w:p>
        </w:tc>
        <w:tc>
          <w:tcPr>
            <w:tcW w:w="850" w:type="dxa"/>
            <w:tcBorders>
              <w:top w:val="nil"/>
              <w:left w:val="nil"/>
              <w:bottom w:val="single" w:sz="4" w:space="0" w:color="auto"/>
              <w:right w:val="single" w:sz="4" w:space="0" w:color="auto"/>
            </w:tcBorders>
            <w:shd w:val="clear" w:color="auto" w:fill="auto"/>
            <w:noWrap/>
            <w:vAlign w:val="center"/>
          </w:tcPr>
          <w:p w14:paraId="15BCD55A"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304,7</w:t>
            </w:r>
          </w:p>
        </w:tc>
      </w:tr>
      <w:tr w:rsidR="0027570C" w:rsidRPr="00F061D0" w14:paraId="25F27B43"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EBEF9B0" w14:textId="77777777" w:rsidR="0027570C" w:rsidRPr="00A16BA8" w:rsidRDefault="0027570C" w:rsidP="005F05A2">
            <w:pPr>
              <w:spacing w:after="0"/>
              <w:ind w:left="-183" w:firstLineChars="100" w:firstLine="190"/>
              <w:jc w:val="left"/>
              <w:rPr>
                <w:rFonts w:eastAsia="Times New Roman" w:cs="Times New Roman"/>
                <w:sz w:val="19"/>
                <w:szCs w:val="19"/>
              </w:rPr>
            </w:pPr>
            <w:r w:rsidRPr="00A16BA8">
              <w:rPr>
                <w:rFonts w:eastAsia="Times New Roman" w:cs="Times New Roman"/>
                <w:sz w:val="19"/>
                <w:szCs w:val="19"/>
              </w:rPr>
              <w:t>Izdevumi</w:t>
            </w:r>
          </w:p>
        </w:tc>
        <w:tc>
          <w:tcPr>
            <w:tcW w:w="851" w:type="dxa"/>
            <w:tcBorders>
              <w:top w:val="nil"/>
              <w:left w:val="nil"/>
              <w:bottom w:val="single" w:sz="4" w:space="0" w:color="auto"/>
              <w:right w:val="single" w:sz="4" w:space="0" w:color="auto"/>
            </w:tcBorders>
            <w:shd w:val="clear" w:color="auto" w:fill="auto"/>
            <w:noWrap/>
            <w:vAlign w:val="center"/>
          </w:tcPr>
          <w:p w14:paraId="3F7DABEE"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13 624,4</w:t>
            </w:r>
          </w:p>
        </w:tc>
        <w:tc>
          <w:tcPr>
            <w:tcW w:w="850" w:type="dxa"/>
            <w:tcBorders>
              <w:top w:val="nil"/>
              <w:left w:val="nil"/>
              <w:bottom w:val="single" w:sz="4" w:space="0" w:color="auto"/>
              <w:right w:val="single" w:sz="4" w:space="0" w:color="auto"/>
            </w:tcBorders>
            <w:shd w:val="clear" w:color="auto" w:fill="auto"/>
            <w:noWrap/>
            <w:vAlign w:val="center"/>
          </w:tcPr>
          <w:p w14:paraId="53399EE1"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14 548,1</w:t>
            </w:r>
          </w:p>
        </w:tc>
        <w:tc>
          <w:tcPr>
            <w:tcW w:w="851" w:type="dxa"/>
            <w:tcBorders>
              <w:top w:val="nil"/>
              <w:left w:val="nil"/>
              <w:bottom w:val="single" w:sz="4" w:space="0" w:color="auto"/>
              <w:right w:val="single" w:sz="4" w:space="0" w:color="auto"/>
            </w:tcBorders>
            <w:shd w:val="clear" w:color="auto" w:fill="auto"/>
            <w:noWrap/>
            <w:vAlign w:val="center"/>
          </w:tcPr>
          <w:p w14:paraId="6490FA46"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15 514,7</w:t>
            </w:r>
          </w:p>
        </w:tc>
        <w:tc>
          <w:tcPr>
            <w:tcW w:w="850" w:type="dxa"/>
            <w:tcBorders>
              <w:top w:val="nil"/>
              <w:left w:val="nil"/>
              <w:bottom w:val="single" w:sz="4" w:space="0" w:color="auto"/>
              <w:right w:val="single" w:sz="4" w:space="0" w:color="auto"/>
            </w:tcBorders>
            <w:shd w:val="clear" w:color="auto" w:fill="auto"/>
            <w:noWrap/>
            <w:vAlign w:val="center"/>
          </w:tcPr>
          <w:p w14:paraId="28DE35C9"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15 834,7</w:t>
            </w:r>
          </w:p>
        </w:tc>
        <w:tc>
          <w:tcPr>
            <w:tcW w:w="851" w:type="dxa"/>
            <w:tcBorders>
              <w:top w:val="single" w:sz="4" w:space="0" w:color="auto"/>
              <w:left w:val="nil"/>
              <w:bottom w:val="single" w:sz="4" w:space="0" w:color="auto"/>
              <w:right w:val="single" w:sz="4" w:space="0" w:color="auto"/>
            </w:tcBorders>
            <w:vAlign w:val="center"/>
          </w:tcPr>
          <w:p w14:paraId="6FC21823"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15 540,3</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0424F8CB"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16 401,5</w:t>
            </w:r>
          </w:p>
        </w:tc>
        <w:tc>
          <w:tcPr>
            <w:tcW w:w="851" w:type="dxa"/>
            <w:tcBorders>
              <w:top w:val="nil"/>
              <w:left w:val="nil"/>
              <w:bottom w:val="single" w:sz="4" w:space="0" w:color="auto"/>
              <w:right w:val="single" w:sz="4" w:space="0" w:color="auto"/>
            </w:tcBorders>
            <w:shd w:val="clear" w:color="auto" w:fill="auto"/>
            <w:noWrap/>
            <w:vAlign w:val="center"/>
          </w:tcPr>
          <w:p w14:paraId="196943D0"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16 562,6</w:t>
            </w:r>
          </w:p>
        </w:tc>
        <w:tc>
          <w:tcPr>
            <w:tcW w:w="850" w:type="dxa"/>
            <w:tcBorders>
              <w:top w:val="nil"/>
              <w:left w:val="nil"/>
              <w:bottom w:val="single" w:sz="4" w:space="0" w:color="auto"/>
              <w:right w:val="single" w:sz="4" w:space="0" w:color="auto"/>
            </w:tcBorders>
            <w:shd w:val="clear" w:color="auto" w:fill="auto"/>
            <w:noWrap/>
            <w:vAlign w:val="center"/>
          </w:tcPr>
          <w:p w14:paraId="765B41A6"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16 446,5</w:t>
            </w:r>
          </w:p>
        </w:tc>
      </w:tr>
      <w:tr w:rsidR="0027570C" w:rsidRPr="00F061D0" w14:paraId="19428973" w14:textId="77777777" w:rsidTr="005F05A2">
        <w:trPr>
          <w:trHeight w:val="7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26F79DA"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Uzturēšanas izdevumi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28918"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12 745,8</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7242F3"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13 458,5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97F26F8"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14 424,7</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E069E88"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15 008,5</w:t>
            </w:r>
          </w:p>
        </w:tc>
        <w:tc>
          <w:tcPr>
            <w:tcW w:w="851" w:type="dxa"/>
            <w:tcBorders>
              <w:top w:val="single" w:sz="4" w:space="0" w:color="auto"/>
              <w:left w:val="nil"/>
              <w:bottom w:val="single" w:sz="4" w:space="0" w:color="auto"/>
              <w:right w:val="single" w:sz="4" w:space="0" w:color="auto"/>
            </w:tcBorders>
            <w:vAlign w:val="center"/>
          </w:tcPr>
          <w:p w14:paraId="0EFCA838"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14 776,3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E1389"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15 277,7</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5D0222C"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15 695,0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BBBCB1"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15 615,0</w:t>
            </w:r>
          </w:p>
        </w:tc>
      </w:tr>
      <w:tr w:rsidR="0027570C" w:rsidRPr="00F061D0" w14:paraId="0DE417C3"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89FCEA1"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Kapitālie 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C6C5C4"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878,7</w:t>
            </w:r>
          </w:p>
        </w:tc>
        <w:tc>
          <w:tcPr>
            <w:tcW w:w="850" w:type="dxa"/>
            <w:tcBorders>
              <w:top w:val="nil"/>
              <w:left w:val="nil"/>
              <w:bottom w:val="single" w:sz="4" w:space="0" w:color="auto"/>
              <w:right w:val="single" w:sz="4" w:space="0" w:color="auto"/>
            </w:tcBorders>
            <w:shd w:val="clear" w:color="auto" w:fill="auto"/>
            <w:noWrap/>
            <w:vAlign w:val="center"/>
          </w:tcPr>
          <w:p w14:paraId="059DAA6D"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1 089,6</w:t>
            </w:r>
          </w:p>
        </w:tc>
        <w:tc>
          <w:tcPr>
            <w:tcW w:w="851" w:type="dxa"/>
            <w:tcBorders>
              <w:top w:val="nil"/>
              <w:left w:val="nil"/>
              <w:bottom w:val="single" w:sz="4" w:space="0" w:color="auto"/>
              <w:right w:val="single" w:sz="4" w:space="0" w:color="auto"/>
            </w:tcBorders>
            <w:shd w:val="clear" w:color="auto" w:fill="auto"/>
            <w:noWrap/>
            <w:vAlign w:val="center"/>
          </w:tcPr>
          <w:p w14:paraId="0C9FD03F"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1 090,0</w:t>
            </w:r>
          </w:p>
        </w:tc>
        <w:tc>
          <w:tcPr>
            <w:tcW w:w="850" w:type="dxa"/>
            <w:tcBorders>
              <w:top w:val="nil"/>
              <w:left w:val="nil"/>
              <w:bottom w:val="single" w:sz="4" w:space="0" w:color="auto"/>
              <w:right w:val="single" w:sz="4" w:space="0" w:color="auto"/>
            </w:tcBorders>
            <w:shd w:val="clear" w:color="auto" w:fill="auto"/>
            <w:noWrap/>
            <w:vAlign w:val="center"/>
          </w:tcPr>
          <w:p w14:paraId="6A04C0A6"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826,2</w:t>
            </w:r>
          </w:p>
        </w:tc>
        <w:tc>
          <w:tcPr>
            <w:tcW w:w="851" w:type="dxa"/>
            <w:tcBorders>
              <w:top w:val="single" w:sz="4" w:space="0" w:color="auto"/>
              <w:left w:val="nil"/>
              <w:bottom w:val="single" w:sz="4" w:space="0" w:color="auto"/>
              <w:right w:val="single" w:sz="4" w:space="0" w:color="auto"/>
            </w:tcBorders>
            <w:vAlign w:val="center"/>
          </w:tcPr>
          <w:p w14:paraId="535F903F"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764,0</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142DA8F7"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1 123,8</w:t>
            </w:r>
          </w:p>
        </w:tc>
        <w:tc>
          <w:tcPr>
            <w:tcW w:w="851" w:type="dxa"/>
            <w:tcBorders>
              <w:top w:val="nil"/>
              <w:left w:val="nil"/>
              <w:bottom w:val="single" w:sz="4" w:space="0" w:color="auto"/>
              <w:right w:val="single" w:sz="4" w:space="0" w:color="auto"/>
            </w:tcBorders>
            <w:shd w:val="clear" w:color="auto" w:fill="auto"/>
            <w:noWrap/>
            <w:vAlign w:val="center"/>
          </w:tcPr>
          <w:p w14:paraId="36B7CAAC"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867,5</w:t>
            </w:r>
          </w:p>
        </w:tc>
        <w:tc>
          <w:tcPr>
            <w:tcW w:w="850" w:type="dxa"/>
            <w:tcBorders>
              <w:top w:val="nil"/>
              <w:left w:val="nil"/>
              <w:bottom w:val="single" w:sz="4" w:space="0" w:color="auto"/>
              <w:right w:val="single" w:sz="4" w:space="0" w:color="auto"/>
            </w:tcBorders>
            <w:shd w:val="clear" w:color="auto" w:fill="auto"/>
            <w:noWrap/>
            <w:vAlign w:val="center"/>
          </w:tcPr>
          <w:p w14:paraId="43E6F224"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831,5</w:t>
            </w:r>
          </w:p>
        </w:tc>
      </w:tr>
      <w:tr w:rsidR="0027570C" w:rsidRPr="00F061D0" w14:paraId="31FBF1AC"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2704EAA" w14:textId="77777777" w:rsidR="0027570C" w:rsidRPr="00A16BA8" w:rsidRDefault="0027570C" w:rsidP="005F05A2">
            <w:pPr>
              <w:spacing w:after="0"/>
              <w:ind w:firstLine="0"/>
              <w:jc w:val="left"/>
              <w:rPr>
                <w:rFonts w:eastAsia="Times New Roman" w:cs="Times New Roman"/>
                <w:b/>
                <w:bCs/>
                <w:i/>
                <w:iCs/>
                <w:sz w:val="19"/>
                <w:szCs w:val="19"/>
              </w:rPr>
            </w:pPr>
            <w:r w:rsidRPr="00A16BA8">
              <w:rPr>
                <w:rFonts w:eastAsia="Times New Roman" w:cs="Times New Roman"/>
                <w:b/>
                <w:bCs/>
                <w:i/>
                <w:iCs/>
                <w:sz w:val="19"/>
                <w:szCs w:val="19"/>
              </w:rPr>
              <w:t>VALSTS PAMATBUDŽETA BILANCE</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986736D" w14:textId="77777777" w:rsidR="0027570C" w:rsidRPr="00A16BA8" w:rsidRDefault="0027570C" w:rsidP="005F05A2">
            <w:pPr>
              <w:spacing w:after="0"/>
              <w:ind w:firstLine="0"/>
              <w:jc w:val="right"/>
              <w:rPr>
                <w:rFonts w:eastAsia="Times New Roman" w:cs="Times New Roman"/>
                <w:b/>
                <w:bCs/>
                <w:sz w:val="18"/>
                <w:szCs w:val="18"/>
                <w:highlight w:val="yellow"/>
              </w:rPr>
            </w:pPr>
            <w:r w:rsidRPr="00A16BA8">
              <w:rPr>
                <w:b/>
                <w:bCs/>
                <w:sz w:val="18"/>
                <w:szCs w:val="18"/>
              </w:rPr>
              <w:t>-1 889,2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606E1C3"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-1 530,5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10FB30E"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-1 620,6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255094A"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-1 316,5</w:t>
            </w:r>
          </w:p>
        </w:tc>
        <w:tc>
          <w:tcPr>
            <w:tcW w:w="851" w:type="dxa"/>
            <w:tcBorders>
              <w:top w:val="single" w:sz="4" w:space="0" w:color="auto"/>
              <w:left w:val="nil"/>
              <w:bottom w:val="single" w:sz="4" w:space="0" w:color="auto"/>
              <w:right w:val="single" w:sz="4" w:space="0" w:color="auto"/>
            </w:tcBorders>
            <w:vAlign w:val="center"/>
          </w:tcPr>
          <w:p w14:paraId="13521043"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-534,6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68C8B" w14:textId="77777777" w:rsidR="0027570C" w:rsidRPr="00074852" w:rsidRDefault="0027570C" w:rsidP="005F05A2">
            <w:pPr>
              <w:spacing w:after="0"/>
              <w:ind w:firstLine="0"/>
              <w:jc w:val="right"/>
              <w:rPr>
                <w:rFonts w:eastAsia="Times New Roman" w:cs="Times New Roman"/>
                <w:b/>
                <w:bCs/>
                <w:i/>
                <w:color w:val="FF0000"/>
                <w:sz w:val="18"/>
                <w:szCs w:val="18"/>
              </w:rPr>
            </w:pPr>
            <w:r w:rsidRPr="00074852">
              <w:rPr>
                <w:b/>
                <w:bCs/>
                <w:sz w:val="18"/>
                <w:szCs w:val="18"/>
              </w:rPr>
              <w:t>-2 131,6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38A95CE" w14:textId="77777777" w:rsidR="0027570C" w:rsidRPr="00F061D0" w:rsidRDefault="0027570C" w:rsidP="005F05A2">
            <w:pPr>
              <w:spacing w:after="0"/>
              <w:ind w:firstLine="0"/>
              <w:jc w:val="right"/>
              <w:rPr>
                <w:rFonts w:eastAsia="Times New Roman" w:cs="Times New Roman"/>
                <w:b/>
                <w:bCs/>
                <w:i/>
                <w:color w:val="FF0000"/>
                <w:sz w:val="18"/>
                <w:szCs w:val="18"/>
              </w:rPr>
            </w:pPr>
            <w:r>
              <w:rPr>
                <w:b/>
                <w:bCs/>
                <w:sz w:val="18"/>
                <w:szCs w:val="18"/>
              </w:rPr>
              <w:t>-1 910,3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6A1A320" w14:textId="77777777" w:rsidR="0027570C" w:rsidRPr="00F061D0" w:rsidRDefault="0027570C" w:rsidP="005F05A2">
            <w:pPr>
              <w:spacing w:after="0"/>
              <w:ind w:firstLine="0"/>
              <w:jc w:val="right"/>
              <w:rPr>
                <w:rFonts w:eastAsia="Times New Roman" w:cs="Times New Roman"/>
                <w:b/>
                <w:bCs/>
                <w:i/>
                <w:color w:val="FF0000"/>
                <w:sz w:val="18"/>
                <w:szCs w:val="18"/>
              </w:rPr>
            </w:pPr>
            <w:r>
              <w:rPr>
                <w:b/>
                <w:bCs/>
                <w:sz w:val="18"/>
                <w:szCs w:val="18"/>
              </w:rPr>
              <w:t>-1 220,5</w:t>
            </w:r>
          </w:p>
        </w:tc>
      </w:tr>
      <w:tr w:rsidR="0027570C" w:rsidRPr="00F061D0" w14:paraId="0458AA6A"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9730E74" w14:textId="77777777" w:rsidR="0027570C" w:rsidRPr="00A16BA8" w:rsidRDefault="0027570C" w:rsidP="005F05A2">
            <w:pPr>
              <w:spacing w:after="0"/>
              <w:ind w:left="-183" w:firstLineChars="100" w:firstLine="190"/>
              <w:jc w:val="left"/>
              <w:rPr>
                <w:rFonts w:eastAsia="Times New Roman" w:cs="Times New Roman"/>
                <w:sz w:val="19"/>
                <w:szCs w:val="19"/>
              </w:rPr>
            </w:pPr>
            <w:r w:rsidRPr="00A16BA8">
              <w:rPr>
                <w:rFonts w:eastAsia="Times New Roman" w:cs="Times New Roman"/>
                <w:sz w:val="19"/>
                <w:szCs w:val="19"/>
              </w:rPr>
              <w:t>Ieņēmumi</w:t>
            </w:r>
          </w:p>
        </w:tc>
        <w:tc>
          <w:tcPr>
            <w:tcW w:w="851" w:type="dxa"/>
            <w:tcBorders>
              <w:top w:val="nil"/>
              <w:left w:val="nil"/>
              <w:bottom w:val="single" w:sz="4" w:space="0" w:color="auto"/>
              <w:right w:val="single" w:sz="4" w:space="0" w:color="auto"/>
            </w:tcBorders>
            <w:shd w:val="clear" w:color="auto" w:fill="auto"/>
            <w:noWrap/>
            <w:vAlign w:val="center"/>
          </w:tcPr>
          <w:p w14:paraId="3DFE501B"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8 291,9</w:t>
            </w:r>
          </w:p>
        </w:tc>
        <w:tc>
          <w:tcPr>
            <w:tcW w:w="850" w:type="dxa"/>
            <w:tcBorders>
              <w:top w:val="nil"/>
              <w:left w:val="nil"/>
              <w:bottom w:val="single" w:sz="4" w:space="0" w:color="auto"/>
              <w:right w:val="single" w:sz="4" w:space="0" w:color="auto"/>
            </w:tcBorders>
            <w:shd w:val="clear" w:color="auto" w:fill="auto"/>
            <w:noWrap/>
            <w:vAlign w:val="center"/>
          </w:tcPr>
          <w:p w14:paraId="6053FF16"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9 068,9</w:t>
            </w:r>
          </w:p>
        </w:tc>
        <w:tc>
          <w:tcPr>
            <w:tcW w:w="851" w:type="dxa"/>
            <w:tcBorders>
              <w:top w:val="nil"/>
              <w:left w:val="nil"/>
              <w:bottom w:val="single" w:sz="4" w:space="0" w:color="auto"/>
              <w:right w:val="single" w:sz="4" w:space="0" w:color="auto"/>
            </w:tcBorders>
            <w:shd w:val="clear" w:color="auto" w:fill="auto"/>
            <w:noWrap/>
            <w:vAlign w:val="center"/>
          </w:tcPr>
          <w:p w14:paraId="116DE2AF"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9 616,4</w:t>
            </w:r>
          </w:p>
        </w:tc>
        <w:tc>
          <w:tcPr>
            <w:tcW w:w="850" w:type="dxa"/>
            <w:tcBorders>
              <w:top w:val="nil"/>
              <w:left w:val="nil"/>
              <w:bottom w:val="single" w:sz="4" w:space="0" w:color="auto"/>
              <w:right w:val="single" w:sz="4" w:space="0" w:color="auto"/>
            </w:tcBorders>
            <w:shd w:val="clear" w:color="auto" w:fill="auto"/>
            <w:noWrap/>
            <w:vAlign w:val="center"/>
          </w:tcPr>
          <w:p w14:paraId="3F9E186F"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9 976,3</w:t>
            </w:r>
          </w:p>
        </w:tc>
        <w:tc>
          <w:tcPr>
            <w:tcW w:w="851" w:type="dxa"/>
            <w:tcBorders>
              <w:top w:val="single" w:sz="4" w:space="0" w:color="auto"/>
              <w:left w:val="nil"/>
              <w:bottom w:val="single" w:sz="4" w:space="0" w:color="auto"/>
              <w:right w:val="single" w:sz="4" w:space="0" w:color="auto"/>
            </w:tcBorders>
            <w:vAlign w:val="center"/>
          </w:tcPr>
          <w:p w14:paraId="2F1C3164"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10 072,0</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679FA5B6"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10 016,3</w:t>
            </w:r>
          </w:p>
        </w:tc>
        <w:tc>
          <w:tcPr>
            <w:tcW w:w="851" w:type="dxa"/>
            <w:tcBorders>
              <w:top w:val="nil"/>
              <w:left w:val="nil"/>
              <w:bottom w:val="single" w:sz="4" w:space="0" w:color="auto"/>
              <w:right w:val="single" w:sz="4" w:space="0" w:color="auto"/>
            </w:tcBorders>
            <w:shd w:val="clear" w:color="auto" w:fill="auto"/>
            <w:noWrap/>
            <w:vAlign w:val="center"/>
          </w:tcPr>
          <w:p w14:paraId="72A535E5"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10 135,8</w:t>
            </w:r>
          </w:p>
        </w:tc>
        <w:tc>
          <w:tcPr>
            <w:tcW w:w="850" w:type="dxa"/>
            <w:tcBorders>
              <w:top w:val="nil"/>
              <w:left w:val="nil"/>
              <w:bottom w:val="single" w:sz="4" w:space="0" w:color="auto"/>
              <w:right w:val="single" w:sz="4" w:space="0" w:color="auto"/>
            </w:tcBorders>
            <w:shd w:val="clear" w:color="auto" w:fill="auto"/>
            <w:noWrap/>
            <w:vAlign w:val="center"/>
          </w:tcPr>
          <w:p w14:paraId="471178EB"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10 318,9</w:t>
            </w:r>
          </w:p>
        </w:tc>
      </w:tr>
      <w:tr w:rsidR="0027570C" w:rsidRPr="00F061D0" w14:paraId="52E48415"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88E4C38"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Nodokļu ieņēmumi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EE485"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6 078,3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1BCE6"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6 670,8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498A3B1"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6 994,2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ECC7280"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7 397,0</w:t>
            </w:r>
          </w:p>
        </w:tc>
        <w:tc>
          <w:tcPr>
            <w:tcW w:w="851" w:type="dxa"/>
            <w:tcBorders>
              <w:top w:val="single" w:sz="4" w:space="0" w:color="auto"/>
              <w:left w:val="nil"/>
              <w:bottom w:val="single" w:sz="4" w:space="0" w:color="auto"/>
              <w:right w:val="single" w:sz="4" w:space="0" w:color="auto"/>
            </w:tcBorders>
            <w:vAlign w:val="center"/>
          </w:tcPr>
          <w:p w14:paraId="445170FE"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7 818,4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68879C"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7 185,5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C271C26"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7 547,3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36FCBA6"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7 967,6</w:t>
            </w:r>
          </w:p>
        </w:tc>
      </w:tr>
      <w:tr w:rsidR="0027570C" w:rsidRPr="00F061D0" w14:paraId="779ABCC7"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3ABFF3C"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Ne-nodokļu ieņēmumi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86B5FF7"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673,2</w:t>
            </w:r>
          </w:p>
        </w:tc>
        <w:tc>
          <w:tcPr>
            <w:tcW w:w="850" w:type="dxa"/>
            <w:tcBorders>
              <w:top w:val="nil"/>
              <w:left w:val="nil"/>
              <w:bottom w:val="single" w:sz="4" w:space="0" w:color="auto"/>
              <w:right w:val="single" w:sz="4" w:space="0" w:color="auto"/>
            </w:tcBorders>
            <w:shd w:val="clear" w:color="auto" w:fill="auto"/>
            <w:noWrap/>
            <w:vAlign w:val="center"/>
          </w:tcPr>
          <w:p w14:paraId="6A4D3EED"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843,1</w:t>
            </w:r>
          </w:p>
        </w:tc>
        <w:tc>
          <w:tcPr>
            <w:tcW w:w="851" w:type="dxa"/>
            <w:tcBorders>
              <w:top w:val="nil"/>
              <w:left w:val="nil"/>
              <w:bottom w:val="single" w:sz="4" w:space="0" w:color="auto"/>
              <w:right w:val="single" w:sz="4" w:space="0" w:color="auto"/>
            </w:tcBorders>
            <w:shd w:val="clear" w:color="auto" w:fill="auto"/>
            <w:noWrap/>
            <w:vAlign w:val="center"/>
          </w:tcPr>
          <w:p w14:paraId="3073ECC8"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648,6</w:t>
            </w:r>
          </w:p>
        </w:tc>
        <w:tc>
          <w:tcPr>
            <w:tcW w:w="850" w:type="dxa"/>
            <w:tcBorders>
              <w:top w:val="nil"/>
              <w:left w:val="nil"/>
              <w:bottom w:val="single" w:sz="4" w:space="0" w:color="auto"/>
              <w:right w:val="single" w:sz="4" w:space="0" w:color="auto"/>
            </w:tcBorders>
            <w:shd w:val="clear" w:color="auto" w:fill="auto"/>
            <w:noWrap/>
            <w:vAlign w:val="center"/>
          </w:tcPr>
          <w:p w14:paraId="6A4F7099"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648,7</w:t>
            </w:r>
          </w:p>
        </w:tc>
        <w:tc>
          <w:tcPr>
            <w:tcW w:w="851" w:type="dxa"/>
            <w:tcBorders>
              <w:top w:val="single" w:sz="4" w:space="0" w:color="auto"/>
              <w:left w:val="nil"/>
              <w:bottom w:val="single" w:sz="4" w:space="0" w:color="auto"/>
              <w:right w:val="single" w:sz="4" w:space="0" w:color="auto"/>
            </w:tcBorders>
            <w:vAlign w:val="center"/>
          </w:tcPr>
          <w:p w14:paraId="049F836A"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534,0</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6812736"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853,6</w:t>
            </w:r>
          </w:p>
        </w:tc>
        <w:tc>
          <w:tcPr>
            <w:tcW w:w="851" w:type="dxa"/>
            <w:tcBorders>
              <w:top w:val="nil"/>
              <w:left w:val="nil"/>
              <w:bottom w:val="single" w:sz="4" w:space="0" w:color="auto"/>
              <w:right w:val="single" w:sz="4" w:space="0" w:color="auto"/>
            </w:tcBorders>
            <w:shd w:val="clear" w:color="auto" w:fill="auto"/>
            <w:noWrap/>
            <w:vAlign w:val="center"/>
          </w:tcPr>
          <w:p w14:paraId="53CA3B2D"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654,8</w:t>
            </w:r>
          </w:p>
        </w:tc>
        <w:tc>
          <w:tcPr>
            <w:tcW w:w="850" w:type="dxa"/>
            <w:tcBorders>
              <w:top w:val="nil"/>
              <w:left w:val="nil"/>
              <w:bottom w:val="single" w:sz="4" w:space="0" w:color="auto"/>
              <w:right w:val="single" w:sz="4" w:space="0" w:color="auto"/>
            </w:tcBorders>
            <w:shd w:val="clear" w:color="auto" w:fill="auto"/>
            <w:noWrap/>
            <w:vAlign w:val="center"/>
          </w:tcPr>
          <w:p w14:paraId="104D113B"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629,0</w:t>
            </w:r>
          </w:p>
        </w:tc>
      </w:tr>
      <w:tr w:rsidR="0027570C" w:rsidRPr="00F061D0" w14:paraId="1569639B"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6490EEA" w14:textId="77777777" w:rsidR="0027570C" w:rsidRPr="00A16BA8" w:rsidRDefault="0027570C" w:rsidP="005F05A2">
            <w:pPr>
              <w:spacing w:after="0"/>
              <w:ind w:left="27" w:firstLineChars="60" w:firstLine="114"/>
              <w:jc w:val="left"/>
              <w:rPr>
                <w:rFonts w:eastAsia="Times New Roman" w:cs="Times New Roman"/>
                <w:sz w:val="19"/>
                <w:szCs w:val="19"/>
              </w:rPr>
            </w:pPr>
            <w:r w:rsidRPr="00A16BA8">
              <w:rPr>
                <w:rFonts w:eastAsia="Times New Roman" w:cs="Times New Roman"/>
                <w:sz w:val="19"/>
                <w:szCs w:val="19"/>
              </w:rPr>
              <w:t>Ārvalstu finanšu palīdzība</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BCDDAC9"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1 409,8</w:t>
            </w:r>
          </w:p>
        </w:tc>
        <w:tc>
          <w:tcPr>
            <w:tcW w:w="850" w:type="dxa"/>
            <w:tcBorders>
              <w:top w:val="nil"/>
              <w:left w:val="nil"/>
              <w:bottom w:val="single" w:sz="4" w:space="0" w:color="auto"/>
              <w:right w:val="single" w:sz="4" w:space="0" w:color="auto"/>
            </w:tcBorders>
            <w:shd w:val="clear" w:color="auto" w:fill="auto"/>
            <w:noWrap/>
            <w:vAlign w:val="center"/>
          </w:tcPr>
          <w:p w14:paraId="634F1833"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1 425,6</w:t>
            </w:r>
          </w:p>
        </w:tc>
        <w:tc>
          <w:tcPr>
            <w:tcW w:w="851" w:type="dxa"/>
            <w:tcBorders>
              <w:top w:val="nil"/>
              <w:left w:val="nil"/>
              <w:bottom w:val="single" w:sz="4" w:space="0" w:color="auto"/>
              <w:right w:val="single" w:sz="4" w:space="0" w:color="auto"/>
            </w:tcBorders>
            <w:shd w:val="clear" w:color="auto" w:fill="auto"/>
            <w:noWrap/>
            <w:vAlign w:val="center"/>
          </w:tcPr>
          <w:p w14:paraId="6C604BCB"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1 849,1</w:t>
            </w:r>
          </w:p>
        </w:tc>
        <w:tc>
          <w:tcPr>
            <w:tcW w:w="850" w:type="dxa"/>
            <w:tcBorders>
              <w:top w:val="nil"/>
              <w:left w:val="nil"/>
              <w:bottom w:val="single" w:sz="4" w:space="0" w:color="auto"/>
              <w:right w:val="single" w:sz="4" w:space="0" w:color="auto"/>
            </w:tcBorders>
            <w:shd w:val="clear" w:color="auto" w:fill="auto"/>
            <w:noWrap/>
            <w:vAlign w:val="center"/>
          </w:tcPr>
          <w:p w14:paraId="4548A0D5"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1 813,7</w:t>
            </w:r>
          </w:p>
        </w:tc>
        <w:tc>
          <w:tcPr>
            <w:tcW w:w="851" w:type="dxa"/>
            <w:tcBorders>
              <w:top w:val="single" w:sz="4" w:space="0" w:color="auto"/>
              <w:left w:val="nil"/>
              <w:bottom w:val="single" w:sz="4" w:space="0" w:color="auto"/>
              <w:right w:val="single" w:sz="4" w:space="0" w:color="auto"/>
            </w:tcBorders>
            <w:vAlign w:val="center"/>
          </w:tcPr>
          <w:p w14:paraId="0E4EEF69"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1 602,7</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0543556E"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1 849,4</w:t>
            </w:r>
          </w:p>
        </w:tc>
        <w:tc>
          <w:tcPr>
            <w:tcW w:w="851" w:type="dxa"/>
            <w:tcBorders>
              <w:top w:val="nil"/>
              <w:left w:val="nil"/>
              <w:bottom w:val="single" w:sz="4" w:space="0" w:color="auto"/>
              <w:right w:val="single" w:sz="4" w:space="0" w:color="auto"/>
            </w:tcBorders>
            <w:shd w:val="clear" w:color="auto" w:fill="auto"/>
            <w:noWrap/>
            <w:vAlign w:val="center"/>
          </w:tcPr>
          <w:p w14:paraId="03311EFA"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1 814,4</w:t>
            </w:r>
          </w:p>
        </w:tc>
        <w:tc>
          <w:tcPr>
            <w:tcW w:w="850" w:type="dxa"/>
            <w:tcBorders>
              <w:top w:val="nil"/>
              <w:left w:val="nil"/>
              <w:bottom w:val="single" w:sz="4" w:space="0" w:color="auto"/>
              <w:right w:val="single" w:sz="4" w:space="0" w:color="auto"/>
            </w:tcBorders>
            <w:shd w:val="clear" w:color="auto" w:fill="auto"/>
            <w:noWrap/>
            <w:vAlign w:val="center"/>
          </w:tcPr>
          <w:p w14:paraId="0E7E1146"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1 603,0</w:t>
            </w:r>
          </w:p>
        </w:tc>
      </w:tr>
      <w:tr w:rsidR="0027570C" w:rsidRPr="00F061D0" w14:paraId="6692A969"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71EEC22"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Pārējie ieņēmumi</w:t>
            </w:r>
          </w:p>
        </w:tc>
        <w:tc>
          <w:tcPr>
            <w:tcW w:w="851" w:type="dxa"/>
            <w:tcBorders>
              <w:top w:val="nil"/>
              <w:left w:val="nil"/>
              <w:bottom w:val="single" w:sz="4" w:space="0" w:color="auto"/>
              <w:right w:val="single" w:sz="4" w:space="0" w:color="auto"/>
            </w:tcBorders>
            <w:shd w:val="clear" w:color="auto" w:fill="auto"/>
            <w:noWrap/>
            <w:vAlign w:val="center"/>
          </w:tcPr>
          <w:p w14:paraId="48557804"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130,7</w:t>
            </w:r>
          </w:p>
        </w:tc>
        <w:tc>
          <w:tcPr>
            <w:tcW w:w="850" w:type="dxa"/>
            <w:tcBorders>
              <w:top w:val="nil"/>
              <w:left w:val="nil"/>
              <w:bottom w:val="single" w:sz="4" w:space="0" w:color="auto"/>
              <w:right w:val="single" w:sz="4" w:space="0" w:color="auto"/>
            </w:tcBorders>
            <w:shd w:val="clear" w:color="auto" w:fill="auto"/>
            <w:noWrap/>
            <w:vAlign w:val="center"/>
          </w:tcPr>
          <w:p w14:paraId="11EA1CFA"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129,3</w:t>
            </w:r>
          </w:p>
        </w:tc>
        <w:tc>
          <w:tcPr>
            <w:tcW w:w="851" w:type="dxa"/>
            <w:tcBorders>
              <w:top w:val="nil"/>
              <w:left w:val="nil"/>
              <w:bottom w:val="single" w:sz="4" w:space="0" w:color="auto"/>
              <w:right w:val="single" w:sz="4" w:space="0" w:color="auto"/>
            </w:tcBorders>
            <w:shd w:val="clear" w:color="auto" w:fill="auto"/>
            <w:noWrap/>
            <w:vAlign w:val="center"/>
          </w:tcPr>
          <w:p w14:paraId="5D666F65"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124,5</w:t>
            </w:r>
          </w:p>
        </w:tc>
        <w:tc>
          <w:tcPr>
            <w:tcW w:w="850" w:type="dxa"/>
            <w:tcBorders>
              <w:top w:val="nil"/>
              <w:left w:val="nil"/>
              <w:bottom w:val="single" w:sz="4" w:space="0" w:color="auto"/>
              <w:right w:val="single" w:sz="4" w:space="0" w:color="auto"/>
            </w:tcBorders>
            <w:shd w:val="clear" w:color="auto" w:fill="auto"/>
            <w:noWrap/>
            <w:vAlign w:val="center"/>
          </w:tcPr>
          <w:p w14:paraId="3DCC67F5"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116,9</w:t>
            </w:r>
          </w:p>
        </w:tc>
        <w:tc>
          <w:tcPr>
            <w:tcW w:w="851" w:type="dxa"/>
            <w:tcBorders>
              <w:top w:val="single" w:sz="4" w:space="0" w:color="auto"/>
              <w:left w:val="nil"/>
              <w:bottom w:val="single" w:sz="4" w:space="0" w:color="auto"/>
              <w:right w:val="single" w:sz="4" w:space="0" w:color="auto"/>
            </w:tcBorders>
            <w:vAlign w:val="center"/>
          </w:tcPr>
          <w:p w14:paraId="65BCFBEA"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117,0</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1E193F03"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127,9</w:t>
            </w:r>
          </w:p>
        </w:tc>
        <w:tc>
          <w:tcPr>
            <w:tcW w:w="851" w:type="dxa"/>
            <w:tcBorders>
              <w:top w:val="nil"/>
              <w:left w:val="nil"/>
              <w:bottom w:val="single" w:sz="4" w:space="0" w:color="auto"/>
              <w:right w:val="single" w:sz="4" w:space="0" w:color="auto"/>
            </w:tcBorders>
            <w:shd w:val="clear" w:color="auto" w:fill="auto"/>
            <w:noWrap/>
            <w:vAlign w:val="center"/>
          </w:tcPr>
          <w:p w14:paraId="49932B5C"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119,4</w:t>
            </w:r>
          </w:p>
        </w:tc>
        <w:tc>
          <w:tcPr>
            <w:tcW w:w="850" w:type="dxa"/>
            <w:tcBorders>
              <w:top w:val="nil"/>
              <w:left w:val="nil"/>
              <w:bottom w:val="single" w:sz="4" w:space="0" w:color="auto"/>
              <w:right w:val="single" w:sz="4" w:space="0" w:color="auto"/>
            </w:tcBorders>
            <w:shd w:val="clear" w:color="auto" w:fill="auto"/>
            <w:noWrap/>
            <w:vAlign w:val="center"/>
          </w:tcPr>
          <w:p w14:paraId="2DF33706"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119,3</w:t>
            </w:r>
          </w:p>
        </w:tc>
      </w:tr>
      <w:tr w:rsidR="0027570C" w:rsidRPr="00F061D0" w14:paraId="7766F898" w14:textId="77777777" w:rsidTr="005F05A2">
        <w:trPr>
          <w:trHeight w:val="104"/>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379FEE2" w14:textId="77777777" w:rsidR="0027570C" w:rsidRPr="00A16BA8" w:rsidRDefault="0027570C" w:rsidP="005F05A2">
            <w:pPr>
              <w:spacing w:after="0"/>
              <w:ind w:left="-183" w:firstLineChars="100" w:firstLine="190"/>
              <w:jc w:val="left"/>
              <w:rPr>
                <w:rFonts w:eastAsia="Times New Roman" w:cs="Times New Roman"/>
                <w:sz w:val="19"/>
                <w:szCs w:val="19"/>
              </w:rPr>
            </w:pPr>
            <w:r w:rsidRPr="00A16BA8">
              <w:rPr>
                <w:rFonts w:eastAsia="Times New Roman" w:cs="Times New Roman"/>
                <w:sz w:val="19"/>
                <w:szCs w:val="19"/>
              </w:rPr>
              <w:t>Izdevumi</w:t>
            </w:r>
          </w:p>
        </w:tc>
        <w:tc>
          <w:tcPr>
            <w:tcW w:w="851" w:type="dxa"/>
            <w:tcBorders>
              <w:top w:val="nil"/>
              <w:left w:val="nil"/>
              <w:bottom w:val="single" w:sz="4" w:space="0" w:color="auto"/>
              <w:right w:val="single" w:sz="4" w:space="0" w:color="auto"/>
            </w:tcBorders>
            <w:shd w:val="clear" w:color="auto" w:fill="auto"/>
            <w:noWrap/>
            <w:vAlign w:val="center"/>
          </w:tcPr>
          <w:p w14:paraId="1A33E07F"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10 181,2</w:t>
            </w:r>
          </w:p>
        </w:tc>
        <w:tc>
          <w:tcPr>
            <w:tcW w:w="850" w:type="dxa"/>
            <w:tcBorders>
              <w:top w:val="nil"/>
              <w:left w:val="nil"/>
              <w:bottom w:val="single" w:sz="4" w:space="0" w:color="auto"/>
              <w:right w:val="single" w:sz="4" w:space="0" w:color="auto"/>
            </w:tcBorders>
            <w:shd w:val="clear" w:color="auto" w:fill="auto"/>
            <w:noWrap/>
            <w:vAlign w:val="center"/>
          </w:tcPr>
          <w:p w14:paraId="53382B0C"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10 599,4</w:t>
            </w:r>
          </w:p>
        </w:tc>
        <w:tc>
          <w:tcPr>
            <w:tcW w:w="851" w:type="dxa"/>
            <w:tcBorders>
              <w:top w:val="nil"/>
              <w:left w:val="nil"/>
              <w:bottom w:val="single" w:sz="4" w:space="0" w:color="auto"/>
              <w:right w:val="single" w:sz="4" w:space="0" w:color="auto"/>
            </w:tcBorders>
            <w:shd w:val="clear" w:color="auto" w:fill="auto"/>
            <w:noWrap/>
            <w:vAlign w:val="center"/>
          </w:tcPr>
          <w:p w14:paraId="2CD84D11"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11 236,9</w:t>
            </w:r>
          </w:p>
        </w:tc>
        <w:tc>
          <w:tcPr>
            <w:tcW w:w="850" w:type="dxa"/>
            <w:tcBorders>
              <w:top w:val="nil"/>
              <w:left w:val="nil"/>
              <w:bottom w:val="single" w:sz="4" w:space="0" w:color="auto"/>
              <w:right w:val="single" w:sz="4" w:space="0" w:color="auto"/>
            </w:tcBorders>
            <w:shd w:val="clear" w:color="auto" w:fill="auto"/>
            <w:noWrap/>
            <w:vAlign w:val="center"/>
          </w:tcPr>
          <w:p w14:paraId="011159A0"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11 292,8</w:t>
            </w:r>
          </w:p>
        </w:tc>
        <w:tc>
          <w:tcPr>
            <w:tcW w:w="851" w:type="dxa"/>
            <w:tcBorders>
              <w:top w:val="single" w:sz="4" w:space="0" w:color="auto"/>
              <w:left w:val="nil"/>
              <w:bottom w:val="single" w:sz="4" w:space="0" w:color="auto"/>
              <w:right w:val="single" w:sz="4" w:space="0" w:color="auto"/>
            </w:tcBorders>
            <w:vAlign w:val="center"/>
          </w:tcPr>
          <w:p w14:paraId="11A7F771"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10 606,7</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3CC52E3"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12 147,9</w:t>
            </w:r>
          </w:p>
        </w:tc>
        <w:tc>
          <w:tcPr>
            <w:tcW w:w="851" w:type="dxa"/>
            <w:tcBorders>
              <w:top w:val="nil"/>
              <w:left w:val="nil"/>
              <w:bottom w:val="single" w:sz="4" w:space="0" w:color="auto"/>
              <w:right w:val="single" w:sz="4" w:space="0" w:color="auto"/>
            </w:tcBorders>
            <w:shd w:val="clear" w:color="auto" w:fill="auto"/>
            <w:noWrap/>
            <w:vAlign w:val="center"/>
          </w:tcPr>
          <w:p w14:paraId="0094B396"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12 046,1</w:t>
            </w:r>
          </w:p>
        </w:tc>
        <w:tc>
          <w:tcPr>
            <w:tcW w:w="850" w:type="dxa"/>
            <w:tcBorders>
              <w:top w:val="nil"/>
              <w:left w:val="nil"/>
              <w:bottom w:val="single" w:sz="4" w:space="0" w:color="auto"/>
              <w:right w:val="single" w:sz="4" w:space="0" w:color="auto"/>
            </w:tcBorders>
            <w:shd w:val="clear" w:color="auto" w:fill="auto"/>
            <w:noWrap/>
            <w:vAlign w:val="center"/>
          </w:tcPr>
          <w:p w14:paraId="63BA2694"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11 539,3</w:t>
            </w:r>
          </w:p>
        </w:tc>
      </w:tr>
      <w:tr w:rsidR="0027570C" w:rsidRPr="00F061D0" w14:paraId="355D669D"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45BDC0D"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Uzturēšanas izdevumi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5A9E1"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9 322,3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22D755"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9 563,9</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0ABB35D"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10 200,7</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0CEEAD"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10 527,2</w:t>
            </w:r>
          </w:p>
        </w:tc>
        <w:tc>
          <w:tcPr>
            <w:tcW w:w="851" w:type="dxa"/>
            <w:tcBorders>
              <w:top w:val="single" w:sz="4" w:space="0" w:color="auto"/>
              <w:left w:val="nil"/>
              <w:bottom w:val="single" w:sz="4" w:space="0" w:color="auto"/>
              <w:right w:val="single" w:sz="4" w:space="0" w:color="auto"/>
            </w:tcBorders>
            <w:vAlign w:val="center"/>
          </w:tcPr>
          <w:p w14:paraId="392D07F0"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9 904,5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9658A8"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11 076,7</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5D3F00A"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11 239,7</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EAC5C49" w14:textId="77777777" w:rsidR="0027570C" w:rsidRPr="00F061D0" w:rsidRDefault="0027570C" w:rsidP="005F05A2">
            <w:pPr>
              <w:spacing w:after="0"/>
              <w:ind w:firstLine="0"/>
              <w:jc w:val="right"/>
              <w:rPr>
                <w:rFonts w:eastAsia="Times New Roman" w:cs="Times New Roman"/>
                <w:color w:val="FF0000"/>
                <w:sz w:val="18"/>
                <w:szCs w:val="18"/>
              </w:rPr>
            </w:pPr>
            <w:r>
              <w:rPr>
                <w:sz w:val="18"/>
                <w:szCs w:val="18"/>
              </w:rPr>
              <w:t>10 769,7</w:t>
            </w:r>
          </w:p>
        </w:tc>
      </w:tr>
      <w:tr w:rsidR="0027570C" w:rsidRPr="00F061D0" w14:paraId="0CC07660"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B3665E2"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Kapitālie 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0EF6891"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858,9</w:t>
            </w:r>
          </w:p>
        </w:tc>
        <w:tc>
          <w:tcPr>
            <w:tcW w:w="850" w:type="dxa"/>
            <w:tcBorders>
              <w:top w:val="nil"/>
              <w:left w:val="nil"/>
              <w:bottom w:val="single" w:sz="4" w:space="0" w:color="auto"/>
              <w:right w:val="single" w:sz="4" w:space="0" w:color="auto"/>
            </w:tcBorders>
            <w:shd w:val="clear" w:color="auto" w:fill="auto"/>
            <w:noWrap/>
            <w:vAlign w:val="center"/>
          </w:tcPr>
          <w:p w14:paraId="0B8B57DF"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1 035,5</w:t>
            </w:r>
          </w:p>
        </w:tc>
        <w:tc>
          <w:tcPr>
            <w:tcW w:w="851" w:type="dxa"/>
            <w:tcBorders>
              <w:top w:val="nil"/>
              <w:left w:val="nil"/>
              <w:bottom w:val="single" w:sz="4" w:space="0" w:color="auto"/>
              <w:right w:val="single" w:sz="4" w:space="0" w:color="auto"/>
            </w:tcBorders>
            <w:shd w:val="clear" w:color="auto" w:fill="auto"/>
            <w:noWrap/>
            <w:vAlign w:val="center"/>
          </w:tcPr>
          <w:p w14:paraId="7BB6CDA4"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1 036,2</w:t>
            </w:r>
          </w:p>
        </w:tc>
        <w:tc>
          <w:tcPr>
            <w:tcW w:w="850" w:type="dxa"/>
            <w:tcBorders>
              <w:top w:val="nil"/>
              <w:left w:val="nil"/>
              <w:bottom w:val="single" w:sz="4" w:space="0" w:color="auto"/>
              <w:right w:val="single" w:sz="4" w:space="0" w:color="auto"/>
            </w:tcBorders>
            <w:shd w:val="clear" w:color="auto" w:fill="auto"/>
            <w:noWrap/>
            <w:vAlign w:val="center"/>
          </w:tcPr>
          <w:p w14:paraId="2EFBFF4B"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765,6</w:t>
            </w:r>
          </w:p>
        </w:tc>
        <w:tc>
          <w:tcPr>
            <w:tcW w:w="851" w:type="dxa"/>
            <w:tcBorders>
              <w:top w:val="single" w:sz="4" w:space="0" w:color="auto"/>
              <w:left w:val="nil"/>
              <w:bottom w:val="single" w:sz="4" w:space="0" w:color="auto"/>
              <w:right w:val="single" w:sz="4" w:space="0" w:color="auto"/>
            </w:tcBorders>
            <w:vAlign w:val="center"/>
          </w:tcPr>
          <w:p w14:paraId="147DBDAF"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702,2</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36E2A975"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1 071,2</w:t>
            </w:r>
          </w:p>
        </w:tc>
        <w:tc>
          <w:tcPr>
            <w:tcW w:w="851" w:type="dxa"/>
            <w:tcBorders>
              <w:top w:val="nil"/>
              <w:left w:val="nil"/>
              <w:bottom w:val="single" w:sz="4" w:space="0" w:color="auto"/>
              <w:right w:val="single" w:sz="4" w:space="0" w:color="auto"/>
            </w:tcBorders>
            <w:shd w:val="clear" w:color="auto" w:fill="auto"/>
            <w:noWrap/>
            <w:vAlign w:val="center"/>
          </w:tcPr>
          <w:p w14:paraId="308BC0E6"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806,4</w:t>
            </w:r>
          </w:p>
        </w:tc>
        <w:tc>
          <w:tcPr>
            <w:tcW w:w="850" w:type="dxa"/>
            <w:tcBorders>
              <w:top w:val="nil"/>
              <w:left w:val="nil"/>
              <w:bottom w:val="single" w:sz="4" w:space="0" w:color="auto"/>
              <w:right w:val="single" w:sz="4" w:space="0" w:color="auto"/>
            </w:tcBorders>
            <w:shd w:val="clear" w:color="auto" w:fill="auto"/>
            <w:noWrap/>
            <w:vAlign w:val="center"/>
          </w:tcPr>
          <w:p w14:paraId="7C7417C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769,6</w:t>
            </w:r>
          </w:p>
        </w:tc>
      </w:tr>
      <w:tr w:rsidR="0027570C" w:rsidRPr="00F061D0" w14:paraId="1665DC28"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E89EEF5" w14:textId="77777777" w:rsidR="0027570C" w:rsidRPr="00A16BA8" w:rsidRDefault="0027570C" w:rsidP="005F05A2">
            <w:pPr>
              <w:spacing w:after="0"/>
              <w:ind w:firstLine="0"/>
              <w:jc w:val="left"/>
              <w:rPr>
                <w:rFonts w:eastAsia="Times New Roman" w:cs="Times New Roman"/>
                <w:b/>
                <w:bCs/>
                <w:i/>
                <w:iCs/>
                <w:sz w:val="19"/>
                <w:szCs w:val="19"/>
              </w:rPr>
            </w:pPr>
            <w:r w:rsidRPr="00A16BA8">
              <w:rPr>
                <w:rFonts w:eastAsia="Times New Roman" w:cs="Times New Roman"/>
                <w:b/>
                <w:bCs/>
                <w:i/>
                <w:iCs/>
                <w:sz w:val="19"/>
                <w:szCs w:val="19"/>
              </w:rPr>
              <w:t>VALSTS SPECIĀLĀ BUDŽETA BILANCE</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CA0FBAE" w14:textId="77777777" w:rsidR="0027570C" w:rsidRPr="00A16BA8" w:rsidRDefault="0027570C" w:rsidP="005F05A2">
            <w:pPr>
              <w:spacing w:after="0"/>
              <w:ind w:firstLine="0"/>
              <w:jc w:val="right"/>
              <w:rPr>
                <w:rFonts w:eastAsia="Times New Roman" w:cs="Times New Roman"/>
                <w:b/>
                <w:bCs/>
                <w:sz w:val="18"/>
                <w:szCs w:val="18"/>
                <w:highlight w:val="yellow"/>
              </w:rPr>
            </w:pPr>
            <w:r w:rsidRPr="00A16BA8">
              <w:rPr>
                <w:b/>
                <w:bCs/>
                <w:sz w:val="18"/>
                <w:szCs w:val="18"/>
              </w:rPr>
              <w:t>343,5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6E41168"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252,7</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67CC2C2"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334,6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486F9C"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362,1</w:t>
            </w:r>
          </w:p>
        </w:tc>
        <w:tc>
          <w:tcPr>
            <w:tcW w:w="851" w:type="dxa"/>
            <w:tcBorders>
              <w:top w:val="single" w:sz="4" w:space="0" w:color="auto"/>
              <w:left w:val="nil"/>
              <w:bottom w:val="single" w:sz="4" w:space="0" w:color="auto"/>
              <w:right w:val="single" w:sz="4" w:space="0" w:color="auto"/>
            </w:tcBorders>
            <w:vAlign w:val="center"/>
          </w:tcPr>
          <w:p w14:paraId="74EE730F"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264,8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0F9E9" w14:textId="77777777" w:rsidR="0027570C" w:rsidRPr="00074852" w:rsidRDefault="0027570C" w:rsidP="005F05A2">
            <w:pPr>
              <w:spacing w:after="0"/>
              <w:ind w:firstLine="0"/>
              <w:jc w:val="right"/>
              <w:rPr>
                <w:rFonts w:eastAsia="Times New Roman" w:cs="Times New Roman"/>
                <w:b/>
                <w:bCs/>
                <w:i/>
                <w:color w:val="FF0000"/>
                <w:sz w:val="18"/>
                <w:szCs w:val="18"/>
              </w:rPr>
            </w:pPr>
            <w:r w:rsidRPr="00074852">
              <w:rPr>
                <w:b/>
                <w:bCs/>
                <w:sz w:val="18"/>
                <w:szCs w:val="18"/>
              </w:rPr>
              <w:t>405,0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8405C66" w14:textId="77777777" w:rsidR="0027570C" w:rsidRPr="00F061D0" w:rsidRDefault="0027570C" w:rsidP="005F05A2">
            <w:pPr>
              <w:spacing w:after="0"/>
              <w:ind w:firstLine="0"/>
              <w:jc w:val="right"/>
              <w:rPr>
                <w:rFonts w:eastAsia="Times New Roman" w:cs="Times New Roman"/>
                <w:b/>
                <w:bCs/>
                <w:i/>
                <w:color w:val="FF0000"/>
                <w:sz w:val="18"/>
                <w:szCs w:val="18"/>
                <w:highlight w:val="yellow"/>
              </w:rPr>
            </w:pPr>
            <w:r>
              <w:rPr>
                <w:b/>
                <w:bCs/>
                <w:sz w:val="18"/>
                <w:szCs w:val="18"/>
              </w:rPr>
              <w:t>432,6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8259F87" w14:textId="77777777" w:rsidR="0027570C" w:rsidRPr="00F061D0" w:rsidRDefault="0027570C" w:rsidP="005F05A2">
            <w:pPr>
              <w:spacing w:after="0"/>
              <w:ind w:firstLine="0"/>
              <w:jc w:val="right"/>
              <w:rPr>
                <w:rFonts w:eastAsia="Times New Roman" w:cs="Times New Roman"/>
                <w:b/>
                <w:bCs/>
                <w:i/>
                <w:color w:val="FF0000"/>
                <w:sz w:val="18"/>
                <w:szCs w:val="18"/>
                <w:highlight w:val="yellow"/>
              </w:rPr>
            </w:pPr>
            <w:r>
              <w:rPr>
                <w:b/>
                <w:bCs/>
                <w:sz w:val="18"/>
                <w:szCs w:val="18"/>
              </w:rPr>
              <w:t>337,7</w:t>
            </w:r>
          </w:p>
        </w:tc>
      </w:tr>
      <w:tr w:rsidR="0027570C" w:rsidRPr="00F061D0" w14:paraId="3596E51F"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CBBA367" w14:textId="77777777" w:rsidR="0027570C" w:rsidRPr="00A16BA8" w:rsidRDefault="0027570C" w:rsidP="005F05A2">
            <w:pPr>
              <w:spacing w:after="0"/>
              <w:ind w:left="-183" w:firstLineChars="100" w:firstLine="190"/>
              <w:jc w:val="left"/>
              <w:rPr>
                <w:rFonts w:eastAsia="Times New Roman" w:cs="Times New Roman"/>
                <w:sz w:val="19"/>
                <w:szCs w:val="19"/>
              </w:rPr>
            </w:pPr>
            <w:r w:rsidRPr="00A16BA8">
              <w:rPr>
                <w:rFonts w:eastAsia="Times New Roman" w:cs="Times New Roman"/>
                <w:sz w:val="19"/>
                <w:szCs w:val="19"/>
              </w:rPr>
              <w:t>Ieņēmumi</w:t>
            </w:r>
          </w:p>
        </w:tc>
        <w:tc>
          <w:tcPr>
            <w:tcW w:w="851" w:type="dxa"/>
            <w:tcBorders>
              <w:top w:val="nil"/>
              <w:left w:val="nil"/>
              <w:bottom w:val="single" w:sz="4" w:space="0" w:color="auto"/>
              <w:right w:val="single" w:sz="4" w:space="0" w:color="auto"/>
            </w:tcBorders>
            <w:shd w:val="clear" w:color="auto" w:fill="auto"/>
            <w:noWrap/>
            <w:vAlign w:val="center"/>
          </w:tcPr>
          <w:p w14:paraId="25787B17"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3 933,2</w:t>
            </w:r>
          </w:p>
        </w:tc>
        <w:tc>
          <w:tcPr>
            <w:tcW w:w="850" w:type="dxa"/>
            <w:tcBorders>
              <w:top w:val="nil"/>
              <w:left w:val="nil"/>
              <w:bottom w:val="single" w:sz="4" w:space="0" w:color="auto"/>
              <w:right w:val="single" w:sz="4" w:space="0" w:color="auto"/>
            </w:tcBorders>
            <w:shd w:val="clear" w:color="auto" w:fill="auto"/>
            <w:noWrap/>
            <w:vAlign w:val="center"/>
          </w:tcPr>
          <w:p w14:paraId="1A16DE93"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4 283,6</w:t>
            </w:r>
          </w:p>
        </w:tc>
        <w:tc>
          <w:tcPr>
            <w:tcW w:w="851" w:type="dxa"/>
            <w:tcBorders>
              <w:top w:val="nil"/>
              <w:left w:val="nil"/>
              <w:bottom w:val="single" w:sz="4" w:space="0" w:color="auto"/>
              <w:right w:val="single" w:sz="4" w:space="0" w:color="auto"/>
            </w:tcBorders>
            <w:shd w:val="clear" w:color="auto" w:fill="auto"/>
            <w:noWrap/>
            <w:vAlign w:val="center"/>
          </w:tcPr>
          <w:p w14:paraId="7A65703C"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4 700,0</w:t>
            </w:r>
          </w:p>
        </w:tc>
        <w:tc>
          <w:tcPr>
            <w:tcW w:w="850" w:type="dxa"/>
            <w:tcBorders>
              <w:top w:val="nil"/>
              <w:left w:val="nil"/>
              <w:bottom w:val="single" w:sz="4" w:space="0" w:color="auto"/>
              <w:right w:val="single" w:sz="4" w:space="0" w:color="auto"/>
            </w:tcBorders>
            <w:shd w:val="clear" w:color="auto" w:fill="auto"/>
            <w:noWrap/>
            <w:vAlign w:val="center"/>
          </w:tcPr>
          <w:p w14:paraId="208FAEE7"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5 050,1</w:t>
            </w:r>
          </w:p>
        </w:tc>
        <w:tc>
          <w:tcPr>
            <w:tcW w:w="851" w:type="dxa"/>
            <w:tcBorders>
              <w:top w:val="single" w:sz="4" w:space="0" w:color="auto"/>
              <w:left w:val="nil"/>
              <w:bottom w:val="single" w:sz="4" w:space="0" w:color="auto"/>
              <w:right w:val="single" w:sz="4" w:space="0" w:color="auto"/>
            </w:tcBorders>
            <w:vAlign w:val="center"/>
          </w:tcPr>
          <w:p w14:paraId="4335863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5 330,5</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76A016E"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4 760,7</w:t>
            </w:r>
          </w:p>
        </w:tc>
        <w:tc>
          <w:tcPr>
            <w:tcW w:w="851" w:type="dxa"/>
            <w:tcBorders>
              <w:top w:val="nil"/>
              <w:left w:val="nil"/>
              <w:bottom w:val="single" w:sz="4" w:space="0" w:color="auto"/>
              <w:right w:val="single" w:sz="4" w:space="0" w:color="auto"/>
            </w:tcBorders>
            <w:shd w:val="clear" w:color="auto" w:fill="auto"/>
            <w:noWrap/>
            <w:vAlign w:val="center"/>
          </w:tcPr>
          <w:p w14:paraId="38C5CDED"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5 125,3</w:t>
            </w:r>
          </w:p>
        </w:tc>
        <w:tc>
          <w:tcPr>
            <w:tcW w:w="850" w:type="dxa"/>
            <w:tcBorders>
              <w:top w:val="nil"/>
              <w:left w:val="nil"/>
              <w:bottom w:val="single" w:sz="4" w:space="0" w:color="auto"/>
              <w:right w:val="single" w:sz="4" w:space="0" w:color="auto"/>
            </w:tcBorders>
            <w:shd w:val="clear" w:color="auto" w:fill="auto"/>
            <w:noWrap/>
            <w:vAlign w:val="center"/>
          </w:tcPr>
          <w:p w14:paraId="1779C568"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5 428,7</w:t>
            </w:r>
          </w:p>
        </w:tc>
      </w:tr>
      <w:tr w:rsidR="0027570C" w:rsidRPr="00F061D0" w14:paraId="1EB51104"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8E0B4E5"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Nodokļu ieņēmumi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89ED7"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3 539,5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7427C71"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3 943,6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CACC8D3"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4 341,3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BA1355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4 620,2</w:t>
            </w:r>
          </w:p>
        </w:tc>
        <w:tc>
          <w:tcPr>
            <w:tcW w:w="851" w:type="dxa"/>
            <w:tcBorders>
              <w:top w:val="single" w:sz="4" w:space="0" w:color="auto"/>
              <w:left w:val="nil"/>
              <w:bottom w:val="single" w:sz="4" w:space="0" w:color="auto"/>
              <w:right w:val="single" w:sz="4" w:space="0" w:color="auto"/>
            </w:tcBorders>
            <w:vAlign w:val="center"/>
          </w:tcPr>
          <w:p w14:paraId="32876F9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4 905,0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FF348"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4 387,4</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4B4D053"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4 665,2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7A8B858"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4 951,5</w:t>
            </w:r>
          </w:p>
        </w:tc>
      </w:tr>
      <w:tr w:rsidR="0027570C" w:rsidRPr="00F061D0" w14:paraId="4F51FBD3"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35A8279"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Pārējie ieņēmumi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4C2263"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393,6</w:t>
            </w:r>
          </w:p>
        </w:tc>
        <w:tc>
          <w:tcPr>
            <w:tcW w:w="850" w:type="dxa"/>
            <w:tcBorders>
              <w:top w:val="nil"/>
              <w:left w:val="nil"/>
              <w:bottom w:val="single" w:sz="4" w:space="0" w:color="auto"/>
              <w:right w:val="single" w:sz="4" w:space="0" w:color="auto"/>
            </w:tcBorders>
            <w:shd w:val="clear" w:color="auto" w:fill="auto"/>
            <w:noWrap/>
            <w:vAlign w:val="center"/>
          </w:tcPr>
          <w:p w14:paraId="1DD02647"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339,9</w:t>
            </w:r>
          </w:p>
        </w:tc>
        <w:tc>
          <w:tcPr>
            <w:tcW w:w="851" w:type="dxa"/>
            <w:tcBorders>
              <w:top w:val="nil"/>
              <w:left w:val="nil"/>
              <w:bottom w:val="single" w:sz="4" w:space="0" w:color="auto"/>
              <w:right w:val="single" w:sz="4" w:space="0" w:color="auto"/>
            </w:tcBorders>
            <w:shd w:val="clear" w:color="auto" w:fill="auto"/>
            <w:noWrap/>
            <w:vAlign w:val="center"/>
          </w:tcPr>
          <w:p w14:paraId="5559445D"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358,7</w:t>
            </w:r>
          </w:p>
        </w:tc>
        <w:tc>
          <w:tcPr>
            <w:tcW w:w="850" w:type="dxa"/>
            <w:tcBorders>
              <w:top w:val="nil"/>
              <w:left w:val="nil"/>
              <w:bottom w:val="single" w:sz="4" w:space="0" w:color="auto"/>
              <w:right w:val="single" w:sz="4" w:space="0" w:color="auto"/>
            </w:tcBorders>
            <w:shd w:val="clear" w:color="auto" w:fill="auto"/>
            <w:noWrap/>
            <w:vAlign w:val="center"/>
          </w:tcPr>
          <w:p w14:paraId="5CA08411"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429,9</w:t>
            </w:r>
          </w:p>
        </w:tc>
        <w:tc>
          <w:tcPr>
            <w:tcW w:w="851" w:type="dxa"/>
            <w:tcBorders>
              <w:top w:val="single" w:sz="4" w:space="0" w:color="auto"/>
              <w:left w:val="nil"/>
              <w:bottom w:val="single" w:sz="4" w:space="0" w:color="auto"/>
              <w:right w:val="single" w:sz="4" w:space="0" w:color="auto"/>
            </w:tcBorders>
            <w:vAlign w:val="center"/>
          </w:tcPr>
          <w:p w14:paraId="14F769AE"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425,5</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29DE218"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373,3</w:t>
            </w:r>
          </w:p>
        </w:tc>
        <w:tc>
          <w:tcPr>
            <w:tcW w:w="851" w:type="dxa"/>
            <w:tcBorders>
              <w:top w:val="nil"/>
              <w:left w:val="nil"/>
              <w:bottom w:val="single" w:sz="4" w:space="0" w:color="auto"/>
              <w:right w:val="single" w:sz="4" w:space="0" w:color="auto"/>
            </w:tcBorders>
            <w:shd w:val="clear" w:color="auto" w:fill="auto"/>
            <w:noWrap/>
            <w:vAlign w:val="center"/>
          </w:tcPr>
          <w:p w14:paraId="2DF7A12A"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460,1</w:t>
            </w:r>
          </w:p>
        </w:tc>
        <w:tc>
          <w:tcPr>
            <w:tcW w:w="850" w:type="dxa"/>
            <w:tcBorders>
              <w:top w:val="nil"/>
              <w:left w:val="nil"/>
              <w:bottom w:val="single" w:sz="4" w:space="0" w:color="auto"/>
              <w:right w:val="single" w:sz="4" w:space="0" w:color="auto"/>
            </w:tcBorders>
            <w:shd w:val="clear" w:color="auto" w:fill="auto"/>
            <w:noWrap/>
            <w:vAlign w:val="center"/>
          </w:tcPr>
          <w:p w14:paraId="0FEE9836"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477,2</w:t>
            </w:r>
          </w:p>
        </w:tc>
      </w:tr>
      <w:tr w:rsidR="0027570C" w:rsidRPr="00F061D0" w14:paraId="62019E15"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736ADF0" w14:textId="77777777" w:rsidR="0027570C" w:rsidRPr="00A16BA8" w:rsidRDefault="0027570C" w:rsidP="005F05A2">
            <w:pPr>
              <w:spacing w:after="0"/>
              <w:ind w:left="-183" w:firstLineChars="100" w:firstLine="190"/>
              <w:jc w:val="left"/>
              <w:rPr>
                <w:rFonts w:eastAsia="Times New Roman" w:cs="Times New Roman"/>
                <w:sz w:val="19"/>
                <w:szCs w:val="19"/>
              </w:rPr>
            </w:pPr>
            <w:r w:rsidRPr="00A16BA8">
              <w:rPr>
                <w:rFonts w:eastAsia="Times New Roman" w:cs="Times New Roman"/>
                <w:sz w:val="19"/>
                <w:szCs w:val="19"/>
              </w:rPr>
              <w:t>Izdevumi</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7BB9353"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3 589,6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20FA766"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4 030,9</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D95E281"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4 365,4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A1F184C"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4 688,0</w:t>
            </w:r>
          </w:p>
        </w:tc>
        <w:tc>
          <w:tcPr>
            <w:tcW w:w="851" w:type="dxa"/>
            <w:tcBorders>
              <w:top w:val="single" w:sz="4" w:space="0" w:color="auto"/>
              <w:left w:val="nil"/>
              <w:bottom w:val="single" w:sz="4" w:space="0" w:color="auto"/>
              <w:right w:val="single" w:sz="4" w:space="0" w:color="auto"/>
            </w:tcBorders>
            <w:vAlign w:val="center"/>
          </w:tcPr>
          <w:p w14:paraId="25F4069C"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5 065,7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E50D6"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4 355,7</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35FE421"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4 692,7</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BF9D47"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5 091,0</w:t>
            </w:r>
          </w:p>
        </w:tc>
      </w:tr>
      <w:tr w:rsidR="0027570C" w:rsidRPr="00F061D0" w14:paraId="442C35CB"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31A7E0B"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Uzturēšanas izdevumi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253D8"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3 587,6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9377C6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4 029,3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AB793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4 364,5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D55327B"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4 687,0</w:t>
            </w:r>
          </w:p>
        </w:tc>
        <w:tc>
          <w:tcPr>
            <w:tcW w:w="851" w:type="dxa"/>
            <w:tcBorders>
              <w:top w:val="single" w:sz="4" w:space="0" w:color="auto"/>
              <w:left w:val="nil"/>
              <w:bottom w:val="single" w:sz="4" w:space="0" w:color="auto"/>
              <w:right w:val="single" w:sz="4" w:space="0" w:color="auto"/>
            </w:tcBorders>
            <w:vAlign w:val="center"/>
          </w:tcPr>
          <w:p w14:paraId="087E5ED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5 064,8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8525D" w14:textId="77777777" w:rsidR="0027570C" w:rsidRPr="00074852" w:rsidRDefault="0027570C" w:rsidP="005F05A2">
            <w:pPr>
              <w:spacing w:after="0"/>
              <w:ind w:firstLine="0"/>
              <w:jc w:val="right"/>
              <w:rPr>
                <w:rFonts w:eastAsia="Times New Roman" w:cs="Times New Roman"/>
                <w:color w:val="FF0000"/>
                <w:sz w:val="18"/>
                <w:szCs w:val="18"/>
              </w:rPr>
            </w:pPr>
            <w:r w:rsidRPr="00074852">
              <w:rPr>
                <w:sz w:val="18"/>
                <w:szCs w:val="18"/>
              </w:rPr>
              <w:t>4 354,6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14C9CD8"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4 691,7</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329C30B"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5 090,0</w:t>
            </w:r>
          </w:p>
        </w:tc>
      </w:tr>
      <w:tr w:rsidR="0027570C" w:rsidRPr="00F061D0" w14:paraId="592220CA"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F187A72" w14:textId="77777777" w:rsidR="0027570C" w:rsidRPr="00A16BA8" w:rsidRDefault="0027570C" w:rsidP="005F05A2">
            <w:pPr>
              <w:spacing w:after="0"/>
              <w:ind w:left="-239" w:firstLineChars="200" w:firstLine="380"/>
              <w:jc w:val="left"/>
              <w:rPr>
                <w:rFonts w:eastAsia="Times New Roman" w:cs="Times New Roman"/>
                <w:sz w:val="19"/>
                <w:szCs w:val="19"/>
              </w:rPr>
            </w:pPr>
            <w:r w:rsidRPr="00A16BA8">
              <w:rPr>
                <w:rFonts w:eastAsia="Times New Roman" w:cs="Times New Roman"/>
                <w:sz w:val="19"/>
                <w:szCs w:val="19"/>
              </w:rPr>
              <w:t>Kapitālie 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1E4F1E"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2,0</w:t>
            </w:r>
          </w:p>
        </w:tc>
        <w:tc>
          <w:tcPr>
            <w:tcW w:w="850" w:type="dxa"/>
            <w:tcBorders>
              <w:top w:val="nil"/>
              <w:left w:val="nil"/>
              <w:bottom w:val="single" w:sz="4" w:space="0" w:color="auto"/>
              <w:right w:val="single" w:sz="4" w:space="0" w:color="auto"/>
            </w:tcBorders>
            <w:shd w:val="clear" w:color="auto" w:fill="auto"/>
            <w:noWrap/>
            <w:vAlign w:val="center"/>
          </w:tcPr>
          <w:p w14:paraId="3ACDF45C"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1,6</w:t>
            </w:r>
          </w:p>
        </w:tc>
        <w:tc>
          <w:tcPr>
            <w:tcW w:w="851" w:type="dxa"/>
            <w:tcBorders>
              <w:top w:val="nil"/>
              <w:left w:val="nil"/>
              <w:bottom w:val="single" w:sz="4" w:space="0" w:color="auto"/>
              <w:right w:val="single" w:sz="4" w:space="0" w:color="auto"/>
            </w:tcBorders>
            <w:shd w:val="clear" w:color="auto" w:fill="auto"/>
            <w:noWrap/>
            <w:vAlign w:val="center"/>
          </w:tcPr>
          <w:p w14:paraId="0A244BAF"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0,9</w:t>
            </w:r>
          </w:p>
        </w:tc>
        <w:tc>
          <w:tcPr>
            <w:tcW w:w="850" w:type="dxa"/>
            <w:tcBorders>
              <w:top w:val="nil"/>
              <w:left w:val="nil"/>
              <w:bottom w:val="single" w:sz="4" w:space="0" w:color="auto"/>
              <w:right w:val="single" w:sz="4" w:space="0" w:color="auto"/>
            </w:tcBorders>
            <w:shd w:val="clear" w:color="auto" w:fill="auto"/>
            <w:noWrap/>
            <w:vAlign w:val="center"/>
          </w:tcPr>
          <w:p w14:paraId="2D783F6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0,9</w:t>
            </w:r>
          </w:p>
        </w:tc>
        <w:tc>
          <w:tcPr>
            <w:tcW w:w="851" w:type="dxa"/>
            <w:tcBorders>
              <w:top w:val="single" w:sz="4" w:space="0" w:color="auto"/>
              <w:left w:val="nil"/>
              <w:bottom w:val="single" w:sz="4" w:space="0" w:color="auto"/>
              <w:right w:val="single" w:sz="4" w:space="0" w:color="auto"/>
            </w:tcBorders>
            <w:vAlign w:val="center"/>
          </w:tcPr>
          <w:p w14:paraId="79245F06"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0,9</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035E73E0"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1,1</w:t>
            </w:r>
          </w:p>
        </w:tc>
        <w:tc>
          <w:tcPr>
            <w:tcW w:w="851" w:type="dxa"/>
            <w:tcBorders>
              <w:top w:val="nil"/>
              <w:left w:val="nil"/>
              <w:bottom w:val="single" w:sz="4" w:space="0" w:color="auto"/>
              <w:right w:val="single" w:sz="4" w:space="0" w:color="auto"/>
            </w:tcBorders>
            <w:shd w:val="clear" w:color="auto" w:fill="auto"/>
            <w:noWrap/>
            <w:vAlign w:val="center"/>
          </w:tcPr>
          <w:p w14:paraId="5990143E"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1,0</w:t>
            </w:r>
          </w:p>
        </w:tc>
        <w:tc>
          <w:tcPr>
            <w:tcW w:w="850" w:type="dxa"/>
            <w:tcBorders>
              <w:top w:val="nil"/>
              <w:left w:val="nil"/>
              <w:bottom w:val="single" w:sz="4" w:space="0" w:color="auto"/>
              <w:right w:val="single" w:sz="4" w:space="0" w:color="auto"/>
            </w:tcBorders>
            <w:shd w:val="clear" w:color="auto" w:fill="auto"/>
            <w:noWrap/>
            <w:vAlign w:val="center"/>
          </w:tcPr>
          <w:p w14:paraId="07656D63"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1,0</w:t>
            </w:r>
          </w:p>
        </w:tc>
      </w:tr>
      <w:tr w:rsidR="0027570C" w:rsidRPr="00F061D0" w14:paraId="242C885C"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D50DD92" w14:textId="77777777" w:rsidR="0027570C" w:rsidRPr="00A16BA8" w:rsidRDefault="0027570C" w:rsidP="005F05A2">
            <w:pPr>
              <w:spacing w:after="0"/>
              <w:ind w:firstLine="0"/>
              <w:jc w:val="left"/>
              <w:rPr>
                <w:rFonts w:eastAsia="Times New Roman" w:cs="Times New Roman"/>
                <w:b/>
                <w:bCs/>
                <w:i/>
                <w:iCs/>
                <w:sz w:val="19"/>
                <w:szCs w:val="19"/>
              </w:rPr>
            </w:pPr>
            <w:r w:rsidRPr="00A16BA8">
              <w:rPr>
                <w:rFonts w:eastAsia="Times New Roman" w:cs="Times New Roman"/>
                <w:b/>
                <w:bCs/>
                <w:i/>
                <w:iCs/>
                <w:sz w:val="19"/>
                <w:szCs w:val="19"/>
              </w:rPr>
              <w:t>ATVAS. PUBL. PERS. BUDŽETA BILANCE</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250EB00" w14:textId="77777777" w:rsidR="0027570C" w:rsidRPr="00A16BA8" w:rsidRDefault="0027570C" w:rsidP="005F05A2">
            <w:pPr>
              <w:spacing w:after="0"/>
              <w:ind w:firstLine="0"/>
              <w:jc w:val="right"/>
              <w:rPr>
                <w:rFonts w:eastAsia="Times New Roman" w:cs="Times New Roman"/>
                <w:b/>
                <w:bCs/>
                <w:sz w:val="18"/>
                <w:szCs w:val="18"/>
                <w:highlight w:val="yellow"/>
              </w:rPr>
            </w:pPr>
            <w:r w:rsidRPr="00A16BA8">
              <w:rPr>
                <w:b/>
                <w:bCs/>
                <w:sz w:val="18"/>
                <w:szCs w:val="18"/>
              </w:rPr>
              <w:t>33,8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5544B59"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6,1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DDB61FC"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3,9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44AD36B"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-3,1</w:t>
            </w:r>
          </w:p>
        </w:tc>
        <w:tc>
          <w:tcPr>
            <w:tcW w:w="851" w:type="dxa"/>
            <w:tcBorders>
              <w:top w:val="single" w:sz="4" w:space="0" w:color="auto"/>
              <w:left w:val="nil"/>
              <w:bottom w:val="single" w:sz="4" w:space="0" w:color="auto"/>
              <w:right w:val="single" w:sz="4" w:space="0" w:color="auto"/>
            </w:tcBorders>
            <w:vAlign w:val="center"/>
          </w:tcPr>
          <w:p w14:paraId="559D85AA"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-6,4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1DA3C7" w14:textId="77777777" w:rsidR="0027570C" w:rsidRPr="00F061D0" w:rsidRDefault="0027570C" w:rsidP="005F05A2">
            <w:pPr>
              <w:spacing w:after="0"/>
              <w:ind w:firstLine="0"/>
              <w:jc w:val="right"/>
              <w:rPr>
                <w:rFonts w:eastAsia="Times New Roman" w:cs="Times New Roman"/>
                <w:b/>
                <w:bCs/>
                <w:i/>
                <w:color w:val="FF0000"/>
                <w:sz w:val="18"/>
                <w:szCs w:val="18"/>
                <w:highlight w:val="yellow"/>
              </w:rPr>
            </w:pPr>
            <w:r>
              <w:rPr>
                <w:b/>
                <w:bCs/>
                <w:sz w:val="18"/>
                <w:szCs w:val="18"/>
              </w:rPr>
              <w:t>3,2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720B4AD" w14:textId="77777777" w:rsidR="0027570C" w:rsidRPr="00F061D0" w:rsidRDefault="0027570C" w:rsidP="005F05A2">
            <w:pPr>
              <w:spacing w:after="0"/>
              <w:ind w:firstLine="0"/>
              <w:jc w:val="right"/>
              <w:rPr>
                <w:rFonts w:eastAsia="Times New Roman" w:cs="Times New Roman"/>
                <w:b/>
                <w:bCs/>
                <w:i/>
                <w:color w:val="FF0000"/>
                <w:sz w:val="18"/>
                <w:szCs w:val="18"/>
                <w:highlight w:val="yellow"/>
              </w:rPr>
            </w:pPr>
            <w:r>
              <w:rPr>
                <w:b/>
                <w:bCs/>
                <w:sz w:val="18"/>
                <w:szCs w:val="18"/>
              </w:rPr>
              <w:t>-3,6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CC03134" w14:textId="77777777" w:rsidR="0027570C" w:rsidRPr="00F061D0" w:rsidRDefault="0027570C" w:rsidP="005F05A2">
            <w:pPr>
              <w:spacing w:after="0"/>
              <w:ind w:firstLine="0"/>
              <w:jc w:val="right"/>
              <w:rPr>
                <w:rFonts w:eastAsia="Times New Roman" w:cs="Times New Roman"/>
                <w:b/>
                <w:bCs/>
                <w:color w:val="FF0000"/>
                <w:sz w:val="18"/>
                <w:szCs w:val="18"/>
                <w:highlight w:val="yellow"/>
              </w:rPr>
            </w:pPr>
            <w:r>
              <w:rPr>
                <w:b/>
                <w:bCs/>
                <w:sz w:val="18"/>
                <w:szCs w:val="18"/>
              </w:rPr>
              <w:t>-6,8</w:t>
            </w:r>
          </w:p>
        </w:tc>
      </w:tr>
      <w:tr w:rsidR="0027570C" w:rsidRPr="00F061D0" w14:paraId="7FEA153B" w14:textId="77777777" w:rsidTr="005F05A2">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B77FD9F" w14:textId="77777777" w:rsidR="0027570C" w:rsidRPr="00A16BA8" w:rsidRDefault="0027570C" w:rsidP="005F05A2">
            <w:pPr>
              <w:spacing w:after="0"/>
              <w:ind w:left="-183" w:firstLineChars="100" w:firstLine="190"/>
              <w:jc w:val="left"/>
              <w:rPr>
                <w:rFonts w:eastAsia="Times New Roman" w:cs="Times New Roman"/>
                <w:sz w:val="19"/>
                <w:szCs w:val="19"/>
              </w:rPr>
            </w:pPr>
            <w:r w:rsidRPr="00A16BA8">
              <w:rPr>
                <w:rFonts w:eastAsia="Times New Roman" w:cs="Times New Roman"/>
                <w:sz w:val="19"/>
                <w:szCs w:val="19"/>
              </w:rPr>
              <w:t>Ieņēmumi</w:t>
            </w:r>
          </w:p>
        </w:tc>
        <w:tc>
          <w:tcPr>
            <w:tcW w:w="851" w:type="dxa"/>
            <w:tcBorders>
              <w:top w:val="nil"/>
              <w:left w:val="nil"/>
              <w:bottom w:val="single" w:sz="4" w:space="0" w:color="auto"/>
              <w:right w:val="single" w:sz="4" w:space="0" w:color="auto"/>
            </w:tcBorders>
            <w:shd w:val="clear" w:color="auto" w:fill="auto"/>
            <w:noWrap/>
            <w:vAlign w:val="center"/>
            <w:hideMark/>
          </w:tcPr>
          <w:p w14:paraId="2549B28D"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572,4</w:t>
            </w:r>
          </w:p>
        </w:tc>
        <w:tc>
          <w:tcPr>
            <w:tcW w:w="850" w:type="dxa"/>
            <w:tcBorders>
              <w:top w:val="nil"/>
              <w:left w:val="nil"/>
              <w:bottom w:val="single" w:sz="4" w:space="0" w:color="auto"/>
              <w:right w:val="single" w:sz="4" w:space="0" w:color="auto"/>
            </w:tcBorders>
            <w:shd w:val="clear" w:color="auto" w:fill="auto"/>
            <w:noWrap/>
            <w:vAlign w:val="center"/>
            <w:hideMark/>
          </w:tcPr>
          <w:p w14:paraId="1753936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598,9</w:t>
            </w:r>
          </w:p>
        </w:tc>
        <w:tc>
          <w:tcPr>
            <w:tcW w:w="851" w:type="dxa"/>
            <w:tcBorders>
              <w:top w:val="nil"/>
              <w:left w:val="nil"/>
              <w:bottom w:val="single" w:sz="4" w:space="0" w:color="auto"/>
              <w:right w:val="single" w:sz="4" w:space="0" w:color="auto"/>
            </w:tcBorders>
            <w:shd w:val="clear" w:color="auto" w:fill="auto"/>
            <w:noWrap/>
            <w:vAlign w:val="center"/>
            <w:hideMark/>
          </w:tcPr>
          <w:p w14:paraId="7C49C700"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604,4</w:t>
            </w:r>
          </w:p>
        </w:tc>
        <w:tc>
          <w:tcPr>
            <w:tcW w:w="850" w:type="dxa"/>
            <w:tcBorders>
              <w:top w:val="nil"/>
              <w:left w:val="nil"/>
              <w:bottom w:val="single" w:sz="4" w:space="0" w:color="auto"/>
              <w:right w:val="single" w:sz="4" w:space="0" w:color="auto"/>
            </w:tcBorders>
            <w:shd w:val="clear" w:color="auto" w:fill="auto"/>
            <w:noWrap/>
            <w:vAlign w:val="center"/>
            <w:hideMark/>
          </w:tcPr>
          <w:p w14:paraId="3564583E"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605,2</w:t>
            </w:r>
          </w:p>
        </w:tc>
        <w:tc>
          <w:tcPr>
            <w:tcW w:w="851" w:type="dxa"/>
            <w:tcBorders>
              <w:top w:val="single" w:sz="4" w:space="0" w:color="auto"/>
              <w:left w:val="nil"/>
              <w:bottom w:val="single" w:sz="4" w:space="0" w:color="auto"/>
              <w:right w:val="single" w:sz="4" w:space="0" w:color="auto"/>
            </w:tcBorders>
            <w:vAlign w:val="center"/>
          </w:tcPr>
          <w:p w14:paraId="659A052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609,6</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0C3D58C"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617,4</w:t>
            </w:r>
          </w:p>
        </w:tc>
        <w:tc>
          <w:tcPr>
            <w:tcW w:w="851" w:type="dxa"/>
            <w:tcBorders>
              <w:top w:val="nil"/>
              <w:left w:val="nil"/>
              <w:bottom w:val="single" w:sz="4" w:space="0" w:color="auto"/>
              <w:right w:val="single" w:sz="4" w:space="0" w:color="auto"/>
            </w:tcBorders>
            <w:shd w:val="clear" w:color="auto" w:fill="auto"/>
            <w:noWrap/>
            <w:vAlign w:val="center"/>
            <w:hideMark/>
          </w:tcPr>
          <w:p w14:paraId="53E440C9" w14:textId="77777777" w:rsidR="0027570C" w:rsidRPr="00F061D0" w:rsidRDefault="0027570C" w:rsidP="005F05A2">
            <w:pPr>
              <w:spacing w:after="0"/>
              <w:ind w:firstLine="0"/>
              <w:jc w:val="right"/>
              <w:rPr>
                <w:rFonts w:eastAsia="Times New Roman" w:cs="Times New Roman"/>
                <w:bCs/>
                <w:color w:val="FF0000"/>
                <w:sz w:val="18"/>
                <w:szCs w:val="18"/>
                <w:highlight w:val="yellow"/>
              </w:rPr>
            </w:pPr>
            <w:r>
              <w:rPr>
                <w:sz w:val="18"/>
                <w:szCs w:val="18"/>
              </w:rPr>
              <w:t>617,6</w:t>
            </w:r>
          </w:p>
        </w:tc>
        <w:tc>
          <w:tcPr>
            <w:tcW w:w="850" w:type="dxa"/>
            <w:tcBorders>
              <w:top w:val="nil"/>
              <w:left w:val="nil"/>
              <w:bottom w:val="single" w:sz="4" w:space="0" w:color="auto"/>
              <w:right w:val="single" w:sz="4" w:space="0" w:color="auto"/>
            </w:tcBorders>
            <w:shd w:val="clear" w:color="auto" w:fill="auto"/>
            <w:noWrap/>
            <w:vAlign w:val="center"/>
            <w:hideMark/>
          </w:tcPr>
          <w:p w14:paraId="7696528E" w14:textId="77777777" w:rsidR="0027570C" w:rsidRPr="00F061D0" w:rsidRDefault="0027570C" w:rsidP="005F05A2">
            <w:pPr>
              <w:spacing w:after="0"/>
              <w:ind w:firstLine="0"/>
              <w:jc w:val="right"/>
              <w:rPr>
                <w:rFonts w:eastAsia="Times New Roman" w:cs="Times New Roman"/>
                <w:bCs/>
                <w:color w:val="FF0000"/>
                <w:sz w:val="18"/>
                <w:szCs w:val="18"/>
                <w:highlight w:val="yellow"/>
              </w:rPr>
            </w:pPr>
            <w:r>
              <w:rPr>
                <w:sz w:val="18"/>
                <w:szCs w:val="18"/>
              </w:rPr>
              <w:t>622,7</w:t>
            </w:r>
          </w:p>
        </w:tc>
      </w:tr>
      <w:tr w:rsidR="0027570C" w:rsidRPr="00F061D0" w14:paraId="29B887C4" w14:textId="77777777" w:rsidTr="005F05A2">
        <w:trPr>
          <w:trHeight w:val="75"/>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D7E2E" w14:textId="77777777" w:rsidR="0027570C" w:rsidRPr="00A16BA8" w:rsidRDefault="0027570C" w:rsidP="005F05A2">
            <w:pPr>
              <w:spacing w:after="0"/>
              <w:ind w:left="-183" w:firstLineChars="100" w:firstLine="190"/>
              <w:jc w:val="left"/>
              <w:rPr>
                <w:rFonts w:eastAsia="Times New Roman" w:cs="Times New Roman"/>
                <w:sz w:val="19"/>
                <w:szCs w:val="19"/>
              </w:rPr>
            </w:pPr>
            <w:r w:rsidRPr="00A16BA8">
              <w:rPr>
                <w:rFonts w:eastAsia="Times New Roman" w:cs="Times New Roman"/>
                <w:sz w:val="19"/>
                <w:szCs w:val="19"/>
              </w:rPr>
              <w:t>Izdevumi</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C1E8D65" w14:textId="77777777" w:rsidR="0027570C" w:rsidRPr="00A16BA8" w:rsidRDefault="0027570C" w:rsidP="005F05A2">
            <w:pPr>
              <w:spacing w:after="0"/>
              <w:ind w:firstLine="0"/>
              <w:jc w:val="right"/>
              <w:rPr>
                <w:rFonts w:eastAsia="Times New Roman" w:cs="Times New Roman"/>
                <w:sz w:val="18"/>
                <w:szCs w:val="18"/>
                <w:highlight w:val="yellow"/>
              </w:rPr>
            </w:pPr>
            <w:r w:rsidRPr="00A16BA8">
              <w:rPr>
                <w:sz w:val="18"/>
                <w:szCs w:val="18"/>
              </w:rPr>
              <w:t>538,6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B2317A2"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592,8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C4E87AD"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600,5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BB7F248"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608,2</w:t>
            </w:r>
          </w:p>
        </w:tc>
        <w:tc>
          <w:tcPr>
            <w:tcW w:w="851" w:type="dxa"/>
            <w:tcBorders>
              <w:top w:val="single" w:sz="4" w:space="0" w:color="auto"/>
              <w:left w:val="nil"/>
              <w:bottom w:val="single" w:sz="4" w:space="0" w:color="auto"/>
              <w:right w:val="single" w:sz="4" w:space="0" w:color="auto"/>
            </w:tcBorders>
            <w:vAlign w:val="center"/>
          </w:tcPr>
          <w:p w14:paraId="7AD68680" w14:textId="77777777" w:rsidR="0027570C" w:rsidRPr="00F061D0" w:rsidRDefault="0027570C" w:rsidP="005F05A2">
            <w:pPr>
              <w:spacing w:after="0"/>
              <w:ind w:firstLine="0"/>
              <w:jc w:val="right"/>
              <w:rPr>
                <w:rFonts w:eastAsia="Times New Roman" w:cs="Times New Roman"/>
                <w:color w:val="FF0000"/>
                <w:sz w:val="18"/>
                <w:szCs w:val="18"/>
                <w:highlight w:val="yellow"/>
              </w:rPr>
            </w:pPr>
            <w:r>
              <w:rPr>
                <w:sz w:val="18"/>
                <w:szCs w:val="18"/>
              </w:rPr>
              <w:t>616,0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2CE3F" w14:textId="77777777" w:rsidR="0027570C" w:rsidRPr="00F061D0" w:rsidRDefault="0027570C" w:rsidP="005F05A2">
            <w:pPr>
              <w:spacing w:after="0"/>
              <w:ind w:firstLine="0"/>
              <w:jc w:val="right"/>
              <w:rPr>
                <w:rFonts w:eastAsia="Times New Roman" w:cs="Times New Roman"/>
                <w:bCs/>
                <w:color w:val="FF0000"/>
                <w:sz w:val="18"/>
                <w:szCs w:val="18"/>
                <w:highlight w:val="yellow"/>
              </w:rPr>
            </w:pPr>
            <w:r>
              <w:rPr>
                <w:sz w:val="18"/>
                <w:szCs w:val="18"/>
              </w:rPr>
              <w:t>614,2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7DEF02D" w14:textId="77777777" w:rsidR="0027570C" w:rsidRPr="00F061D0" w:rsidRDefault="0027570C" w:rsidP="005F05A2">
            <w:pPr>
              <w:spacing w:after="0"/>
              <w:ind w:firstLine="0"/>
              <w:jc w:val="right"/>
              <w:rPr>
                <w:rFonts w:eastAsia="Times New Roman" w:cs="Times New Roman"/>
                <w:bCs/>
                <w:color w:val="FF0000"/>
                <w:sz w:val="18"/>
                <w:szCs w:val="18"/>
                <w:highlight w:val="yellow"/>
              </w:rPr>
            </w:pPr>
            <w:r>
              <w:rPr>
                <w:sz w:val="18"/>
                <w:szCs w:val="18"/>
              </w:rPr>
              <w:t>621,3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EB0A50C" w14:textId="77777777" w:rsidR="0027570C" w:rsidRPr="00F061D0" w:rsidRDefault="0027570C" w:rsidP="005F05A2">
            <w:pPr>
              <w:spacing w:after="0"/>
              <w:ind w:firstLine="0"/>
              <w:jc w:val="right"/>
              <w:rPr>
                <w:rFonts w:eastAsia="Times New Roman" w:cs="Times New Roman"/>
                <w:bCs/>
                <w:color w:val="FF0000"/>
                <w:sz w:val="18"/>
                <w:szCs w:val="18"/>
                <w:highlight w:val="yellow"/>
              </w:rPr>
            </w:pPr>
            <w:r>
              <w:rPr>
                <w:sz w:val="18"/>
                <w:szCs w:val="18"/>
              </w:rPr>
              <w:t>629,5</w:t>
            </w:r>
          </w:p>
        </w:tc>
      </w:tr>
    </w:tbl>
    <w:p w14:paraId="1CFFD370" w14:textId="77777777" w:rsidR="005E539C" w:rsidRPr="0027570C" w:rsidRDefault="005E539C" w:rsidP="006F1373">
      <w:pPr>
        <w:pStyle w:val="H5"/>
      </w:pPr>
      <w:r w:rsidRPr="0027570C">
        <w:t>Pašvaldību budžets</w:t>
      </w:r>
    </w:p>
    <w:p w14:paraId="7A7D11EE" w14:textId="0F504F12" w:rsidR="0027570C" w:rsidRPr="005E539C" w:rsidRDefault="0027570C" w:rsidP="0027570C">
      <w:pPr>
        <w:rPr>
          <w:rFonts w:eastAsia="Times New Roman" w:cs="Times New Roman"/>
          <w:noProof/>
          <w:szCs w:val="20"/>
          <w:lang w:eastAsia="en-US"/>
        </w:rPr>
      </w:pPr>
      <w:bookmarkStart w:id="69" w:name="_Toc126236652"/>
      <w:bookmarkEnd w:id="68"/>
      <w:r w:rsidRPr="005E539C">
        <w:rPr>
          <w:rFonts w:eastAsia="Times New Roman" w:cs="Times New Roman"/>
          <w:noProof/>
          <w:szCs w:val="20"/>
          <w:lang w:eastAsia="en-US"/>
        </w:rPr>
        <w:t>Pašvaldību budžetā 202</w:t>
      </w:r>
      <w:r>
        <w:rPr>
          <w:rFonts w:eastAsia="Times New Roman" w:cs="Times New Roman"/>
          <w:noProof/>
          <w:szCs w:val="20"/>
          <w:lang w:eastAsia="en-US"/>
        </w:rPr>
        <w:t>3</w:t>
      </w:r>
      <w:r w:rsidRPr="005E539C">
        <w:rPr>
          <w:rFonts w:eastAsia="Times New Roman" w:cs="Times New Roman"/>
          <w:noProof/>
          <w:szCs w:val="20"/>
          <w:lang w:eastAsia="en-US"/>
        </w:rPr>
        <w:t xml:space="preserve">. gadā </w:t>
      </w:r>
      <w:r>
        <w:rPr>
          <w:rFonts w:eastAsia="Times New Roman" w:cs="Times New Roman"/>
          <w:noProof/>
          <w:szCs w:val="20"/>
          <w:lang w:eastAsia="en-US"/>
        </w:rPr>
        <w:t>sagaidāms</w:t>
      </w:r>
      <w:r w:rsidRPr="005E539C">
        <w:rPr>
          <w:rFonts w:eastAsia="Times New Roman" w:cs="Times New Roman"/>
          <w:noProof/>
          <w:szCs w:val="20"/>
          <w:lang w:eastAsia="en-US"/>
        </w:rPr>
        <w:t xml:space="preserve"> </w:t>
      </w:r>
      <w:r>
        <w:rPr>
          <w:rFonts w:eastAsia="Times New Roman" w:cs="Times New Roman"/>
          <w:noProof/>
          <w:szCs w:val="20"/>
          <w:lang w:eastAsia="en-US"/>
        </w:rPr>
        <w:t>neliels deficīts</w:t>
      </w:r>
      <w:r w:rsidRPr="005E539C">
        <w:rPr>
          <w:rFonts w:eastAsia="Times New Roman" w:cs="Times New Roman"/>
          <w:noProof/>
          <w:szCs w:val="20"/>
          <w:lang w:eastAsia="en-US"/>
        </w:rPr>
        <w:t>, i</w:t>
      </w:r>
      <w:r>
        <w:rPr>
          <w:rFonts w:eastAsia="Times New Roman" w:cs="Times New Roman"/>
          <w:noProof/>
          <w:szCs w:val="20"/>
          <w:lang w:eastAsia="en-US"/>
        </w:rPr>
        <w:t>zdevumiem</w:t>
      </w:r>
      <w:r w:rsidRPr="005E539C">
        <w:rPr>
          <w:rFonts w:eastAsia="Times New Roman" w:cs="Times New Roman"/>
          <w:noProof/>
          <w:szCs w:val="20"/>
          <w:lang w:eastAsia="en-US"/>
        </w:rPr>
        <w:t xml:space="preserve"> pieaugot straujāk nekā i</w:t>
      </w:r>
      <w:r>
        <w:rPr>
          <w:rFonts w:eastAsia="Times New Roman" w:cs="Times New Roman"/>
          <w:noProof/>
          <w:szCs w:val="20"/>
          <w:lang w:eastAsia="en-US"/>
        </w:rPr>
        <w:t xml:space="preserve">eņēmumiem, </w:t>
      </w:r>
      <w:r w:rsidR="003D276E">
        <w:rPr>
          <w:rFonts w:eastAsia="Times New Roman" w:cs="Times New Roman"/>
          <w:noProof/>
          <w:szCs w:val="20"/>
          <w:lang w:eastAsia="en-US"/>
        </w:rPr>
        <w:t xml:space="preserve"> </w:t>
      </w:r>
      <w:r w:rsidRPr="005E539C">
        <w:rPr>
          <w:rFonts w:eastAsia="Times New Roman" w:cs="Times New Roman"/>
          <w:noProof/>
          <w:szCs w:val="20"/>
          <w:lang w:eastAsia="en-US"/>
        </w:rPr>
        <w:t xml:space="preserve">salīdzinot </w:t>
      </w:r>
      <w:r w:rsidR="003D276E">
        <w:rPr>
          <w:rFonts w:eastAsia="Times New Roman" w:cs="Times New Roman"/>
          <w:noProof/>
          <w:szCs w:val="20"/>
          <w:lang w:eastAsia="en-US"/>
        </w:rPr>
        <w:t xml:space="preserve"> </w:t>
      </w:r>
      <w:r w:rsidRPr="005E539C">
        <w:rPr>
          <w:rFonts w:eastAsia="Times New Roman" w:cs="Times New Roman"/>
          <w:noProof/>
          <w:szCs w:val="20"/>
          <w:lang w:eastAsia="en-US"/>
        </w:rPr>
        <w:t xml:space="preserve">ar </w:t>
      </w:r>
      <w:r w:rsidR="003D276E">
        <w:rPr>
          <w:rFonts w:eastAsia="Times New Roman" w:cs="Times New Roman"/>
          <w:noProof/>
          <w:szCs w:val="20"/>
          <w:lang w:eastAsia="en-US"/>
        </w:rPr>
        <w:t xml:space="preserve"> </w:t>
      </w:r>
      <w:r w:rsidRPr="005E539C">
        <w:rPr>
          <w:rFonts w:eastAsia="Times New Roman" w:cs="Times New Roman"/>
          <w:noProof/>
          <w:szCs w:val="20"/>
          <w:lang w:eastAsia="en-US"/>
        </w:rPr>
        <w:t xml:space="preserve">iepriekšējo </w:t>
      </w:r>
      <w:r w:rsidR="003D276E">
        <w:rPr>
          <w:rFonts w:eastAsia="Times New Roman" w:cs="Times New Roman"/>
          <w:noProof/>
          <w:szCs w:val="20"/>
          <w:lang w:eastAsia="en-US"/>
        </w:rPr>
        <w:t xml:space="preserve"> </w:t>
      </w:r>
      <w:r w:rsidRPr="005E539C">
        <w:rPr>
          <w:rFonts w:eastAsia="Times New Roman" w:cs="Times New Roman"/>
          <w:noProof/>
          <w:szCs w:val="20"/>
          <w:lang w:eastAsia="en-US"/>
        </w:rPr>
        <w:t>gadu</w:t>
      </w:r>
      <w:r>
        <w:rPr>
          <w:rFonts w:eastAsia="Times New Roman" w:cs="Times New Roman"/>
          <w:noProof/>
          <w:szCs w:val="20"/>
          <w:lang w:eastAsia="en-US"/>
        </w:rPr>
        <w:t xml:space="preserve">. </w:t>
      </w:r>
      <w:r w:rsidRPr="004D2B45">
        <w:rPr>
          <w:rFonts w:eastAsia="Times New Roman" w:cs="Times New Roman"/>
          <w:noProof/>
          <w:szCs w:val="20"/>
          <w:lang w:eastAsia="en-US"/>
        </w:rPr>
        <w:t xml:space="preserve">Lai </w:t>
      </w:r>
      <w:r w:rsidR="003D276E">
        <w:rPr>
          <w:rFonts w:eastAsia="Times New Roman" w:cs="Times New Roman"/>
          <w:noProof/>
          <w:szCs w:val="20"/>
          <w:lang w:eastAsia="en-US"/>
        </w:rPr>
        <w:t xml:space="preserve"> </w:t>
      </w:r>
      <w:r w:rsidRPr="004D2B45">
        <w:rPr>
          <w:rFonts w:eastAsia="Times New Roman" w:cs="Times New Roman"/>
          <w:noProof/>
          <w:szCs w:val="20"/>
          <w:lang w:eastAsia="en-US"/>
        </w:rPr>
        <w:t xml:space="preserve">gan </w:t>
      </w:r>
      <w:r w:rsidR="003D276E">
        <w:rPr>
          <w:rFonts w:eastAsia="Times New Roman" w:cs="Times New Roman"/>
          <w:noProof/>
          <w:szCs w:val="20"/>
          <w:lang w:eastAsia="en-US"/>
        </w:rPr>
        <w:t xml:space="preserve"> </w:t>
      </w:r>
      <w:r w:rsidRPr="004D2B45">
        <w:rPr>
          <w:rFonts w:eastAsia="Times New Roman" w:cs="Times New Roman"/>
          <w:noProof/>
          <w:szCs w:val="20"/>
          <w:lang w:eastAsia="en-US"/>
        </w:rPr>
        <w:t xml:space="preserve">pašvaldību </w:t>
      </w:r>
      <w:r w:rsidR="003D276E">
        <w:rPr>
          <w:rFonts w:eastAsia="Times New Roman" w:cs="Times New Roman"/>
          <w:noProof/>
          <w:szCs w:val="20"/>
          <w:lang w:eastAsia="en-US"/>
        </w:rPr>
        <w:t xml:space="preserve"> </w:t>
      </w:r>
      <w:r w:rsidRPr="004D2B45">
        <w:rPr>
          <w:rFonts w:eastAsia="Times New Roman" w:cs="Times New Roman"/>
          <w:noProof/>
          <w:szCs w:val="20"/>
          <w:lang w:eastAsia="en-US"/>
        </w:rPr>
        <w:t xml:space="preserve">budžetā </w:t>
      </w:r>
      <w:r w:rsidR="003D276E">
        <w:rPr>
          <w:rFonts w:eastAsia="Times New Roman" w:cs="Times New Roman"/>
          <w:noProof/>
          <w:szCs w:val="20"/>
          <w:lang w:eastAsia="en-US"/>
        </w:rPr>
        <w:t xml:space="preserve"> </w:t>
      </w:r>
      <w:r>
        <w:rPr>
          <w:rFonts w:eastAsia="Times New Roman" w:cs="Times New Roman"/>
          <w:noProof/>
          <w:szCs w:val="20"/>
          <w:lang w:eastAsia="en-US"/>
        </w:rPr>
        <w:t>2023.</w:t>
      </w:r>
      <w:r w:rsidR="003D276E">
        <w:rPr>
          <w:rFonts w:eastAsia="Times New Roman" w:cs="Times New Roman"/>
          <w:noProof/>
          <w:szCs w:val="20"/>
          <w:lang w:eastAsia="en-US"/>
        </w:rPr>
        <w:t xml:space="preserve"> </w:t>
      </w:r>
      <w:r>
        <w:rPr>
          <w:rFonts w:eastAsia="Times New Roman" w:cs="Times New Roman"/>
          <w:noProof/>
          <w:szCs w:val="20"/>
          <w:lang w:eastAsia="en-US"/>
        </w:rPr>
        <w:t xml:space="preserve">gadā </w:t>
      </w:r>
      <w:r w:rsidRPr="004D2B45">
        <w:rPr>
          <w:rFonts w:eastAsia="Times New Roman" w:cs="Times New Roman"/>
          <w:noProof/>
          <w:szCs w:val="20"/>
          <w:lang w:eastAsia="en-US"/>
        </w:rPr>
        <w:t>vērojams straujš ieņēmumu kāpums</w:t>
      </w:r>
      <w:r>
        <w:rPr>
          <w:rFonts w:eastAsia="Times New Roman" w:cs="Times New Roman"/>
          <w:noProof/>
          <w:szCs w:val="20"/>
          <w:lang w:eastAsia="en-US"/>
        </w:rPr>
        <w:t>,</w:t>
      </w:r>
      <w:r w:rsidRPr="004D2B45">
        <w:rPr>
          <w:rFonts w:eastAsia="Times New Roman" w:cs="Times New Roman"/>
          <w:noProof/>
          <w:szCs w:val="20"/>
          <w:lang w:eastAsia="en-US"/>
        </w:rPr>
        <w:t xml:space="preserve"> </w:t>
      </w:r>
      <w:r w:rsidRPr="005E539C">
        <w:rPr>
          <w:rFonts w:eastAsia="Times New Roman" w:cs="Times New Roman"/>
          <w:noProof/>
          <w:szCs w:val="20"/>
          <w:lang w:eastAsia="en-US"/>
        </w:rPr>
        <w:t>pamatā dēļ augstākiem iedzīvotāju ienākuma nodokļa ieņēmumiem</w:t>
      </w:r>
      <w:r w:rsidRPr="004D2B45">
        <w:rPr>
          <w:rFonts w:eastAsia="Times New Roman" w:cs="Times New Roman"/>
          <w:noProof/>
          <w:szCs w:val="20"/>
          <w:lang w:eastAsia="en-US"/>
        </w:rPr>
        <w:t xml:space="preserve"> salīdzinājumā ar</w:t>
      </w:r>
      <w:r>
        <w:rPr>
          <w:rFonts w:eastAsia="Times New Roman" w:cs="Times New Roman"/>
          <w:noProof/>
          <w:szCs w:val="20"/>
          <w:lang w:eastAsia="en-US"/>
        </w:rPr>
        <w:t xml:space="preserve"> 2022.</w:t>
      </w:r>
      <w:r w:rsidRPr="004D2B45">
        <w:rPr>
          <w:rFonts w:eastAsia="Times New Roman" w:cs="Times New Roman"/>
          <w:noProof/>
          <w:szCs w:val="20"/>
          <w:lang w:eastAsia="en-US"/>
        </w:rPr>
        <w:t xml:space="preserve"> gad</w:t>
      </w:r>
      <w:r>
        <w:rPr>
          <w:rFonts w:eastAsia="Times New Roman" w:cs="Times New Roman"/>
          <w:noProof/>
          <w:szCs w:val="20"/>
          <w:lang w:eastAsia="en-US"/>
        </w:rPr>
        <w:t>u</w:t>
      </w:r>
      <w:r w:rsidRPr="004D2B45">
        <w:rPr>
          <w:rFonts w:eastAsia="Times New Roman" w:cs="Times New Roman"/>
          <w:noProof/>
          <w:szCs w:val="20"/>
          <w:lang w:eastAsia="en-US"/>
        </w:rPr>
        <w:t>,</w:t>
      </w:r>
      <w:r>
        <w:rPr>
          <w:rFonts w:eastAsia="Times New Roman" w:cs="Times New Roman"/>
          <w:noProof/>
          <w:szCs w:val="20"/>
          <w:lang w:eastAsia="en-US"/>
        </w:rPr>
        <w:t xml:space="preserve"> sagaidāms, ka </w:t>
      </w:r>
      <w:r w:rsidRPr="004D2B45">
        <w:rPr>
          <w:rFonts w:eastAsia="Times New Roman" w:cs="Times New Roman"/>
          <w:noProof/>
          <w:szCs w:val="20"/>
          <w:lang w:eastAsia="en-US"/>
        </w:rPr>
        <w:t>pašvaldību budžeta izdevumi palielinā</w:t>
      </w:r>
      <w:r>
        <w:rPr>
          <w:rFonts w:eastAsia="Times New Roman" w:cs="Times New Roman"/>
          <w:noProof/>
          <w:szCs w:val="20"/>
          <w:lang w:eastAsia="en-US"/>
        </w:rPr>
        <w:t>sies</w:t>
      </w:r>
      <w:r w:rsidRPr="004D2B45">
        <w:rPr>
          <w:rFonts w:eastAsia="Times New Roman" w:cs="Times New Roman"/>
          <w:noProof/>
          <w:szCs w:val="20"/>
          <w:lang w:eastAsia="en-US"/>
        </w:rPr>
        <w:t xml:space="preserve"> straujāk</w:t>
      </w:r>
      <w:r>
        <w:rPr>
          <w:rFonts w:eastAsia="Times New Roman" w:cs="Times New Roman"/>
          <w:noProof/>
          <w:szCs w:val="20"/>
          <w:lang w:eastAsia="en-US"/>
        </w:rPr>
        <w:t xml:space="preserve">. Pieaugums pamatā saistāms ar augstākiem kārtējiem izdevumiem, turpretī pašvaldību budžeta kapitālie izdevumi samazināsies, </w:t>
      </w:r>
      <w:r w:rsidRPr="00092854">
        <w:rPr>
          <w:rFonts w:eastAsia="Times New Roman" w:cs="Times New Roman"/>
          <w:noProof/>
          <w:szCs w:val="28"/>
          <w:lang w:eastAsia="en-US"/>
        </w:rPr>
        <w:t xml:space="preserve">kas </w:t>
      </w:r>
      <w:r>
        <w:rPr>
          <w:rFonts w:eastAsia="Times New Roman" w:cs="Times New Roman"/>
          <w:noProof/>
          <w:szCs w:val="28"/>
          <w:lang w:eastAsia="en-US"/>
        </w:rPr>
        <w:t>skaidrojams</w:t>
      </w:r>
      <w:r w:rsidRPr="00092854">
        <w:rPr>
          <w:rFonts w:eastAsia="Times New Roman" w:cs="Times New Roman"/>
          <w:noProof/>
          <w:szCs w:val="28"/>
          <w:lang w:eastAsia="en-US"/>
        </w:rPr>
        <w:t xml:space="preserve"> ar investīciju </w:t>
      </w:r>
      <w:r w:rsidRPr="00092854">
        <w:rPr>
          <w:rFonts w:eastAsia="Times New Roman" w:cs="Times New Roman"/>
          <w:noProof/>
          <w:szCs w:val="28"/>
          <w:lang w:eastAsia="en-US"/>
        </w:rPr>
        <w:lastRenderedPageBreak/>
        <w:t>samazināšanos pēc Covid</w:t>
      </w:r>
      <w:r>
        <w:rPr>
          <w:rFonts w:eastAsia="Times New Roman" w:cs="Times New Roman"/>
          <w:noProof/>
          <w:szCs w:val="28"/>
          <w:lang w:eastAsia="en-US"/>
        </w:rPr>
        <w:t>-19</w:t>
      </w:r>
      <w:r w:rsidRPr="00092854">
        <w:rPr>
          <w:rFonts w:eastAsia="Times New Roman" w:cs="Times New Roman"/>
          <w:noProof/>
          <w:szCs w:val="28"/>
          <w:lang w:eastAsia="en-US"/>
        </w:rPr>
        <w:t xml:space="preserve"> laikā papildus piešķirtā finansējuma augstas gatavības projektiem</w:t>
      </w:r>
      <w:r>
        <w:rPr>
          <w:rFonts w:eastAsia="Times New Roman" w:cs="Times New Roman"/>
          <w:noProof/>
          <w:szCs w:val="28"/>
          <w:lang w:eastAsia="en-US"/>
        </w:rPr>
        <w:t xml:space="preserve">. </w:t>
      </w:r>
      <w:r w:rsidRPr="00092854">
        <w:rPr>
          <w:rFonts w:eastAsia="Times New Roman" w:cs="Times New Roman"/>
          <w:noProof/>
          <w:szCs w:val="28"/>
          <w:lang w:eastAsia="en-US"/>
        </w:rPr>
        <w:t>2024.</w:t>
      </w:r>
      <w:r>
        <w:rPr>
          <w:rFonts w:eastAsia="Times New Roman" w:cs="Times New Roman"/>
          <w:noProof/>
          <w:szCs w:val="28"/>
          <w:lang w:eastAsia="en-US"/>
        </w:rPr>
        <w:t> </w:t>
      </w:r>
      <w:r w:rsidRPr="00092854">
        <w:rPr>
          <w:rFonts w:eastAsia="Times New Roman" w:cs="Times New Roman"/>
          <w:noProof/>
          <w:szCs w:val="28"/>
          <w:lang w:eastAsia="en-US"/>
        </w:rPr>
        <w:t xml:space="preserve">gadā iepriekšējam </w:t>
      </w:r>
      <w:r>
        <w:rPr>
          <w:rFonts w:eastAsia="Times New Roman" w:cs="Times New Roman"/>
          <w:noProof/>
          <w:szCs w:val="28"/>
          <w:lang w:eastAsia="en-US"/>
        </w:rPr>
        <w:t xml:space="preserve">ES fondu </w:t>
      </w:r>
      <w:r w:rsidRPr="00092854">
        <w:rPr>
          <w:rFonts w:eastAsia="Times New Roman" w:cs="Times New Roman"/>
          <w:noProof/>
          <w:szCs w:val="28"/>
          <w:lang w:eastAsia="en-US"/>
        </w:rPr>
        <w:t>plānošanas periodam noslēdzoties</w:t>
      </w:r>
      <w:r>
        <w:rPr>
          <w:rFonts w:eastAsia="Times New Roman" w:cs="Times New Roman"/>
          <w:noProof/>
          <w:szCs w:val="28"/>
          <w:lang w:eastAsia="en-US"/>
        </w:rPr>
        <w:t>, tiek plānots neliels kapitālo izdevumu samazinājums</w:t>
      </w:r>
      <w:r w:rsidRPr="00092854">
        <w:rPr>
          <w:rFonts w:eastAsia="Times New Roman" w:cs="Times New Roman"/>
          <w:noProof/>
          <w:szCs w:val="28"/>
          <w:lang w:eastAsia="en-US"/>
        </w:rPr>
        <w:t>.</w:t>
      </w:r>
      <w:r>
        <w:rPr>
          <w:rFonts w:eastAsia="Times New Roman" w:cs="Times New Roman"/>
          <w:noProof/>
          <w:szCs w:val="28"/>
          <w:lang w:eastAsia="en-US"/>
        </w:rPr>
        <w:t xml:space="preserve"> S</w:t>
      </w:r>
      <w:r w:rsidRPr="00092854">
        <w:rPr>
          <w:rFonts w:eastAsia="Times New Roman" w:cs="Times New Roman"/>
          <w:noProof/>
          <w:szCs w:val="28"/>
          <w:lang w:eastAsia="en-US"/>
        </w:rPr>
        <w:t xml:space="preserve">avukārt vidējā termiņā tiek prognozēts kapitālo izdevumu </w:t>
      </w:r>
      <w:r>
        <w:rPr>
          <w:rFonts w:eastAsia="Times New Roman" w:cs="Times New Roman"/>
          <w:noProof/>
          <w:szCs w:val="28"/>
          <w:lang w:eastAsia="en-US"/>
        </w:rPr>
        <w:t xml:space="preserve">būtisks </w:t>
      </w:r>
      <w:r w:rsidRPr="00092854">
        <w:rPr>
          <w:rFonts w:eastAsia="Times New Roman" w:cs="Times New Roman"/>
          <w:noProof/>
          <w:szCs w:val="28"/>
          <w:lang w:eastAsia="en-US"/>
        </w:rPr>
        <w:t>pieaugums, it īpaši ES fondu projektiem jaunā perioda ietvaros</w:t>
      </w:r>
      <w:r>
        <w:rPr>
          <w:rFonts w:eastAsia="Times New Roman" w:cs="Times New Roman"/>
          <w:noProof/>
          <w:szCs w:val="28"/>
          <w:lang w:eastAsia="en-US"/>
        </w:rPr>
        <w:t>.</w:t>
      </w:r>
    </w:p>
    <w:p w14:paraId="2B25C528" w14:textId="591F0CF1" w:rsidR="0027570C" w:rsidRPr="00AF4D41" w:rsidRDefault="0027570C" w:rsidP="0027570C">
      <w:pPr>
        <w:rPr>
          <w:rFonts w:eastAsia="Times New Roman" w:cs="Times New Roman"/>
          <w:noProof/>
          <w:szCs w:val="28"/>
          <w:lang w:eastAsia="en-US"/>
        </w:rPr>
      </w:pPr>
      <w:r w:rsidRPr="005E539C">
        <w:rPr>
          <w:rFonts w:eastAsia="Times New Roman" w:cs="Times New Roman"/>
          <w:color w:val="000000"/>
          <w:szCs w:val="20"/>
          <w:lang w:eastAsia="en-US"/>
        </w:rPr>
        <w:t>Augstāku izdevumu līmeni pašvaldību budžetā nosaka arī papildus piešķirtais finansējums pedagogu darba samaksas paaugstināšanai, minimālās algas paaugstināšanai 2023.</w:t>
      </w:r>
      <w:r w:rsidR="003D276E" w:rsidRPr="003D276E">
        <w:rPr>
          <w:rFonts w:eastAsia="Times New Roman" w:cs="Times New Roman"/>
          <w:szCs w:val="24"/>
          <w:lang w:eastAsia="en-US"/>
        </w:rPr>
        <w:t xml:space="preserve"> </w:t>
      </w:r>
      <w:r w:rsidR="003D276E">
        <w:rPr>
          <w:rFonts w:eastAsia="Times New Roman" w:cs="Times New Roman"/>
          <w:szCs w:val="24"/>
          <w:lang w:eastAsia="en-US"/>
        </w:rPr>
        <w:t xml:space="preserve">– </w:t>
      </w:r>
      <w:r w:rsidRPr="005E539C">
        <w:rPr>
          <w:rFonts w:eastAsia="Times New Roman" w:cs="Times New Roman"/>
          <w:color w:val="000000"/>
          <w:szCs w:val="20"/>
          <w:lang w:eastAsia="en-US"/>
        </w:rPr>
        <w:t xml:space="preserve">2024. gadā un </w:t>
      </w:r>
      <w:r w:rsidRPr="005E539C">
        <w:rPr>
          <w:rFonts w:eastAsia="Times New Roman" w:cs="Times New Roman"/>
          <w:szCs w:val="28"/>
          <w:lang w:eastAsia="en-US"/>
        </w:rPr>
        <w:t>asistenta un pavadoņa pakalpojuma sniedzējiem.</w:t>
      </w:r>
      <w:r>
        <w:rPr>
          <w:rFonts w:eastAsia="Times New Roman" w:cs="Times New Roman"/>
          <w:szCs w:val="28"/>
          <w:lang w:eastAsia="en-US"/>
        </w:rPr>
        <w:t xml:space="preserve"> </w:t>
      </w:r>
      <w:r w:rsidRPr="005E539C">
        <w:rPr>
          <w:rFonts w:eastAsia="Times New Roman" w:cs="Times New Roman"/>
          <w:noProof/>
          <w:szCs w:val="28"/>
          <w:lang w:eastAsia="en-US"/>
        </w:rPr>
        <w:t xml:space="preserve">Ievērojams izdevumu pieaugums </w:t>
      </w:r>
      <w:r>
        <w:rPr>
          <w:rFonts w:eastAsia="Times New Roman" w:cs="Times New Roman"/>
          <w:noProof/>
          <w:szCs w:val="28"/>
          <w:lang w:eastAsia="en-US"/>
        </w:rPr>
        <w:t>2023. gadā sagaidāms</w:t>
      </w:r>
      <w:r w:rsidRPr="005E539C">
        <w:rPr>
          <w:rFonts w:eastAsia="Times New Roman" w:cs="Times New Roman"/>
          <w:noProof/>
          <w:szCs w:val="28"/>
          <w:lang w:eastAsia="en-US"/>
        </w:rPr>
        <w:t xml:space="preserve"> precēm un pakalpojumiem</w:t>
      </w:r>
      <w:r>
        <w:rPr>
          <w:rFonts w:eastAsia="Times New Roman" w:cs="Times New Roman"/>
          <w:noProof/>
          <w:szCs w:val="28"/>
          <w:lang w:eastAsia="en-US"/>
        </w:rPr>
        <w:t xml:space="preserve">. </w:t>
      </w:r>
      <w:r w:rsidRPr="005E539C">
        <w:rPr>
          <w:rFonts w:eastAsia="Times New Roman" w:cs="Times New Roman"/>
          <w:noProof/>
          <w:szCs w:val="28"/>
          <w:lang w:eastAsia="en-US"/>
        </w:rPr>
        <w:t xml:space="preserve">Lielāki izdevumi pamatā skaidrojami ar lielākiem izdevumiem par siltumenerģiju, elektroenerģiju, kurināmo un ēdināšanu pašvaldību iestādēs, kā arī augstākiem tēriņiem autoceļu un ielu uzturēšanai. </w:t>
      </w:r>
      <w:r w:rsidRPr="00092854">
        <w:rPr>
          <w:rFonts w:eastAsia="Times New Roman" w:cs="Times New Roman"/>
          <w:noProof/>
          <w:szCs w:val="28"/>
          <w:lang w:eastAsia="en-US"/>
        </w:rPr>
        <w:t xml:space="preserve">Arī sociāla rakstura maksājumi </w:t>
      </w:r>
      <w:r>
        <w:rPr>
          <w:rFonts w:eastAsia="Times New Roman" w:cs="Times New Roman"/>
          <w:noProof/>
          <w:szCs w:val="28"/>
          <w:lang w:eastAsia="en-US"/>
        </w:rPr>
        <w:t>2023. gadā</w:t>
      </w:r>
      <w:r w:rsidRPr="00092854">
        <w:rPr>
          <w:rFonts w:eastAsia="Times New Roman" w:cs="Times New Roman"/>
          <w:noProof/>
          <w:szCs w:val="28"/>
          <w:lang w:eastAsia="en-US"/>
        </w:rPr>
        <w:t xml:space="preserve"> </w:t>
      </w:r>
      <w:r>
        <w:rPr>
          <w:rFonts w:eastAsia="Times New Roman" w:cs="Times New Roman"/>
          <w:noProof/>
          <w:szCs w:val="28"/>
          <w:lang w:eastAsia="en-US"/>
        </w:rPr>
        <w:t>sagaidāmi</w:t>
      </w:r>
      <w:r w:rsidRPr="00092854">
        <w:rPr>
          <w:rFonts w:eastAsia="Times New Roman" w:cs="Times New Roman"/>
          <w:noProof/>
          <w:szCs w:val="28"/>
          <w:lang w:eastAsia="en-US"/>
        </w:rPr>
        <w:t xml:space="preserve"> augstāki salīdzinājumā ar 2022. gadu, izdevumiem pieaugot mājokļa pabalstiem un garantētā minimālā ienākuma pabalstu izmaksām</w:t>
      </w:r>
      <w:r>
        <w:rPr>
          <w:rFonts w:eastAsia="Times New Roman" w:cs="Times New Roman"/>
          <w:noProof/>
          <w:szCs w:val="28"/>
          <w:lang w:eastAsia="en-US"/>
        </w:rPr>
        <w:t xml:space="preserve">, kas </w:t>
      </w:r>
      <w:r w:rsidRPr="005E539C">
        <w:rPr>
          <w:rFonts w:eastAsia="Times New Roman" w:cs="Times New Roman"/>
          <w:noProof/>
          <w:szCs w:val="28"/>
          <w:lang w:eastAsia="en-US"/>
        </w:rPr>
        <w:t>saistāms ar valsts atbalsta pasākumu sniegšanu Ukrainas civiliedzīvotājiem</w:t>
      </w:r>
      <w:r>
        <w:rPr>
          <w:rFonts w:eastAsia="Times New Roman" w:cs="Times New Roman"/>
          <w:noProof/>
          <w:szCs w:val="28"/>
          <w:lang w:eastAsia="en-US"/>
        </w:rPr>
        <w:t>,</w:t>
      </w:r>
      <w:r w:rsidRPr="005E539C">
        <w:rPr>
          <w:rFonts w:eastAsia="Times New Roman" w:cs="Times New Roman"/>
          <w:noProof/>
          <w:szCs w:val="28"/>
          <w:lang w:eastAsia="en-US"/>
        </w:rPr>
        <w:t xml:space="preserve"> </w:t>
      </w:r>
      <w:r w:rsidRPr="009776D8">
        <w:rPr>
          <w:rFonts w:eastAsia="Times New Roman" w:cs="Times New Roman"/>
          <w:noProof/>
          <w:szCs w:val="28"/>
          <w:lang w:eastAsia="en-US"/>
        </w:rPr>
        <w:t>tāpat augstāki izdevumi vērojami samaksai par pašvaldību sociālajiem pakalpojumiem, tostarp par sociālo aprūpi mājās un sociālās rehabilitācijas institūciju sniegtajiem pakalpojumiem.</w:t>
      </w:r>
    </w:p>
    <w:p w14:paraId="6309665F" w14:textId="4ACBACEA" w:rsidR="0027570C" w:rsidRPr="004F2DC9" w:rsidRDefault="0027570C" w:rsidP="0027570C">
      <w:pPr>
        <w:rPr>
          <w:rFonts w:eastAsia="Times New Roman" w:cs="Times New Roman"/>
          <w:noProof/>
          <w:szCs w:val="28"/>
          <w:lang w:eastAsia="en-US"/>
        </w:rPr>
      </w:pPr>
      <w:r w:rsidRPr="005E539C">
        <w:rPr>
          <w:rFonts w:eastAsia="Times New Roman" w:cs="Times New Roman"/>
          <w:noProof/>
          <w:szCs w:val="28"/>
          <w:lang w:eastAsia="en-US"/>
        </w:rPr>
        <w:t>202</w:t>
      </w:r>
      <w:r>
        <w:rPr>
          <w:rFonts w:eastAsia="Times New Roman" w:cs="Times New Roman"/>
          <w:noProof/>
          <w:szCs w:val="28"/>
          <w:lang w:eastAsia="en-US"/>
        </w:rPr>
        <w:t>4</w:t>
      </w:r>
      <w:r w:rsidRPr="005E539C">
        <w:rPr>
          <w:rFonts w:eastAsia="Times New Roman" w:cs="Times New Roman"/>
          <w:noProof/>
          <w:szCs w:val="28"/>
          <w:lang w:eastAsia="en-US"/>
        </w:rPr>
        <w:t>. gadā pašvaldību budžetā tiek prognozēts deficīts, ņemot vērā mērenu ieņēmumu pieaugumu un straujāku izdevumu pieaugumu</w:t>
      </w:r>
      <w:r>
        <w:rPr>
          <w:rFonts w:eastAsia="Times New Roman" w:cs="Times New Roman"/>
          <w:noProof/>
          <w:szCs w:val="28"/>
          <w:lang w:eastAsia="en-US"/>
        </w:rPr>
        <w:t>, taču 2025.</w:t>
      </w:r>
      <w:r w:rsidR="003D276E" w:rsidRPr="003D276E">
        <w:rPr>
          <w:rFonts w:eastAsia="Times New Roman" w:cs="Times New Roman"/>
          <w:szCs w:val="24"/>
          <w:lang w:eastAsia="en-US"/>
        </w:rPr>
        <w:t xml:space="preserve"> </w:t>
      </w:r>
      <w:r w:rsidR="003D276E">
        <w:rPr>
          <w:rFonts w:eastAsia="Times New Roman" w:cs="Times New Roman"/>
          <w:szCs w:val="24"/>
          <w:lang w:eastAsia="en-US"/>
        </w:rPr>
        <w:t xml:space="preserve">– </w:t>
      </w:r>
      <w:r>
        <w:rPr>
          <w:rFonts w:eastAsia="Times New Roman" w:cs="Times New Roman"/>
          <w:noProof/>
          <w:szCs w:val="28"/>
          <w:lang w:eastAsia="en-US"/>
        </w:rPr>
        <w:t>2026. gadā, neskatoties uz prognozēto būtisko kapitālo izdevumu kāpumu, pašvaldību budžetā tiek prognozēts pārpalikums, ievērojami pieaugot ieņēmumiem no iedzīvotāju ienākuma nodokļa.</w:t>
      </w:r>
      <w:r w:rsidRPr="005E539C">
        <w:rPr>
          <w:rFonts w:eastAsia="Times New Roman" w:cs="Times New Roman"/>
          <w:noProof/>
          <w:szCs w:val="28"/>
          <w:lang w:eastAsia="en-US"/>
        </w:rPr>
        <w:t xml:space="preserve"> </w:t>
      </w:r>
    </w:p>
    <w:p w14:paraId="7AA9385A" w14:textId="02B5643A" w:rsidR="0027570C" w:rsidRPr="005E539C" w:rsidRDefault="0027570C" w:rsidP="0027570C">
      <w:pPr>
        <w:ind w:firstLine="0"/>
        <w:jc w:val="right"/>
        <w:rPr>
          <w:rFonts w:eastAsia="Times New Roman" w:cs="Times New Roman"/>
          <w:b/>
          <w:i/>
          <w:szCs w:val="24"/>
          <w:lang w:eastAsia="en-US"/>
        </w:rPr>
      </w:pPr>
      <w:r w:rsidRPr="005E539C">
        <w:rPr>
          <w:rFonts w:eastAsia="Times New Roman" w:cs="Times New Roman"/>
          <w:b/>
          <w:i/>
          <w:szCs w:val="24"/>
          <w:lang w:eastAsia="en-US"/>
        </w:rPr>
        <w:t>2.</w:t>
      </w:r>
      <w:r w:rsidR="005273F0">
        <w:rPr>
          <w:rFonts w:eastAsia="Times New Roman" w:cs="Times New Roman"/>
          <w:b/>
          <w:i/>
          <w:szCs w:val="24"/>
          <w:lang w:eastAsia="en-US"/>
        </w:rPr>
        <w:t>10</w:t>
      </w:r>
      <w:r w:rsidRPr="005E539C">
        <w:rPr>
          <w:rFonts w:eastAsia="Times New Roman" w:cs="Times New Roman"/>
          <w:b/>
          <w:i/>
          <w:szCs w:val="24"/>
          <w:lang w:eastAsia="en-US"/>
        </w:rPr>
        <w:t>. tabula. Pašvaldību konsolidētā budžeta bilance 202</w:t>
      </w:r>
      <w:r>
        <w:rPr>
          <w:rFonts w:eastAsia="Times New Roman" w:cs="Times New Roman"/>
          <w:b/>
          <w:i/>
          <w:szCs w:val="24"/>
          <w:lang w:eastAsia="en-US"/>
        </w:rPr>
        <w:t>2</w:t>
      </w:r>
      <w:r w:rsidRPr="005E539C">
        <w:rPr>
          <w:rFonts w:eastAsia="Times New Roman" w:cs="Times New Roman"/>
          <w:b/>
          <w:i/>
          <w:szCs w:val="24"/>
          <w:lang w:eastAsia="en-US"/>
        </w:rPr>
        <w:t>.</w:t>
      </w:r>
      <w:r w:rsidR="003D276E" w:rsidRPr="003D276E">
        <w:rPr>
          <w:rFonts w:eastAsia="Times New Roman" w:cs="Times New Roman"/>
          <w:szCs w:val="24"/>
          <w:lang w:eastAsia="en-US"/>
        </w:rPr>
        <w:t xml:space="preserve"> </w:t>
      </w:r>
      <w:r w:rsidR="003D276E">
        <w:rPr>
          <w:rFonts w:eastAsia="Times New Roman" w:cs="Times New Roman"/>
          <w:szCs w:val="24"/>
          <w:lang w:eastAsia="en-US"/>
        </w:rPr>
        <w:t xml:space="preserve">– </w:t>
      </w:r>
      <w:r w:rsidRPr="005E539C">
        <w:rPr>
          <w:rFonts w:eastAsia="Times New Roman" w:cs="Times New Roman"/>
          <w:b/>
          <w:i/>
          <w:szCs w:val="24"/>
          <w:lang w:eastAsia="en-US"/>
        </w:rPr>
        <w:t>202</w:t>
      </w:r>
      <w:r>
        <w:rPr>
          <w:rFonts w:eastAsia="Times New Roman" w:cs="Times New Roman"/>
          <w:b/>
          <w:i/>
          <w:szCs w:val="24"/>
          <w:lang w:eastAsia="en-US"/>
        </w:rPr>
        <w:t>6</w:t>
      </w:r>
      <w:r w:rsidRPr="005E539C">
        <w:rPr>
          <w:rFonts w:eastAsia="Times New Roman" w:cs="Times New Roman"/>
          <w:b/>
          <w:i/>
          <w:szCs w:val="24"/>
          <w:lang w:eastAsia="en-US"/>
        </w:rPr>
        <w:t>.</w:t>
      </w:r>
      <w:r>
        <w:rPr>
          <w:rFonts w:eastAsia="Times New Roman" w:cs="Times New Roman"/>
          <w:b/>
          <w:i/>
          <w:szCs w:val="24"/>
          <w:lang w:eastAsia="en-US"/>
        </w:rPr>
        <w:t xml:space="preserve"> </w:t>
      </w:r>
      <w:r w:rsidRPr="005E539C">
        <w:rPr>
          <w:rFonts w:eastAsia="Times New Roman" w:cs="Times New Roman"/>
          <w:b/>
          <w:i/>
          <w:szCs w:val="24"/>
          <w:lang w:eastAsia="en-US"/>
        </w:rPr>
        <w:t xml:space="preserve">gadā, milj. </w:t>
      </w:r>
      <w:r w:rsidRPr="005E539C">
        <w:rPr>
          <w:rFonts w:eastAsia="Times New Roman" w:cs="Times New Roman"/>
          <w:b/>
          <w:i/>
          <w:noProof/>
          <w:szCs w:val="24"/>
          <w:lang w:eastAsia="en-US"/>
        </w:rPr>
        <w:t>euro</w:t>
      </w:r>
    </w:p>
    <w:tbl>
      <w:tblPr>
        <w:tblW w:w="9277" w:type="dxa"/>
        <w:jc w:val="center"/>
        <w:tblLayout w:type="fixed"/>
        <w:tblLook w:val="04A0" w:firstRow="1" w:lastRow="0" w:firstColumn="1" w:lastColumn="0" w:noHBand="0" w:noVBand="1"/>
      </w:tblPr>
      <w:tblGrid>
        <w:gridCol w:w="2317"/>
        <w:gridCol w:w="880"/>
        <w:gridCol w:w="861"/>
        <w:gridCol w:w="871"/>
        <w:gridCol w:w="870"/>
        <w:gridCol w:w="872"/>
        <w:gridCol w:w="870"/>
        <w:gridCol w:w="871"/>
        <w:gridCol w:w="865"/>
      </w:tblGrid>
      <w:tr w:rsidR="0027570C" w:rsidRPr="005E539C" w14:paraId="68459F18" w14:textId="77777777" w:rsidTr="005F05A2">
        <w:trPr>
          <w:trHeight w:val="113"/>
          <w:tblHeader/>
          <w:jc w:val="center"/>
        </w:trPr>
        <w:tc>
          <w:tcPr>
            <w:tcW w:w="2317" w:type="dxa"/>
            <w:tcBorders>
              <w:top w:val="single" w:sz="4" w:space="0" w:color="auto"/>
              <w:left w:val="single" w:sz="4" w:space="0" w:color="auto"/>
              <w:bottom w:val="single" w:sz="4" w:space="0" w:color="auto"/>
              <w:right w:val="single" w:sz="4" w:space="0" w:color="auto"/>
            </w:tcBorders>
            <w:shd w:val="clear" w:color="auto" w:fill="C6D9F1"/>
            <w:noWrap/>
            <w:vAlign w:val="bottom"/>
            <w:hideMark/>
          </w:tcPr>
          <w:p w14:paraId="48E3DFD6" w14:textId="77777777" w:rsidR="0027570C" w:rsidRPr="005E539C" w:rsidRDefault="0027570C" w:rsidP="005F05A2">
            <w:pPr>
              <w:spacing w:after="0"/>
              <w:ind w:firstLine="0"/>
              <w:jc w:val="left"/>
              <w:rPr>
                <w:rFonts w:eastAsia="Times New Roman" w:cs="Times New Roman"/>
                <w:color w:val="000000"/>
                <w:sz w:val="18"/>
                <w:szCs w:val="18"/>
              </w:rPr>
            </w:pPr>
            <w:r w:rsidRPr="005E539C">
              <w:rPr>
                <w:rFonts w:eastAsia="Times New Roman" w:cs="Times New Roman"/>
                <w:color w:val="000000"/>
                <w:sz w:val="18"/>
                <w:szCs w:val="18"/>
              </w:rPr>
              <w:t> </w:t>
            </w:r>
          </w:p>
        </w:tc>
        <w:tc>
          <w:tcPr>
            <w:tcW w:w="880" w:type="dxa"/>
            <w:tcBorders>
              <w:top w:val="single" w:sz="4" w:space="0" w:color="auto"/>
              <w:left w:val="nil"/>
              <w:bottom w:val="single" w:sz="4" w:space="0" w:color="auto"/>
              <w:right w:val="single" w:sz="4" w:space="0" w:color="auto"/>
            </w:tcBorders>
            <w:shd w:val="clear" w:color="auto" w:fill="C6D9F1"/>
            <w:noWrap/>
            <w:vAlign w:val="center"/>
            <w:hideMark/>
          </w:tcPr>
          <w:p w14:paraId="690EFA6B" w14:textId="77777777" w:rsidR="0027570C" w:rsidRPr="005E539C" w:rsidRDefault="0027570C" w:rsidP="005F05A2">
            <w:pPr>
              <w:spacing w:after="0"/>
              <w:ind w:firstLine="0"/>
              <w:jc w:val="center"/>
              <w:rPr>
                <w:rFonts w:eastAsia="Times New Roman" w:cs="Times New Roman"/>
                <w:b/>
                <w:bCs/>
                <w:sz w:val="18"/>
                <w:szCs w:val="18"/>
              </w:rPr>
            </w:pPr>
            <w:r w:rsidRPr="005E539C">
              <w:rPr>
                <w:rFonts w:eastAsia="Times New Roman" w:cs="Times New Roman"/>
                <w:b/>
                <w:bCs/>
                <w:color w:val="000000"/>
                <w:sz w:val="18"/>
                <w:szCs w:val="18"/>
              </w:rPr>
              <w:t>202</w:t>
            </w:r>
            <w:r>
              <w:rPr>
                <w:rFonts w:eastAsia="Times New Roman" w:cs="Times New Roman"/>
                <w:b/>
                <w:bCs/>
                <w:color w:val="000000"/>
                <w:sz w:val="18"/>
                <w:szCs w:val="18"/>
              </w:rPr>
              <w:t>2</w:t>
            </w:r>
          </w:p>
        </w:tc>
        <w:tc>
          <w:tcPr>
            <w:tcW w:w="861" w:type="dxa"/>
            <w:tcBorders>
              <w:top w:val="single" w:sz="4" w:space="0" w:color="auto"/>
              <w:left w:val="nil"/>
              <w:bottom w:val="single" w:sz="4" w:space="0" w:color="auto"/>
              <w:right w:val="single" w:sz="4" w:space="0" w:color="auto"/>
            </w:tcBorders>
            <w:shd w:val="clear" w:color="auto" w:fill="C6D9F1"/>
            <w:noWrap/>
            <w:vAlign w:val="center"/>
            <w:hideMark/>
          </w:tcPr>
          <w:p w14:paraId="7EA9C75D" w14:textId="77777777" w:rsidR="0027570C" w:rsidRPr="005E539C" w:rsidRDefault="0027570C" w:rsidP="005F05A2">
            <w:pPr>
              <w:spacing w:after="0"/>
              <w:ind w:firstLine="0"/>
              <w:jc w:val="center"/>
              <w:rPr>
                <w:rFonts w:eastAsia="Times New Roman" w:cs="Times New Roman"/>
                <w:b/>
                <w:bCs/>
                <w:sz w:val="18"/>
                <w:szCs w:val="18"/>
              </w:rPr>
            </w:pPr>
            <w:r w:rsidRPr="005E539C">
              <w:rPr>
                <w:rFonts w:eastAsia="Times New Roman" w:cs="Times New Roman"/>
                <w:b/>
                <w:bCs/>
                <w:color w:val="000000"/>
                <w:sz w:val="18"/>
                <w:szCs w:val="18"/>
              </w:rPr>
              <w:t>202</w:t>
            </w:r>
            <w:r>
              <w:rPr>
                <w:rFonts w:eastAsia="Times New Roman" w:cs="Times New Roman"/>
                <w:b/>
                <w:bCs/>
                <w:color w:val="000000"/>
                <w:sz w:val="18"/>
                <w:szCs w:val="18"/>
              </w:rPr>
              <w:t>3</w:t>
            </w:r>
          </w:p>
        </w:tc>
        <w:tc>
          <w:tcPr>
            <w:tcW w:w="871" w:type="dxa"/>
            <w:tcBorders>
              <w:top w:val="single" w:sz="4" w:space="0" w:color="auto"/>
              <w:left w:val="nil"/>
              <w:bottom w:val="single" w:sz="4" w:space="0" w:color="auto"/>
              <w:right w:val="single" w:sz="4" w:space="0" w:color="auto"/>
            </w:tcBorders>
            <w:shd w:val="clear" w:color="auto" w:fill="C6D9F1"/>
            <w:noWrap/>
            <w:vAlign w:val="center"/>
            <w:hideMark/>
          </w:tcPr>
          <w:p w14:paraId="52523B96" w14:textId="77777777" w:rsidR="0027570C" w:rsidRPr="005E539C" w:rsidRDefault="0027570C" w:rsidP="005F05A2">
            <w:pPr>
              <w:spacing w:after="0"/>
              <w:ind w:firstLine="0"/>
              <w:jc w:val="center"/>
              <w:rPr>
                <w:rFonts w:eastAsia="Times New Roman" w:cs="Times New Roman"/>
                <w:b/>
                <w:bCs/>
                <w:sz w:val="18"/>
                <w:szCs w:val="18"/>
              </w:rPr>
            </w:pPr>
            <w:r w:rsidRPr="005E539C">
              <w:rPr>
                <w:rFonts w:eastAsia="Times New Roman" w:cs="Times New Roman"/>
                <w:b/>
                <w:bCs/>
                <w:color w:val="000000"/>
                <w:sz w:val="18"/>
                <w:szCs w:val="18"/>
              </w:rPr>
              <w:t>202</w:t>
            </w:r>
            <w:r>
              <w:rPr>
                <w:rFonts w:eastAsia="Times New Roman" w:cs="Times New Roman"/>
                <w:b/>
                <w:bCs/>
                <w:color w:val="000000"/>
                <w:sz w:val="18"/>
                <w:szCs w:val="18"/>
              </w:rPr>
              <w:t>4</w:t>
            </w:r>
          </w:p>
        </w:tc>
        <w:tc>
          <w:tcPr>
            <w:tcW w:w="870" w:type="dxa"/>
            <w:tcBorders>
              <w:top w:val="single" w:sz="4" w:space="0" w:color="auto"/>
              <w:left w:val="nil"/>
              <w:bottom w:val="single" w:sz="4" w:space="0" w:color="auto"/>
              <w:right w:val="single" w:sz="4" w:space="0" w:color="auto"/>
            </w:tcBorders>
            <w:shd w:val="clear" w:color="auto" w:fill="C6D9F1"/>
            <w:noWrap/>
            <w:vAlign w:val="center"/>
            <w:hideMark/>
          </w:tcPr>
          <w:p w14:paraId="37C4CCA0" w14:textId="77777777" w:rsidR="0027570C" w:rsidRPr="005E539C" w:rsidRDefault="0027570C" w:rsidP="005F05A2">
            <w:pPr>
              <w:spacing w:after="0"/>
              <w:ind w:firstLine="0"/>
              <w:jc w:val="center"/>
              <w:rPr>
                <w:rFonts w:eastAsia="Times New Roman" w:cs="Times New Roman"/>
                <w:b/>
                <w:bCs/>
                <w:sz w:val="18"/>
                <w:szCs w:val="18"/>
              </w:rPr>
            </w:pPr>
            <w:r w:rsidRPr="005E539C">
              <w:rPr>
                <w:rFonts w:eastAsia="Times New Roman" w:cs="Times New Roman"/>
                <w:b/>
                <w:bCs/>
                <w:color w:val="000000"/>
                <w:sz w:val="18"/>
                <w:szCs w:val="18"/>
              </w:rPr>
              <w:t>202</w:t>
            </w:r>
            <w:r>
              <w:rPr>
                <w:rFonts w:eastAsia="Times New Roman" w:cs="Times New Roman"/>
                <w:b/>
                <w:bCs/>
                <w:color w:val="000000"/>
                <w:sz w:val="18"/>
                <w:szCs w:val="18"/>
              </w:rPr>
              <w:t>5</w:t>
            </w:r>
          </w:p>
        </w:tc>
        <w:tc>
          <w:tcPr>
            <w:tcW w:w="872" w:type="dxa"/>
            <w:tcBorders>
              <w:top w:val="single" w:sz="4" w:space="0" w:color="auto"/>
              <w:left w:val="nil"/>
              <w:bottom w:val="single" w:sz="4" w:space="0" w:color="auto"/>
              <w:right w:val="single" w:sz="4" w:space="0" w:color="auto"/>
            </w:tcBorders>
            <w:shd w:val="clear" w:color="auto" w:fill="C6D9F1"/>
            <w:noWrap/>
            <w:hideMark/>
          </w:tcPr>
          <w:p w14:paraId="13EAD584" w14:textId="77777777" w:rsidR="0027570C" w:rsidRPr="005E539C" w:rsidRDefault="0027570C" w:rsidP="005F05A2">
            <w:pPr>
              <w:spacing w:after="0"/>
              <w:ind w:firstLine="0"/>
              <w:jc w:val="center"/>
              <w:rPr>
                <w:rFonts w:eastAsia="Times New Roman" w:cs="Times New Roman"/>
                <w:b/>
                <w:bCs/>
                <w:sz w:val="18"/>
                <w:szCs w:val="18"/>
              </w:rPr>
            </w:pPr>
            <w:r w:rsidRPr="005E539C">
              <w:rPr>
                <w:rFonts w:eastAsia="Times New Roman" w:cs="Times New Roman"/>
                <w:b/>
                <w:bCs/>
                <w:color w:val="000000"/>
                <w:sz w:val="18"/>
                <w:szCs w:val="18"/>
              </w:rPr>
              <w:t>202</w:t>
            </w:r>
            <w:r>
              <w:rPr>
                <w:rFonts w:eastAsia="Times New Roman" w:cs="Times New Roman"/>
                <w:b/>
                <w:bCs/>
                <w:color w:val="000000"/>
                <w:sz w:val="18"/>
                <w:szCs w:val="18"/>
              </w:rPr>
              <w:t>6</w:t>
            </w:r>
          </w:p>
        </w:tc>
        <w:tc>
          <w:tcPr>
            <w:tcW w:w="870" w:type="dxa"/>
            <w:tcBorders>
              <w:top w:val="single" w:sz="4" w:space="0" w:color="auto"/>
              <w:left w:val="nil"/>
              <w:bottom w:val="single" w:sz="4" w:space="0" w:color="auto"/>
              <w:right w:val="single" w:sz="4" w:space="0" w:color="auto"/>
            </w:tcBorders>
            <w:shd w:val="clear" w:color="auto" w:fill="C6D9F1"/>
            <w:vAlign w:val="center"/>
          </w:tcPr>
          <w:p w14:paraId="330DF60E" w14:textId="77777777" w:rsidR="0027570C" w:rsidRPr="005E539C" w:rsidRDefault="0027570C" w:rsidP="005F05A2">
            <w:pPr>
              <w:spacing w:after="0"/>
              <w:ind w:firstLine="0"/>
              <w:jc w:val="center"/>
              <w:rPr>
                <w:rFonts w:eastAsia="Times New Roman" w:cs="Times New Roman"/>
                <w:b/>
                <w:bCs/>
                <w:color w:val="000000"/>
                <w:sz w:val="18"/>
                <w:szCs w:val="18"/>
              </w:rPr>
            </w:pPr>
            <w:r w:rsidRPr="005E539C">
              <w:rPr>
                <w:rFonts w:eastAsia="Times New Roman" w:cs="Times New Roman"/>
                <w:b/>
                <w:bCs/>
                <w:color w:val="000000"/>
                <w:sz w:val="18"/>
                <w:szCs w:val="18"/>
              </w:rPr>
              <w:t>202</w:t>
            </w:r>
            <w:r>
              <w:rPr>
                <w:rFonts w:eastAsia="Times New Roman" w:cs="Times New Roman"/>
                <w:b/>
                <w:bCs/>
                <w:color w:val="000000"/>
                <w:sz w:val="18"/>
                <w:szCs w:val="18"/>
              </w:rPr>
              <w:t>4</w:t>
            </w:r>
          </w:p>
        </w:tc>
        <w:tc>
          <w:tcPr>
            <w:tcW w:w="871" w:type="dxa"/>
            <w:tcBorders>
              <w:top w:val="single" w:sz="4" w:space="0" w:color="auto"/>
              <w:left w:val="single" w:sz="4" w:space="0" w:color="auto"/>
              <w:bottom w:val="single" w:sz="4" w:space="0" w:color="auto"/>
              <w:right w:val="single" w:sz="4" w:space="0" w:color="auto"/>
            </w:tcBorders>
            <w:shd w:val="clear" w:color="auto" w:fill="C6D9F1"/>
            <w:noWrap/>
            <w:vAlign w:val="center"/>
            <w:hideMark/>
          </w:tcPr>
          <w:p w14:paraId="39A54D67" w14:textId="77777777" w:rsidR="0027570C" w:rsidRPr="005E539C" w:rsidRDefault="0027570C" w:rsidP="005F05A2">
            <w:pPr>
              <w:spacing w:after="0"/>
              <w:ind w:firstLine="0"/>
              <w:jc w:val="center"/>
              <w:rPr>
                <w:rFonts w:eastAsia="Times New Roman" w:cs="Times New Roman"/>
                <w:b/>
                <w:bCs/>
                <w:sz w:val="18"/>
                <w:szCs w:val="18"/>
              </w:rPr>
            </w:pPr>
            <w:r w:rsidRPr="005E539C">
              <w:rPr>
                <w:rFonts w:eastAsia="Times New Roman" w:cs="Times New Roman"/>
                <w:b/>
                <w:bCs/>
                <w:color w:val="000000"/>
                <w:sz w:val="18"/>
                <w:szCs w:val="18"/>
              </w:rPr>
              <w:t>202</w:t>
            </w:r>
            <w:r>
              <w:rPr>
                <w:rFonts w:eastAsia="Times New Roman" w:cs="Times New Roman"/>
                <w:b/>
                <w:bCs/>
                <w:color w:val="000000"/>
                <w:sz w:val="18"/>
                <w:szCs w:val="18"/>
              </w:rPr>
              <w:t>5</w:t>
            </w:r>
          </w:p>
        </w:tc>
        <w:tc>
          <w:tcPr>
            <w:tcW w:w="865" w:type="dxa"/>
            <w:tcBorders>
              <w:top w:val="single" w:sz="4" w:space="0" w:color="auto"/>
              <w:left w:val="nil"/>
              <w:bottom w:val="single" w:sz="4" w:space="0" w:color="auto"/>
              <w:right w:val="single" w:sz="4" w:space="0" w:color="auto"/>
            </w:tcBorders>
            <w:shd w:val="clear" w:color="auto" w:fill="C6D9F1"/>
            <w:noWrap/>
            <w:hideMark/>
          </w:tcPr>
          <w:p w14:paraId="15974BDA" w14:textId="77777777" w:rsidR="0027570C" w:rsidRPr="005E539C" w:rsidRDefault="0027570C" w:rsidP="005F05A2">
            <w:pPr>
              <w:spacing w:after="0"/>
              <w:ind w:firstLine="0"/>
              <w:jc w:val="center"/>
              <w:rPr>
                <w:rFonts w:eastAsia="Times New Roman" w:cs="Times New Roman"/>
                <w:b/>
                <w:bCs/>
                <w:sz w:val="18"/>
                <w:szCs w:val="18"/>
              </w:rPr>
            </w:pPr>
            <w:r w:rsidRPr="005E539C">
              <w:rPr>
                <w:rFonts w:eastAsia="Times New Roman" w:cs="Times New Roman"/>
                <w:b/>
                <w:bCs/>
                <w:color w:val="000000"/>
                <w:sz w:val="18"/>
                <w:szCs w:val="18"/>
              </w:rPr>
              <w:t>202</w:t>
            </w:r>
            <w:r>
              <w:rPr>
                <w:rFonts w:eastAsia="Times New Roman" w:cs="Times New Roman"/>
                <w:b/>
                <w:bCs/>
                <w:color w:val="000000"/>
                <w:sz w:val="18"/>
                <w:szCs w:val="18"/>
              </w:rPr>
              <w:t>6</w:t>
            </w:r>
          </w:p>
        </w:tc>
      </w:tr>
      <w:tr w:rsidR="0027570C" w:rsidRPr="005E539C" w14:paraId="07A1710E" w14:textId="77777777" w:rsidTr="005F05A2">
        <w:trPr>
          <w:trHeight w:val="423"/>
          <w:tblHeader/>
          <w:jc w:val="center"/>
        </w:trPr>
        <w:tc>
          <w:tcPr>
            <w:tcW w:w="2317" w:type="dxa"/>
            <w:tcBorders>
              <w:top w:val="nil"/>
              <w:left w:val="single" w:sz="4" w:space="0" w:color="auto"/>
              <w:bottom w:val="single" w:sz="4" w:space="0" w:color="auto"/>
              <w:right w:val="single" w:sz="4" w:space="0" w:color="auto"/>
            </w:tcBorders>
            <w:shd w:val="clear" w:color="auto" w:fill="C6D9F1"/>
            <w:noWrap/>
            <w:vAlign w:val="bottom"/>
            <w:hideMark/>
          </w:tcPr>
          <w:p w14:paraId="51F53EB3" w14:textId="77777777" w:rsidR="0027570C" w:rsidRPr="005E539C" w:rsidRDefault="0027570C" w:rsidP="005F05A2">
            <w:pPr>
              <w:spacing w:after="0"/>
              <w:ind w:firstLine="0"/>
              <w:jc w:val="left"/>
              <w:rPr>
                <w:rFonts w:eastAsia="Times New Roman" w:cs="Times New Roman"/>
                <w:b/>
                <w:bCs/>
                <w:color w:val="000000"/>
                <w:sz w:val="18"/>
                <w:szCs w:val="18"/>
              </w:rPr>
            </w:pPr>
            <w:r w:rsidRPr="005E539C">
              <w:rPr>
                <w:rFonts w:eastAsia="Times New Roman" w:cs="Times New Roman"/>
                <w:b/>
                <w:bCs/>
                <w:color w:val="000000"/>
                <w:sz w:val="18"/>
                <w:szCs w:val="18"/>
              </w:rPr>
              <w:t> </w:t>
            </w:r>
          </w:p>
        </w:tc>
        <w:tc>
          <w:tcPr>
            <w:tcW w:w="880" w:type="dxa"/>
            <w:tcBorders>
              <w:top w:val="single" w:sz="4" w:space="0" w:color="auto"/>
              <w:left w:val="nil"/>
              <w:bottom w:val="single" w:sz="4" w:space="0" w:color="auto"/>
              <w:right w:val="single" w:sz="4" w:space="0" w:color="auto"/>
            </w:tcBorders>
            <w:shd w:val="clear" w:color="auto" w:fill="C6D9F1"/>
            <w:noWrap/>
            <w:vAlign w:val="center"/>
            <w:hideMark/>
          </w:tcPr>
          <w:p w14:paraId="487330D8" w14:textId="77777777" w:rsidR="0027570C" w:rsidRPr="005E539C" w:rsidRDefault="0027570C" w:rsidP="005F05A2">
            <w:pPr>
              <w:spacing w:after="0"/>
              <w:ind w:firstLine="0"/>
              <w:jc w:val="center"/>
              <w:rPr>
                <w:rFonts w:eastAsia="Times New Roman" w:cs="Times New Roman"/>
                <w:b/>
                <w:sz w:val="18"/>
                <w:szCs w:val="18"/>
              </w:rPr>
            </w:pPr>
            <w:r w:rsidRPr="005E539C">
              <w:rPr>
                <w:rFonts w:eastAsia="Times New Roman" w:cs="Times New Roman"/>
                <w:b/>
                <w:color w:val="000000"/>
                <w:sz w:val="18"/>
                <w:szCs w:val="18"/>
              </w:rPr>
              <w:t>Fakts</w:t>
            </w:r>
          </w:p>
        </w:tc>
        <w:tc>
          <w:tcPr>
            <w:tcW w:w="861" w:type="dxa"/>
            <w:tcBorders>
              <w:top w:val="single" w:sz="4" w:space="0" w:color="auto"/>
              <w:left w:val="nil"/>
              <w:bottom w:val="single" w:sz="4" w:space="0" w:color="auto"/>
              <w:right w:val="single" w:sz="4" w:space="0" w:color="auto"/>
            </w:tcBorders>
            <w:shd w:val="clear" w:color="auto" w:fill="C6D9F1"/>
            <w:vAlign w:val="center"/>
          </w:tcPr>
          <w:p w14:paraId="0625A3D1" w14:textId="77777777" w:rsidR="0027570C" w:rsidRPr="005E539C" w:rsidRDefault="0027570C" w:rsidP="005F05A2">
            <w:pPr>
              <w:spacing w:after="0"/>
              <w:ind w:firstLine="0"/>
              <w:jc w:val="center"/>
              <w:rPr>
                <w:rFonts w:eastAsia="Times New Roman" w:cs="Times New Roman"/>
                <w:b/>
                <w:sz w:val="18"/>
                <w:szCs w:val="18"/>
              </w:rPr>
            </w:pPr>
            <w:r w:rsidRPr="005E539C">
              <w:rPr>
                <w:rFonts w:eastAsia="Times New Roman" w:cs="Times New Roman"/>
                <w:b/>
                <w:color w:val="000000"/>
                <w:sz w:val="18"/>
                <w:szCs w:val="18"/>
              </w:rPr>
              <w:t>Novērt.</w:t>
            </w:r>
          </w:p>
        </w:tc>
        <w:tc>
          <w:tcPr>
            <w:tcW w:w="2613" w:type="dxa"/>
            <w:gridSpan w:val="3"/>
            <w:tcBorders>
              <w:top w:val="single" w:sz="4" w:space="0" w:color="auto"/>
              <w:left w:val="nil"/>
              <w:bottom w:val="single" w:sz="4" w:space="0" w:color="auto"/>
              <w:right w:val="single" w:sz="4" w:space="0" w:color="auto"/>
            </w:tcBorders>
            <w:shd w:val="clear" w:color="auto" w:fill="C6D9F1"/>
            <w:vAlign w:val="center"/>
          </w:tcPr>
          <w:p w14:paraId="6D0A3821" w14:textId="77777777" w:rsidR="0027570C" w:rsidRPr="005E539C" w:rsidRDefault="0027570C" w:rsidP="005F05A2">
            <w:pPr>
              <w:spacing w:after="0"/>
              <w:ind w:firstLine="0"/>
              <w:jc w:val="center"/>
              <w:rPr>
                <w:rFonts w:eastAsia="Times New Roman" w:cs="Times New Roman"/>
                <w:b/>
                <w:sz w:val="18"/>
                <w:szCs w:val="18"/>
              </w:rPr>
            </w:pPr>
            <w:r w:rsidRPr="005E539C">
              <w:rPr>
                <w:rFonts w:eastAsia="Times New Roman" w:cs="Times New Roman"/>
                <w:b/>
                <w:color w:val="000000"/>
                <w:sz w:val="18"/>
                <w:szCs w:val="18"/>
              </w:rPr>
              <w:t>Prognoze</w:t>
            </w:r>
            <w:r w:rsidRPr="005E539C">
              <w:rPr>
                <w:rFonts w:eastAsia="Times New Roman" w:cs="Times New Roman"/>
                <w:b/>
                <w:color w:val="000000"/>
                <w:sz w:val="18"/>
                <w:szCs w:val="18"/>
              </w:rPr>
              <w:br/>
              <w:t>(pie nemainīgas politikas)</w:t>
            </w:r>
            <w:r w:rsidRPr="005E539C">
              <w:rPr>
                <w:rFonts w:eastAsia="Times New Roman" w:cs="Times New Roman"/>
                <w:b/>
                <w:color w:val="000000"/>
                <w:sz w:val="18"/>
                <w:szCs w:val="18"/>
                <w:vertAlign w:val="superscript"/>
              </w:rPr>
              <w:footnoteReference w:id="21"/>
            </w:r>
          </w:p>
        </w:tc>
        <w:tc>
          <w:tcPr>
            <w:tcW w:w="2606" w:type="dxa"/>
            <w:gridSpan w:val="3"/>
            <w:tcBorders>
              <w:top w:val="single" w:sz="4" w:space="0" w:color="auto"/>
              <w:left w:val="single" w:sz="4" w:space="0" w:color="auto"/>
              <w:bottom w:val="single" w:sz="4" w:space="0" w:color="auto"/>
              <w:right w:val="single" w:sz="4" w:space="0" w:color="auto"/>
            </w:tcBorders>
            <w:shd w:val="clear" w:color="auto" w:fill="C6D9F1"/>
            <w:vAlign w:val="center"/>
          </w:tcPr>
          <w:p w14:paraId="3C183476" w14:textId="77777777" w:rsidR="0027570C" w:rsidRPr="005E539C" w:rsidRDefault="0027570C" w:rsidP="005F05A2">
            <w:pPr>
              <w:spacing w:after="0"/>
              <w:ind w:firstLine="0"/>
              <w:jc w:val="center"/>
              <w:rPr>
                <w:rFonts w:eastAsia="Times New Roman" w:cs="Times New Roman"/>
                <w:b/>
                <w:sz w:val="18"/>
                <w:szCs w:val="18"/>
              </w:rPr>
            </w:pPr>
            <w:r w:rsidRPr="005E539C">
              <w:rPr>
                <w:rFonts w:eastAsia="Times New Roman" w:cs="Times New Roman"/>
                <w:b/>
                <w:color w:val="000000"/>
                <w:sz w:val="18"/>
                <w:szCs w:val="18"/>
              </w:rPr>
              <w:t xml:space="preserve">Prognoze </w:t>
            </w:r>
          </w:p>
        </w:tc>
      </w:tr>
      <w:tr w:rsidR="0027570C" w:rsidRPr="005E539C" w14:paraId="50891D56" w14:textId="77777777" w:rsidTr="005F05A2">
        <w:trPr>
          <w:trHeight w:val="207"/>
          <w:jc w:val="center"/>
        </w:trPr>
        <w:tc>
          <w:tcPr>
            <w:tcW w:w="2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AE5EC" w14:textId="77777777" w:rsidR="0027570C" w:rsidRPr="005E539C" w:rsidRDefault="0027570C" w:rsidP="005F05A2">
            <w:pPr>
              <w:spacing w:after="0"/>
              <w:ind w:firstLine="0"/>
              <w:jc w:val="left"/>
              <w:rPr>
                <w:rFonts w:eastAsia="Times New Roman" w:cs="Times New Roman"/>
                <w:b/>
                <w:bCs/>
                <w:sz w:val="18"/>
                <w:szCs w:val="18"/>
              </w:rPr>
            </w:pPr>
            <w:r w:rsidRPr="005E539C">
              <w:rPr>
                <w:rFonts w:eastAsia="Times New Roman" w:cs="Times New Roman"/>
                <w:b/>
                <w:bCs/>
                <w:sz w:val="18"/>
                <w:szCs w:val="18"/>
              </w:rPr>
              <w:t>PAŠVALDĪBU BUDŽETA BILANCE</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14:paraId="20D385A6" w14:textId="77777777" w:rsidR="0027570C" w:rsidRPr="005E539C" w:rsidRDefault="0027570C" w:rsidP="005F05A2">
            <w:pPr>
              <w:spacing w:after="0"/>
              <w:ind w:firstLine="0"/>
              <w:jc w:val="right"/>
              <w:rPr>
                <w:rFonts w:eastAsia="Times New Roman" w:cs="Times New Roman"/>
                <w:b/>
                <w:bCs/>
                <w:sz w:val="18"/>
                <w:szCs w:val="18"/>
              </w:rPr>
            </w:pPr>
            <w:r>
              <w:rPr>
                <w:b/>
                <w:bCs/>
                <w:sz w:val="18"/>
                <w:szCs w:val="18"/>
              </w:rPr>
              <w:t>62,9</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6DBAEEE5" w14:textId="77777777" w:rsidR="0027570C" w:rsidRPr="005E539C" w:rsidRDefault="0027570C" w:rsidP="005F05A2">
            <w:pPr>
              <w:spacing w:after="0"/>
              <w:ind w:firstLine="0"/>
              <w:jc w:val="right"/>
              <w:rPr>
                <w:rFonts w:eastAsia="Times New Roman" w:cs="Times New Roman"/>
                <w:b/>
                <w:bCs/>
                <w:sz w:val="18"/>
                <w:szCs w:val="18"/>
              </w:rPr>
            </w:pPr>
            <w:r>
              <w:rPr>
                <w:b/>
                <w:bCs/>
                <w:sz w:val="18"/>
                <w:szCs w:val="18"/>
              </w:rPr>
              <w:t>-28,0</w:t>
            </w:r>
          </w:p>
        </w:tc>
        <w:tc>
          <w:tcPr>
            <w:tcW w:w="871" w:type="dxa"/>
            <w:tcBorders>
              <w:top w:val="single" w:sz="4" w:space="0" w:color="auto"/>
              <w:left w:val="nil"/>
              <w:bottom w:val="single" w:sz="4" w:space="0" w:color="auto"/>
              <w:right w:val="single" w:sz="4" w:space="0" w:color="auto"/>
            </w:tcBorders>
            <w:shd w:val="clear" w:color="auto" w:fill="auto"/>
            <w:noWrap/>
            <w:vAlign w:val="center"/>
            <w:hideMark/>
          </w:tcPr>
          <w:p w14:paraId="376BACDF" w14:textId="77777777" w:rsidR="0027570C" w:rsidRPr="005E539C" w:rsidRDefault="0027570C" w:rsidP="005F05A2">
            <w:pPr>
              <w:spacing w:after="0"/>
              <w:ind w:firstLine="0"/>
              <w:jc w:val="right"/>
              <w:rPr>
                <w:rFonts w:eastAsia="Times New Roman" w:cs="Times New Roman"/>
                <w:b/>
                <w:bCs/>
                <w:sz w:val="18"/>
                <w:szCs w:val="18"/>
                <w:highlight w:val="yellow"/>
              </w:rPr>
            </w:pPr>
            <w:r>
              <w:rPr>
                <w:b/>
                <w:bCs/>
                <w:sz w:val="18"/>
                <w:szCs w:val="18"/>
              </w:rPr>
              <w:t>-67,8</w:t>
            </w:r>
          </w:p>
        </w:tc>
        <w:tc>
          <w:tcPr>
            <w:tcW w:w="870" w:type="dxa"/>
            <w:tcBorders>
              <w:top w:val="single" w:sz="4" w:space="0" w:color="auto"/>
              <w:left w:val="nil"/>
              <w:bottom w:val="single" w:sz="4" w:space="0" w:color="auto"/>
              <w:right w:val="single" w:sz="4" w:space="0" w:color="auto"/>
            </w:tcBorders>
            <w:shd w:val="clear" w:color="auto" w:fill="auto"/>
            <w:noWrap/>
            <w:vAlign w:val="center"/>
            <w:hideMark/>
          </w:tcPr>
          <w:p w14:paraId="38D3AD38" w14:textId="77777777" w:rsidR="0027570C" w:rsidRPr="005E539C" w:rsidRDefault="0027570C" w:rsidP="005F05A2">
            <w:pPr>
              <w:spacing w:after="0"/>
              <w:ind w:firstLine="0"/>
              <w:jc w:val="right"/>
              <w:rPr>
                <w:rFonts w:eastAsia="Times New Roman" w:cs="Times New Roman"/>
                <w:b/>
                <w:bCs/>
                <w:sz w:val="18"/>
                <w:szCs w:val="18"/>
                <w:highlight w:val="yellow"/>
              </w:rPr>
            </w:pPr>
            <w:r>
              <w:rPr>
                <w:b/>
                <w:bCs/>
                <w:sz w:val="18"/>
                <w:szCs w:val="18"/>
              </w:rPr>
              <w:t>33,3</w:t>
            </w:r>
          </w:p>
        </w:tc>
        <w:tc>
          <w:tcPr>
            <w:tcW w:w="872" w:type="dxa"/>
            <w:tcBorders>
              <w:top w:val="single" w:sz="4" w:space="0" w:color="auto"/>
              <w:left w:val="nil"/>
              <w:bottom w:val="single" w:sz="4" w:space="0" w:color="auto"/>
              <w:right w:val="single" w:sz="4" w:space="0" w:color="auto"/>
            </w:tcBorders>
            <w:shd w:val="clear" w:color="auto" w:fill="auto"/>
            <w:noWrap/>
            <w:vAlign w:val="center"/>
            <w:hideMark/>
          </w:tcPr>
          <w:p w14:paraId="2BA91EC1" w14:textId="77777777" w:rsidR="0027570C" w:rsidRPr="005E539C" w:rsidRDefault="0027570C" w:rsidP="005F05A2">
            <w:pPr>
              <w:spacing w:after="0"/>
              <w:ind w:firstLine="0"/>
              <w:jc w:val="right"/>
              <w:rPr>
                <w:rFonts w:eastAsia="Times New Roman" w:cs="Times New Roman"/>
                <w:b/>
                <w:bCs/>
                <w:sz w:val="18"/>
                <w:szCs w:val="18"/>
                <w:highlight w:val="yellow"/>
              </w:rPr>
            </w:pPr>
            <w:r>
              <w:rPr>
                <w:b/>
                <w:bCs/>
                <w:sz w:val="18"/>
                <w:szCs w:val="18"/>
              </w:rPr>
              <w:t>38,8</w:t>
            </w:r>
          </w:p>
        </w:tc>
        <w:tc>
          <w:tcPr>
            <w:tcW w:w="870" w:type="dxa"/>
            <w:tcBorders>
              <w:top w:val="single" w:sz="4" w:space="0" w:color="auto"/>
              <w:left w:val="nil"/>
              <w:bottom w:val="single" w:sz="4" w:space="0" w:color="auto"/>
              <w:right w:val="single" w:sz="4" w:space="0" w:color="auto"/>
            </w:tcBorders>
            <w:shd w:val="clear" w:color="auto" w:fill="auto"/>
            <w:vAlign w:val="center"/>
          </w:tcPr>
          <w:p w14:paraId="120D8AB0" w14:textId="77777777" w:rsidR="0027570C" w:rsidRPr="005E539C" w:rsidRDefault="0027570C" w:rsidP="005F05A2">
            <w:pPr>
              <w:spacing w:after="0"/>
              <w:ind w:firstLine="0"/>
              <w:jc w:val="right"/>
              <w:rPr>
                <w:rFonts w:eastAsia="Times New Roman" w:cs="Times New Roman"/>
                <w:b/>
                <w:bCs/>
                <w:color w:val="FF0000"/>
                <w:sz w:val="18"/>
                <w:szCs w:val="18"/>
                <w:highlight w:val="yellow"/>
              </w:rPr>
            </w:pPr>
            <w:r>
              <w:rPr>
                <w:b/>
                <w:bCs/>
                <w:sz w:val="18"/>
                <w:szCs w:val="18"/>
              </w:rPr>
              <w:t>-65,8</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E3ABC" w14:textId="77777777" w:rsidR="0027570C" w:rsidRPr="005E539C" w:rsidRDefault="0027570C" w:rsidP="005F05A2">
            <w:pPr>
              <w:spacing w:after="0"/>
              <w:ind w:firstLine="0"/>
              <w:jc w:val="right"/>
              <w:rPr>
                <w:rFonts w:eastAsia="Times New Roman" w:cs="Times New Roman"/>
                <w:b/>
                <w:bCs/>
                <w:color w:val="FF0000"/>
                <w:sz w:val="18"/>
                <w:szCs w:val="18"/>
                <w:highlight w:val="yellow"/>
              </w:rPr>
            </w:pPr>
            <w:r>
              <w:rPr>
                <w:b/>
                <w:bCs/>
                <w:sz w:val="18"/>
                <w:szCs w:val="18"/>
              </w:rPr>
              <w:t>34,2</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14:paraId="67700BFF" w14:textId="77777777" w:rsidR="0027570C" w:rsidRPr="005E539C" w:rsidRDefault="0027570C" w:rsidP="005F05A2">
            <w:pPr>
              <w:spacing w:after="0"/>
              <w:ind w:firstLine="0"/>
              <w:jc w:val="right"/>
              <w:rPr>
                <w:rFonts w:eastAsia="Times New Roman" w:cs="Times New Roman"/>
                <w:b/>
                <w:bCs/>
                <w:color w:val="FF0000"/>
                <w:sz w:val="18"/>
                <w:szCs w:val="18"/>
                <w:highlight w:val="yellow"/>
              </w:rPr>
            </w:pPr>
            <w:r>
              <w:rPr>
                <w:b/>
                <w:bCs/>
                <w:sz w:val="18"/>
                <w:szCs w:val="18"/>
              </w:rPr>
              <w:t>46,5</w:t>
            </w:r>
          </w:p>
        </w:tc>
      </w:tr>
      <w:tr w:rsidR="0027570C" w:rsidRPr="005E539C" w14:paraId="3FB79B62" w14:textId="77777777" w:rsidTr="005F05A2">
        <w:trPr>
          <w:trHeight w:val="80"/>
          <w:jc w:val="center"/>
        </w:trPr>
        <w:tc>
          <w:tcPr>
            <w:tcW w:w="2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375511" w14:textId="77777777" w:rsidR="0027570C" w:rsidRPr="005E539C" w:rsidRDefault="0027570C" w:rsidP="005F05A2">
            <w:pPr>
              <w:spacing w:after="0"/>
              <w:ind w:left="-225" w:firstLineChars="100" w:firstLine="180"/>
              <w:rPr>
                <w:rFonts w:eastAsia="Times New Roman" w:cs="Times New Roman"/>
                <w:sz w:val="18"/>
                <w:szCs w:val="18"/>
              </w:rPr>
            </w:pPr>
            <w:r w:rsidRPr="005E539C">
              <w:rPr>
                <w:rFonts w:eastAsia="Times New Roman" w:cs="Times New Roman"/>
                <w:sz w:val="18"/>
                <w:szCs w:val="18"/>
              </w:rPr>
              <w:t>Ieņēmumi</w:t>
            </w:r>
          </w:p>
        </w:tc>
        <w:tc>
          <w:tcPr>
            <w:tcW w:w="880" w:type="dxa"/>
            <w:tcBorders>
              <w:top w:val="single" w:sz="4" w:space="0" w:color="auto"/>
              <w:left w:val="nil"/>
              <w:bottom w:val="single" w:sz="4" w:space="0" w:color="auto"/>
              <w:right w:val="single" w:sz="4" w:space="0" w:color="auto"/>
            </w:tcBorders>
            <w:shd w:val="clear" w:color="auto" w:fill="auto"/>
            <w:noWrap/>
            <w:vAlign w:val="center"/>
          </w:tcPr>
          <w:p w14:paraId="60C74B6F" w14:textId="77777777" w:rsidR="0027570C" w:rsidRPr="005F2CC6" w:rsidRDefault="0027570C" w:rsidP="005F05A2">
            <w:pPr>
              <w:spacing w:after="0"/>
              <w:ind w:firstLine="0"/>
              <w:jc w:val="right"/>
              <w:rPr>
                <w:rFonts w:eastAsia="Times New Roman" w:cs="Times New Roman"/>
                <w:sz w:val="18"/>
                <w:szCs w:val="18"/>
              </w:rPr>
            </w:pPr>
            <w:r>
              <w:rPr>
                <w:sz w:val="18"/>
                <w:szCs w:val="18"/>
              </w:rPr>
              <w:t>3 252,3</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58A5CE7E" w14:textId="77777777" w:rsidR="0027570C" w:rsidRPr="005E539C" w:rsidRDefault="0027570C" w:rsidP="005F05A2">
            <w:pPr>
              <w:spacing w:after="0"/>
              <w:ind w:firstLine="0"/>
              <w:jc w:val="right"/>
              <w:rPr>
                <w:rFonts w:eastAsia="Times New Roman" w:cs="Times New Roman"/>
                <w:color w:val="FF0000"/>
                <w:sz w:val="18"/>
                <w:szCs w:val="18"/>
              </w:rPr>
            </w:pPr>
            <w:r>
              <w:rPr>
                <w:sz w:val="18"/>
                <w:szCs w:val="18"/>
              </w:rPr>
              <w:t>3 403,0</w:t>
            </w:r>
          </w:p>
        </w:tc>
        <w:tc>
          <w:tcPr>
            <w:tcW w:w="871" w:type="dxa"/>
            <w:tcBorders>
              <w:top w:val="single" w:sz="4" w:space="0" w:color="auto"/>
              <w:left w:val="nil"/>
              <w:bottom w:val="single" w:sz="4" w:space="0" w:color="auto"/>
              <w:right w:val="single" w:sz="4" w:space="0" w:color="auto"/>
            </w:tcBorders>
            <w:shd w:val="clear" w:color="auto" w:fill="auto"/>
            <w:noWrap/>
            <w:vAlign w:val="center"/>
            <w:hideMark/>
          </w:tcPr>
          <w:p w14:paraId="6BEFAA90" w14:textId="77777777" w:rsidR="0027570C" w:rsidRPr="00124A9F" w:rsidRDefault="0027570C" w:rsidP="005F05A2">
            <w:pPr>
              <w:spacing w:after="0"/>
              <w:ind w:firstLine="0"/>
              <w:jc w:val="right"/>
              <w:rPr>
                <w:rFonts w:eastAsia="Times New Roman" w:cs="Times New Roman"/>
                <w:color w:val="FF0000"/>
                <w:sz w:val="18"/>
                <w:szCs w:val="18"/>
                <w:highlight w:val="yellow"/>
              </w:rPr>
            </w:pPr>
            <w:r>
              <w:rPr>
                <w:sz w:val="18"/>
                <w:szCs w:val="18"/>
              </w:rPr>
              <w:t>3 469,9</w:t>
            </w:r>
          </w:p>
        </w:tc>
        <w:tc>
          <w:tcPr>
            <w:tcW w:w="870" w:type="dxa"/>
            <w:tcBorders>
              <w:top w:val="single" w:sz="4" w:space="0" w:color="auto"/>
              <w:left w:val="nil"/>
              <w:bottom w:val="single" w:sz="4" w:space="0" w:color="auto"/>
              <w:right w:val="single" w:sz="4" w:space="0" w:color="auto"/>
            </w:tcBorders>
            <w:shd w:val="clear" w:color="auto" w:fill="auto"/>
            <w:noWrap/>
            <w:vAlign w:val="center"/>
            <w:hideMark/>
          </w:tcPr>
          <w:p w14:paraId="646F3AA4" w14:textId="77777777" w:rsidR="0027570C" w:rsidRPr="00350CBD" w:rsidRDefault="0027570C" w:rsidP="005F05A2">
            <w:pPr>
              <w:spacing w:after="0"/>
              <w:ind w:firstLine="0"/>
              <w:jc w:val="right"/>
              <w:rPr>
                <w:rFonts w:eastAsia="Times New Roman" w:cs="Times New Roman"/>
                <w:color w:val="FF0000"/>
                <w:sz w:val="18"/>
                <w:szCs w:val="18"/>
                <w:highlight w:val="yellow"/>
              </w:rPr>
            </w:pPr>
            <w:r>
              <w:rPr>
                <w:sz w:val="18"/>
                <w:szCs w:val="18"/>
              </w:rPr>
              <w:t>3 725,3</w:t>
            </w:r>
          </w:p>
        </w:tc>
        <w:tc>
          <w:tcPr>
            <w:tcW w:w="872" w:type="dxa"/>
            <w:tcBorders>
              <w:top w:val="single" w:sz="4" w:space="0" w:color="auto"/>
              <w:left w:val="nil"/>
              <w:bottom w:val="single" w:sz="4" w:space="0" w:color="auto"/>
              <w:right w:val="single" w:sz="4" w:space="0" w:color="auto"/>
            </w:tcBorders>
            <w:shd w:val="clear" w:color="auto" w:fill="auto"/>
            <w:noWrap/>
            <w:vAlign w:val="center"/>
            <w:hideMark/>
          </w:tcPr>
          <w:p w14:paraId="1A2987D0" w14:textId="77777777" w:rsidR="0027570C" w:rsidRPr="003E0074" w:rsidRDefault="0027570C" w:rsidP="005F05A2">
            <w:pPr>
              <w:spacing w:after="0"/>
              <w:ind w:firstLine="0"/>
              <w:jc w:val="right"/>
              <w:rPr>
                <w:rFonts w:eastAsia="Times New Roman" w:cs="Times New Roman"/>
                <w:color w:val="FF0000"/>
                <w:sz w:val="18"/>
                <w:szCs w:val="18"/>
                <w:highlight w:val="yellow"/>
              </w:rPr>
            </w:pPr>
            <w:r>
              <w:rPr>
                <w:sz w:val="18"/>
                <w:szCs w:val="18"/>
              </w:rPr>
              <w:t>3 959,2</w:t>
            </w:r>
          </w:p>
        </w:tc>
        <w:tc>
          <w:tcPr>
            <w:tcW w:w="870" w:type="dxa"/>
            <w:tcBorders>
              <w:top w:val="single" w:sz="4" w:space="0" w:color="auto"/>
              <w:left w:val="nil"/>
              <w:bottom w:val="single" w:sz="4" w:space="0" w:color="auto"/>
              <w:right w:val="single" w:sz="4" w:space="0" w:color="auto"/>
            </w:tcBorders>
            <w:shd w:val="clear" w:color="auto" w:fill="auto"/>
            <w:vAlign w:val="center"/>
          </w:tcPr>
          <w:p w14:paraId="464BEF0F" w14:textId="77777777" w:rsidR="0027570C" w:rsidRPr="00350CBD" w:rsidRDefault="0027570C" w:rsidP="005F05A2">
            <w:pPr>
              <w:spacing w:after="0"/>
              <w:ind w:firstLine="0"/>
              <w:jc w:val="right"/>
              <w:rPr>
                <w:rFonts w:eastAsia="Times New Roman" w:cs="Times New Roman"/>
                <w:color w:val="FF0000"/>
                <w:sz w:val="18"/>
                <w:szCs w:val="18"/>
                <w:highlight w:val="yellow"/>
              </w:rPr>
            </w:pPr>
            <w:r>
              <w:rPr>
                <w:sz w:val="18"/>
                <w:szCs w:val="18"/>
              </w:rPr>
              <w:t>3 599,7</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EEAA3" w14:textId="77777777" w:rsidR="0027570C" w:rsidRPr="00A73670" w:rsidRDefault="0027570C" w:rsidP="005F05A2">
            <w:pPr>
              <w:spacing w:after="0"/>
              <w:ind w:firstLine="0"/>
              <w:jc w:val="right"/>
              <w:rPr>
                <w:rFonts w:eastAsia="Times New Roman" w:cs="Times New Roman"/>
                <w:color w:val="FF0000"/>
                <w:sz w:val="18"/>
                <w:szCs w:val="18"/>
                <w:highlight w:val="yellow"/>
              </w:rPr>
            </w:pPr>
            <w:r>
              <w:rPr>
                <w:sz w:val="18"/>
                <w:szCs w:val="18"/>
              </w:rPr>
              <w:t>3 858,9</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14:paraId="3F1C6766" w14:textId="77777777" w:rsidR="0027570C" w:rsidRPr="003E0074" w:rsidRDefault="0027570C" w:rsidP="005F05A2">
            <w:pPr>
              <w:spacing w:after="0"/>
              <w:ind w:firstLine="0"/>
              <w:jc w:val="right"/>
              <w:rPr>
                <w:rFonts w:eastAsia="Times New Roman" w:cs="Times New Roman"/>
                <w:color w:val="FF0000"/>
                <w:sz w:val="18"/>
                <w:szCs w:val="18"/>
                <w:highlight w:val="yellow"/>
              </w:rPr>
            </w:pPr>
            <w:r>
              <w:rPr>
                <w:sz w:val="18"/>
                <w:szCs w:val="18"/>
              </w:rPr>
              <w:t>4 099,7</w:t>
            </w:r>
          </w:p>
        </w:tc>
      </w:tr>
      <w:tr w:rsidR="0027570C" w:rsidRPr="005E539C" w14:paraId="685E6719" w14:textId="77777777" w:rsidTr="005F05A2">
        <w:trPr>
          <w:trHeight w:val="88"/>
          <w:jc w:val="center"/>
        </w:trPr>
        <w:tc>
          <w:tcPr>
            <w:tcW w:w="2317" w:type="dxa"/>
            <w:tcBorders>
              <w:top w:val="nil"/>
              <w:left w:val="single" w:sz="4" w:space="0" w:color="auto"/>
              <w:bottom w:val="single" w:sz="4" w:space="0" w:color="auto"/>
              <w:right w:val="single" w:sz="4" w:space="0" w:color="auto"/>
            </w:tcBorders>
            <w:shd w:val="clear" w:color="auto" w:fill="auto"/>
            <w:noWrap/>
            <w:vAlign w:val="center"/>
            <w:hideMark/>
          </w:tcPr>
          <w:p w14:paraId="01D0C497" w14:textId="77777777" w:rsidR="0027570C" w:rsidRPr="005E539C" w:rsidRDefault="0027570C" w:rsidP="005F05A2">
            <w:pPr>
              <w:spacing w:after="0"/>
              <w:ind w:left="-239" w:firstLineChars="200" w:firstLine="360"/>
              <w:rPr>
                <w:rFonts w:eastAsia="Times New Roman" w:cs="Times New Roman"/>
                <w:sz w:val="18"/>
                <w:szCs w:val="18"/>
              </w:rPr>
            </w:pPr>
            <w:r w:rsidRPr="005E539C">
              <w:rPr>
                <w:rFonts w:eastAsia="Times New Roman" w:cs="Times New Roman"/>
                <w:sz w:val="18"/>
                <w:szCs w:val="18"/>
              </w:rPr>
              <w:t>Nodokļu ieņēmumi</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27AFF" w14:textId="77777777" w:rsidR="0027570C" w:rsidRPr="005F2CC6" w:rsidRDefault="0027570C" w:rsidP="005F05A2">
            <w:pPr>
              <w:spacing w:after="0"/>
              <w:ind w:firstLine="0"/>
              <w:jc w:val="right"/>
              <w:rPr>
                <w:rFonts w:eastAsia="Times New Roman" w:cs="Times New Roman"/>
                <w:sz w:val="18"/>
                <w:szCs w:val="18"/>
              </w:rPr>
            </w:pPr>
            <w:r>
              <w:rPr>
                <w:sz w:val="18"/>
                <w:szCs w:val="18"/>
              </w:rPr>
              <w:t>1 939,5</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7D054D92" w14:textId="77777777" w:rsidR="0027570C" w:rsidRPr="005E539C" w:rsidRDefault="0027570C" w:rsidP="005F05A2">
            <w:pPr>
              <w:spacing w:after="0"/>
              <w:ind w:firstLine="0"/>
              <w:jc w:val="right"/>
              <w:rPr>
                <w:rFonts w:eastAsia="Times New Roman" w:cs="Times New Roman"/>
                <w:color w:val="FF0000"/>
                <w:sz w:val="18"/>
                <w:szCs w:val="18"/>
              </w:rPr>
            </w:pPr>
            <w:r>
              <w:rPr>
                <w:sz w:val="18"/>
                <w:szCs w:val="18"/>
              </w:rPr>
              <w:t>2 063,6</w:t>
            </w:r>
          </w:p>
        </w:tc>
        <w:tc>
          <w:tcPr>
            <w:tcW w:w="871" w:type="dxa"/>
            <w:tcBorders>
              <w:top w:val="single" w:sz="4" w:space="0" w:color="auto"/>
              <w:left w:val="nil"/>
              <w:bottom w:val="single" w:sz="4" w:space="0" w:color="auto"/>
              <w:right w:val="single" w:sz="4" w:space="0" w:color="auto"/>
            </w:tcBorders>
            <w:shd w:val="clear" w:color="auto" w:fill="auto"/>
            <w:noWrap/>
            <w:vAlign w:val="center"/>
            <w:hideMark/>
          </w:tcPr>
          <w:p w14:paraId="4F7DCF14" w14:textId="77777777" w:rsidR="0027570C" w:rsidRPr="00124A9F" w:rsidRDefault="0027570C" w:rsidP="005F05A2">
            <w:pPr>
              <w:spacing w:after="0"/>
              <w:ind w:firstLine="0"/>
              <w:jc w:val="right"/>
              <w:rPr>
                <w:rFonts w:eastAsia="Times New Roman" w:cs="Times New Roman"/>
                <w:color w:val="FF0000"/>
                <w:sz w:val="18"/>
                <w:szCs w:val="18"/>
                <w:highlight w:val="yellow"/>
              </w:rPr>
            </w:pPr>
            <w:r>
              <w:rPr>
                <w:sz w:val="18"/>
                <w:szCs w:val="18"/>
              </w:rPr>
              <w:t>2 205,4</w:t>
            </w:r>
          </w:p>
        </w:tc>
        <w:tc>
          <w:tcPr>
            <w:tcW w:w="870" w:type="dxa"/>
            <w:tcBorders>
              <w:top w:val="single" w:sz="4" w:space="0" w:color="auto"/>
              <w:left w:val="nil"/>
              <w:bottom w:val="single" w:sz="4" w:space="0" w:color="auto"/>
              <w:right w:val="single" w:sz="4" w:space="0" w:color="auto"/>
            </w:tcBorders>
            <w:shd w:val="clear" w:color="auto" w:fill="auto"/>
            <w:noWrap/>
            <w:vAlign w:val="center"/>
            <w:hideMark/>
          </w:tcPr>
          <w:p w14:paraId="287E019E" w14:textId="77777777" w:rsidR="0027570C" w:rsidRPr="00350CBD" w:rsidRDefault="0027570C" w:rsidP="005F05A2">
            <w:pPr>
              <w:spacing w:after="0"/>
              <w:ind w:firstLine="0"/>
              <w:jc w:val="right"/>
              <w:rPr>
                <w:rFonts w:eastAsia="Times New Roman" w:cs="Times New Roman"/>
                <w:color w:val="FF0000"/>
                <w:sz w:val="18"/>
                <w:szCs w:val="18"/>
                <w:highlight w:val="yellow"/>
              </w:rPr>
            </w:pPr>
            <w:r>
              <w:rPr>
                <w:sz w:val="18"/>
                <w:szCs w:val="18"/>
              </w:rPr>
              <w:t>2 337,2</w:t>
            </w:r>
          </w:p>
        </w:tc>
        <w:tc>
          <w:tcPr>
            <w:tcW w:w="872" w:type="dxa"/>
            <w:tcBorders>
              <w:top w:val="single" w:sz="4" w:space="0" w:color="auto"/>
              <w:left w:val="nil"/>
              <w:bottom w:val="single" w:sz="4" w:space="0" w:color="auto"/>
              <w:right w:val="single" w:sz="4" w:space="0" w:color="auto"/>
            </w:tcBorders>
            <w:shd w:val="clear" w:color="auto" w:fill="auto"/>
            <w:noWrap/>
            <w:vAlign w:val="center"/>
            <w:hideMark/>
          </w:tcPr>
          <w:p w14:paraId="0510CB97" w14:textId="77777777" w:rsidR="0027570C" w:rsidRPr="003E0074" w:rsidRDefault="0027570C" w:rsidP="005F05A2">
            <w:pPr>
              <w:spacing w:after="0"/>
              <w:ind w:firstLine="0"/>
              <w:jc w:val="right"/>
              <w:rPr>
                <w:rFonts w:eastAsia="Times New Roman" w:cs="Times New Roman"/>
                <w:color w:val="FF0000"/>
                <w:sz w:val="18"/>
                <w:szCs w:val="18"/>
                <w:highlight w:val="yellow"/>
              </w:rPr>
            </w:pPr>
            <w:r>
              <w:rPr>
                <w:sz w:val="18"/>
                <w:szCs w:val="18"/>
              </w:rPr>
              <w:t>2 489,4</w:t>
            </w:r>
          </w:p>
        </w:tc>
        <w:tc>
          <w:tcPr>
            <w:tcW w:w="870" w:type="dxa"/>
            <w:tcBorders>
              <w:top w:val="single" w:sz="4" w:space="0" w:color="auto"/>
              <w:left w:val="nil"/>
              <w:bottom w:val="single" w:sz="4" w:space="0" w:color="auto"/>
              <w:right w:val="single" w:sz="4" w:space="0" w:color="auto"/>
            </w:tcBorders>
            <w:shd w:val="clear" w:color="auto" w:fill="auto"/>
            <w:vAlign w:val="center"/>
          </w:tcPr>
          <w:p w14:paraId="705F1461" w14:textId="77777777" w:rsidR="0027570C" w:rsidRPr="00350CBD" w:rsidRDefault="0027570C" w:rsidP="005F05A2">
            <w:pPr>
              <w:spacing w:after="0"/>
              <w:ind w:firstLine="0"/>
              <w:jc w:val="right"/>
              <w:rPr>
                <w:rFonts w:eastAsia="Times New Roman" w:cs="Times New Roman"/>
                <w:color w:val="FF0000"/>
                <w:sz w:val="18"/>
                <w:szCs w:val="18"/>
                <w:highlight w:val="yellow"/>
              </w:rPr>
            </w:pPr>
            <w:r>
              <w:rPr>
                <w:sz w:val="18"/>
                <w:szCs w:val="18"/>
              </w:rPr>
              <w:t>2 233,1</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DB3BE" w14:textId="77777777" w:rsidR="0027570C" w:rsidRPr="00A73670" w:rsidRDefault="0027570C" w:rsidP="005F05A2">
            <w:pPr>
              <w:spacing w:after="0"/>
              <w:ind w:firstLine="0"/>
              <w:jc w:val="right"/>
              <w:rPr>
                <w:rFonts w:eastAsia="Times New Roman" w:cs="Times New Roman"/>
                <w:color w:val="FF0000"/>
                <w:sz w:val="18"/>
                <w:szCs w:val="18"/>
                <w:highlight w:val="yellow"/>
              </w:rPr>
            </w:pPr>
            <w:r>
              <w:rPr>
                <w:sz w:val="18"/>
                <w:szCs w:val="18"/>
              </w:rPr>
              <w:t>2 370,1</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14:paraId="5F054614" w14:textId="77777777" w:rsidR="0027570C" w:rsidRPr="003E0074" w:rsidRDefault="0027570C" w:rsidP="005F05A2">
            <w:pPr>
              <w:spacing w:after="0"/>
              <w:ind w:firstLine="0"/>
              <w:jc w:val="right"/>
              <w:rPr>
                <w:rFonts w:eastAsia="Times New Roman" w:cs="Times New Roman"/>
                <w:color w:val="FF0000"/>
                <w:sz w:val="18"/>
                <w:szCs w:val="18"/>
                <w:highlight w:val="yellow"/>
              </w:rPr>
            </w:pPr>
            <w:r>
              <w:rPr>
                <w:sz w:val="18"/>
                <w:szCs w:val="18"/>
              </w:rPr>
              <w:t>2 528,2</w:t>
            </w:r>
          </w:p>
        </w:tc>
      </w:tr>
      <w:tr w:rsidR="0027570C" w:rsidRPr="005E539C" w14:paraId="107A8B89" w14:textId="77777777" w:rsidTr="005F05A2">
        <w:trPr>
          <w:trHeight w:val="97"/>
          <w:jc w:val="center"/>
        </w:trPr>
        <w:tc>
          <w:tcPr>
            <w:tcW w:w="2317" w:type="dxa"/>
            <w:tcBorders>
              <w:top w:val="nil"/>
              <w:left w:val="single" w:sz="4" w:space="0" w:color="auto"/>
              <w:bottom w:val="single" w:sz="4" w:space="0" w:color="auto"/>
              <w:right w:val="single" w:sz="4" w:space="0" w:color="auto"/>
            </w:tcBorders>
            <w:shd w:val="clear" w:color="auto" w:fill="auto"/>
            <w:noWrap/>
            <w:vAlign w:val="center"/>
            <w:hideMark/>
          </w:tcPr>
          <w:p w14:paraId="08A61143" w14:textId="77777777" w:rsidR="0027570C" w:rsidRPr="005E539C" w:rsidRDefault="0027570C" w:rsidP="005F05A2">
            <w:pPr>
              <w:spacing w:after="0"/>
              <w:ind w:firstLine="0"/>
              <w:rPr>
                <w:rFonts w:eastAsia="Times New Roman" w:cs="Times New Roman"/>
                <w:sz w:val="18"/>
                <w:szCs w:val="18"/>
              </w:rPr>
            </w:pPr>
            <w:r w:rsidRPr="005E539C">
              <w:rPr>
                <w:rFonts w:eastAsia="Times New Roman" w:cs="Times New Roman"/>
                <w:noProof/>
                <w:sz w:val="18"/>
                <w:szCs w:val="18"/>
              </w:rPr>
              <w:t xml:space="preserve">   Transferts </w:t>
            </w:r>
            <w:r w:rsidRPr="005E539C">
              <w:rPr>
                <w:rFonts w:eastAsia="Times New Roman" w:cs="Times New Roman"/>
                <w:sz w:val="18"/>
                <w:szCs w:val="18"/>
              </w:rPr>
              <w:t>no valsts budžeta</w:t>
            </w:r>
          </w:p>
        </w:tc>
        <w:tc>
          <w:tcPr>
            <w:tcW w:w="880" w:type="dxa"/>
            <w:tcBorders>
              <w:top w:val="nil"/>
              <w:left w:val="single" w:sz="4" w:space="0" w:color="auto"/>
              <w:bottom w:val="single" w:sz="4" w:space="0" w:color="auto"/>
              <w:right w:val="single" w:sz="4" w:space="0" w:color="auto"/>
            </w:tcBorders>
            <w:shd w:val="clear" w:color="auto" w:fill="auto"/>
            <w:noWrap/>
            <w:vAlign w:val="center"/>
          </w:tcPr>
          <w:p w14:paraId="65F0EF62" w14:textId="77777777" w:rsidR="0027570C" w:rsidRPr="005F2CC6" w:rsidRDefault="0027570C" w:rsidP="005F05A2">
            <w:pPr>
              <w:spacing w:after="0"/>
              <w:ind w:firstLine="0"/>
              <w:jc w:val="right"/>
              <w:rPr>
                <w:rFonts w:eastAsia="Times New Roman" w:cs="Times New Roman"/>
                <w:sz w:val="18"/>
                <w:szCs w:val="18"/>
              </w:rPr>
            </w:pPr>
            <w:r>
              <w:rPr>
                <w:sz w:val="18"/>
                <w:szCs w:val="18"/>
              </w:rPr>
              <w:t>1 068,1</w:t>
            </w:r>
          </w:p>
        </w:tc>
        <w:tc>
          <w:tcPr>
            <w:tcW w:w="861" w:type="dxa"/>
            <w:tcBorders>
              <w:top w:val="nil"/>
              <w:left w:val="nil"/>
              <w:bottom w:val="single" w:sz="4" w:space="0" w:color="auto"/>
              <w:right w:val="single" w:sz="4" w:space="0" w:color="auto"/>
            </w:tcBorders>
            <w:shd w:val="clear" w:color="auto" w:fill="auto"/>
            <w:noWrap/>
            <w:vAlign w:val="center"/>
            <w:hideMark/>
          </w:tcPr>
          <w:p w14:paraId="671C7DB5" w14:textId="77777777" w:rsidR="0027570C" w:rsidRPr="005E539C" w:rsidRDefault="0027570C" w:rsidP="005F05A2">
            <w:pPr>
              <w:spacing w:after="0"/>
              <w:ind w:firstLine="0"/>
              <w:jc w:val="right"/>
              <w:rPr>
                <w:rFonts w:eastAsia="Times New Roman" w:cs="Times New Roman"/>
                <w:color w:val="FF0000"/>
                <w:sz w:val="18"/>
                <w:szCs w:val="18"/>
              </w:rPr>
            </w:pPr>
            <w:r>
              <w:rPr>
                <w:sz w:val="18"/>
                <w:szCs w:val="18"/>
              </w:rPr>
              <w:t>1 055,1</w:t>
            </w:r>
          </w:p>
        </w:tc>
        <w:tc>
          <w:tcPr>
            <w:tcW w:w="871" w:type="dxa"/>
            <w:tcBorders>
              <w:top w:val="nil"/>
              <w:left w:val="nil"/>
              <w:bottom w:val="single" w:sz="4" w:space="0" w:color="auto"/>
              <w:right w:val="single" w:sz="4" w:space="0" w:color="auto"/>
            </w:tcBorders>
            <w:shd w:val="clear" w:color="auto" w:fill="auto"/>
            <w:noWrap/>
            <w:vAlign w:val="center"/>
            <w:hideMark/>
          </w:tcPr>
          <w:p w14:paraId="4B0F734D" w14:textId="77777777" w:rsidR="0027570C" w:rsidRPr="0070138A" w:rsidRDefault="0027570C" w:rsidP="005F05A2">
            <w:pPr>
              <w:spacing w:after="0"/>
              <w:ind w:firstLine="0"/>
              <w:jc w:val="right"/>
              <w:rPr>
                <w:rFonts w:eastAsia="Times New Roman" w:cs="Times New Roman"/>
                <w:sz w:val="18"/>
                <w:szCs w:val="18"/>
                <w:lang w:eastAsia="en-US"/>
              </w:rPr>
            </w:pPr>
            <w:r>
              <w:rPr>
                <w:sz w:val="18"/>
                <w:szCs w:val="18"/>
              </w:rPr>
              <w:t>983,0</w:t>
            </w:r>
          </w:p>
        </w:tc>
        <w:tc>
          <w:tcPr>
            <w:tcW w:w="870" w:type="dxa"/>
            <w:tcBorders>
              <w:top w:val="nil"/>
              <w:left w:val="nil"/>
              <w:bottom w:val="single" w:sz="4" w:space="0" w:color="auto"/>
              <w:right w:val="single" w:sz="4" w:space="0" w:color="auto"/>
            </w:tcBorders>
            <w:shd w:val="clear" w:color="auto" w:fill="auto"/>
            <w:noWrap/>
            <w:vAlign w:val="center"/>
            <w:hideMark/>
          </w:tcPr>
          <w:p w14:paraId="2AC7360D" w14:textId="77777777" w:rsidR="0027570C" w:rsidRPr="0070138A" w:rsidRDefault="0027570C" w:rsidP="005F05A2">
            <w:pPr>
              <w:spacing w:after="0"/>
              <w:ind w:firstLine="0"/>
              <w:jc w:val="right"/>
              <w:rPr>
                <w:rFonts w:eastAsia="Times New Roman" w:cs="Times New Roman"/>
                <w:sz w:val="18"/>
                <w:szCs w:val="18"/>
                <w:lang w:eastAsia="en-US"/>
              </w:rPr>
            </w:pPr>
            <w:r>
              <w:rPr>
                <w:sz w:val="18"/>
                <w:szCs w:val="18"/>
              </w:rPr>
              <w:t>1 106,6</w:t>
            </w:r>
          </w:p>
        </w:tc>
        <w:tc>
          <w:tcPr>
            <w:tcW w:w="872" w:type="dxa"/>
            <w:tcBorders>
              <w:top w:val="nil"/>
              <w:left w:val="nil"/>
              <w:bottom w:val="single" w:sz="4" w:space="0" w:color="auto"/>
              <w:right w:val="single" w:sz="4" w:space="0" w:color="auto"/>
            </w:tcBorders>
            <w:shd w:val="clear" w:color="auto" w:fill="auto"/>
            <w:noWrap/>
            <w:vAlign w:val="center"/>
            <w:hideMark/>
          </w:tcPr>
          <w:p w14:paraId="37716BD6" w14:textId="77777777" w:rsidR="0027570C" w:rsidRPr="0070138A" w:rsidRDefault="0027570C" w:rsidP="005F05A2">
            <w:pPr>
              <w:spacing w:after="0"/>
              <w:ind w:firstLine="0"/>
              <w:jc w:val="right"/>
              <w:rPr>
                <w:rFonts w:eastAsia="Times New Roman" w:cs="Times New Roman"/>
                <w:sz w:val="18"/>
                <w:szCs w:val="18"/>
                <w:lang w:eastAsia="en-US"/>
              </w:rPr>
            </w:pPr>
            <w:r>
              <w:rPr>
                <w:sz w:val="18"/>
                <w:szCs w:val="18"/>
              </w:rPr>
              <w:t>1 188,3</w:t>
            </w:r>
          </w:p>
        </w:tc>
        <w:tc>
          <w:tcPr>
            <w:tcW w:w="870" w:type="dxa"/>
            <w:tcBorders>
              <w:top w:val="single" w:sz="4" w:space="0" w:color="auto"/>
              <w:left w:val="nil"/>
              <w:bottom w:val="single" w:sz="4" w:space="0" w:color="auto"/>
              <w:right w:val="single" w:sz="4" w:space="0" w:color="auto"/>
            </w:tcBorders>
            <w:shd w:val="clear" w:color="auto" w:fill="auto"/>
            <w:vAlign w:val="center"/>
          </w:tcPr>
          <w:p w14:paraId="1542C5CA" w14:textId="77777777" w:rsidR="0027570C" w:rsidRPr="0070138A" w:rsidRDefault="0027570C" w:rsidP="005F05A2">
            <w:pPr>
              <w:spacing w:after="0"/>
              <w:ind w:firstLine="0"/>
              <w:jc w:val="right"/>
              <w:rPr>
                <w:rFonts w:eastAsia="Times New Roman" w:cs="Times New Roman"/>
                <w:color w:val="000000"/>
                <w:sz w:val="18"/>
                <w:szCs w:val="18"/>
                <w:lang w:eastAsia="en-US"/>
              </w:rPr>
            </w:pPr>
            <w:r>
              <w:rPr>
                <w:sz w:val="18"/>
                <w:szCs w:val="18"/>
              </w:rPr>
              <w:t>1 085,1</w:t>
            </w:r>
          </w:p>
        </w:tc>
        <w:tc>
          <w:tcPr>
            <w:tcW w:w="871" w:type="dxa"/>
            <w:tcBorders>
              <w:top w:val="nil"/>
              <w:left w:val="single" w:sz="4" w:space="0" w:color="auto"/>
              <w:bottom w:val="single" w:sz="4" w:space="0" w:color="auto"/>
              <w:right w:val="single" w:sz="4" w:space="0" w:color="auto"/>
            </w:tcBorders>
            <w:shd w:val="clear" w:color="auto" w:fill="auto"/>
            <w:noWrap/>
            <w:vAlign w:val="center"/>
            <w:hideMark/>
          </w:tcPr>
          <w:p w14:paraId="3DAA9014" w14:textId="77777777" w:rsidR="0027570C" w:rsidRPr="005E539C" w:rsidRDefault="0027570C" w:rsidP="005F05A2">
            <w:pPr>
              <w:spacing w:after="0"/>
              <w:ind w:firstLine="0"/>
              <w:jc w:val="right"/>
              <w:rPr>
                <w:rFonts w:eastAsia="Times New Roman" w:cs="Times New Roman"/>
                <w:color w:val="FF0000"/>
                <w:sz w:val="18"/>
                <w:szCs w:val="18"/>
                <w:highlight w:val="yellow"/>
              </w:rPr>
            </w:pPr>
            <w:r>
              <w:rPr>
                <w:sz w:val="18"/>
                <w:szCs w:val="18"/>
              </w:rPr>
              <w:t>1 207,3</w:t>
            </w:r>
          </w:p>
        </w:tc>
        <w:tc>
          <w:tcPr>
            <w:tcW w:w="865" w:type="dxa"/>
            <w:tcBorders>
              <w:top w:val="nil"/>
              <w:left w:val="nil"/>
              <w:bottom w:val="single" w:sz="4" w:space="0" w:color="auto"/>
              <w:right w:val="single" w:sz="4" w:space="0" w:color="auto"/>
            </w:tcBorders>
            <w:shd w:val="clear" w:color="auto" w:fill="auto"/>
            <w:noWrap/>
            <w:vAlign w:val="center"/>
            <w:hideMark/>
          </w:tcPr>
          <w:p w14:paraId="536623DC" w14:textId="77777777" w:rsidR="0027570C" w:rsidRPr="005E539C" w:rsidRDefault="0027570C" w:rsidP="005F05A2">
            <w:pPr>
              <w:spacing w:after="0"/>
              <w:ind w:firstLine="0"/>
              <w:jc w:val="right"/>
              <w:rPr>
                <w:rFonts w:eastAsia="Times New Roman" w:cs="Times New Roman"/>
                <w:color w:val="FF0000"/>
                <w:sz w:val="18"/>
                <w:szCs w:val="18"/>
                <w:highlight w:val="yellow"/>
              </w:rPr>
            </w:pPr>
            <w:r>
              <w:rPr>
                <w:sz w:val="18"/>
                <w:szCs w:val="18"/>
              </w:rPr>
              <w:t>1 289,9</w:t>
            </w:r>
          </w:p>
        </w:tc>
      </w:tr>
      <w:tr w:rsidR="0027570C" w:rsidRPr="005E539C" w14:paraId="31EA590C" w14:textId="77777777" w:rsidTr="005F05A2">
        <w:trPr>
          <w:trHeight w:val="88"/>
          <w:jc w:val="center"/>
        </w:trPr>
        <w:tc>
          <w:tcPr>
            <w:tcW w:w="2317" w:type="dxa"/>
            <w:tcBorders>
              <w:top w:val="nil"/>
              <w:left w:val="single" w:sz="4" w:space="0" w:color="auto"/>
              <w:bottom w:val="single" w:sz="4" w:space="0" w:color="auto"/>
              <w:right w:val="single" w:sz="4" w:space="0" w:color="auto"/>
            </w:tcBorders>
            <w:shd w:val="clear" w:color="auto" w:fill="auto"/>
            <w:noWrap/>
            <w:vAlign w:val="center"/>
            <w:hideMark/>
          </w:tcPr>
          <w:p w14:paraId="4847CDBA" w14:textId="77777777" w:rsidR="0027570C" w:rsidRPr="005E539C" w:rsidRDefault="0027570C" w:rsidP="005F05A2">
            <w:pPr>
              <w:spacing w:after="0"/>
              <w:ind w:left="-239" w:firstLineChars="200" w:firstLine="360"/>
              <w:rPr>
                <w:rFonts w:eastAsia="Times New Roman" w:cs="Times New Roman"/>
                <w:sz w:val="18"/>
                <w:szCs w:val="18"/>
              </w:rPr>
            </w:pPr>
            <w:r w:rsidRPr="005E539C">
              <w:rPr>
                <w:rFonts w:eastAsia="Times New Roman" w:cs="Times New Roman"/>
                <w:sz w:val="18"/>
                <w:szCs w:val="18"/>
              </w:rPr>
              <w:t>Pārējie ieņēmumi</w:t>
            </w:r>
          </w:p>
        </w:tc>
        <w:tc>
          <w:tcPr>
            <w:tcW w:w="880" w:type="dxa"/>
            <w:tcBorders>
              <w:top w:val="nil"/>
              <w:left w:val="single" w:sz="4" w:space="0" w:color="auto"/>
              <w:bottom w:val="single" w:sz="4" w:space="0" w:color="auto"/>
              <w:right w:val="single" w:sz="4" w:space="0" w:color="auto"/>
            </w:tcBorders>
            <w:shd w:val="clear" w:color="auto" w:fill="auto"/>
            <w:noWrap/>
            <w:vAlign w:val="center"/>
          </w:tcPr>
          <w:p w14:paraId="05AC32F0" w14:textId="77777777" w:rsidR="0027570C" w:rsidRPr="005F2CC6" w:rsidRDefault="0027570C" w:rsidP="005F05A2">
            <w:pPr>
              <w:spacing w:after="0"/>
              <w:ind w:firstLine="0"/>
              <w:jc w:val="right"/>
              <w:rPr>
                <w:rFonts w:eastAsia="Times New Roman" w:cs="Times New Roman"/>
                <w:iCs/>
                <w:sz w:val="18"/>
                <w:szCs w:val="18"/>
              </w:rPr>
            </w:pPr>
            <w:r>
              <w:rPr>
                <w:sz w:val="18"/>
                <w:szCs w:val="18"/>
              </w:rPr>
              <w:t>244,8</w:t>
            </w:r>
          </w:p>
        </w:tc>
        <w:tc>
          <w:tcPr>
            <w:tcW w:w="861" w:type="dxa"/>
            <w:tcBorders>
              <w:top w:val="nil"/>
              <w:left w:val="nil"/>
              <w:bottom w:val="single" w:sz="4" w:space="0" w:color="auto"/>
              <w:right w:val="single" w:sz="4" w:space="0" w:color="auto"/>
            </w:tcBorders>
            <w:shd w:val="clear" w:color="auto" w:fill="auto"/>
            <w:noWrap/>
            <w:vAlign w:val="center"/>
          </w:tcPr>
          <w:p w14:paraId="3A2AD6E9" w14:textId="77777777" w:rsidR="0027570C" w:rsidRPr="005E539C" w:rsidRDefault="0027570C" w:rsidP="005F05A2">
            <w:pPr>
              <w:spacing w:after="0"/>
              <w:ind w:firstLine="0"/>
              <w:jc w:val="right"/>
              <w:rPr>
                <w:rFonts w:eastAsia="Times New Roman" w:cs="Times New Roman"/>
                <w:iCs/>
                <w:sz w:val="18"/>
                <w:szCs w:val="18"/>
              </w:rPr>
            </w:pPr>
            <w:r>
              <w:rPr>
                <w:sz w:val="18"/>
                <w:szCs w:val="18"/>
              </w:rPr>
              <w:t>284,3</w:t>
            </w:r>
          </w:p>
        </w:tc>
        <w:tc>
          <w:tcPr>
            <w:tcW w:w="871" w:type="dxa"/>
            <w:tcBorders>
              <w:top w:val="nil"/>
              <w:left w:val="nil"/>
              <w:bottom w:val="single" w:sz="4" w:space="0" w:color="auto"/>
              <w:right w:val="single" w:sz="4" w:space="0" w:color="auto"/>
            </w:tcBorders>
            <w:shd w:val="clear" w:color="auto" w:fill="auto"/>
            <w:noWrap/>
            <w:vAlign w:val="center"/>
          </w:tcPr>
          <w:p w14:paraId="18838B8D" w14:textId="77777777" w:rsidR="0027570C" w:rsidRPr="005E539C" w:rsidRDefault="0027570C" w:rsidP="005F05A2">
            <w:pPr>
              <w:spacing w:after="0"/>
              <w:ind w:firstLine="0"/>
              <w:jc w:val="right"/>
              <w:rPr>
                <w:rFonts w:eastAsia="Times New Roman" w:cs="Times New Roman"/>
                <w:iCs/>
                <w:sz w:val="18"/>
                <w:szCs w:val="18"/>
                <w:highlight w:val="yellow"/>
              </w:rPr>
            </w:pPr>
            <w:r>
              <w:rPr>
                <w:sz w:val="18"/>
                <w:szCs w:val="18"/>
              </w:rPr>
              <w:t>281,5</w:t>
            </w:r>
          </w:p>
        </w:tc>
        <w:tc>
          <w:tcPr>
            <w:tcW w:w="870" w:type="dxa"/>
            <w:tcBorders>
              <w:top w:val="nil"/>
              <w:left w:val="nil"/>
              <w:bottom w:val="single" w:sz="4" w:space="0" w:color="auto"/>
              <w:right w:val="single" w:sz="4" w:space="0" w:color="auto"/>
            </w:tcBorders>
            <w:shd w:val="clear" w:color="auto" w:fill="auto"/>
            <w:noWrap/>
            <w:vAlign w:val="center"/>
          </w:tcPr>
          <w:p w14:paraId="098D7113" w14:textId="77777777" w:rsidR="0027570C" w:rsidRPr="00CA3FEC" w:rsidRDefault="0027570C" w:rsidP="005F05A2">
            <w:pPr>
              <w:spacing w:after="0"/>
              <w:ind w:firstLine="0"/>
              <w:jc w:val="right"/>
              <w:rPr>
                <w:rFonts w:eastAsia="Times New Roman" w:cs="Times New Roman"/>
                <w:iCs/>
                <w:sz w:val="18"/>
                <w:szCs w:val="18"/>
                <w:highlight w:val="yellow"/>
              </w:rPr>
            </w:pPr>
            <w:r>
              <w:rPr>
                <w:sz w:val="18"/>
                <w:szCs w:val="18"/>
              </w:rPr>
              <w:t>281,5</w:t>
            </w:r>
          </w:p>
        </w:tc>
        <w:tc>
          <w:tcPr>
            <w:tcW w:w="872" w:type="dxa"/>
            <w:tcBorders>
              <w:top w:val="nil"/>
              <w:left w:val="nil"/>
              <w:bottom w:val="single" w:sz="4" w:space="0" w:color="auto"/>
              <w:right w:val="single" w:sz="4" w:space="0" w:color="auto"/>
            </w:tcBorders>
            <w:shd w:val="clear" w:color="auto" w:fill="auto"/>
            <w:noWrap/>
            <w:vAlign w:val="center"/>
          </w:tcPr>
          <w:p w14:paraId="12379902" w14:textId="77777777" w:rsidR="0027570C" w:rsidRPr="00CA3FEC" w:rsidRDefault="0027570C" w:rsidP="005F05A2">
            <w:pPr>
              <w:spacing w:after="0"/>
              <w:ind w:firstLine="0"/>
              <w:jc w:val="right"/>
              <w:rPr>
                <w:rFonts w:eastAsia="Times New Roman" w:cs="Times New Roman"/>
                <w:iCs/>
                <w:sz w:val="18"/>
                <w:szCs w:val="18"/>
                <w:highlight w:val="yellow"/>
              </w:rPr>
            </w:pPr>
            <w:r>
              <w:rPr>
                <w:sz w:val="18"/>
                <w:szCs w:val="18"/>
              </w:rPr>
              <w:t>281,5</w:t>
            </w:r>
          </w:p>
        </w:tc>
        <w:tc>
          <w:tcPr>
            <w:tcW w:w="870" w:type="dxa"/>
            <w:tcBorders>
              <w:top w:val="single" w:sz="4" w:space="0" w:color="auto"/>
              <w:left w:val="nil"/>
              <w:bottom w:val="single" w:sz="4" w:space="0" w:color="auto"/>
              <w:right w:val="single" w:sz="4" w:space="0" w:color="auto"/>
            </w:tcBorders>
            <w:shd w:val="clear" w:color="auto" w:fill="auto"/>
            <w:vAlign w:val="center"/>
          </w:tcPr>
          <w:p w14:paraId="79F5908E" w14:textId="77777777" w:rsidR="0027570C" w:rsidRPr="00CA3FEC" w:rsidRDefault="0027570C" w:rsidP="005F05A2">
            <w:pPr>
              <w:spacing w:after="0"/>
              <w:ind w:firstLine="0"/>
              <w:jc w:val="right"/>
              <w:rPr>
                <w:rFonts w:eastAsia="Times New Roman" w:cs="Times New Roman"/>
                <w:color w:val="FF0000"/>
                <w:sz w:val="18"/>
                <w:szCs w:val="18"/>
                <w:highlight w:val="yellow"/>
              </w:rPr>
            </w:pPr>
            <w:r>
              <w:rPr>
                <w:sz w:val="18"/>
                <w:szCs w:val="18"/>
              </w:rPr>
              <w:t>281,5</w:t>
            </w:r>
          </w:p>
        </w:tc>
        <w:tc>
          <w:tcPr>
            <w:tcW w:w="871" w:type="dxa"/>
            <w:tcBorders>
              <w:top w:val="nil"/>
              <w:left w:val="single" w:sz="4" w:space="0" w:color="auto"/>
              <w:bottom w:val="single" w:sz="4" w:space="0" w:color="auto"/>
              <w:right w:val="single" w:sz="4" w:space="0" w:color="auto"/>
            </w:tcBorders>
            <w:shd w:val="clear" w:color="auto" w:fill="auto"/>
            <w:noWrap/>
            <w:vAlign w:val="center"/>
          </w:tcPr>
          <w:p w14:paraId="5CB78594" w14:textId="77777777" w:rsidR="0027570C" w:rsidRPr="00CA3FEC" w:rsidRDefault="0027570C" w:rsidP="005F05A2">
            <w:pPr>
              <w:spacing w:after="0"/>
              <w:ind w:firstLine="0"/>
              <w:jc w:val="right"/>
              <w:rPr>
                <w:rFonts w:eastAsia="Times New Roman" w:cs="Times New Roman"/>
                <w:color w:val="FF0000"/>
                <w:sz w:val="18"/>
                <w:szCs w:val="18"/>
                <w:highlight w:val="yellow"/>
              </w:rPr>
            </w:pPr>
            <w:r>
              <w:rPr>
                <w:sz w:val="18"/>
                <w:szCs w:val="18"/>
              </w:rPr>
              <w:t>281,5</w:t>
            </w:r>
          </w:p>
        </w:tc>
        <w:tc>
          <w:tcPr>
            <w:tcW w:w="865" w:type="dxa"/>
            <w:tcBorders>
              <w:top w:val="nil"/>
              <w:left w:val="nil"/>
              <w:bottom w:val="single" w:sz="4" w:space="0" w:color="auto"/>
              <w:right w:val="single" w:sz="4" w:space="0" w:color="auto"/>
            </w:tcBorders>
            <w:shd w:val="clear" w:color="auto" w:fill="auto"/>
            <w:noWrap/>
            <w:vAlign w:val="center"/>
          </w:tcPr>
          <w:p w14:paraId="078C717C" w14:textId="77777777" w:rsidR="0027570C" w:rsidRPr="00CA3FEC" w:rsidRDefault="0027570C" w:rsidP="005F05A2">
            <w:pPr>
              <w:spacing w:after="0"/>
              <w:ind w:firstLine="0"/>
              <w:jc w:val="right"/>
              <w:rPr>
                <w:rFonts w:eastAsia="Times New Roman" w:cs="Times New Roman"/>
                <w:color w:val="FF0000"/>
                <w:sz w:val="18"/>
                <w:szCs w:val="18"/>
                <w:highlight w:val="yellow"/>
              </w:rPr>
            </w:pPr>
            <w:r>
              <w:rPr>
                <w:sz w:val="18"/>
                <w:szCs w:val="18"/>
              </w:rPr>
              <w:t>281,5</w:t>
            </w:r>
          </w:p>
        </w:tc>
      </w:tr>
      <w:tr w:rsidR="0027570C" w:rsidRPr="005E539C" w14:paraId="08EBE82A" w14:textId="77777777" w:rsidTr="005F05A2">
        <w:trPr>
          <w:trHeight w:val="80"/>
          <w:jc w:val="center"/>
        </w:trPr>
        <w:tc>
          <w:tcPr>
            <w:tcW w:w="2317" w:type="dxa"/>
            <w:tcBorders>
              <w:top w:val="nil"/>
              <w:left w:val="single" w:sz="4" w:space="0" w:color="auto"/>
              <w:bottom w:val="single" w:sz="4" w:space="0" w:color="auto"/>
              <w:right w:val="single" w:sz="4" w:space="0" w:color="auto"/>
            </w:tcBorders>
            <w:shd w:val="clear" w:color="auto" w:fill="auto"/>
            <w:noWrap/>
            <w:vAlign w:val="center"/>
            <w:hideMark/>
          </w:tcPr>
          <w:p w14:paraId="0666E147" w14:textId="77777777" w:rsidR="0027570C" w:rsidRPr="005E539C" w:rsidRDefault="0027570C" w:rsidP="005F05A2">
            <w:pPr>
              <w:spacing w:after="0"/>
              <w:ind w:left="-225" w:firstLineChars="100" w:firstLine="180"/>
              <w:rPr>
                <w:rFonts w:eastAsia="Times New Roman" w:cs="Times New Roman"/>
                <w:sz w:val="18"/>
                <w:szCs w:val="18"/>
              </w:rPr>
            </w:pPr>
            <w:r w:rsidRPr="005E539C">
              <w:rPr>
                <w:rFonts w:eastAsia="Times New Roman" w:cs="Times New Roman"/>
                <w:sz w:val="18"/>
                <w:szCs w:val="18"/>
              </w:rPr>
              <w:t>Izdevumi</w:t>
            </w:r>
          </w:p>
        </w:tc>
        <w:tc>
          <w:tcPr>
            <w:tcW w:w="880" w:type="dxa"/>
            <w:tcBorders>
              <w:top w:val="single" w:sz="4" w:space="0" w:color="auto"/>
              <w:left w:val="nil"/>
              <w:bottom w:val="single" w:sz="4" w:space="0" w:color="auto"/>
              <w:right w:val="single" w:sz="4" w:space="0" w:color="auto"/>
            </w:tcBorders>
            <w:shd w:val="clear" w:color="auto" w:fill="auto"/>
            <w:noWrap/>
            <w:vAlign w:val="center"/>
          </w:tcPr>
          <w:p w14:paraId="33DD11F2" w14:textId="77777777" w:rsidR="0027570C" w:rsidRPr="005F2CC6" w:rsidRDefault="0027570C" w:rsidP="005F05A2">
            <w:pPr>
              <w:spacing w:after="0"/>
              <w:ind w:firstLine="0"/>
              <w:jc w:val="right"/>
              <w:rPr>
                <w:rFonts w:eastAsia="Times New Roman" w:cs="Times New Roman"/>
                <w:sz w:val="18"/>
                <w:szCs w:val="18"/>
              </w:rPr>
            </w:pPr>
            <w:r>
              <w:rPr>
                <w:sz w:val="18"/>
                <w:szCs w:val="18"/>
              </w:rPr>
              <w:t>3 189,4</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430650BF" w14:textId="77777777" w:rsidR="0027570C" w:rsidRPr="005E539C" w:rsidRDefault="0027570C" w:rsidP="005F05A2">
            <w:pPr>
              <w:spacing w:after="0"/>
              <w:ind w:firstLine="0"/>
              <w:jc w:val="right"/>
              <w:rPr>
                <w:rFonts w:eastAsia="Times New Roman" w:cs="Times New Roman"/>
                <w:color w:val="FF0000"/>
                <w:sz w:val="18"/>
                <w:szCs w:val="18"/>
              </w:rPr>
            </w:pPr>
            <w:r>
              <w:rPr>
                <w:sz w:val="18"/>
                <w:szCs w:val="18"/>
              </w:rPr>
              <w:t>3 431,1</w:t>
            </w:r>
          </w:p>
        </w:tc>
        <w:tc>
          <w:tcPr>
            <w:tcW w:w="871" w:type="dxa"/>
            <w:tcBorders>
              <w:top w:val="single" w:sz="4" w:space="0" w:color="auto"/>
              <w:left w:val="nil"/>
              <w:bottom w:val="single" w:sz="4" w:space="0" w:color="auto"/>
              <w:right w:val="single" w:sz="4" w:space="0" w:color="auto"/>
            </w:tcBorders>
            <w:shd w:val="clear" w:color="auto" w:fill="auto"/>
            <w:noWrap/>
            <w:vAlign w:val="center"/>
            <w:hideMark/>
          </w:tcPr>
          <w:p w14:paraId="64549570" w14:textId="77777777" w:rsidR="0027570C" w:rsidRPr="00E73305" w:rsidRDefault="0027570C" w:rsidP="005F05A2">
            <w:pPr>
              <w:spacing w:after="0"/>
              <w:ind w:firstLine="0"/>
              <w:jc w:val="right"/>
              <w:rPr>
                <w:rFonts w:eastAsia="Times New Roman" w:cs="Times New Roman"/>
                <w:color w:val="FF0000"/>
                <w:sz w:val="18"/>
                <w:szCs w:val="18"/>
                <w:highlight w:val="yellow"/>
              </w:rPr>
            </w:pPr>
            <w:r>
              <w:rPr>
                <w:sz w:val="18"/>
                <w:szCs w:val="18"/>
              </w:rPr>
              <w:t>3 537,7</w:t>
            </w:r>
          </w:p>
        </w:tc>
        <w:tc>
          <w:tcPr>
            <w:tcW w:w="870" w:type="dxa"/>
            <w:tcBorders>
              <w:top w:val="single" w:sz="4" w:space="0" w:color="auto"/>
              <w:left w:val="nil"/>
              <w:bottom w:val="single" w:sz="4" w:space="0" w:color="auto"/>
              <w:right w:val="single" w:sz="4" w:space="0" w:color="auto"/>
            </w:tcBorders>
            <w:shd w:val="clear" w:color="auto" w:fill="auto"/>
            <w:noWrap/>
            <w:vAlign w:val="center"/>
            <w:hideMark/>
          </w:tcPr>
          <w:p w14:paraId="1BF5D2AA" w14:textId="77777777" w:rsidR="0027570C" w:rsidRPr="00E73305" w:rsidRDefault="0027570C" w:rsidP="005F05A2">
            <w:pPr>
              <w:spacing w:after="0"/>
              <w:ind w:firstLine="0"/>
              <w:jc w:val="right"/>
              <w:rPr>
                <w:rFonts w:eastAsia="Times New Roman" w:cs="Times New Roman"/>
                <w:color w:val="FF0000"/>
                <w:sz w:val="18"/>
                <w:szCs w:val="18"/>
                <w:highlight w:val="yellow"/>
              </w:rPr>
            </w:pPr>
            <w:r>
              <w:rPr>
                <w:sz w:val="18"/>
                <w:szCs w:val="18"/>
              </w:rPr>
              <w:t>3 692,0</w:t>
            </w:r>
          </w:p>
        </w:tc>
        <w:tc>
          <w:tcPr>
            <w:tcW w:w="872" w:type="dxa"/>
            <w:tcBorders>
              <w:top w:val="single" w:sz="4" w:space="0" w:color="auto"/>
              <w:left w:val="nil"/>
              <w:bottom w:val="single" w:sz="4" w:space="0" w:color="auto"/>
              <w:right w:val="single" w:sz="4" w:space="0" w:color="auto"/>
            </w:tcBorders>
            <w:shd w:val="clear" w:color="auto" w:fill="auto"/>
            <w:noWrap/>
            <w:vAlign w:val="center"/>
            <w:hideMark/>
          </w:tcPr>
          <w:p w14:paraId="409F8997" w14:textId="77777777" w:rsidR="0027570C" w:rsidRPr="00E73305" w:rsidRDefault="0027570C" w:rsidP="005F05A2">
            <w:pPr>
              <w:spacing w:after="0"/>
              <w:ind w:firstLine="0"/>
              <w:jc w:val="right"/>
              <w:rPr>
                <w:rFonts w:eastAsia="Times New Roman" w:cs="Times New Roman"/>
                <w:color w:val="FF0000"/>
                <w:sz w:val="18"/>
                <w:szCs w:val="18"/>
                <w:highlight w:val="yellow"/>
              </w:rPr>
            </w:pPr>
            <w:r>
              <w:rPr>
                <w:sz w:val="18"/>
                <w:szCs w:val="18"/>
              </w:rPr>
              <w:t>3 920,4</w:t>
            </w:r>
          </w:p>
        </w:tc>
        <w:tc>
          <w:tcPr>
            <w:tcW w:w="870" w:type="dxa"/>
            <w:tcBorders>
              <w:top w:val="single" w:sz="4" w:space="0" w:color="auto"/>
              <w:left w:val="nil"/>
              <w:bottom w:val="single" w:sz="4" w:space="0" w:color="auto"/>
              <w:right w:val="single" w:sz="4" w:space="0" w:color="auto"/>
            </w:tcBorders>
            <w:shd w:val="clear" w:color="auto" w:fill="auto"/>
            <w:vAlign w:val="center"/>
          </w:tcPr>
          <w:p w14:paraId="436E4AC9" w14:textId="77777777" w:rsidR="0027570C" w:rsidRPr="00E73305" w:rsidRDefault="0027570C" w:rsidP="005F05A2">
            <w:pPr>
              <w:spacing w:after="0"/>
              <w:ind w:firstLine="0"/>
              <w:jc w:val="right"/>
              <w:rPr>
                <w:rFonts w:eastAsia="Times New Roman" w:cs="Times New Roman"/>
                <w:color w:val="FF0000"/>
                <w:sz w:val="18"/>
                <w:szCs w:val="18"/>
                <w:highlight w:val="yellow"/>
              </w:rPr>
            </w:pPr>
            <w:r>
              <w:rPr>
                <w:sz w:val="18"/>
                <w:szCs w:val="18"/>
              </w:rPr>
              <w:t>3 665,5</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7CE31" w14:textId="77777777" w:rsidR="0027570C" w:rsidRPr="00E73305" w:rsidRDefault="0027570C" w:rsidP="005F05A2">
            <w:pPr>
              <w:spacing w:after="0"/>
              <w:ind w:firstLine="0"/>
              <w:jc w:val="right"/>
              <w:rPr>
                <w:rFonts w:eastAsia="Times New Roman" w:cs="Times New Roman"/>
                <w:color w:val="FF0000"/>
                <w:sz w:val="18"/>
                <w:szCs w:val="18"/>
                <w:highlight w:val="yellow"/>
              </w:rPr>
            </w:pPr>
            <w:r>
              <w:rPr>
                <w:sz w:val="18"/>
                <w:szCs w:val="18"/>
              </w:rPr>
              <w:t>3 824,7</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14:paraId="6CEE3173" w14:textId="77777777" w:rsidR="0027570C" w:rsidRPr="00E73305" w:rsidRDefault="0027570C" w:rsidP="005F05A2">
            <w:pPr>
              <w:spacing w:after="0"/>
              <w:ind w:firstLine="0"/>
              <w:jc w:val="right"/>
              <w:rPr>
                <w:rFonts w:eastAsia="Times New Roman" w:cs="Times New Roman"/>
                <w:color w:val="FF0000"/>
                <w:sz w:val="18"/>
                <w:szCs w:val="18"/>
                <w:highlight w:val="yellow"/>
              </w:rPr>
            </w:pPr>
            <w:r>
              <w:rPr>
                <w:sz w:val="18"/>
                <w:szCs w:val="18"/>
              </w:rPr>
              <w:t>4 053,1</w:t>
            </w:r>
          </w:p>
        </w:tc>
      </w:tr>
      <w:tr w:rsidR="0027570C" w:rsidRPr="005E539C" w14:paraId="6602BE92" w14:textId="77777777" w:rsidTr="005F05A2">
        <w:trPr>
          <w:trHeight w:val="88"/>
          <w:jc w:val="center"/>
        </w:trPr>
        <w:tc>
          <w:tcPr>
            <w:tcW w:w="2317" w:type="dxa"/>
            <w:tcBorders>
              <w:top w:val="nil"/>
              <w:left w:val="single" w:sz="4" w:space="0" w:color="auto"/>
              <w:bottom w:val="single" w:sz="4" w:space="0" w:color="auto"/>
              <w:right w:val="single" w:sz="4" w:space="0" w:color="auto"/>
            </w:tcBorders>
            <w:shd w:val="clear" w:color="auto" w:fill="auto"/>
            <w:noWrap/>
            <w:vAlign w:val="center"/>
            <w:hideMark/>
          </w:tcPr>
          <w:p w14:paraId="5D364F93" w14:textId="77777777" w:rsidR="0027570C" w:rsidRPr="005E539C" w:rsidRDefault="0027570C" w:rsidP="005F05A2">
            <w:pPr>
              <w:spacing w:after="0"/>
              <w:ind w:left="-239" w:firstLineChars="200" w:firstLine="360"/>
              <w:rPr>
                <w:rFonts w:eastAsia="Times New Roman" w:cs="Times New Roman"/>
                <w:sz w:val="18"/>
                <w:szCs w:val="18"/>
              </w:rPr>
            </w:pPr>
            <w:r w:rsidRPr="005E539C">
              <w:rPr>
                <w:rFonts w:eastAsia="Times New Roman" w:cs="Times New Roman"/>
                <w:sz w:val="18"/>
                <w:szCs w:val="18"/>
              </w:rPr>
              <w:t>Uzturēšanas izdevumi</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79CB6" w14:textId="77777777" w:rsidR="0027570C" w:rsidRPr="005F2CC6" w:rsidRDefault="0027570C" w:rsidP="005F05A2">
            <w:pPr>
              <w:spacing w:after="0"/>
              <w:ind w:firstLine="0"/>
              <w:jc w:val="right"/>
              <w:rPr>
                <w:rFonts w:eastAsia="Times New Roman" w:cs="Times New Roman"/>
                <w:sz w:val="18"/>
                <w:szCs w:val="18"/>
              </w:rPr>
            </w:pPr>
            <w:r>
              <w:rPr>
                <w:sz w:val="18"/>
                <w:szCs w:val="18"/>
              </w:rPr>
              <w:t>2 629,8</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5E63B194" w14:textId="77777777" w:rsidR="0027570C" w:rsidRPr="005E539C" w:rsidRDefault="0027570C" w:rsidP="005F05A2">
            <w:pPr>
              <w:spacing w:after="0"/>
              <w:ind w:firstLine="0"/>
              <w:jc w:val="right"/>
              <w:rPr>
                <w:rFonts w:eastAsia="Times New Roman" w:cs="Times New Roman"/>
                <w:color w:val="FF0000"/>
                <w:sz w:val="18"/>
                <w:szCs w:val="18"/>
              </w:rPr>
            </w:pPr>
            <w:r>
              <w:rPr>
                <w:sz w:val="18"/>
                <w:szCs w:val="18"/>
              </w:rPr>
              <w:t>2 893,1</w:t>
            </w:r>
          </w:p>
        </w:tc>
        <w:tc>
          <w:tcPr>
            <w:tcW w:w="871" w:type="dxa"/>
            <w:tcBorders>
              <w:top w:val="single" w:sz="4" w:space="0" w:color="auto"/>
              <w:left w:val="nil"/>
              <w:bottom w:val="single" w:sz="4" w:space="0" w:color="auto"/>
              <w:right w:val="single" w:sz="4" w:space="0" w:color="auto"/>
            </w:tcBorders>
            <w:shd w:val="clear" w:color="auto" w:fill="auto"/>
            <w:noWrap/>
            <w:vAlign w:val="center"/>
            <w:hideMark/>
          </w:tcPr>
          <w:p w14:paraId="31A07533" w14:textId="77777777" w:rsidR="0027570C" w:rsidRPr="00E73305" w:rsidRDefault="0027570C" w:rsidP="005F05A2">
            <w:pPr>
              <w:spacing w:after="0"/>
              <w:ind w:firstLine="0"/>
              <w:jc w:val="right"/>
              <w:rPr>
                <w:rFonts w:eastAsia="Times New Roman" w:cs="Times New Roman"/>
                <w:color w:val="FF0000"/>
                <w:sz w:val="18"/>
                <w:szCs w:val="18"/>
                <w:highlight w:val="yellow"/>
              </w:rPr>
            </w:pPr>
            <w:r>
              <w:rPr>
                <w:sz w:val="18"/>
                <w:szCs w:val="18"/>
              </w:rPr>
              <w:t>3 002,7</w:t>
            </w:r>
          </w:p>
        </w:tc>
        <w:tc>
          <w:tcPr>
            <w:tcW w:w="870" w:type="dxa"/>
            <w:tcBorders>
              <w:top w:val="single" w:sz="4" w:space="0" w:color="auto"/>
              <w:left w:val="nil"/>
              <w:bottom w:val="single" w:sz="4" w:space="0" w:color="auto"/>
              <w:right w:val="single" w:sz="4" w:space="0" w:color="auto"/>
            </w:tcBorders>
            <w:shd w:val="clear" w:color="auto" w:fill="auto"/>
            <w:noWrap/>
            <w:vAlign w:val="center"/>
            <w:hideMark/>
          </w:tcPr>
          <w:p w14:paraId="73BCF7B9" w14:textId="77777777" w:rsidR="0027570C" w:rsidRPr="00E73305" w:rsidRDefault="0027570C" w:rsidP="005F05A2">
            <w:pPr>
              <w:spacing w:after="0"/>
              <w:ind w:firstLine="0"/>
              <w:jc w:val="right"/>
              <w:rPr>
                <w:rFonts w:eastAsia="Times New Roman" w:cs="Times New Roman"/>
                <w:color w:val="FF0000"/>
                <w:sz w:val="18"/>
                <w:szCs w:val="18"/>
                <w:highlight w:val="yellow"/>
              </w:rPr>
            </w:pPr>
            <w:r>
              <w:rPr>
                <w:sz w:val="18"/>
                <w:szCs w:val="18"/>
              </w:rPr>
              <w:t>3 034,0</w:t>
            </w:r>
          </w:p>
        </w:tc>
        <w:tc>
          <w:tcPr>
            <w:tcW w:w="872" w:type="dxa"/>
            <w:tcBorders>
              <w:top w:val="single" w:sz="4" w:space="0" w:color="auto"/>
              <w:left w:val="nil"/>
              <w:bottom w:val="single" w:sz="4" w:space="0" w:color="auto"/>
              <w:right w:val="single" w:sz="4" w:space="0" w:color="auto"/>
            </w:tcBorders>
            <w:shd w:val="clear" w:color="auto" w:fill="auto"/>
            <w:noWrap/>
            <w:vAlign w:val="center"/>
            <w:hideMark/>
          </w:tcPr>
          <w:p w14:paraId="33785803" w14:textId="77777777" w:rsidR="0027570C" w:rsidRPr="00E73305" w:rsidRDefault="0027570C" w:rsidP="005F05A2">
            <w:pPr>
              <w:spacing w:after="0"/>
              <w:ind w:firstLine="0"/>
              <w:jc w:val="right"/>
              <w:rPr>
                <w:rFonts w:eastAsia="Times New Roman" w:cs="Times New Roman"/>
                <w:color w:val="FF0000"/>
                <w:sz w:val="18"/>
                <w:szCs w:val="18"/>
                <w:highlight w:val="yellow"/>
              </w:rPr>
            </w:pPr>
            <w:r>
              <w:rPr>
                <w:sz w:val="18"/>
                <w:szCs w:val="18"/>
              </w:rPr>
              <w:t>3 062,4</w:t>
            </w:r>
          </w:p>
        </w:tc>
        <w:tc>
          <w:tcPr>
            <w:tcW w:w="870" w:type="dxa"/>
            <w:tcBorders>
              <w:top w:val="single" w:sz="4" w:space="0" w:color="auto"/>
              <w:left w:val="nil"/>
              <w:bottom w:val="single" w:sz="4" w:space="0" w:color="auto"/>
              <w:right w:val="single" w:sz="4" w:space="0" w:color="auto"/>
            </w:tcBorders>
            <w:shd w:val="clear" w:color="auto" w:fill="auto"/>
            <w:vAlign w:val="center"/>
          </w:tcPr>
          <w:p w14:paraId="2AD542D5" w14:textId="77777777" w:rsidR="0027570C" w:rsidRPr="00E73305" w:rsidRDefault="0027570C" w:rsidP="005F05A2">
            <w:pPr>
              <w:spacing w:after="0"/>
              <w:ind w:firstLine="0"/>
              <w:jc w:val="right"/>
              <w:rPr>
                <w:rFonts w:eastAsia="Times New Roman" w:cs="Times New Roman"/>
                <w:sz w:val="18"/>
                <w:szCs w:val="18"/>
                <w:highlight w:val="yellow"/>
              </w:rPr>
            </w:pPr>
            <w:r>
              <w:rPr>
                <w:sz w:val="18"/>
                <w:szCs w:val="18"/>
              </w:rPr>
              <w:t>3 128,8</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1B3C1" w14:textId="77777777" w:rsidR="0027570C" w:rsidRPr="00E73305" w:rsidRDefault="0027570C" w:rsidP="005F05A2">
            <w:pPr>
              <w:spacing w:after="0"/>
              <w:ind w:firstLine="0"/>
              <w:jc w:val="right"/>
              <w:rPr>
                <w:rFonts w:eastAsia="Times New Roman" w:cs="Times New Roman"/>
                <w:sz w:val="18"/>
                <w:szCs w:val="18"/>
                <w:highlight w:val="yellow"/>
              </w:rPr>
            </w:pPr>
            <w:r>
              <w:rPr>
                <w:sz w:val="18"/>
                <w:szCs w:val="18"/>
              </w:rPr>
              <w:t>3 165,0</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14:paraId="6F09CCCD" w14:textId="77777777" w:rsidR="0027570C" w:rsidRPr="00E73305" w:rsidRDefault="0027570C" w:rsidP="005F05A2">
            <w:pPr>
              <w:spacing w:after="0"/>
              <w:ind w:firstLine="0"/>
              <w:jc w:val="right"/>
              <w:rPr>
                <w:rFonts w:eastAsia="Times New Roman" w:cs="Times New Roman"/>
                <w:sz w:val="18"/>
                <w:szCs w:val="18"/>
                <w:highlight w:val="yellow"/>
              </w:rPr>
            </w:pPr>
            <w:r>
              <w:rPr>
                <w:sz w:val="18"/>
                <w:szCs w:val="18"/>
              </w:rPr>
              <w:t>3 193,4</w:t>
            </w:r>
          </w:p>
        </w:tc>
      </w:tr>
      <w:tr w:rsidR="0027570C" w:rsidRPr="005E539C" w14:paraId="27984D11" w14:textId="77777777" w:rsidTr="005F05A2">
        <w:trPr>
          <w:trHeight w:val="88"/>
          <w:jc w:val="center"/>
        </w:trPr>
        <w:tc>
          <w:tcPr>
            <w:tcW w:w="2317" w:type="dxa"/>
            <w:tcBorders>
              <w:top w:val="nil"/>
              <w:left w:val="single" w:sz="4" w:space="0" w:color="auto"/>
              <w:bottom w:val="single" w:sz="4" w:space="0" w:color="auto"/>
              <w:right w:val="single" w:sz="4" w:space="0" w:color="auto"/>
            </w:tcBorders>
            <w:shd w:val="clear" w:color="auto" w:fill="auto"/>
            <w:noWrap/>
            <w:vAlign w:val="center"/>
            <w:hideMark/>
          </w:tcPr>
          <w:p w14:paraId="1255C8AC" w14:textId="77777777" w:rsidR="0027570C" w:rsidRPr="005E539C" w:rsidRDefault="0027570C" w:rsidP="005F05A2">
            <w:pPr>
              <w:spacing w:after="0"/>
              <w:ind w:left="-239" w:firstLineChars="200" w:firstLine="360"/>
              <w:rPr>
                <w:rFonts w:eastAsia="Times New Roman" w:cs="Times New Roman"/>
                <w:sz w:val="18"/>
                <w:szCs w:val="18"/>
              </w:rPr>
            </w:pPr>
            <w:r w:rsidRPr="005E539C">
              <w:rPr>
                <w:rFonts w:eastAsia="Times New Roman" w:cs="Times New Roman"/>
                <w:sz w:val="18"/>
                <w:szCs w:val="18"/>
              </w:rPr>
              <w:t>Kapitālie izdevumi</w:t>
            </w:r>
          </w:p>
        </w:tc>
        <w:tc>
          <w:tcPr>
            <w:tcW w:w="880" w:type="dxa"/>
            <w:tcBorders>
              <w:top w:val="nil"/>
              <w:left w:val="single" w:sz="4" w:space="0" w:color="auto"/>
              <w:bottom w:val="single" w:sz="4" w:space="0" w:color="auto"/>
              <w:right w:val="single" w:sz="4" w:space="0" w:color="auto"/>
            </w:tcBorders>
            <w:shd w:val="clear" w:color="auto" w:fill="auto"/>
            <w:noWrap/>
            <w:vAlign w:val="center"/>
          </w:tcPr>
          <w:p w14:paraId="00003BF7" w14:textId="77777777" w:rsidR="0027570C" w:rsidRPr="005F2CC6" w:rsidRDefault="0027570C" w:rsidP="005F05A2">
            <w:pPr>
              <w:spacing w:after="0"/>
              <w:ind w:firstLine="0"/>
              <w:jc w:val="right"/>
              <w:rPr>
                <w:rFonts w:eastAsia="Times New Roman" w:cs="Times New Roman"/>
                <w:sz w:val="18"/>
                <w:szCs w:val="18"/>
              </w:rPr>
            </w:pPr>
            <w:r>
              <w:rPr>
                <w:sz w:val="18"/>
                <w:szCs w:val="18"/>
              </w:rPr>
              <w:t>559,6</w:t>
            </w:r>
          </w:p>
        </w:tc>
        <w:tc>
          <w:tcPr>
            <w:tcW w:w="861" w:type="dxa"/>
            <w:tcBorders>
              <w:top w:val="nil"/>
              <w:left w:val="nil"/>
              <w:bottom w:val="single" w:sz="4" w:space="0" w:color="auto"/>
              <w:right w:val="single" w:sz="4" w:space="0" w:color="auto"/>
            </w:tcBorders>
            <w:shd w:val="clear" w:color="auto" w:fill="auto"/>
            <w:noWrap/>
            <w:vAlign w:val="center"/>
            <w:hideMark/>
          </w:tcPr>
          <w:p w14:paraId="24091F2A" w14:textId="77777777" w:rsidR="0027570C" w:rsidRPr="005E539C" w:rsidRDefault="0027570C" w:rsidP="005F05A2">
            <w:pPr>
              <w:spacing w:after="0"/>
              <w:ind w:firstLine="0"/>
              <w:jc w:val="right"/>
              <w:rPr>
                <w:rFonts w:eastAsia="Times New Roman" w:cs="Times New Roman"/>
                <w:color w:val="FF0000"/>
                <w:sz w:val="18"/>
                <w:szCs w:val="18"/>
              </w:rPr>
            </w:pPr>
            <w:r>
              <w:rPr>
                <w:sz w:val="18"/>
                <w:szCs w:val="18"/>
              </w:rPr>
              <w:t>538,0</w:t>
            </w:r>
          </w:p>
        </w:tc>
        <w:tc>
          <w:tcPr>
            <w:tcW w:w="871" w:type="dxa"/>
            <w:tcBorders>
              <w:top w:val="nil"/>
              <w:left w:val="nil"/>
              <w:bottom w:val="single" w:sz="4" w:space="0" w:color="auto"/>
              <w:right w:val="single" w:sz="4" w:space="0" w:color="auto"/>
            </w:tcBorders>
            <w:shd w:val="clear" w:color="auto" w:fill="auto"/>
            <w:noWrap/>
            <w:vAlign w:val="center"/>
            <w:hideMark/>
          </w:tcPr>
          <w:p w14:paraId="0CFD5D16" w14:textId="77777777" w:rsidR="0027570C" w:rsidRPr="005E539C" w:rsidRDefault="0027570C" w:rsidP="005F05A2">
            <w:pPr>
              <w:spacing w:after="0"/>
              <w:ind w:firstLine="0"/>
              <w:jc w:val="right"/>
              <w:rPr>
                <w:rFonts w:eastAsia="Times New Roman" w:cs="Times New Roman"/>
                <w:color w:val="FF0000"/>
                <w:sz w:val="18"/>
                <w:szCs w:val="18"/>
              </w:rPr>
            </w:pPr>
            <w:r>
              <w:rPr>
                <w:sz w:val="18"/>
                <w:szCs w:val="18"/>
              </w:rPr>
              <w:t>535,0</w:t>
            </w:r>
          </w:p>
        </w:tc>
        <w:tc>
          <w:tcPr>
            <w:tcW w:w="870" w:type="dxa"/>
            <w:tcBorders>
              <w:top w:val="nil"/>
              <w:left w:val="nil"/>
              <w:bottom w:val="single" w:sz="4" w:space="0" w:color="auto"/>
              <w:right w:val="single" w:sz="4" w:space="0" w:color="auto"/>
            </w:tcBorders>
            <w:shd w:val="clear" w:color="auto" w:fill="auto"/>
            <w:noWrap/>
            <w:vAlign w:val="center"/>
            <w:hideMark/>
          </w:tcPr>
          <w:p w14:paraId="6EE8D98D" w14:textId="77777777" w:rsidR="0027570C" w:rsidRPr="005E539C" w:rsidRDefault="0027570C" w:rsidP="005F05A2">
            <w:pPr>
              <w:spacing w:after="0"/>
              <w:ind w:firstLine="0"/>
              <w:jc w:val="right"/>
              <w:rPr>
                <w:rFonts w:eastAsia="Times New Roman" w:cs="Times New Roman"/>
                <w:color w:val="FF0000"/>
                <w:sz w:val="18"/>
                <w:szCs w:val="18"/>
              </w:rPr>
            </w:pPr>
            <w:r>
              <w:rPr>
                <w:sz w:val="18"/>
                <w:szCs w:val="18"/>
              </w:rPr>
              <w:t>658,0</w:t>
            </w:r>
          </w:p>
        </w:tc>
        <w:tc>
          <w:tcPr>
            <w:tcW w:w="872" w:type="dxa"/>
            <w:tcBorders>
              <w:top w:val="nil"/>
              <w:left w:val="nil"/>
              <w:bottom w:val="single" w:sz="4" w:space="0" w:color="auto"/>
              <w:right w:val="single" w:sz="4" w:space="0" w:color="auto"/>
            </w:tcBorders>
            <w:shd w:val="clear" w:color="auto" w:fill="auto"/>
            <w:noWrap/>
            <w:vAlign w:val="center"/>
            <w:hideMark/>
          </w:tcPr>
          <w:p w14:paraId="75EED7C7" w14:textId="77777777" w:rsidR="0027570C" w:rsidRPr="005E539C" w:rsidRDefault="0027570C" w:rsidP="005F05A2">
            <w:pPr>
              <w:spacing w:after="0"/>
              <w:ind w:firstLine="0"/>
              <w:jc w:val="right"/>
              <w:rPr>
                <w:rFonts w:eastAsia="Times New Roman" w:cs="Times New Roman"/>
                <w:color w:val="FF0000"/>
                <w:sz w:val="18"/>
                <w:szCs w:val="18"/>
              </w:rPr>
            </w:pPr>
            <w:r>
              <w:rPr>
                <w:sz w:val="18"/>
                <w:szCs w:val="18"/>
              </w:rPr>
              <w:t>858,0</w:t>
            </w:r>
          </w:p>
        </w:tc>
        <w:tc>
          <w:tcPr>
            <w:tcW w:w="870" w:type="dxa"/>
            <w:tcBorders>
              <w:top w:val="single" w:sz="4" w:space="0" w:color="auto"/>
              <w:left w:val="nil"/>
              <w:bottom w:val="single" w:sz="4" w:space="0" w:color="auto"/>
              <w:right w:val="single" w:sz="4" w:space="0" w:color="auto"/>
            </w:tcBorders>
            <w:shd w:val="clear" w:color="auto" w:fill="auto"/>
            <w:vAlign w:val="center"/>
          </w:tcPr>
          <w:p w14:paraId="66D8DA50" w14:textId="77777777" w:rsidR="0027570C" w:rsidRPr="005E539C" w:rsidRDefault="0027570C" w:rsidP="005F05A2">
            <w:pPr>
              <w:spacing w:after="0"/>
              <w:ind w:firstLine="0"/>
              <w:jc w:val="right"/>
              <w:rPr>
                <w:rFonts w:eastAsia="Times New Roman" w:cs="Times New Roman"/>
                <w:sz w:val="18"/>
                <w:szCs w:val="18"/>
              </w:rPr>
            </w:pPr>
            <w:r>
              <w:rPr>
                <w:sz w:val="18"/>
                <w:szCs w:val="18"/>
              </w:rPr>
              <w:t>536,7</w:t>
            </w:r>
          </w:p>
        </w:tc>
        <w:tc>
          <w:tcPr>
            <w:tcW w:w="871" w:type="dxa"/>
            <w:tcBorders>
              <w:top w:val="nil"/>
              <w:left w:val="single" w:sz="4" w:space="0" w:color="auto"/>
              <w:bottom w:val="single" w:sz="4" w:space="0" w:color="auto"/>
              <w:right w:val="single" w:sz="4" w:space="0" w:color="auto"/>
            </w:tcBorders>
            <w:shd w:val="clear" w:color="auto" w:fill="auto"/>
            <w:noWrap/>
            <w:vAlign w:val="center"/>
            <w:hideMark/>
          </w:tcPr>
          <w:p w14:paraId="283C13FE" w14:textId="77777777" w:rsidR="0027570C" w:rsidRPr="005E539C" w:rsidRDefault="0027570C" w:rsidP="005F05A2">
            <w:pPr>
              <w:spacing w:after="0"/>
              <w:ind w:firstLine="0"/>
              <w:jc w:val="right"/>
              <w:rPr>
                <w:rFonts w:eastAsia="Times New Roman" w:cs="Times New Roman"/>
                <w:sz w:val="18"/>
                <w:szCs w:val="18"/>
              </w:rPr>
            </w:pPr>
            <w:r>
              <w:rPr>
                <w:sz w:val="18"/>
                <w:szCs w:val="18"/>
              </w:rPr>
              <w:t>659,7</w:t>
            </w:r>
          </w:p>
        </w:tc>
        <w:tc>
          <w:tcPr>
            <w:tcW w:w="865" w:type="dxa"/>
            <w:tcBorders>
              <w:top w:val="nil"/>
              <w:left w:val="nil"/>
              <w:bottom w:val="single" w:sz="4" w:space="0" w:color="auto"/>
              <w:right w:val="single" w:sz="4" w:space="0" w:color="auto"/>
            </w:tcBorders>
            <w:shd w:val="clear" w:color="auto" w:fill="auto"/>
            <w:noWrap/>
            <w:vAlign w:val="center"/>
            <w:hideMark/>
          </w:tcPr>
          <w:p w14:paraId="23D7C474" w14:textId="77777777" w:rsidR="0027570C" w:rsidRPr="005E539C" w:rsidRDefault="0027570C" w:rsidP="005F05A2">
            <w:pPr>
              <w:spacing w:after="0"/>
              <w:ind w:firstLine="0"/>
              <w:jc w:val="right"/>
              <w:rPr>
                <w:rFonts w:eastAsia="Times New Roman" w:cs="Times New Roman"/>
                <w:sz w:val="18"/>
                <w:szCs w:val="18"/>
              </w:rPr>
            </w:pPr>
            <w:r>
              <w:rPr>
                <w:sz w:val="18"/>
                <w:szCs w:val="18"/>
              </w:rPr>
              <w:t>859,7</w:t>
            </w:r>
          </w:p>
        </w:tc>
      </w:tr>
    </w:tbl>
    <w:p w14:paraId="42F5B13D" w14:textId="50C63B54" w:rsidR="00FB5161" w:rsidRPr="0027570C" w:rsidRDefault="005D361F" w:rsidP="00DB14A4">
      <w:pPr>
        <w:pStyle w:val="H3"/>
      </w:pPr>
      <w:r w:rsidRPr="0027570C">
        <w:t xml:space="preserve">2.2.3. </w:t>
      </w:r>
      <w:r w:rsidR="00246DB7" w:rsidRPr="0027570C">
        <w:t>Atbalsta pasākumi krīžu seku mazināšanai</w:t>
      </w:r>
      <w:bookmarkEnd w:id="69"/>
    </w:p>
    <w:p w14:paraId="7E1B791B" w14:textId="77777777" w:rsidR="0027570C" w:rsidRDefault="0027570C" w:rsidP="0027570C">
      <w:pPr>
        <w:ind w:firstLine="709"/>
        <w:rPr>
          <w:rFonts w:eastAsia="Calibri" w:cs="Times New Roman"/>
          <w:noProof/>
          <w:color w:val="000000"/>
          <w:szCs w:val="24"/>
        </w:rPr>
      </w:pPr>
      <w:bookmarkStart w:id="70" w:name="_Toc126236653"/>
      <w:r>
        <w:rPr>
          <w:rFonts w:eastAsia="Calibri" w:cs="Times New Roman"/>
          <w:noProof/>
          <w:color w:val="000000"/>
          <w:szCs w:val="24"/>
        </w:rPr>
        <w:t>Pēc</w:t>
      </w:r>
      <w:r w:rsidRPr="00D4179B">
        <w:rPr>
          <w:rFonts w:eastAsia="Calibri" w:cs="Times New Roman"/>
          <w:noProof/>
          <w:color w:val="000000"/>
          <w:szCs w:val="24"/>
        </w:rPr>
        <w:t xml:space="preserve"> Covid-19 pandēmijas </w:t>
      </w:r>
      <w:r>
        <w:rPr>
          <w:rFonts w:eastAsia="Calibri" w:cs="Times New Roman"/>
          <w:noProof/>
          <w:color w:val="000000"/>
          <w:szCs w:val="24"/>
        </w:rPr>
        <w:t>perioda Latvijā valdība sniegusi būtisku atbalstu sabiedrībai</w:t>
      </w:r>
      <w:r w:rsidRPr="00D4179B">
        <w:rPr>
          <w:rFonts w:eastAsia="Calibri" w:cs="Times New Roman"/>
          <w:noProof/>
          <w:color w:val="000000"/>
          <w:szCs w:val="24"/>
        </w:rPr>
        <w:t xml:space="preserve"> energoresursu cenu pieauguma ietekmes mazināšanai</w:t>
      </w:r>
      <w:r>
        <w:rPr>
          <w:rFonts w:eastAsia="Calibri" w:cs="Times New Roman"/>
          <w:noProof/>
          <w:color w:val="000000"/>
          <w:szCs w:val="24"/>
        </w:rPr>
        <w:t xml:space="preserve"> (turpmāk – energoatbalsts). Tāpat</w:t>
      </w:r>
      <w:r w:rsidRPr="00D4179B">
        <w:rPr>
          <w:rFonts w:eastAsia="Calibri" w:cs="Times New Roman"/>
          <w:noProof/>
          <w:color w:val="000000"/>
          <w:szCs w:val="24"/>
        </w:rPr>
        <w:t xml:space="preserve"> </w:t>
      </w:r>
      <w:r>
        <w:rPr>
          <w:rFonts w:eastAsia="Calibri" w:cs="Times New Roman"/>
          <w:noProof/>
          <w:color w:val="000000"/>
          <w:szCs w:val="24"/>
        </w:rPr>
        <w:t>nozīmīgs finansējums ticis atvēlēts</w:t>
      </w:r>
      <w:r w:rsidRPr="00D4179B">
        <w:rPr>
          <w:rFonts w:eastAsia="Calibri" w:cs="Times New Roman"/>
          <w:noProof/>
          <w:color w:val="000000"/>
          <w:szCs w:val="24"/>
        </w:rPr>
        <w:t xml:space="preserve"> Ukrainas </w:t>
      </w:r>
      <w:r>
        <w:rPr>
          <w:rFonts w:eastAsia="Calibri" w:cs="Times New Roman"/>
          <w:noProof/>
          <w:color w:val="000000"/>
          <w:szCs w:val="24"/>
        </w:rPr>
        <w:t>civiliedzīvotāju</w:t>
      </w:r>
      <w:r w:rsidRPr="00D4179B">
        <w:rPr>
          <w:rFonts w:eastAsia="Calibri" w:cs="Times New Roman"/>
          <w:noProof/>
          <w:color w:val="000000"/>
          <w:szCs w:val="24"/>
        </w:rPr>
        <w:t xml:space="preserve"> atbalstam</w:t>
      </w:r>
      <w:r>
        <w:rPr>
          <w:rFonts w:eastAsia="Calibri" w:cs="Times New Roman"/>
          <w:noProof/>
          <w:color w:val="000000"/>
          <w:szCs w:val="24"/>
        </w:rPr>
        <w:t>, ņemot vērā 2022. gada Krievijas pilna mēroga iebrukumu Ukrainā</w:t>
      </w:r>
      <w:r w:rsidRPr="00D4179B">
        <w:rPr>
          <w:rFonts w:eastAsia="Calibri" w:cs="Times New Roman"/>
          <w:noProof/>
          <w:color w:val="000000"/>
          <w:szCs w:val="24"/>
        </w:rPr>
        <w:t xml:space="preserve">. </w:t>
      </w:r>
      <w:r>
        <w:rPr>
          <w:rFonts w:eastAsia="Calibri" w:cs="Times New Roman"/>
          <w:noProof/>
          <w:color w:val="000000"/>
          <w:szCs w:val="24"/>
        </w:rPr>
        <w:t>2023. gads ir pēdējais, kurā kopš 2020. gada tiek paredzēts nozīmīgs finansējums atbalsta pasākumiem krīžu seku mazināšanai, jo turpmāk budžetā tiek plānotas tikai atsevišķas kopumā mērķētas programmas.</w:t>
      </w:r>
    </w:p>
    <w:p w14:paraId="7F02061A" w14:textId="638BF733" w:rsidR="0027570C" w:rsidRDefault="0027570C" w:rsidP="0027570C">
      <w:pPr>
        <w:ind w:firstLine="709"/>
        <w:rPr>
          <w:rFonts w:eastAsia="Calibri" w:cs="Times New Roman"/>
          <w:noProof/>
          <w:color w:val="000000"/>
          <w:szCs w:val="24"/>
        </w:rPr>
      </w:pPr>
      <w:r w:rsidRPr="0003089D">
        <w:rPr>
          <w:rFonts w:eastAsia="Calibri" w:cs="Times New Roman"/>
          <w:noProof/>
          <w:color w:val="000000"/>
          <w:szCs w:val="24"/>
        </w:rPr>
        <w:t>Kopējais plānotais atbalsts 2023. gadam atbilst</w:t>
      </w:r>
      <w:r>
        <w:rPr>
          <w:rFonts w:eastAsia="Calibri" w:cs="Times New Roman"/>
          <w:noProof/>
          <w:color w:val="000000"/>
          <w:szCs w:val="24"/>
        </w:rPr>
        <w:t>o</w:t>
      </w:r>
      <w:r w:rsidRPr="0003089D">
        <w:rPr>
          <w:rFonts w:eastAsia="Calibri" w:cs="Times New Roman"/>
          <w:noProof/>
          <w:color w:val="000000"/>
          <w:szCs w:val="24"/>
        </w:rPr>
        <w:t xml:space="preserve">ši FM apkopotajai informācijai </w:t>
      </w:r>
      <w:r>
        <w:rPr>
          <w:rFonts w:eastAsia="Calibri" w:cs="Times New Roman"/>
          <w:noProof/>
          <w:color w:val="000000"/>
          <w:szCs w:val="24"/>
        </w:rPr>
        <w:t>veidoja</w:t>
      </w:r>
      <w:r w:rsidRPr="0003089D">
        <w:rPr>
          <w:rFonts w:eastAsia="Calibri" w:cs="Times New Roman"/>
          <w:noProof/>
          <w:color w:val="000000"/>
          <w:szCs w:val="24"/>
        </w:rPr>
        <w:t xml:space="preserve"> </w:t>
      </w:r>
      <w:r>
        <w:rPr>
          <w:rFonts w:eastAsia="Calibri" w:cs="Times New Roman"/>
          <w:noProof/>
          <w:color w:val="000000"/>
          <w:szCs w:val="24"/>
        </w:rPr>
        <w:t>855 </w:t>
      </w:r>
      <w:r w:rsidRPr="0003089D">
        <w:rPr>
          <w:rFonts w:eastAsia="Calibri" w:cs="Times New Roman"/>
          <w:noProof/>
          <w:color w:val="000000"/>
          <w:szCs w:val="24"/>
        </w:rPr>
        <w:t xml:space="preserve">milj. </w:t>
      </w:r>
      <w:r w:rsidRPr="0003089D">
        <w:rPr>
          <w:rFonts w:eastAsia="Calibri" w:cs="Times New Roman"/>
          <w:i/>
          <w:iCs/>
          <w:noProof/>
          <w:color w:val="000000"/>
          <w:szCs w:val="24"/>
        </w:rPr>
        <w:t>euro</w:t>
      </w:r>
      <w:r w:rsidRPr="0003089D">
        <w:rPr>
          <w:rFonts w:eastAsia="Calibri" w:cs="Times New Roman"/>
          <w:noProof/>
          <w:color w:val="000000"/>
          <w:szCs w:val="24"/>
        </w:rPr>
        <w:t xml:space="preserve"> jeb </w:t>
      </w:r>
      <w:r>
        <w:rPr>
          <w:rFonts w:eastAsia="Calibri" w:cs="Times New Roman"/>
          <w:noProof/>
          <w:color w:val="000000"/>
          <w:szCs w:val="24"/>
        </w:rPr>
        <w:t>2,0</w:t>
      </w:r>
      <w:r w:rsidRPr="0003089D">
        <w:rPr>
          <w:rFonts w:eastAsia="Calibri" w:cs="Times New Roman"/>
          <w:noProof/>
          <w:color w:val="000000"/>
          <w:szCs w:val="24"/>
        </w:rPr>
        <w:t xml:space="preserve">% no IKP. Atbalsta ietekme uz vispārējās valdības budžeta bilanci ir negatīva, </w:t>
      </w:r>
      <w:r w:rsidRPr="00393292">
        <w:rPr>
          <w:rFonts w:eastAsia="Calibri" w:cs="Times New Roman"/>
          <w:noProof/>
          <w:color w:val="000000"/>
          <w:szCs w:val="24"/>
        </w:rPr>
        <w:t>un 2023. gadā tā FM vērtējumā</w:t>
      </w:r>
      <w:r>
        <w:rPr>
          <w:rFonts w:eastAsia="Calibri" w:cs="Times New Roman"/>
          <w:noProof/>
          <w:color w:val="000000"/>
          <w:szCs w:val="24"/>
        </w:rPr>
        <w:t>, kas izriet no jau faktiski sniegtā atbalsta apmēra,</w:t>
      </w:r>
      <w:r w:rsidRPr="00393292">
        <w:rPr>
          <w:rFonts w:eastAsia="Calibri" w:cs="Times New Roman"/>
          <w:noProof/>
          <w:color w:val="000000"/>
          <w:szCs w:val="24"/>
        </w:rPr>
        <w:t xml:space="preserve"> tiek sagaidīta </w:t>
      </w:r>
      <w:r>
        <w:rPr>
          <w:rFonts w:eastAsia="Calibri" w:cs="Times New Roman"/>
          <w:noProof/>
          <w:color w:val="000000"/>
          <w:szCs w:val="24"/>
        </w:rPr>
        <w:t>670</w:t>
      </w:r>
      <w:r w:rsidRPr="00393292">
        <w:rPr>
          <w:rFonts w:eastAsia="Calibri" w:cs="Times New Roman"/>
          <w:noProof/>
          <w:color w:val="000000"/>
          <w:szCs w:val="24"/>
        </w:rPr>
        <w:t xml:space="preserve"> milj. </w:t>
      </w:r>
      <w:r w:rsidRPr="00393292">
        <w:rPr>
          <w:rFonts w:eastAsia="Calibri" w:cs="Times New Roman"/>
          <w:i/>
          <w:iCs/>
          <w:noProof/>
          <w:color w:val="000000"/>
          <w:szCs w:val="24"/>
        </w:rPr>
        <w:t>euro</w:t>
      </w:r>
      <w:r w:rsidRPr="00393292">
        <w:rPr>
          <w:rFonts w:eastAsia="Calibri" w:cs="Times New Roman"/>
          <w:noProof/>
          <w:color w:val="000000"/>
          <w:szCs w:val="24"/>
        </w:rPr>
        <w:t xml:space="preserve"> apmērā jeb 1,</w:t>
      </w:r>
      <w:r>
        <w:rPr>
          <w:rFonts w:eastAsia="Calibri" w:cs="Times New Roman"/>
          <w:noProof/>
          <w:color w:val="000000"/>
          <w:szCs w:val="24"/>
        </w:rPr>
        <w:t>6</w:t>
      </w:r>
      <w:r w:rsidRPr="00393292">
        <w:rPr>
          <w:rFonts w:eastAsia="Calibri" w:cs="Times New Roman"/>
          <w:noProof/>
          <w:color w:val="000000"/>
          <w:szCs w:val="24"/>
        </w:rPr>
        <w:t xml:space="preserve">% no IKP. </w:t>
      </w:r>
      <w:r>
        <w:rPr>
          <w:rFonts w:eastAsia="Calibri" w:cs="Times New Roman"/>
          <w:noProof/>
          <w:color w:val="000000"/>
          <w:szCs w:val="24"/>
        </w:rPr>
        <w:t xml:space="preserve">Savukārt 2024. gadā budžetā plānots </w:t>
      </w:r>
      <w:r w:rsidRPr="0089258E">
        <w:rPr>
          <w:rFonts w:eastAsia="Calibri" w:cs="Times New Roman"/>
          <w:noProof/>
          <w:szCs w:val="24"/>
        </w:rPr>
        <w:t xml:space="preserve">specifisks atbalsts ar ietekmi </w:t>
      </w:r>
      <w:r w:rsidRPr="00B46249">
        <w:rPr>
          <w:rFonts w:eastAsia="Calibri" w:cs="Times New Roman"/>
          <w:noProof/>
          <w:szCs w:val="24"/>
        </w:rPr>
        <w:t>uz vispārējās valdības deficītu vairs tikai 0,2% no IKP apmērā (skat. 2.</w:t>
      </w:r>
      <w:r w:rsidR="003D276E" w:rsidRPr="00B46249">
        <w:rPr>
          <w:rFonts w:eastAsia="Calibri" w:cs="Times New Roman"/>
          <w:noProof/>
          <w:szCs w:val="24"/>
        </w:rPr>
        <w:t>11</w:t>
      </w:r>
      <w:r w:rsidRPr="00B46249">
        <w:rPr>
          <w:rFonts w:eastAsia="Calibri" w:cs="Times New Roman"/>
          <w:noProof/>
          <w:szCs w:val="24"/>
        </w:rPr>
        <w:t>.</w:t>
      </w:r>
      <w:r w:rsidRPr="0089258E">
        <w:rPr>
          <w:rFonts w:eastAsia="Calibri" w:cs="Times New Roman"/>
          <w:noProof/>
          <w:szCs w:val="24"/>
        </w:rPr>
        <w:t xml:space="preserve"> tabulu).  </w:t>
      </w:r>
    </w:p>
    <w:p w14:paraId="0BB1190C" w14:textId="77777777" w:rsidR="0027570C" w:rsidRDefault="0027570C" w:rsidP="0027570C">
      <w:pPr>
        <w:ind w:firstLine="709"/>
        <w:rPr>
          <w:rFonts w:eastAsia="Calibri" w:cs="Times New Roman"/>
          <w:noProof/>
          <w:color w:val="000000"/>
          <w:szCs w:val="24"/>
        </w:rPr>
      </w:pPr>
      <w:r w:rsidRPr="005E6FD6">
        <w:rPr>
          <w:rFonts w:eastAsia="Calibri" w:cs="Times New Roman"/>
          <w:noProof/>
          <w:color w:val="000000"/>
          <w:szCs w:val="24"/>
        </w:rPr>
        <w:lastRenderedPageBreak/>
        <w:t xml:space="preserve">Covid-19 atbalsta finansējums </w:t>
      </w:r>
      <w:r>
        <w:rPr>
          <w:rFonts w:eastAsia="Calibri" w:cs="Times New Roman"/>
          <w:noProof/>
          <w:color w:val="000000"/>
          <w:szCs w:val="24"/>
        </w:rPr>
        <w:t xml:space="preserve">2023. gadā </w:t>
      </w:r>
      <w:r w:rsidRPr="005E6FD6">
        <w:rPr>
          <w:rFonts w:eastAsia="Calibri" w:cs="Times New Roman"/>
          <w:noProof/>
          <w:color w:val="000000"/>
          <w:szCs w:val="24"/>
        </w:rPr>
        <w:t>ti</w:t>
      </w:r>
      <w:r>
        <w:rPr>
          <w:rFonts w:eastAsia="Calibri" w:cs="Times New Roman"/>
          <w:noProof/>
          <w:color w:val="000000"/>
          <w:szCs w:val="24"/>
        </w:rPr>
        <w:t>ka</w:t>
      </w:r>
      <w:r w:rsidRPr="005E6FD6">
        <w:rPr>
          <w:rFonts w:eastAsia="Calibri" w:cs="Times New Roman"/>
          <w:noProof/>
          <w:color w:val="000000"/>
          <w:szCs w:val="24"/>
        </w:rPr>
        <w:t xml:space="preserve"> plānots jau būtiski mazākā apmērā kā iepriekšējos gados, faktiski turpinoties tikai atsevišķiem uzsāktajiem investīciju projektiem un paredzot finansējumu Covid-19 vakcīnu iegādei, kas iepriekš pasūtītas, kā arī turpinoties finanšu institūcijas ALTUM programmu īstenošanai ar ietekmi </w:t>
      </w:r>
      <w:r>
        <w:rPr>
          <w:rFonts w:eastAsia="Calibri" w:cs="Times New Roman"/>
          <w:noProof/>
          <w:color w:val="000000"/>
          <w:szCs w:val="24"/>
        </w:rPr>
        <w:t>uz bilanci</w:t>
      </w:r>
      <w:r w:rsidRPr="005E6FD6">
        <w:rPr>
          <w:rFonts w:eastAsia="Calibri" w:cs="Times New Roman"/>
          <w:noProof/>
          <w:color w:val="000000"/>
          <w:szCs w:val="24"/>
        </w:rPr>
        <w:t>, kas izriet no programmu realizācijas rādītājiem.</w:t>
      </w:r>
      <w:r>
        <w:rPr>
          <w:rFonts w:eastAsia="Calibri" w:cs="Times New Roman"/>
          <w:noProof/>
          <w:color w:val="000000"/>
          <w:szCs w:val="24"/>
        </w:rPr>
        <w:t xml:space="preserve"> 2023. gadā Covid-19 atbalsta ietekme uz vispārējās valdības budžeta bilanci tiek vērtēta 133 milj. </w:t>
      </w:r>
      <w:r w:rsidRPr="00817CC4">
        <w:rPr>
          <w:rFonts w:eastAsia="Calibri" w:cs="Times New Roman"/>
          <w:i/>
          <w:iCs/>
          <w:noProof/>
          <w:color w:val="000000"/>
          <w:szCs w:val="24"/>
        </w:rPr>
        <w:t>euro</w:t>
      </w:r>
      <w:r>
        <w:rPr>
          <w:rFonts w:eastAsia="Calibri" w:cs="Times New Roman"/>
          <w:noProof/>
          <w:color w:val="000000"/>
          <w:szCs w:val="24"/>
        </w:rPr>
        <w:t xml:space="preserve"> apmērā jeb 0,3% no IKP.</w:t>
      </w:r>
    </w:p>
    <w:p w14:paraId="241A8FBE" w14:textId="77777777" w:rsidR="0027570C" w:rsidRPr="0089258E" w:rsidRDefault="0027570C" w:rsidP="0027570C">
      <w:pPr>
        <w:ind w:firstLine="709"/>
        <w:rPr>
          <w:rFonts w:eastAsia="Calibri" w:cs="Times New Roman"/>
          <w:noProof/>
          <w:szCs w:val="24"/>
        </w:rPr>
      </w:pPr>
      <w:r w:rsidRPr="0089258E">
        <w:rPr>
          <w:rFonts w:eastAsia="Calibri" w:cs="Times New Roman"/>
          <w:noProof/>
          <w:szCs w:val="24"/>
        </w:rPr>
        <w:t xml:space="preserve">Ieplānotais energoatbalsts bija paredzēts pamatā līdz </w:t>
      </w:r>
      <w:r>
        <w:rPr>
          <w:rFonts w:eastAsia="Calibri" w:cs="Times New Roman"/>
          <w:noProof/>
          <w:szCs w:val="24"/>
        </w:rPr>
        <w:t>2023. </w:t>
      </w:r>
      <w:r w:rsidRPr="0089258E">
        <w:rPr>
          <w:rFonts w:eastAsia="Calibri" w:cs="Times New Roman"/>
          <w:noProof/>
          <w:szCs w:val="24"/>
        </w:rPr>
        <w:t>gada 30. aprīlim, un par atbalsta sniegšanu nākamajā apkures sezonā tiks lemts, par prioritāti virzot mērķētāka atbalsta nodrošināšanu ar Būvniecības valsts kontroles biroja starpniecību.</w:t>
      </w:r>
      <w:r>
        <w:rPr>
          <w:rFonts w:eastAsia="Calibri" w:cs="Times New Roman"/>
          <w:noProof/>
          <w:szCs w:val="24"/>
        </w:rPr>
        <w:t xml:space="preserve"> 2023. gadā sniegtā atbalsta apmērs būs zemāks kā 2022. gadā un zemāks kā sākotnēji plānotais, jo jau 2023. gada sākumā energoresursu cenas stabilizējās.</w:t>
      </w:r>
    </w:p>
    <w:p w14:paraId="2A093036" w14:textId="77777777" w:rsidR="0027570C" w:rsidRPr="0089258E" w:rsidRDefault="0027570C" w:rsidP="0027570C">
      <w:pPr>
        <w:ind w:firstLine="709"/>
        <w:rPr>
          <w:rFonts w:eastAsia="Calibri" w:cs="Times New Roman"/>
          <w:noProof/>
          <w:szCs w:val="24"/>
        </w:rPr>
      </w:pPr>
      <w:r w:rsidRPr="0089258E">
        <w:rPr>
          <w:rFonts w:eastAsia="Calibri" w:cs="Times New Roman"/>
          <w:noProof/>
          <w:szCs w:val="24"/>
        </w:rPr>
        <w:t xml:space="preserve">Ukrainas iedzīvotājiem, kuri ieceļojuši Latvijā, tiek sniegta sociālā palīdzība un nodrošināti sociālie pakalpojumi. Tiek segti ēdināšanas un izmitināšanas izdevumi, pašvaldības izmaksā vienreizēju pabalstu krīzes situācijā, valsts nodrošina vienreizēju pabalstu darba uzsākšanai. Piešķirts finansējums pirmsskolas izglītības pakalpojuma nodrošināšanai bēgļu bērniem, kā arī līdzekļi latviešu valodas kursiem. Tāpat tiek veiktas iemaksas starptautiskajās organizācijās humānās un militārās palīdzības sniegšanai Ukrainai. </w:t>
      </w:r>
    </w:p>
    <w:p w14:paraId="3D8B4655" w14:textId="3C120B6C" w:rsidR="0027570C" w:rsidRPr="004B6F41" w:rsidRDefault="0027570C" w:rsidP="0027570C">
      <w:pPr>
        <w:ind w:firstLine="709"/>
        <w:jc w:val="right"/>
        <w:rPr>
          <w:rFonts w:eastAsia="Calibri" w:cs="Times New Roman"/>
          <w:b/>
          <w:bCs/>
          <w:i/>
          <w:szCs w:val="24"/>
        </w:rPr>
      </w:pPr>
      <w:r w:rsidRPr="004B6F41">
        <w:rPr>
          <w:rFonts w:eastAsia="Times New Roman" w:cs="Times New Roman"/>
          <w:b/>
          <w:i/>
          <w:szCs w:val="24"/>
          <w:lang w:eastAsia="en-US"/>
        </w:rPr>
        <w:t>2.</w:t>
      </w:r>
      <w:r w:rsidR="005273F0">
        <w:rPr>
          <w:rFonts w:eastAsia="Times New Roman" w:cs="Times New Roman"/>
          <w:b/>
          <w:i/>
          <w:szCs w:val="24"/>
          <w:lang w:eastAsia="en-US"/>
        </w:rPr>
        <w:t>11.</w:t>
      </w:r>
      <w:r w:rsidRPr="004B6F41">
        <w:rPr>
          <w:rFonts w:eastAsia="Times New Roman" w:cs="Times New Roman"/>
          <w:b/>
          <w:i/>
          <w:szCs w:val="24"/>
          <w:lang w:eastAsia="en-US"/>
        </w:rPr>
        <w:t> tabula. Atbalsta apmērs un ietekme uz vispārējās valdības budžeta bilanci,</w:t>
      </w:r>
      <w:r>
        <w:rPr>
          <w:rFonts w:eastAsia="Times New Roman" w:cs="Times New Roman"/>
          <w:b/>
          <w:i/>
          <w:szCs w:val="24"/>
          <w:lang w:eastAsia="en-US"/>
        </w:rPr>
        <w:br/>
      </w:r>
      <w:r w:rsidRPr="004B6F41">
        <w:rPr>
          <w:rFonts w:eastAsia="Times New Roman" w:cs="Times New Roman"/>
          <w:b/>
          <w:i/>
          <w:szCs w:val="24"/>
          <w:lang w:eastAsia="en-US"/>
        </w:rPr>
        <w:t>milj.</w:t>
      </w:r>
      <w:r w:rsidRPr="004B6F41">
        <w:rPr>
          <w:rFonts w:eastAsia="Calibri" w:cs="Times New Roman"/>
          <w:b/>
          <w:bCs/>
          <w:i/>
          <w:noProof/>
          <w:szCs w:val="24"/>
        </w:rPr>
        <w:t xml:space="preserve"> euro un</w:t>
      </w:r>
      <w:r w:rsidRPr="004B6F41">
        <w:rPr>
          <w:rFonts w:eastAsia="Calibri" w:cs="Times New Roman"/>
          <w:b/>
          <w:bCs/>
          <w:i/>
          <w:szCs w:val="24"/>
        </w:rPr>
        <w:t xml:space="preserve"> % no IKP</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864"/>
        <w:gridCol w:w="842"/>
        <w:gridCol w:w="898"/>
        <w:gridCol w:w="792"/>
        <w:gridCol w:w="983"/>
        <w:gridCol w:w="1264"/>
        <w:gridCol w:w="1004"/>
        <w:gridCol w:w="814"/>
      </w:tblGrid>
      <w:tr w:rsidR="0027570C" w:rsidRPr="00CE6C36" w14:paraId="7A2C7699" w14:textId="77777777" w:rsidTr="00915CB6">
        <w:trPr>
          <w:trHeight w:val="219"/>
        </w:trPr>
        <w:tc>
          <w:tcPr>
            <w:tcW w:w="1655" w:type="dxa"/>
            <w:vMerge w:val="restart"/>
            <w:shd w:val="clear" w:color="auto" w:fill="BDD6EE" w:themeFill="accent1" w:themeFillTint="66"/>
            <w:noWrap/>
            <w:vAlign w:val="center"/>
            <w:hideMark/>
          </w:tcPr>
          <w:p w14:paraId="231605FE"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 </w:t>
            </w:r>
          </w:p>
        </w:tc>
        <w:tc>
          <w:tcPr>
            <w:tcW w:w="864" w:type="dxa"/>
            <w:shd w:val="clear" w:color="auto" w:fill="BDD6EE" w:themeFill="accent1" w:themeFillTint="66"/>
            <w:noWrap/>
            <w:vAlign w:val="center"/>
            <w:hideMark/>
          </w:tcPr>
          <w:p w14:paraId="1EF0B652"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Fakts</w:t>
            </w:r>
          </w:p>
        </w:tc>
        <w:tc>
          <w:tcPr>
            <w:tcW w:w="842" w:type="dxa"/>
            <w:shd w:val="clear" w:color="auto" w:fill="BDD6EE" w:themeFill="accent1" w:themeFillTint="66"/>
            <w:noWrap/>
            <w:vAlign w:val="center"/>
            <w:hideMark/>
          </w:tcPr>
          <w:p w14:paraId="138F217D"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Plāns</w:t>
            </w:r>
          </w:p>
        </w:tc>
        <w:tc>
          <w:tcPr>
            <w:tcW w:w="897" w:type="dxa"/>
            <w:shd w:val="clear" w:color="auto" w:fill="BDD6EE" w:themeFill="accent1" w:themeFillTint="66"/>
            <w:noWrap/>
            <w:vAlign w:val="center"/>
            <w:hideMark/>
          </w:tcPr>
          <w:p w14:paraId="750466A3"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Izpilde</w:t>
            </w:r>
            <w:r w:rsidRPr="00CE6C36">
              <w:rPr>
                <w:rFonts w:eastAsia="Times New Roman" w:cs="Times New Roman"/>
                <w:sz w:val="18"/>
                <w:szCs w:val="18"/>
              </w:rPr>
              <w:t>*</w:t>
            </w:r>
          </w:p>
        </w:tc>
        <w:tc>
          <w:tcPr>
            <w:tcW w:w="791" w:type="dxa"/>
            <w:shd w:val="clear" w:color="auto" w:fill="BDD6EE" w:themeFill="accent1" w:themeFillTint="66"/>
            <w:noWrap/>
            <w:vAlign w:val="center"/>
            <w:hideMark/>
          </w:tcPr>
          <w:p w14:paraId="44E27E31"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Plāns</w:t>
            </w:r>
          </w:p>
        </w:tc>
        <w:tc>
          <w:tcPr>
            <w:tcW w:w="983" w:type="dxa"/>
            <w:shd w:val="clear" w:color="auto" w:fill="BDD6EE" w:themeFill="accent1" w:themeFillTint="66"/>
            <w:noWrap/>
            <w:vAlign w:val="center"/>
            <w:hideMark/>
          </w:tcPr>
          <w:p w14:paraId="400FE4C2"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Fakts</w:t>
            </w:r>
          </w:p>
        </w:tc>
        <w:tc>
          <w:tcPr>
            <w:tcW w:w="1264" w:type="dxa"/>
            <w:shd w:val="clear" w:color="auto" w:fill="BDD6EE" w:themeFill="accent1" w:themeFillTint="66"/>
            <w:noWrap/>
            <w:vAlign w:val="center"/>
            <w:hideMark/>
          </w:tcPr>
          <w:p w14:paraId="3CC7C0D7"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Novērtējums</w:t>
            </w:r>
          </w:p>
        </w:tc>
        <w:tc>
          <w:tcPr>
            <w:tcW w:w="1003" w:type="dxa"/>
            <w:shd w:val="clear" w:color="auto" w:fill="BDD6EE" w:themeFill="accent1" w:themeFillTint="66"/>
            <w:noWrap/>
            <w:vAlign w:val="center"/>
            <w:hideMark/>
          </w:tcPr>
          <w:p w14:paraId="563DD431"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Izpilde</w:t>
            </w:r>
            <w:r w:rsidRPr="00CE6C36">
              <w:rPr>
                <w:rFonts w:eastAsia="Times New Roman" w:cs="Times New Roman"/>
                <w:sz w:val="18"/>
                <w:szCs w:val="18"/>
              </w:rPr>
              <w:t>*</w:t>
            </w:r>
          </w:p>
        </w:tc>
        <w:tc>
          <w:tcPr>
            <w:tcW w:w="813" w:type="dxa"/>
            <w:shd w:val="clear" w:color="auto" w:fill="BDD6EE" w:themeFill="accent1" w:themeFillTint="66"/>
            <w:noWrap/>
            <w:vAlign w:val="center"/>
            <w:hideMark/>
          </w:tcPr>
          <w:p w14:paraId="1D023EB5"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Plāns</w:t>
            </w:r>
          </w:p>
        </w:tc>
      </w:tr>
      <w:tr w:rsidR="0027570C" w:rsidRPr="00CE6C36" w14:paraId="1E250B97" w14:textId="77777777" w:rsidTr="00915CB6">
        <w:trPr>
          <w:trHeight w:val="219"/>
        </w:trPr>
        <w:tc>
          <w:tcPr>
            <w:tcW w:w="1655" w:type="dxa"/>
            <w:vMerge/>
            <w:shd w:val="clear" w:color="auto" w:fill="BDD6EE" w:themeFill="accent1" w:themeFillTint="66"/>
            <w:vAlign w:val="center"/>
            <w:hideMark/>
          </w:tcPr>
          <w:p w14:paraId="16CECB6A" w14:textId="77777777" w:rsidR="0027570C" w:rsidRPr="00CE6C36" w:rsidRDefault="0027570C" w:rsidP="005F05A2">
            <w:pPr>
              <w:spacing w:after="0"/>
              <w:ind w:firstLine="0"/>
              <w:jc w:val="left"/>
              <w:rPr>
                <w:rFonts w:eastAsia="Times New Roman" w:cs="Times New Roman"/>
                <w:sz w:val="18"/>
                <w:szCs w:val="18"/>
              </w:rPr>
            </w:pPr>
          </w:p>
        </w:tc>
        <w:tc>
          <w:tcPr>
            <w:tcW w:w="864" w:type="dxa"/>
            <w:shd w:val="clear" w:color="auto" w:fill="BDD6EE" w:themeFill="accent1" w:themeFillTint="66"/>
            <w:noWrap/>
            <w:vAlign w:val="center"/>
            <w:hideMark/>
          </w:tcPr>
          <w:p w14:paraId="165E507E"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2022</w:t>
            </w:r>
          </w:p>
        </w:tc>
        <w:tc>
          <w:tcPr>
            <w:tcW w:w="1740" w:type="dxa"/>
            <w:gridSpan w:val="2"/>
            <w:shd w:val="clear" w:color="auto" w:fill="BDD6EE" w:themeFill="accent1" w:themeFillTint="66"/>
            <w:noWrap/>
            <w:vAlign w:val="center"/>
            <w:hideMark/>
          </w:tcPr>
          <w:p w14:paraId="3B42A0FB"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2023</w:t>
            </w:r>
          </w:p>
        </w:tc>
        <w:tc>
          <w:tcPr>
            <w:tcW w:w="791" w:type="dxa"/>
            <w:shd w:val="clear" w:color="auto" w:fill="BDD6EE" w:themeFill="accent1" w:themeFillTint="66"/>
            <w:noWrap/>
            <w:vAlign w:val="center"/>
            <w:hideMark/>
          </w:tcPr>
          <w:p w14:paraId="0626814C" w14:textId="77777777" w:rsidR="0027570C" w:rsidRPr="00CE6C36" w:rsidRDefault="0027570C" w:rsidP="005F05A2">
            <w:pPr>
              <w:spacing w:after="0"/>
              <w:ind w:firstLine="0"/>
              <w:jc w:val="center"/>
              <w:rPr>
                <w:rFonts w:eastAsia="Times New Roman" w:cs="Times New Roman"/>
                <w:b/>
                <w:bCs/>
                <w:sz w:val="18"/>
                <w:szCs w:val="18"/>
              </w:rPr>
            </w:pPr>
            <w:r>
              <w:rPr>
                <w:rFonts w:eastAsia="Times New Roman" w:cs="Times New Roman"/>
                <w:b/>
                <w:bCs/>
                <w:sz w:val="18"/>
                <w:szCs w:val="18"/>
              </w:rPr>
              <w:t>2024</w:t>
            </w:r>
          </w:p>
        </w:tc>
        <w:tc>
          <w:tcPr>
            <w:tcW w:w="983" w:type="dxa"/>
            <w:shd w:val="clear" w:color="auto" w:fill="BDD6EE" w:themeFill="accent1" w:themeFillTint="66"/>
            <w:noWrap/>
            <w:vAlign w:val="center"/>
            <w:hideMark/>
          </w:tcPr>
          <w:p w14:paraId="0E3AF85C"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2022</w:t>
            </w:r>
          </w:p>
        </w:tc>
        <w:tc>
          <w:tcPr>
            <w:tcW w:w="2268" w:type="dxa"/>
            <w:gridSpan w:val="2"/>
            <w:shd w:val="clear" w:color="auto" w:fill="BDD6EE" w:themeFill="accent1" w:themeFillTint="66"/>
            <w:noWrap/>
            <w:vAlign w:val="center"/>
            <w:hideMark/>
          </w:tcPr>
          <w:p w14:paraId="07569A4C"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2023</w:t>
            </w:r>
          </w:p>
        </w:tc>
        <w:tc>
          <w:tcPr>
            <w:tcW w:w="813" w:type="dxa"/>
            <w:shd w:val="clear" w:color="auto" w:fill="BDD6EE" w:themeFill="accent1" w:themeFillTint="66"/>
            <w:noWrap/>
            <w:vAlign w:val="center"/>
            <w:hideMark/>
          </w:tcPr>
          <w:p w14:paraId="206A03EB" w14:textId="77777777" w:rsidR="0027570C" w:rsidRPr="00CE6C36" w:rsidRDefault="0027570C" w:rsidP="005F05A2">
            <w:pPr>
              <w:spacing w:after="0"/>
              <w:ind w:firstLine="0"/>
              <w:jc w:val="center"/>
              <w:rPr>
                <w:rFonts w:eastAsia="Times New Roman" w:cs="Times New Roman"/>
                <w:b/>
                <w:bCs/>
                <w:sz w:val="18"/>
                <w:szCs w:val="18"/>
              </w:rPr>
            </w:pPr>
            <w:r w:rsidRPr="007E00A3">
              <w:rPr>
                <w:rFonts w:eastAsia="Times New Roman" w:cs="Times New Roman"/>
                <w:b/>
                <w:bCs/>
                <w:sz w:val="18"/>
                <w:szCs w:val="18"/>
              </w:rPr>
              <w:t>2024</w:t>
            </w:r>
          </w:p>
        </w:tc>
      </w:tr>
      <w:tr w:rsidR="0027570C" w:rsidRPr="00CE6C36" w14:paraId="7D967DF9" w14:textId="77777777" w:rsidTr="00915CB6">
        <w:trPr>
          <w:trHeight w:val="226"/>
        </w:trPr>
        <w:tc>
          <w:tcPr>
            <w:tcW w:w="1655" w:type="dxa"/>
            <w:vMerge/>
            <w:shd w:val="clear" w:color="auto" w:fill="BDD6EE" w:themeFill="accent1" w:themeFillTint="66"/>
            <w:vAlign w:val="center"/>
            <w:hideMark/>
          </w:tcPr>
          <w:p w14:paraId="0E3A62B2" w14:textId="77777777" w:rsidR="0027570C" w:rsidRPr="00CE6C36" w:rsidRDefault="0027570C" w:rsidP="005F05A2">
            <w:pPr>
              <w:spacing w:after="0"/>
              <w:ind w:firstLine="0"/>
              <w:jc w:val="left"/>
              <w:rPr>
                <w:rFonts w:eastAsia="Times New Roman" w:cs="Times New Roman"/>
                <w:sz w:val="18"/>
                <w:szCs w:val="18"/>
              </w:rPr>
            </w:pPr>
          </w:p>
        </w:tc>
        <w:tc>
          <w:tcPr>
            <w:tcW w:w="3396" w:type="dxa"/>
            <w:gridSpan w:val="4"/>
            <w:shd w:val="clear" w:color="auto" w:fill="BDD6EE" w:themeFill="accent1" w:themeFillTint="66"/>
            <w:noWrap/>
            <w:vAlign w:val="center"/>
            <w:hideMark/>
          </w:tcPr>
          <w:p w14:paraId="70E8FB09" w14:textId="77777777" w:rsidR="0027570C" w:rsidRPr="00CE6C36" w:rsidRDefault="0027570C" w:rsidP="005F05A2">
            <w:pPr>
              <w:spacing w:after="0"/>
              <w:ind w:firstLine="0"/>
              <w:jc w:val="center"/>
              <w:rPr>
                <w:rFonts w:eastAsia="Times New Roman" w:cs="Times New Roman"/>
                <w:i/>
                <w:iCs/>
                <w:sz w:val="18"/>
                <w:szCs w:val="18"/>
              </w:rPr>
            </w:pPr>
            <w:r w:rsidRPr="00CE6C36">
              <w:rPr>
                <w:rFonts w:eastAsia="Times New Roman" w:cs="Times New Roman"/>
                <w:i/>
                <w:iCs/>
                <w:sz w:val="18"/>
                <w:szCs w:val="18"/>
              </w:rPr>
              <w:t>Atbalsta apmērs</w:t>
            </w:r>
          </w:p>
        </w:tc>
        <w:tc>
          <w:tcPr>
            <w:tcW w:w="4065" w:type="dxa"/>
            <w:gridSpan w:val="4"/>
            <w:shd w:val="clear" w:color="auto" w:fill="BDD6EE" w:themeFill="accent1" w:themeFillTint="66"/>
            <w:noWrap/>
            <w:vAlign w:val="center"/>
            <w:hideMark/>
          </w:tcPr>
          <w:p w14:paraId="34F38733" w14:textId="77777777" w:rsidR="0027570C" w:rsidRPr="00CE6C36" w:rsidRDefault="0027570C" w:rsidP="005F05A2">
            <w:pPr>
              <w:spacing w:after="0"/>
              <w:ind w:firstLine="0"/>
              <w:jc w:val="center"/>
              <w:rPr>
                <w:rFonts w:eastAsia="Times New Roman" w:cs="Times New Roman"/>
                <w:i/>
                <w:iCs/>
                <w:sz w:val="18"/>
                <w:szCs w:val="18"/>
              </w:rPr>
            </w:pPr>
            <w:r w:rsidRPr="00CE6C36">
              <w:rPr>
                <w:rFonts w:eastAsia="Times New Roman" w:cs="Times New Roman"/>
                <w:i/>
                <w:iCs/>
                <w:sz w:val="18"/>
                <w:szCs w:val="18"/>
              </w:rPr>
              <w:t>Ietekme uz vispārējās valdības budžeta bilanci</w:t>
            </w:r>
          </w:p>
        </w:tc>
      </w:tr>
      <w:tr w:rsidR="0027570C" w:rsidRPr="00CE6C36" w14:paraId="69489F90" w14:textId="77777777" w:rsidTr="00915CB6">
        <w:trPr>
          <w:trHeight w:val="219"/>
        </w:trPr>
        <w:tc>
          <w:tcPr>
            <w:tcW w:w="1655" w:type="dxa"/>
            <w:shd w:val="clear" w:color="000000" w:fill="FFFFFF"/>
            <w:noWrap/>
            <w:vAlign w:val="center"/>
            <w:hideMark/>
          </w:tcPr>
          <w:p w14:paraId="116BC07B" w14:textId="77777777" w:rsidR="0027570C" w:rsidRPr="00CE6C36" w:rsidRDefault="0027570C" w:rsidP="005F05A2">
            <w:pPr>
              <w:spacing w:after="0"/>
              <w:ind w:firstLine="0"/>
              <w:jc w:val="left"/>
              <w:rPr>
                <w:rFonts w:eastAsia="Times New Roman" w:cs="Times New Roman"/>
                <w:noProof/>
                <w:sz w:val="18"/>
                <w:szCs w:val="18"/>
              </w:rPr>
            </w:pPr>
            <w:r w:rsidRPr="00CE6C36">
              <w:rPr>
                <w:rFonts w:eastAsia="Times New Roman" w:cs="Times New Roman"/>
                <w:noProof/>
                <w:sz w:val="18"/>
                <w:szCs w:val="18"/>
              </w:rPr>
              <w:t>Covid-19 atbalsts</w:t>
            </w:r>
          </w:p>
        </w:tc>
        <w:tc>
          <w:tcPr>
            <w:tcW w:w="864" w:type="dxa"/>
            <w:shd w:val="clear" w:color="000000" w:fill="FFFFFF"/>
            <w:noWrap/>
            <w:vAlign w:val="center"/>
            <w:hideMark/>
          </w:tcPr>
          <w:p w14:paraId="6DC3EE72"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965,9</w:t>
            </w:r>
          </w:p>
        </w:tc>
        <w:tc>
          <w:tcPr>
            <w:tcW w:w="842" w:type="dxa"/>
            <w:shd w:val="clear" w:color="000000" w:fill="FFFFFF"/>
            <w:noWrap/>
            <w:vAlign w:val="center"/>
            <w:hideMark/>
          </w:tcPr>
          <w:p w14:paraId="109F7B5C"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100,8</w:t>
            </w:r>
          </w:p>
        </w:tc>
        <w:tc>
          <w:tcPr>
            <w:tcW w:w="897" w:type="dxa"/>
            <w:shd w:val="clear" w:color="000000" w:fill="FFFFFF"/>
            <w:noWrap/>
            <w:vAlign w:val="center"/>
            <w:hideMark/>
          </w:tcPr>
          <w:p w14:paraId="514C3A48"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39,8</w:t>
            </w:r>
          </w:p>
        </w:tc>
        <w:tc>
          <w:tcPr>
            <w:tcW w:w="791" w:type="dxa"/>
            <w:shd w:val="clear" w:color="000000" w:fill="FFFFFF"/>
            <w:noWrap/>
            <w:vAlign w:val="center"/>
            <w:hideMark/>
          </w:tcPr>
          <w:p w14:paraId="7464CF65"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18,3 </w:t>
            </w:r>
          </w:p>
        </w:tc>
        <w:tc>
          <w:tcPr>
            <w:tcW w:w="983" w:type="dxa"/>
            <w:shd w:val="clear" w:color="000000" w:fill="FFFFFF"/>
            <w:noWrap/>
            <w:vAlign w:val="center"/>
            <w:hideMark/>
          </w:tcPr>
          <w:p w14:paraId="5A753D77"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w:t>
            </w:r>
            <w:r w:rsidRPr="007E00A3">
              <w:rPr>
                <w:rFonts w:eastAsia="Times New Roman" w:cs="Times New Roman"/>
                <w:sz w:val="18"/>
                <w:szCs w:val="18"/>
              </w:rPr>
              <w:t>796,4</w:t>
            </w:r>
          </w:p>
        </w:tc>
        <w:tc>
          <w:tcPr>
            <w:tcW w:w="1264" w:type="dxa"/>
            <w:shd w:val="clear" w:color="000000" w:fill="FFFFFF"/>
            <w:noWrap/>
            <w:vAlign w:val="center"/>
            <w:hideMark/>
          </w:tcPr>
          <w:p w14:paraId="5EC3EE19"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w:t>
            </w:r>
            <w:r w:rsidRPr="007E00A3">
              <w:rPr>
                <w:rFonts w:eastAsia="Times New Roman" w:cs="Times New Roman"/>
                <w:sz w:val="18"/>
                <w:szCs w:val="18"/>
              </w:rPr>
              <w:t>132,7</w:t>
            </w:r>
          </w:p>
        </w:tc>
        <w:tc>
          <w:tcPr>
            <w:tcW w:w="1003" w:type="dxa"/>
            <w:shd w:val="clear" w:color="000000" w:fill="FFFFFF"/>
            <w:noWrap/>
            <w:vAlign w:val="center"/>
            <w:hideMark/>
          </w:tcPr>
          <w:p w14:paraId="1D921631" w14:textId="77777777" w:rsidR="0027570C" w:rsidRPr="00CE6C36" w:rsidRDefault="0027570C" w:rsidP="005F05A2">
            <w:pPr>
              <w:spacing w:after="0"/>
              <w:ind w:firstLine="0"/>
              <w:jc w:val="center"/>
              <w:rPr>
                <w:rFonts w:eastAsia="Times New Roman" w:cs="Times New Roman"/>
                <w:sz w:val="18"/>
                <w:szCs w:val="18"/>
              </w:rPr>
            </w:pPr>
            <w:r w:rsidRPr="007E00A3">
              <w:rPr>
                <w:rFonts w:eastAsia="Times New Roman" w:cs="Times New Roman"/>
                <w:sz w:val="18"/>
                <w:szCs w:val="18"/>
              </w:rPr>
              <w:t>-45,7</w:t>
            </w:r>
            <w:r w:rsidRPr="00CE6C36">
              <w:rPr>
                <w:rFonts w:eastAsia="Times New Roman" w:cs="Times New Roman"/>
                <w:sz w:val="18"/>
                <w:szCs w:val="18"/>
              </w:rPr>
              <w:t> </w:t>
            </w:r>
          </w:p>
        </w:tc>
        <w:tc>
          <w:tcPr>
            <w:tcW w:w="813" w:type="dxa"/>
            <w:shd w:val="clear" w:color="000000" w:fill="FFFFFF"/>
            <w:noWrap/>
            <w:vAlign w:val="center"/>
            <w:hideMark/>
          </w:tcPr>
          <w:p w14:paraId="086A18DE"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w:t>
            </w:r>
            <w:r w:rsidRPr="002D758D">
              <w:rPr>
                <w:rFonts w:eastAsia="Times New Roman" w:cs="Times New Roman"/>
                <w:sz w:val="18"/>
                <w:szCs w:val="18"/>
              </w:rPr>
              <w:t>18,7</w:t>
            </w:r>
          </w:p>
        </w:tc>
      </w:tr>
      <w:tr w:rsidR="0027570C" w:rsidRPr="00CE6C36" w14:paraId="69C914AA" w14:textId="77777777" w:rsidTr="00915CB6">
        <w:trPr>
          <w:trHeight w:val="219"/>
        </w:trPr>
        <w:tc>
          <w:tcPr>
            <w:tcW w:w="1655" w:type="dxa"/>
            <w:shd w:val="clear" w:color="000000" w:fill="FFFFFF"/>
            <w:noWrap/>
            <w:vAlign w:val="center"/>
            <w:hideMark/>
          </w:tcPr>
          <w:p w14:paraId="221E49E1" w14:textId="77777777" w:rsidR="0027570C" w:rsidRPr="00CE6C36" w:rsidRDefault="0027570C" w:rsidP="005F05A2">
            <w:pPr>
              <w:spacing w:after="0"/>
              <w:ind w:firstLine="0"/>
              <w:jc w:val="left"/>
              <w:rPr>
                <w:rFonts w:eastAsia="Times New Roman" w:cs="Times New Roman"/>
                <w:noProof/>
                <w:sz w:val="18"/>
                <w:szCs w:val="18"/>
              </w:rPr>
            </w:pPr>
            <w:r w:rsidRPr="00CE6C36">
              <w:rPr>
                <w:rFonts w:eastAsia="Times New Roman" w:cs="Times New Roman"/>
                <w:noProof/>
                <w:sz w:val="18"/>
                <w:szCs w:val="18"/>
              </w:rPr>
              <w:t>Energoatbalsts</w:t>
            </w:r>
          </w:p>
        </w:tc>
        <w:tc>
          <w:tcPr>
            <w:tcW w:w="864" w:type="dxa"/>
            <w:shd w:val="clear" w:color="000000" w:fill="FFFFFF"/>
            <w:noWrap/>
            <w:vAlign w:val="center"/>
            <w:hideMark/>
          </w:tcPr>
          <w:p w14:paraId="7F050C29"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603,5</w:t>
            </w:r>
          </w:p>
        </w:tc>
        <w:tc>
          <w:tcPr>
            <w:tcW w:w="842" w:type="dxa"/>
            <w:shd w:val="clear" w:color="000000" w:fill="FFFFFF"/>
            <w:noWrap/>
            <w:vAlign w:val="center"/>
            <w:hideMark/>
          </w:tcPr>
          <w:p w14:paraId="7FB06F69"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652,0</w:t>
            </w:r>
          </w:p>
        </w:tc>
        <w:tc>
          <w:tcPr>
            <w:tcW w:w="897" w:type="dxa"/>
            <w:shd w:val="clear" w:color="000000" w:fill="FFFFFF"/>
            <w:noWrap/>
            <w:vAlign w:val="center"/>
            <w:hideMark/>
          </w:tcPr>
          <w:p w14:paraId="2EAF0C5A"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417,3</w:t>
            </w:r>
          </w:p>
        </w:tc>
        <w:tc>
          <w:tcPr>
            <w:tcW w:w="791" w:type="dxa"/>
            <w:shd w:val="clear" w:color="000000" w:fill="FFFFFF"/>
            <w:noWrap/>
            <w:vAlign w:val="center"/>
            <w:hideMark/>
          </w:tcPr>
          <w:p w14:paraId="0C79A041"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50,0 </w:t>
            </w:r>
          </w:p>
        </w:tc>
        <w:tc>
          <w:tcPr>
            <w:tcW w:w="983" w:type="dxa"/>
            <w:shd w:val="clear" w:color="000000" w:fill="FFFFFF"/>
            <w:noWrap/>
            <w:vAlign w:val="center"/>
            <w:hideMark/>
          </w:tcPr>
          <w:p w14:paraId="3105A300"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 </w:t>
            </w:r>
            <w:r w:rsidRPr="007E00A3">
              <w:rPr>
                <w:rFonts w:eastAsia="Times New Roman" w:cs="Times New Roman"/>
                <w:sz w:val="18"/>
                <w:szCs w:val="18"/>
              </w:rPr>
              <w:t>-603,5</w:t>
            </w:r>
          </w:p>
        </w:tc>
        <w:tc>
          <w:tcPr>
            <w:tcW w:w="1264" w:type="dxa"/>
            <w:shd w:val="clear" w:color="000000" w:fill="FFFFFF"/>
            <w:noWrap/>
            <w:vAlign w:val="center"/>
            <w:hideMark/>
          </w:tcPr>
          <w:p w14:paraId="404AF21E"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w:t>
            </w:r>
            <w:r w:rsidRPr="007E00A3">
              <w:rPr>
                <w:rFonts w:eastAsia="Times New Roman" w:cs="Times New Roman"/>
                <w:sz w:val="18"/>
                <w:szCs w:val="18"/>
              </w:rPr>
              <w:t>465,7</w:t>
            </w:r>
          </w:p>
        </w:tc>
        <w:tc>
          <w:tcPr>
            <w:tcW w:w="1003" w:type="dxa"/>
            <w:shd w:val="clear" w:color="000000" w:fill="FFFFFF"/>
            <w:noWrap/>
            <w:vAlign w:val="center"/>
            <w:hideMark/>
          </w:tcPr>
          <w:p w14:paraId="16374ECE" w14:textId="77777777" w:rsidR="0027570C" w:rsidRPr="00CE6C36" w:rsidRDefault="0027570C" w:rsidP="005F05A2">
            <w:pPr>
              <w:spacing w:after="0"/>
              <w:ind w:firstLine="0"/>
              <w:jc w:val="center"/>
              <w:rPr>
                <w:rFonts w:eastAsia="Times New Roman" w:cs="Times New Roman"/>
                <w:sz w:val="18"/>
                <w:szCs w:val="18"/>
              </w:rPr>
            </w:pPr>
            <w:r w:rsidRPr="007E00A3">
              <w:rPr>
                <w:rFonts w:eastAsia="Times New Roman" w:cs="Times New Roman"/>
                <w:sz w:val="18"/>
                <w:szCs w:val="18"/>
              </w:rPr>
              <w:t>-417,3</w:t>
            </w:r>
            <w:r w:rsidRPr="00CE6C36">
              <w:rPr>
                <w:rFonts w:eastAsia="Times New Roman" w:cs="Times New Roman"/>
                <w:sz w:val="18"/>
                <w:szCs w:val="18"/>
              </w:rPr>
              <w:t> </w:t>
            </w:r>
          </w:p>
        </w:tc>
        <w:tc>
          <w:tcPr>
            <w:tcW w:w="813" w:type="dxa"/>
            <w:shd w:val="clear" w:color="000000" w:fill="FFFFFF"/>
            <w:noWrap/>
            <w:vAlign w:val="center"/>
            <w:hideMark/>
          </w:tcPr>
          <w:p w14:paraId="62D6E982" w14:textId="77777777" w:rsidR="0027570C" w:rsidRPr="00CE6C36" w:rsidRDefault="0027570C" w:rsidP="005F05A2">
            <w:pPr>
              <w:spacing w:after="0"/>
              <w:ind w:firstLine="0"/>
              <w:jc w:val="center"/>
              <w:rPr>
                <w:rFonts w:eastAsia="Times New Roman" w:cs="Times New Roman"/>
                <w:sz w:val="18"/>
                <w:szCs w:val="18"/>
              </w:rPr>
            </w:pPr>
            <w:r w:rsidRPr="002D758D">
              <w:rPr>
                <w:rFonts w:eastAsia="Times New Roman" w:cs="Times New Roman"/>
                <w:sz w:val="18"/>
                <w:szCs w:val="18"/>
              </w:rPr>
              <w:t>0,0</w:t>
            </w:r>
          </w:p>
        </w:tc>
      </w:tr>
      <w:tr w:rsidR="0027570C" w:rsidRPr="00CE6C36" w14:paraId="095D435D" w14:textId="77777777" w:rsidTr="00915CB6">
        <w:trPr>
          <w:trHeight w:val="395"/>
        </w:trPr>
        <w:tc>
          <w:tcPr>
            <w:tcW w:w="1655" w:type="dxa"/>
            <w:shd w:val="clear" w:color="000000" w:fill="FFFFFF"/>
            <w:vAlign w:val="center"/>
            <w:hideMark/>
          </w:tcPr>
          <w:p w14:paraId="622AA1EF" w14:textId="77777777" w:rsidR="0027570C" w:rsidRPr="00CE6C36" w:rsidRDefault="0027570C" w:rsidP="005F05A2">
            <w:pPr>
              <w:spacing w:after="0"/>
              <w:ind w:firstLine="0"/>
              <w:jc w:val="left"/>
              <w:rPr>
                <w:rFonts w:eastAsia="Times New Roman" w:cs="Times New Roman"/>
                <w:sz w:val="18"/>
                <w:szCs w:val="18"/>
              </w:rPr>
            </w:pPr>
            <w:r w:rsidRPr="00CE6C36">
              <w:rPr>
                <w:rFonts w:eastAsia="Times New Roman" w:cs="Times New Roman"/>
                <w:sz w:val="18"/>
                <w:szCs w:val="18"/>
              </w:rPr>
              <w:t>Atbalsts Ukrainas civiliedzīvotājiem</w:t>
            </w:r>
          </w:p>
        </w:tc>
        <w:tc>
          <w:tcPr>
            <w:tcW w:w="864" w:type="dxa"/>
            <w:shd w:val="clear" w:color="000000" w:fill="FFFFFF"/>
            <w:noWrap/>
            <w:vAlign w:val="center"/>
            <w:hideMark/>
          </w:tcPr>
          <w:p w14:paraId="18934869"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81,0</w:t>
            </w:r>
          </w:p>
        </w:tc>
        <w:tc>
          <w:tcPr>
            <w:tcW w:w="842" w:type="dxa"/>
            <w:shd w:val="clear" w:color="000000" w:fill="FFFFFF"/>
            <w:noWrap/>
            <w:vAlign w:val="center"/>
            <w:hideMark/>
          </w:tcPr>
          <w:p w14:paraId="654D9DEA"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102,0</w:t>
            </w:r>
          </w:p>
        </w:tc>
        <w:tc>
          <w:tcPr>
            <w:tcW w:w="897" w:type="dxa"/>
            <w:shd w:val="clear" w:color="000000" w:fill="FFFFFF"/>
            <w:noWrap/>
            <w:vAlign w:val="center"/>
            <w:hideMark/>
          </w:tcPr>
          <w:p w14:paraId="6DAFF591"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42,9</w:t>
            </w:r>
          </w:p>
        </w:tc>
        <w:tc>
          <w:tcPr>
            <w:tcW w:w="791" w:type="dxa"/>
            <w:shd w:val="clear" w:color="000000" w:fill="FFFFFF"/>
            <w:noWrap/>
            <w:vAlign w:val="center"/>
            <w:hideMark/>
          </w:tcPr>
          <w:p w14:paraId="126CBA88"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70,0 </w:t>
            </w:r>
          </w:p>
        </w:tc>
        <w:tc>
          <w:tcPr>
            <w:tcW w:w="983" w:type="dxa"/>
            <w:shd w:val="clear" w:color="000000" w:fill="FFFFFF"/>
            <w:noWrap/>
            <w:vAlign w:val="center"/>
            <w:hideMark/>
          </w:tcPr>
          <w:p w14:paraId="703CBACF"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 </w:t>
            </w:r>
            <w:r w:rsidRPr="007E00A3">
              <w:rPr>
                <w:rFonts w:eastAsia="Times New Roman" w:cs="Times New Roman"/>
                <w:sz w:val="18"/>
                <w:szCs w:val="18"/>
              </w:rPr>
              <w:t>-81,0</w:t>
            </w:r>
          </w:p>
        </w:tc>
        <w:tc>
          <w:tcPr>
            <w:tcW w:w="1264" w:type="dxa"/>
            <w:shd w:val="clear" w:color="000000" w:fill="FFFFFF"/>
            <w:noWrap/>
            <w:vAlign w:val="center"/>
            <w:hideMark/>
          </w:tcPr>
          <w:p w14:paraId="64D79B5F"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-72</w:t>
            </w:r>
            <w:r w:rsidRPr="007E00A3">
              <w:rPr>
                <w:rFonts w:eastAsia="Times New Roman" w:cs="Times New Roman"/>
                <w:sz w:val="18"/>
                <w:szCs w:val="18"/>
              </w:rPr>
              <w:t>,0</w:t>
            </w:r>
          </w:p>
        </w:tc>
        <w:tc>
          <w:tcPr>
            <w:tcW w:w="1003" w:type="dxa"/>
            <w:shd w:val="clear" w:color="000000" w:fill="FFFFFF"/>
            <w:noWrap/>
            <w:vAlign w:val="center"/>
            <w:hideMark/>
          </w:tcPr>
          <w:p w14:paraId="3E70753C" w14:textId="77777777" w:rsidR="0027570C" w:rsidRPr="00CE6C36" w:rsidRDefault="0027570C" w:rsidP="005F05A2">
            <w:pPr>
              <w:spacing w:after="0"/>
              <w:ind w:firstLine="0"/>
              <w:jc w:val="center"/>
              <w:rPr>
                <w:rFonts w:eastAsia="Times New Roman" w:cs="Times New Roman"/>
                <w:sz w:val="18"/>
                <w:szCs w:val="18"/>
              </w:rPr>
            </w:pPr>
            <w:r w:rsidRPr="007E00A3">
              <w:rPr>
                <w:rFonts w:eastAsia="Times New Roman" w:cs="Times New Roman"/>
                <w:sz w:val="18"/>
                <w:szCs w:val="18"/>
              </w:rPr>
              <w:t>-42,9</w:t>
            </w:r>
            <w:r w:rsidRPr="00CE6C36">
              <w:rPr>
                <w:rFonts w:eastAsia="Times New Roman" w:cs="Times New Roman"/>
                <w:sz w:val="18"/>
                <w:szCs w:val="18"/>
              </w:rPr>
              <w:t> </w:t>
            </w:r>
          </w:p>
        </w:tc>
        <w:tc>
          <w:tcPr>
            <w:tcW w:w="813" w:type="dxa"/>
            <w:shd w:val="clear" w:color="000000" w:fill="FFFFFF"/>
            <w:noWrap/>
            <w:vAlign w:val="center"/>
            <w:hideMark/>
          </w:tcPr>
          <w:p w14:paraId="7B4E63F2" w14:textId="77777777" w:rsidR="0027570C" w:rsidRPr="00CE6C36" w:rsidRDefault="0027570C" w:rsidP="005F05A2">
            <w:pPr>
              <w:spacing w:after="0"/>
              <w:ind w:firstLine="0"/>
              <w:jc w:val="center"/>
              <w:rPr>
                <w:rFonts w:eastAsia="Times New Roman" w:cs="Times New Roman"/>
                <w:sz w:val="18"/>
                <w:szCs w:val="18"/>
              </w:rPr>
            </w:pPr>
            <w:r w:rsidRPr="00CE6C36">
              <w:rPr>
                <w:rFonts w:eastAsia="Times New Roman" w:cs="Times New Roman"/>
                <w:sz w:val="18"/>
                <w:szCs w:val="18"/>
              </w:rPr>
              <w:t>-</w:t>
            </w:r>
            <w:r w:rsidRPr="002D758D">
              <w:rPr>
                <w:rFonts w:eastAsia="Times New Roman" w:cs="Times New Roman"/>
                <w:sz w:val="18"/>
                <w:szCs w:val="18"/>
              </w:rPr>
              <w:t>70,0</w:t>
            </w:r>
          </w:p>
        </w:tc>
      </w:tr>
      <w:tr w:rsidR="0027570C" w:rsidRPr="00CE6C36" w14:paraId="3ABFCF1C" w14:textId="77777777" w:rsidTr="00915CB6">
        <w:trPr>
          <w:trHeight w:val="219"/>
        </w:trPr>
        <w:tc>
          <w:tcPr>
            <w:tcW w:w="1655" w:type="dxa"/>
            <w:shd w:val="clear" w:color="auto" w:fill="BDD6EE" w:themeFill="accent1" w:themeFillTint="66"/>
            <w:noWrap/>
            <w:vAlign w:val="center"/>
            <w:hideMark/>
          </w:tcPr>
          <w:p w14:paraId="59EDF16B" w14:textId="77777777" w:rsidR="0027570C" w:rsidRPr="00CE6C36" w:rsidRDefault="0027570C" w:rsidP="005F05A2">
            <w:pPr>
              <w:spacing w:after="0"/>
              <w:ind w:firstLine="0"/>
              <w:jc w:val="left"/>
              <w:rPr>
                <w:rFonts w:eastAsia="Times New Roman" w:cs="Times New Roman"/>
                <w:b/>
                <w:bCs/>
                <w:sz w:val="18"/>
                <w:szCs w:val="18"/>
              </w:rPr>
            </w:pPr>
            <w:r w:rsidRPr="00CE6C36">
              <w:rPr>
                <w:rFonts w:eastAsia="Times New Roman" w:cs="Times New Roman"/>
                <w:b/>
                <w:bCs/>
                <w:sz w:val="18"/>
                <w:szCs w:val="18"/>
              </w:rPr>
              <w:t>KOPĀ</w:t>
            </w:r>
          </w:p>
        </w:tc>
        <w:tc>
          <w:tcPr>
            <w:tcW w:w="864" w:type="dxa"/>
            <w:shd w:val="clear" w:color="auto" w:fill="BDD6EE" w:themeFill="accent1" w:themeFillTint="66"/>
            <w:noWrap/>
            <w:vAlign w:val="center"/>
            <w:hideMark/>
          </w:tcPr>
          <w:p w14:paraId="18537D46"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1 650,4</w:t>
            </w:r>
          </w:p>
        </w:tc>
        <w:tc>
          <w:tcPr>
            <w:tcW w:w="842" w:type="dxa"/>
            <w:shd w:val="clear" w:color="auto" w:fill="BDD6EE" w:themeFill="accent1" w:themeFillTint="66"/>
            <w:noWrap/>
            <w:vAlign w:val="center"/>
            <w:hideMark/>
          </w:tcPr>
          <w:p w14:paraId="55F9B361"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854,8</w:t>
            </w:r>
          </w:p>
        </w:tc>
        <w:tc>
          <w:tcPr>
            <w:tcW w:w="897" w:type="dxa"/>
            <w:shd w:val="clear" w:color="auto" w:fill="BDD6EE" w:themeFill="accent1" w:themeFillTint="66"/>
            <w:noWrap/>
            <w:vAlign w:val="center"/>
            <w:hideMark/>
          </w:tcPr>
          <w:p w14:paraId="67637EFB"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500,0 </w:t>
            </w:r>
          </w:p>
        </w:tc>
        <w:tc>
          <w:tcPr>
            <w:tcW w:w="791" w:type="dxa"/>
            <w:shd w:val="clear" w:color="auto" w:fill="BDD6EE" w:themeFill="accent1" w:themeFillTint="66"/>
            <w:noWrap/>
            <w:vAlign w:val="center"/>
            <w:hideMark/>
          </w:tcPr>
          <w:p w14:paraId="6F0B4EDA"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138,3 </w:t>
            </w:r>
          </w:p>
        </w:tc>
        <w:tc>
          <w:tcPr>
            <w:tcW w:w="983" w:type="dxa"/>
            <w:shd w:val="clear" w:color="auto" w:fill="BDD6EE" w:themeFill="accent1" w:themeFillTint="66"/>
            <w:noWrap/>
            <w:vAlign w:val="center"/>
            <w:hideMark/>
          </w:tcPr>
          <w:p w14:paraId="1FDD0213"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w:t>
            </w:r>
            <w:r w:rsidRPr="007E00A3">
              <w:rPr>
                <w:rFonts w:eastAsia="Times New Roman" w:cs="Times New Roman"/>
                <w:b/>
                <w:bCs/>
                <w:sz w:val="18"/>
                <w:szCs w:val="18"/>
              </w:rPr>
              <w:t>1 481,0</w:t>
            </w:r>
          </w:p>
        </w:tc>
        <w:tc>
          <w:tcPr>
            <w:tcW w:w="1264" w:type="dxa"/>
            <w:shd w:val="clear" w:color="auto" w:fill="BDD6EE" w:themeFill="accent1" w:themeFillTint="66"/>
            <w:noWrap/>
            <w:vAlign w:val="center"/>
            <w:hideMark/>
          </w:tcPr>
          <w:p w14:paraId="7CA5568F"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w:t>
            </w:r>
            <w:r w:rsidRPr="007E00A3">
              <w:rPr>
                <w:rFonts w:eastAsia="Times New Roman" w:cs="Times New Roman"/>
                <w:b/>
                <w:bCs/>
                <w:sz w:val="18"/>
                <w:szCs w:val="18"/>
              </w:rPr>
              <w:t>670,4</w:t>
            </w:r>
          </w:p>
        </w:tc>
        <w:tc>
          <w:tcPr>
            <w:tcW w:w="1003" w:type="dxa"/>
            <w:shd w:val="clear" w:color="auto" w:fill="BDD6EE" w:themeFill="accent1" w:themeFillTint="66"/>
            <w:noWrap/>
            <w:vAlign w:val="center"/>
            <w:hideMark/>
          </w:tcPr>
          <w:p w14:paraId="6DF6ACF9"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 </w:t>
            </w:r>
            <w:r w:rsidRPr="007E00A3">
              <w:rPr>
                <w:rFonts w:eastAsia="Times New Roman" w:cs="Times New Roman"/>
                <w:b/>
                <w:bCs/>
                <w:sz w:val="18"/>
                <w:szCs w:val="18"/>
              </w:rPr>
              <w:t>-506,0</w:t>
            </w:r>
          </w:p>
        </w:tc>
        <w:tc>
          <w:tcPr>
            <w:tcW w:w="813" w:type="dxa"/>
            <w:shd w:val="clear" w:color="auto" w:fill="BDD6EE" w:themeFill="accent1" w:themeFillTint="66"/>
            <w:noWrap/>
            <w:vAlign w:val="center"/>
            <w:hideMark/>
          </w:tcPr>
          <w:p w14:paraId="2B56C492"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w:t>
            </w:r>
            <w:r w:rsidRPr="002D758D">
              <w:rPr>
                <w:rFonts w:eastAsia="Times New Roman" w:cs="Times New Roman"/>
                <w:b/>
                <w:bCs/>
                <w:sz w:val="18"/>
                <w:szCs w:val="18"/>
              </w:rPr>
              <w:t>88,7</w:t>
            </w:r>
          </w:p>
        </w:tc>
      </w:tr>
      <w:tr w:rsidR="0027570C" w:rsidRPr="00CE6C36" w14:paraId="2FB81A71" w14:textId="77777777" w:rsidTr="00915CB6">
        <w:trPr>
          <w:trHeight w:val="226"/>
        </w:trPr>
        <w:tc>
          <w:tcPr>
            <w:tcW w:w="1655" w:type="dxa"/>
            <w:shd w:val="clear" w:color="auto" w:fill="BDD6EE" w:themeFill="accent1" w:themeFillTint="66"/>
            <w:noWrap/>
            <w:vAlign w:val="center"/>
            <w:hideMark/>
          </w:tcPr>
          <w:p w14:paraId="6B79363E" w14:textId="77777777" w:rsidR="0027570C" w:rsidRPr="00CE6C36" w:rsidRDefault="0027570C" w:rsidP="005F05A2">
            <w:pPr>
              <w:spacing w:after="0"/>
              <w:ind w:firstLine="0"/>
              <w:jc w:val="left"/>
              <w:rPr>
                <w:rFonts w:eastAsia="Times New Roman" w:cs="Times New Roman"/>
                <w:b/>
                <w:bCs/>
                <w:sz w:val="18"/>
                <w:szCs w:val="18"/>
              </w:rPr>
            </w:pPr>
            <w:r w:rsidRPr="00CE6C36">
              <w:rPr>
                <w:rFonts w:eastAsia="Times New Roman" w:cs="Times New Roman"/>
                <w:b/>
                <w:bCs/>
                <w:sz w:val="18"/>
                <w:szCs w:val="18"/>
              </w:rPr>
              <w:t>% no IKP</w:t>
            </w:r>
          </w:p>
        </w:tc>
        <w:tc>
          <w:tcPr>
            <w:tcW w:w="864" w:type="dxa"/>
            <w:shd w:val="clear" w:color="auto" w:fill="BDD6EE" w:themeFill="accent1" w:themeFillTint="66"/>
            <w:noWrap/>
            <w:vAlign w:val="center"/>
            <w:hideMark/>
          </w:tcPr>
          <w:p w14:paraId="2422D6E5"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4,2%</w:t>
            </w:r>
          </w:p>
        </w:tc>
        <w:tc>
          <w:tcPr>
            <w:tcW w:w="842" w:type="dxa"/>
            <w:shd w:val="clear" w:color="auto" w:fill="BDD6EE" w:themeFill="accent1" w:themeFillTint="66"/>
            <w:noWrap/>
            <w:vAlign w:val="center"/>
            <w:hideMark/>
          </w:tcPr>
          <w:p w14:paraId="679AD818"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2,0%</w:t>
            </w:r>
          </w:p>
        </w:tc>
        <w:tc>
          <w:tcPr>
            <w:tcW w:w="897" w:type="dxa"/>
            <w:shd w:val="clear" w:color="auto" w:fill="BDD6EE" w:themeFill="accent1" w:themeFillTint="66"/>
            <w:noWrap/>
            <w:vAlign w:val="center"/>
            <w:hideMark/>
          </w:tcPr>
          <w:p w14:paraId="3A6106CE"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1,2% </w:t>
            </w:r>
          </w:p>
        </w:tc>
        <w:tc>
          <w:tcPr>
            <w:tcW w:w="791" w:type="dxa"/>
            <w:shd w:val="clear" w:color="auto" w:fill="BDD6EE" w:themeFill="accent1" w:themeFillTint="66"/>
            <w:noWrap/>
            <w:vAlign w:val="center"/>
            <w:hideMark/>
          </w:tcPr>
          <w:p w14:paraId="374EF0DE"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0,3% </w:t>
            </w:r>
          </w:p>
        </w:tc>
        <w:tc>
          <w:tcPr>
            <w:tcW w:w="983" w:type="dxa"/>
            <w:shd w:val="clear" w:color="auto" w:fill="BDD6EE" w:themeFill="accent1" w:themeFillTint="66"/>
            <w:noWrap/>
            <w:vAlign w:val="center"/>
            <w:hideMark/>
          </w:tcPr>
          <w:p w14:paraId="6A7B3AEE"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-3,</w:t>
            </w:r>
            <w:r w:rsidRPr="007E00A3">
              <w:rPr>
                <w:rFonts w:eastAsia="Times New Roman" w:cs="Times New Roman"/>
                <w:b/>
                <w:bCs/>
                <w:sz w:val="18"/>
                <w:szCs w:val="18"/>
              </w:rPr>
              <w:t>8</w:t>
            </w:r>
            <w:r w:rsidRPr="00CE6C36">
              <w:rPr>
                <w:rFonts w:eastAsia="Times New Roman" w:cs="Times New Roman"/>
                <w:b/>
                <w:bCs/>
                <w:sz w:val="18"/>
                <w:szCs w:val="18"/>
              </w:rPr>
              <w:t>%</w:t>
            </w:r>
          </w:p>
        </w:tc>
        <w:tc>
          <w:tcPr>
            <w:tcW w:w="1264" w:type="dxa"/>
            <w:shd w:val="clear" w:color="auto" w:fill="BDD6EE" w:themeFill="accent1" w:themeFillTint="66"/>
            <w:noWrap/>
            <w:vAlign w:val="center"/>
            <w:hideMark/>
          </w:tcPr>
          <w:p w14:paraId="1490A4D7"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-1,</w:t>
            </w:r>
            <w:r w:rsidRPr="007E00A3">
              <w:rPr>
                <w:rFonts w:eastAsia="Times New Roman" w:cs="Times New Roman"/>
                <w:b/>
                <w:bCs/>
                <w:sz w:val="18"/>
                <w:szCs w:val="18"/>
              </w:rPr>
              <w:t>6</w:t>
            </w:r>
            <w:r w:rsidRPr="00CE6C36">
              <w:rPr>
                <w:rFonts w:eastAsia="Times New Roman" w:cs="Times New Roman"/>
                <w:b/>
                <w:bCs/>
                <w:sz w:val="18"/>
                <w:szCs w:val="18"/>
              </w:rPr>
              <w:t>%</w:t>
            </w:r>
          </w:p>
        </w:tc>
        <w:tc>
          <w:tcPr>
            <w:tcW w:w="1003" w:type="dxa"/>
            <w:shd w:val="clear" w:color="auto" w:fill="BDD6EE" w:themeFill="accent1" w:themeFillTint="66"/>
            <w:noWrap/>
            <w:vAlign w:val="center"/>
            <w:hideMark/>
          </w:tcPr>
          <w:p w14:paraId="0C10808F"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 </w:t>
            </w:r>
            <w:r w:rsidRPr="007E00A3">
              <w:rPr>
                <w:rFonts w:eastAsia="Times New Roman" w:cs="Times New Roman"/>
                <w:b/>
                <w:bCs/>
                <w:sz w:val="18"/>
                <w:szCs w:val="18"/>
              </w:rPr>
              <w:t>-1,2%</w:t>
            </w:r>
          </w:p>
        </w:tc>
        <w:tc>
          <w:tcPr>
            <w:tcW w:w="813" w:type="dxa"/>
            <w:shd w:val="clear" w:color="auto" w:fill="BDD6EE" w:themeFill="accent1" w:themeFillTint="66"/>
            <w:noWrap/>
            <w:vAlign w:val="center"/>
            <w:hideMark/>
          </w:tcPr>
          <w:p w14:paraId="7020A71E" w14:textId="77777777" w:rsidR="0027570C" w:rsidRPr="00CE6C36" w:rsidRDefault="0027570C" w:rsidP="005F05A2">
            <w:pPr>
              <w:spacing w:after="0"/>
              <w:ind w:firstLine="0"/>
              <w:jc w:val="center"/>
              <w:rPr>
                <w:rFonts w:eastAsia="Times New Roman" w:cs="Times New Roman"/>
                <w:b/>
                <w:bCs/>
                <w:sz w:val="18"/>
                <w:szCs w:val="18"/>
              </w:rPr>
            </w:pPr>
            <w:r w:rsidRPr="00CE6C36">
              <w:rPr>
                <w:rFonts w:eastAsia="Times New Roman" w:cs="Times New Roman"/>
                <w:b/>
                <w:bCs/>
                <w:sz w:val="18"/>
                <w:szCs w:val="18"/>
              </w:rPr>
              <w:t>-</w:t>
            </w:r>
            <w:r w:rsidRPr="002D758D">
              <w:rPr>
                <w:rFonts w:eastAsia="Times New Roman" w:cs="Times New Roman"/>
                <w:b/>
                <w:bCs/>
                <w:sz w:val="18"/>
                <w:szCs w:val="18"/>
              </w:rPr>
              <w:t>0,2</w:t>
            </w:r>
            <w:r w:rsidRPr="00CE6C36">
              <w:rPr>
                <w:rFonts w:eastAsia="Times New Roman" w:cs="Times New Roman"/>
                <w:b/>
                <w:bCs/>
                <w:sz w:val="18"/>
                <w:szCs w:val="18"/>
              </w:rPr>
              <w:t>%</w:t>
            </w:r>
          </w:p>
        </w:tc>
      </w:tr>
    </w:tbl>
    <w:p w14:paraId="44DB344C" w14:textId="77777777" w:rsidR="0027570C" w:rsidRPr="00817CC4" w:rsidRDefault="0027570C" w:rsidP="0027570C">
      <w:pPr>
        <w:ind w:firstLine="0"/>
        <w:rPr>
          <w:rFonts w:eastAsia="Calibri" w:cs="Times New Roman"/>
          <w:noProof/>
          <w:sz w:val="16"/>
          <w:szCs w:val="16"/>
        </w:rPr>
      </w:pPr>
      <w:r w:rsidRPr="00CE6C36">
        <w:rPr>
          <w:rFonts w:eastAsia="Calibri" w:cs="Times New Roman"/>
          <w:noProof/>
          <w:sz w:val="16"/>
          <w:szCs w:val="16"/>
        </w:rPr>
        <w:t xml:space="preserve">*Izpildes dati </w:t>
      </w:r>
      <w:r w:rsidRPr="00817CC4">
        <w:rPr>
          <w:rFonts w:eastAsia="Calibri" w:cs="Times New Roman"/>
          <w:noProof/>
          <w:sz w:val="16"/>
          <w:szCs w:val="16"/>
        </w:rPr>
        <w:t>līdz 31.08.2023.</w:t>
      </w:r>
    </w:p>
    <w:p w14:paraId="287219E2" w14:textId="77777777" w:rsidR="0027570C" w:rsidRPr="00817CC4" w:rsidRDefault="0027570C" w:rsidP="0027570C">
      <w:pPr>
        <w:ind w:firstLine="709"/>
        <w:rPr>
          <w:highlight w:val="yellow"/>
        </w:rPr>
      </w:pPr>
      <w:r w:rsidRPr="00817CC4">
        <w:rPr>
          <w:rFonts w:eastAsia="Calibri" w:cs="Times New Roman"/>
          <w:noProof/>
          <w:szCs w:val="24"/>
        </w:rPr>
        <w:t xml:space="preserve">2024. gadam budžetā iezīmēti 50 milj. </w:t>
      </w:r>
      <w:r w:rsidRPr="00817CC4">
        <w:rPr>
          <w:rFonts w:eastAsia="Calibri" w:cs="Times New Roman"/>
          <w:i/>
          <w:iCs/>
          <w:noProof/>
          <w:szCs w:val="24"/>
        </w:rPr>
        <w:t>euro</w:t>
      </w:r>
      <w:r w:rsidRPr="00817CC4">
        <w:rPr>
          <w:rFonts w:eastAsia="Calibri" w:cs="Times New Roman"/>
          <w:noProof/>
          <w:szCs w:val="24"/>
        </w:rPr>
        <w:t xml:space="preserve"> atbalstam elektroenerģijas tarifu pieauguma kompensēšanai, tomēr specifiski atbalsta pasākumi tiek izstrādāti. Tāpat, ņemot vērā karadarības turpināšanos Ukrainā un joprojām daudzu cilvēku došanos bēgļu gaitās, arī 2024.</w:t>
      </w:r>
      <w:r>
        <w:rPr>
          <w:rFonts w:eastAsia="Calibri" w:cs="Times New Roman"/>
          <w:noProof/>
          <w:szCs w:val="24"/>
        </w:rPr>
        <w:t> </w:t>
      </w:r>
      <w:r w:rsidRPr="00817CC4">
        <w:rPr>
          <w:rFonts w:eastAsia="Calibri" w:cs="Times New Roman"/>
          <w:noProof/>
          <w:szCs w:val="24"/>
        </w:rPr>
        <w:t xml:space="preserve">gada budžetā tiek plānots finansējums Ukrainas civiliedzīvotāju atbalstam – 70 milj. </w:t>
      </w:r>
      <w:r w:rsidRPr="00817CC4">
        <w:rPr>
          <w:rFonts w:eastAsia="Calibri" w:cs="Times New Roman"/>
          <w:i/>
          <w:iCs/>
          <w:noProof/>
          <w:szCs w:val="24"/>
        </w:rPr>
        <w:t>euro</w:t>
      </w:r>
      <w:r w:rsidRPr="00817CC4">
        <w:rPr>
          <w:rFonts w:eastAsia="Calibri" w:cs="Times New Roman"/>
          <w:noProof/>
          <w:szCs w:val="24"/>
        </w:rPr>
        <w:t>.</w:t>
      </w:r>
    </w:p>
    <w:p w14:paraId="406C13F2" w14:textId="6843481F" w:rsidR="003F3FCD" w:rsidRPr="0027570C" w:rsidRDefault="005D361F" w:rsidP="00DB14A4">
      <w:pPr>
        <w:pStyle w:val="H3"/>
      </w:pPr>
      <w:r w:rsidRPr="0027570C">
        <w:t>2.2.4.</w:t>
      </w:r>
      <w:r w:rsidR="006C030A" w:rsidRPr="0027570C">
        <w:t xml:space="preserve"> </w:t>
      </w:r>
      <w:r w:rsidR="000548A5" w:rsidRPr="0027570C">
        <w:t xml:space="preserve">Budžeta prognožu salīdzinājums ar aktuālajām </w:t>
      </w:r>
      <w:r w:rsidR="00531C50" w:rsidRPr="0027570C">
        <w:t>EK</w:t>
      </w:r>
      <w:r w:rsidR="000548A5" w:rsidRPr="0027570C">
        <w:t xml:space="preserve"> prognozēm</w:t>
      </w:r>
      <w:bookmarkEnd w:id="70"/>
    </w:p>
    <w:p w14:paraId="1FE38725" w14:textId="77777777" w:rsidR="0027570C" w:rsidRPr="00C50141" w:rsidRDefault="0027570C" w:rsidP="0027570C">
      <w:pPr>
        <w:rPr>
          <w:rFonts w:eastAsia="Calibri" w:cs="Times New Roman"/>
          <w:bCs/>
          <w:szCs w:val="28"/>
          <w:lang w:eastAsia="en-US"/>
        </w:rPr>
      </w:pPr>
      <w:bookmarkStart w:id="71" w:name="_Toc126236654"/>
      <w:r w:rsidRPr="00C50141">
        <w:rPr>
          <w:rFonts w:eastAsia="Calibri" w:cs="Times New Roman"/>
          <w:bCs/>
          <w:szCs w:val="28"/>
          <w:lang w:eastAsia="en-US"/>
        </w:rPr>
        <w:t>Salīdzinot FM sagatavotās vispārējās valdības budžeta prognozes ar aktuālajām EK prognozēm, ir būtiski ņemt vērā to izstrādes laiku. Paskaidrojumu sagatavošanas brīdī ir pieejamas EK fiskālās prognozes, kas tika publicētas 2023.</w:t>
      </w:r>
      <w:r>
        <w:rPr>
          <w:rFonts w:eastAsia="Calibri" w:cs="Times New Roman"/>
          <w:bCs/>
          <w:szCs w:val="28"/>
          <w:lang w:eastAsia="en-US"/>
        </w:rPr>
        <w:t> </w:t>
      </w:r>
      <w:r w:rsidRPr="00C50141">
        <w:rPr>
          <w:rFonts w:eastAsia="Calibri" w:cs="Times New Roman"/>
          <w:bCs/>
          <w:szCs w:val="28"/>
          <w:lang w:eastAsia="en-US"/>
        </w:rPr>
        <w:t>gada pavasarī. FM gadījumā 2023.</w:t>
      </w:r>
      <w:r>
        <w:rPr>
          <w:rFonts w:eastAsia="Calibri" w:cs="Times New Roman"/>
          <w:bCs/>
          <w:szCs w:val="28"/>
          <w:lang w:eastAsia="en-US"/>
        </w:rPr>
        <w:t> </w:t>
      </w:r>
      <w:r w:rsidRPr="00C50141">
        <w:rPr>
          <w:rFonts w:eastAsia="Calibri" w:cs="Times New Roman"/>
          <w:bCs/>
          <w:szCs w:val="28"/>
          <w:lang w:eastAsia="en-US"/>
        </w:rPr>
        <w:t>gada budžeta deficīta novērtējumā tika ņemta vērā aktuālākā</w:t>
      </w:r>
      <w:r>
        <w:rPr>
          <w:rFonts w:eastAsia="Calibri" w:cs="Times New Roman"/>
          <w:bCs/>
          <w:szCs w:val="28"/>
          <w:lang w:eastAsia="en-US"/>
        </w:rPr>
        <w:t xml:space="preserve"> nominālā</w:t>
      </w:r>
      <w:r w:rsidRPr="00C50141">
        <w:rPr>
          <w:rFonts w:eastAsia="Calibri" w:cs="Times New Roman"/>
          <w:bCs/>
          <w:szCs w:val="28"/>
          <w:lang w:eastAsia="en-US"/>
        </w:rPr>
        <w:t xml:space="preserve"> IKP prognoze,</w:t>
      </w:r>
      <w:r>
        <w:rPr>
          <w:rFonts w:eastAsia="Calibri" w:cs="Times New Roman"/>
          <w:bCs/>
          <w:szCs w:val="28"/>
          <w:lang w:eastAsia="en-US"/>
        </w:rPr>
        <w:t xml:space="preserve"> balstoties uz </w:t>
      </w:r>
      <w:r w:rsidRPr="00C50141">
        <w:rPr>
          <w:rFonts w:eastAsia="Calibri" w:cs="Times New Roman"/>
          <w:bCs/>
          <w:szCs w:val="28"/>
          <w:lang w:eastAsia="en-US"/>
        </w:rPr>
        <w:t>septembrī</w:t>
      </w:r>
      <w:r>
        <w:rPr>
          <w:rFonts w:eastAsia="Calibri" w:cs="Times New Roman"/>
          <w:bCs/>
          <w:szCs w:val="28"/>
          <w:lang w:eastAsia="en-US"/>
        </w:rPr>
        <w:t xml:space="preserve"> revidētajiem IKP datiem. </w:t>
      </w:r>
      <w:r w:rsidRPr="00C50141">
        <w:rPr>
          <w:rFonts w:eastAsia="Calibri" w:cs="Times New Roman"/>
          <w:bCs/>
          <w:szCs w:val="28"/>
          <w:lang w:eastAsia="en-US"/>
        </w:rPr>
        <w:t>Savukārt</w:t>
      </w:r>
      <w:r>
        <w:rPr>
          <w:rFonts w:eastAsia="Calibri" w:cs="Times New Roman"/>
          <w:bCs/>
          <w:szCs w:val="28"/>
          <w:lang w:eastAsia="en-US"/>
        </w:rPr>
        <w:t>,</w:t>
      </w:r>
      <w:r w:rsidRPr="00C50141">
        <w:rPr>
          <w:rFonts w:eastAsia="Calibri" w:cs="Times New Roman"/>
          <w:bCs/>
          <w:szCs w:val="28"/>
          <w:lang w:eastAsia="en-US"/>
        </w:rPr>
        <w:t xml:space="preserve"> gatavojot budžetu 2024.</w:t>
      </w:r>
      <w:r>
        <w:rPr>
          <w:rFonts w:eastAsia="Calibri" w:cs="Times New Roman"/>
          <w:bCs/>
          <w:szCs w:val="28"/>
          <w:lang w:eastAsia="en-US"/>
        </w:rPr>
        <w:t> </w:t>
      </w:r>
      <w:r w:rsidRPr="00C50141">
        <w:rPr>
          <w:rFonts w:eastAsia="Calibri" w:cs="Times New Roman"/>
          <w:bCs/>
          <w:szCs w:val="28"/>
          <w:lang w:eastAsia="en-US"/>
        </w:rPr>
        <w:t>gadam, ieņēmumu un izdevumu prognozes ir aktualizētas, ņemot vērā valdības pieņemtos lēmumus par prioritāro pasākumu finansēšanu, kā arī informāciju par valdības apstiprinātajiem atbalsta pasākumiem līdz 2023. gada 26. septembrim.</w:t>
      </w:r>
    </w:p>
    <w:p w14:paraId="76C452E8" w14:textId="7591CEB1" w:rsidR="0027570C" w:rsidRPr="00ED5CA8" w:rsidRDefault="0027570C" w:rsidP="0027570C">
      <w:pPr>
        <w:keepNext/>
        <w:spacing w:before="120"/>
        <w:ind w:firstLine="357"/>
        <w:jc w:val="right"/>
        <w:rPr>
          <w:rFonts w:eastAsia="Times New Roman" w:cs="Times New Roman"/>
          <w:i/>
          <w:szCs w:val="24"/>
          <w:lang w:eastAsia="en-US"/>
        </w:rPr>
      </w:pPr>
      <w:r w:rsidRPr="00ED5CA8">
        <w:rPr>
          <w:rFonts w:eastAsia="Times New Roman" w:cs="Times New Roman"/>
          <w:b/>
          <w:i/>
          <w:szCs w:val="24"/>
          <w:lang w:eastAsia="en-US"/>
        </w:rPr>
        <w:lastRenderedPageBreak/>
        <w:t>2.1</w:t>
      </w:r>
      <w:r w:rsidR="005273F0">
        <w:rPr>
          <w:rFonts w:eastAsia="Times New Roman" w:cs="Times New Roman"/>
          <w:b/>
          <w:i/>
          <w:szCs w:val="24"/>
          <w:lang w:eastAsia="en-US"/>
        </w:rPr>
        <w:t>2</w:t>
      </w:r>
      <w:r w:rsidRPr="00ED5CA8">
        <w:rPr>
          <w:rFonts w:eastAsia="Times New Roman" w:cs="Times New Roman"/>
          <w:b/>
          <w:i/>
          <w:szCs w:val="24"/>
          <w:lang w:eastAsia="en-US"/>
        </w:rPr>
        <w:t>. tabula FM budžeta prognozes salīdzinājums ar EK prognozi, % no IKP</w:t>
      </w:r>
    </w:p>
    <w:tbl>
      <w:tblPr>
        <w:tblW w:w="8940" w:type="dxa"/>
        <w:jc w:val="center"/>
        <w:tblLook w:val="04A0" w:firstRow="1" w:lastRow="0" w:firstColumn="1" w:lastColumn="0" w:noHBand="0" w:noVBand="1"/>
      </w:tblPr>
      <w:tblGrid>
        <w:gridCol w:w="3397"/>
        <w:gridCol w:w="936"/>
        <w:gridCol w:w="936"/>
        <w:gridCol w:w="936"/>
        <w:gridCol w:w="948"/>
        <w:gridCol w:w="936"/>
        <w:gridCol w:w="936"/>
      </w:tblGrid>
      <w:tr w:rsidR="0027570C" w:rsidRPr="00F061D0" w14:paraId="56A4B48F" w14:textId="77777777" w:rsidTr="005F05A2">
        <w:trPr>
          <w:trHeight w:val="246"/>
          <w:tblHeader/>
          <w:jc w:val="center"/>
        </w:trPr>
        <w:tc>
          <w:tcPr>
            <w:tcW w:w="3397"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14:paraId="64AD7E86" w14:textId="77777777" w:rsidR="0027570C" w:rsidRPr="00F061D0" w:rsidRDefault="0027570C" w:rsidP="005F05A2">
            <w:pPr>
              <w:spacing w:after="0"/>
              <w:ind w:firstLine="360"/>
              <w:jc w:val="center"/>
              <w:rPr>
                <w:rFonts w:eastAsia="Times New Roman" w:cs="Times New Roman"/>
                <w:color w:val="FF0000"/>
                <w:sz w:val="18"/>
                <w:szCs w:val="18"/>
              </w:rPr>
            </w:pPr>
          </w:p>
        </w:tc>
        <w:tc>
          <w:tcPr>
            <w:tcW w:w="1787" w:type="dxa"/>
            <w:gridSpan w:val="2"/>
            <w:tcBorders>
              <w:top w:val="single" w:sz="4" w:space="0" w:color="auto"/>
              <w:left w:val="single" w:sz="4" w:space="0" w:color="auto"/>
              <w:bottom w:val="single" w:sz="4" w:space="0" w:color="auto"/>
              <w:right w:val="double" w:sz="4" w:space="0" w:color="auto"/>
            </w:tcBorders>
            <w:shd w:val="clear" w:color="auto" w:fill="BDD6EE" w:themeFill="accent1" w:themeFillTint="66"/>
            <w:noWrap/>
            <w:vAlign w:val="center"/>
            <w:hideMark/>
          </w:tcPr>
          <w:p w14:paraId="6EDBB86A" w14:textId="77777777" w:rsidR="0027570C" w:rsidRPr="00ED5CA8" w:rsidRDefault="0027570C" w:rsidP="005F05A2">
            <w:pPr>
              <w:spacing w:after="0"/>
              <w:ind w:firstLine="0"/>
              <w:jc w:val="center"/>
              <w:rPr>
                <w:rFonts w:eastAsia="Times New Roman" w:cs="Times New Roman"/>
                <w:b/>
                <w:bCs/>
                <w:sz w:val="18"/>
                <w:szCs w:val="18"/>
              </w:rPr>
            </w:pPr>
            <w:r w:rsidRPr="00ED5CA8">
              <w:rPr>
                <w:rFonts w:eastAsia="Times New Roman" w:cs="Times New Roman"/>
                <w:b/>
                <w:bCs/>
                <w:sz w:val="18"/>
                <w:szCs w:val="18"/>
              </w:rPr>
              <w:t>LV</w:t>
            </w:r>
          </w:p>
        </w:tc>
        <w:tc>
          <w:tcPr>
            <w:tcW w:w="1884" w:type="dxa"/>
            <w:gridSpan w:val="2"/>
            <w:tcBorders>
              <w:top w:val="single" w:sz="4" w:space="0" w:color="auto"/>
              <w:left w:val="double" w:sz="4" w:space="0" w:color="auto"/>
              <w:bottom w:val="single" w:sz="4" w:space="0" w:color="auto"/>
              <w:right w:val="double" w:sz="4" w:space="0" w:color="auto"/>
            </w:tcBorders>
            <w:shd w:val="clear" w:color="auto" w:fill="BDD6EE" w:themeFill="accent1" w:themeFillTint="66"/>
            <w:vAlign w:val="center"/>
          </w:tcPr>
          <w:p w14:paraId="7E3E9D43" w14:textId="77777777" w:rsidR="0027570C" w:rsidRPr="00ED5CA8" w:rsidRDefault="0027570C" w:rsidP="005F05A2">
            <w:pPr>
              <w:spacing w:after="0"/>
              <w:ind w:firstLine="0"/>
              <w:jc w:val="center"/>
              <w:rPr>
                <w:rFonts w:eastAsia="Times New Roman" w:cs="Times New Roman"/>
                <w:b/>
                <w:bCs/>
                <w:sz w:val="18"/>
                <w:szCs w:val="18"/>
              </w:rPr>
            </w:pPr>
            <w:r w:rsidRPr="00ED5CA8">
              <w:rPr>
                <w:rFonts w:eastAsia="Times New Roman" w:cs="Times New Roman"/>
                <w:b/>
                <w:bCs/>
                <w:sz w:val="18"/>
                <w:szCs w:val="18"/>
              </w:rPr>
              <w:t>EK</w:t>
            </w:r>
            <w:r w:rsidRPr="00ED5CA8">
              <w:rPr>
                <w:rFonts w:eastAsia="Times New Roman" w:cs="Times New Roman"/>
                <w:b/>
                <w:bCs/>
                <w:sz w:val="18"/>
                <w:szCs w:val="18"/>
              </w:rPr>
              <w:br/>
            </w:r>
            <w:r w:rsidRPr="00ED5CA8">
              <w:rPr>
                <w:rFonts w:eastAsia="Times New Roman" w:cs="Times New Roman"/>
                <w:bCs/>
                <w:sz w:val="18"/>
                <w:szCs w:val="18"/>
              </w:rPr>
              <w:t>(</w:t>
            </w:r>
            <w:r>
              <w:rPr>
                <w:rFonts w:eastAsia="Times New Roman" w:cs="Times New Roman"/>
                <w:bCs/>
                <w:sz w:val="18"/>
                <w:szCs w:val="18"/>
              </w:rPr>
              <w:t>pavasaris</w:t>
            </w:r>
            <w:r w:rsidRPr="00ED5CA8">
              <w:rPr>
                <w:rFonts w:eastAsia="Times New Roman" w:cs="Times New Roman"/>
                <w:bCs/>
                <w:sz w:val="18"/>
                <w:szCs w:val="18"/>
              </w:rPr>
              <w:t xml:space="preserve"> 202</w:t>
            </w:r>
            <w:r>
              <w:rPr>
                <w:rFonts w:eastAsia="Times New Roman" w:cs="Times New Roman"/>
                <w:bCs/>
                <w:sz w:val="18"/>
                <w:szCs w:val="18"/>
              </w:rPr>
              <w:t>3</w:t>
            </w:r>
            <w:r w:rsidRPr="00ED5CA8">
              <w:rPr>
                <w:rFonts w:eastAsia="Times New Roman" w:cs="Times New Roman"/>
                <w:bCs/>
                <w:sz w:val="18"/>
                <w:szCs w:val="18"/>
              </w:rPr>
              <w:t>)</w:t>
            </w:r>
            <w:r w:rsidRPr="00ED5CA8">
              <w:rPr>
                <w:rFonts w:eastAsia="Times New Roman" w:cs="Times New Roman"/>
                <w:bCs/>
                <w:sz w:val="18"/>
                <w:szCs w:val="18"/>
                <w:vertAlign w:val="superscript"/>
              </w:rPr>
              <w:footnoteReference w:id="22"/>
            </w:r>
          </w:p>
        </w:tc>
        <w:tc>
          <w:tcPr>
            <w:tcW w:w="1872" w:type="dxa"/>
            <w:gridSpan w:val="2"/>
            <w:tcBorders>
              <w:top w:val="single" w:sz="4" w:space="0" w:color="auto"/>
              <w:left w:val="double" w:sz="4" w:space="0" w:color="auto"/>
              <w:bottom w:val="single" w:sz="4" w:space="0" w:color="auto"/>
              <w:right w:val="single" w:sz="4" w:space="0" w:color="auto"/>
            </w:tcBorders>
            <w:shd w:val="clear" w:color="auto" w:fill="BDD6EE" w:themeFill="accent1" w:themeFillTint="66"/>
            <w:vAlign w:val="center"/>
          </w:tcPr>
          <w:p w14:paraId="4323FCC4" w14:textId="77777777" w:rsidR="0027570C" w:rsidRPr="00ED5CA8" w:rsidRDefault="0027570C" w:rsidP="005F05A2">
            <w:pPr>
              <w:spacing w:after="0"/>
              <w:ind w:firstLine="0"/>
              <w:jc w:val="center"/>
              <w:rPr>
                <w:rFonts w:eastAsia="Times New Roman" w:cs="Times New Roman"/>
                <w:b/>
                <w:bCs/>
                <w:sz w:val="18"/>
                <w:szCs w:val="18"/>
              </w:rPr>
            </w:pPr>
            <w:r w:rsidRPr="00ED5CA8">
              <w:rPr>
                <w:rFonts w:eastAsia="Times New Roman" w:cs="Times New Roman"/>
                <w:b/>
                <w:bCs/>
                <w:sz w:val="18"/>
                <w:szCs w:val="18"/>
              </w:rPr>
              <w:t>Starpība</w:t>
            </w:r>
            <w:r w:rsidRPr="00ED5CA8">
              <w:rPr>
                <w:rFonts w:eastAsia="Times New Roman" w:cs="Times New Roman"/>
                <w:b/>
                <w:bCs/>
                <w:sz w:val="18"/>
                <w:szCs w:val="18"/>
              </w:rPr>
              <w:br/>
            </w:r>
            <w:r w:rsidRPr="00ED5CA8">
              <w:rPr>
                <w:rFonts w:eastAsia="Times New Roman" w:cs="Times New Roman"/>
                <w:bCs/>
                <w:sz w:val="18"/>
                <w:szCs w:val="18"/>
              </w:rPr>
              <w:t>(procentpunktos)</w:t>
            </w:r>
          </w:p>
        </w:tc>
      </w:tr>
      <w:tr w:rsidR="0027570C" w:rsidRPr="00F061D0" w14:paraId="57E97CD2" w14:textId="77777777" w:rsidTr="005F05A2">
        <w:trPr>
          <w:trHeight w:val="246"/>
          <w:tblHeader/>
          <w:jc w:val="center"/>
        </w:trPr>
        <w:tc>
          <w:tcPr>
            <w:tcW w:w="3397"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tcPr>
          <w:p w14:paraId="07AFA520" w14:textId="77777777" w:rsidR="0027570C" w:rsidRPr="00F061D0" w:rsidRDefault="0027570C" w:rsidP="005F05A2">
            <w:pPr>
              <w:spacing w:after="0"/>
              <w:ind w:firstLine="360"/>
              <w:jc w:val="left"/>
              <w:rPr>
                <w:rFonts w:eastAsia="Times New Roman" w:cs="Times New Roman"/>
                <w:color w:val="FF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785E6190" w14:textId="77777777" w:rsidR="0027570C" w:rsidRPr="00ED5CA8" w:rsidRDefault="0027570C" w:rsidP="005F05A2">
            <w:pPr>
              <w:spacing w:after="0"/>
              <w:ind w:firstLine="360"/>
              <w:jc w:val="center"/>
              <w:rPr>
                <w:rFonts w:eastAsia="Times New Roman" w:cs="Times New Roman"/>
                <w:b/>
                <w:bCs/>
                <w:sz w:val="18"/>
                <w:szCs w:val="18"/>
              </w:rPr>
            </w:pPr>
            <w:r w:rsidRPr="00ED5CA8">
              <w:rPr>
                <w:rFonts w:eastAsia="Times New Roman" w:cs="Times New Roman"/>
                <w:b/>
                <w:bCs/>
                <w:sz w:val="18"/>
                <w:szCs w:val="18"/>
              </w:rPr>
              <w:t>2023</w:t>
            </w:r>
          </w:p>
        </w:tc>
        <w:tc>
          <w:tcPr>
            <w:tcW w:w="936" w:type="dxa"/>
            <w:tcBorders>
              <w:top w:val="single" w:sz="4" w:space="0" w:color="auto"/>
              <w:left w:val="nil"/>
              <w:bottom w:val="single" w:sz="4" w:space="0" w:color="auto"/>
              <w:right w:val="double" w:sz="4" w:space="0" w:color="auto"/>
            </w:tcBorders>
            <w:shd w:val="clear" w:color="auto" w:fill="BDD6EE" w:themeFill="accent1" w:themeFillTint="66"/>
            <w:vAlign w:val="center"/>
          </w:tcPr>
          <w:p w14:paraId="57D1C035" w14:textId="77777777" w:rsidR="0027570C" w:rsidRPr="00ED5CA8" w:rsidRDefault="0027570C" w:rsidP="005F05A2">
            <w:pPr>
              <w:spacing w:after="0"/>
              <w:ind w:firstLine="360"/>
              <w:jc w:val="center"/>
              <w:rPr>
                <w:rFonts w:eastAsia="Times New Roman" w:cs="Times New Roman"/>
                <w:b/>
                <w:bCs/>
                <w:sz w:val="18"/>
                <w:szCs w:val="18"/>
              </w:rPr>
            </w:pPr>
            <w:r w:rsidRPr="00ED5CA8">
              <w:rPr>
                <w:rFonts w:eastAsia="Times New Roman" w:cs="Times New Roman"/>
                <w:b/>
                <w:bCs/>
                <w:sz w:val="18"/>
                <w:szCs w:val="18"/>
              </w:rPr>
              <w:t>2024</w:t>
            </w:r>
          </w:p>
        </w:tc>
        <w:tc>
          <w:tcPr>
            <w:tcW w:w="936" w:type="dxa"/>
            <w:tcBorders>
              <w:top w:val="single" w:sz="4" w:space="0" w:color="auto"/>
              <w:left w:val="double" w:sz="4" w:space="0" w:color="auto"/>
              <w:bottom w:val="single" w:sz="4" w:space="0" w:color="auto"/>
              <w:right w:val="single" w:sz="4" w:space="0" w:color="auto"/>
            </w:tcBorders>
            <w:shd w:val="clear" w:color="auto" w:fill="BDD6EE" w:themeFill="accent1" w:themeFillTint="66"/>
            <w:vAlign w:val="center"/>
          </w:tcPr>
          <w:p w14:paraId="24C78480" w14:textId="77777777" w:rsidR="0027570C" w:rsidRPr="00ED5CA8" w:rsidRDefault="0027570C" w:rsidP="005F05A2">
            <w:pPr>
              <w:spacing w:after="0"/>
              <w:ind w:firstLine="360"/>
              <w:jc w:val="center"/>
              <w:rPr>
                <w:rFonts w:eastAsia="Times New Roman" w:cs="Times New Roman"/>
                <w:b/>
                <w:bCs/>
                <w:sz w:val="18"/>
                <w:szCs w:val="18"/>
              </w:rPr>
            </w:pPr>
            <w:r w:rsidRPr="00ED5CA8">
              <w:rPr>
                <w:rFonts w:eastAsia="Times New Roman" w:cs="Times New Roman"/>
                <w:b/>
                <w:bCs/>
                <w:sz w:val="18"/>
                <w:szCs w:val="18"/>
              </w:rPr>
              <w:t>2023</w:t>
            </w:r>
          </w:p>
        </w:tc>
        <w:tc>
          <w:tcPr>
            <w:tcW w:w="948" w:type="dxa"/>
            <w:tcBorders>
              <w:top w:val="single" w:sz="4" w:space="0" w:color="auto"/>
              <w:left w:val="single" w:sz="4" w:space="0" w:color="auto"/>
              <w:bottom w:val="single" w:sz="4" w:space="0" w:color="auto"/>
              <w:right w:val="double" w:sz="4" w:space="0" w:color="auto"/>
            </w:tcBorders>
            <w:shd w:val="clear" w:color="auto" w:fill="BDD6EE" w:themeFill="accent1" w:themeFillTint="66"/>
            <w:noWrap/>
            <w:vAlign w:val="center"/>
          </w:tcPr>
          <w:p w14:paraId="1532F4C6" w14:textId="77777777" w:rsidR="0027570C" w:rsidRPr="00ED5CA8" w:rsidRDefault="0027570C" w:rsidP="005F05A2">
            <w:pPr>
              <w:spacing w:after="0"/>
              <w:ind w:firstLine="360"/>
              <w:jc w:val="center"/>
              <w:rPr>
                <w:rFonts w:eastAsia="Times New Roman" w:cs="Times New Roman"/>
                <w:b/>
                <w:bCs/>
                <w:sz w:val="18"/>
                <w:szCs w:val="18"/>
              </w:rPr>
            </w:pPr>
            <w:r w:rsidRPr="00ED5CA8">
              <w:rPr>
                <w:rFonts w:eastAsia="Times New Roman" w:cs="Times New Roman"/>
                <w:b/>
                <w:bCs/>
                <w:sz w:val="18"/>
                <w:szCs w:val="18"/>
              </w:rPr>
              <w:t>2024</w:t>
            </w:r>
          </w:p>
        </w:tc>
        <w:tc>
          <w:tcPr>
            <w:tcW w:w="936" w:type="dxa"/>
            <w:tcBorders>
              <w:top w:val="single" w:sz="4" w:space="0" w:color="auto"/>
              <w:left w:val="double" w:sz="4" w:space="0" w:color="auto"/>
              <w:bottom w:val="single" w:sz="4" w:space="0" w:color="auto"/>
              <w:right w:val="single" w:sz="4" w:space="0" w:color="auto"/>
            </w:tcBorders>
            <w:shd w:val="clear" w:color="auto" w:fill="BDD6EE" w:themeFill="accent1" w:themeFillTint="66"/>
            <w:vAlign w:val="center"/>
          </w:tcPr>
          <w:p w14:paraId="5EE51456" w14:textId="77777777" w:rsidR="0027570C" w:rsidRPr="00ED5CA8" w:rsidRDefault="0027570C" w:rsidP="005F05A2">
            <w:pPr>
              <w:spacing w:after="0"/>
              <w:ind w:firstLine="360"/>
              <w:jc w:val="center"/>
              <w:rPr>
                <w:rFonts w:eastAsia="Times New Roman" w:cs="Times New Roman"/>
                <w:b/>
                <w:bCs/>
                <w:sz w:val="18"/>
                <w:szCs w:val="18"/>
              </w:rPr>
            </w:pPr>
            <w:r w:rsidRPr="00ED5CA8">
              <w:rPr>
                <w:rFonts w:eastAsia="Times New Roman" w:cs="Times New Roman"/>
                <w:b/>
                <w:bCs/>
                <w:sz w:val="18"/>
                <w:szCs w:val="18"/>
              </w:rPr>
              <w:t>2023</w:t>
            </w:r>
          </w:p>
        </w:tc>
        <w:tc>
          <w:tcPr>
            <w:tcW w:w="93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154A213A" w14:textId="77777777" w:rsidR="0027570C" w:rsidRPr="00ED5CA8" w:rsidRDefault="0027570C" w:rsidP="005F05A2">
            <w:pPr>
              <w:spacing w:after="0"/>
              <w:ind w:firstLine="360"/>
              <w:jc w:val="center"/>
              <w:rPr>
                <w:rFonts w:eastAsia="Times New Roman" w:cs="Times New Roman"/>
                <w:b/>
                <w:bCs/>
                <w:sz w:val="18"/>
                <w:szCs w:val="18"/>
              </w:rPr>
            </w:pPr>
            <w:r w:rsidRPr="00ED5CA8">
              <w:rPr>
                <w:rFonts w:eastAsia="Times New Roman" w:cs="Times New Roman"/>
                <w:b/>
                <w:bCs/>
                <w:sz w:val="18"/>
                <w:szCs w:val="18"/>
              </w:rPr>
              <w:t>2024</w:t>
            </w:r>
          </w:p>
        </w:tc>
      </w:tr>
      <w:tr w:rsidR="0027570C" w:rsidRPr="00F061D0" w14:paraId="23E4DBC1" w14:textId="77777777" w:rsidTr="005F05A2">
        <w:trPr>
          <w:trHeight w:val="166"/>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65A75" w14:textId="77777777" w:rsidR="0027570C" w:rsidRPr="00ED5CA8" w:rsidRDefault="0027570C" w:rsidP="005F05A2">
            <w:pPr>
              <w:spacing w:after="0"/>
              <w:ind w:firstLine="0"/>
              <w:jc w:val="left"/>
              <w:rPr>
                <w:rFonts w:eastAsia="Times New Roman" w:cs="Times New Roman"/>
                <w:b/>
                <w:bCs/>
                <w:sz w:val="18"/>
                <w:szCs w:val="18"/>
              </w:rPr>
            </w:pPr>
            <w:r w:rsidRPr="00ED5CA8">
              <w:rPr>
                <w:rFonts w:eastAsia="Times New Roman" w:cs="Times New Roman"/>
                <w:b/>
                <w:bCs/>
                <w:sz w:val="18"/>
                <w:szCs w:val="18"/>
              </w:rPr>
              <w:t>Vispārējās valdības budžeta bilance</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0FFE"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-2,7</w:t>
            </w:r>
          </w:p>
        </w:tc>
        <w:tc>
          <w:tcPr>
            <w:tcW w:w="936" w:type="dxa"/>
            <w:tcBorders>
              <w:top w:val="single" w:sz="4" w:space="0" w:color="auto"/>
              <w:left w:val="nil"/>
              <w:bottom w:val="single" w:sz="4" w:space="0" w:color="auto"/>
              <w:right w:val="double" w:sz="4" w:space="0" w:color="auto"/>
            </w:tcBorders>
            <w:shd w:val="clear" w:color="auto" w:fill="auto"/>
            <w:vAlign w:val="center"/>
          </w:tcPr>
          <w:p w14:paraId="08D78D25"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-2,8</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504E804F"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sz w:val="18"/>
                <w:szCs w:val="18"/>
              </w:rPr>
              <w:t>-3,8</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6E9D358E"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sz w:val="18"/>
                <w:szCs w:val="18"/>
              </w:rPr>
              <w:t>-2,7</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201C8724"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-1,2</w:t>
            </w:r>
          </w:p>
        </w:tc>
        <w:tc>
          <w:tcPr>
            <w:tcW w:w="936" w:type="dxa"/>
            <w:tcBorders>
              <w:top w:val="single" w:sz="4" w:space="0" w:color="auto"/>
              <w:left w:val="nil"/>
              <w:bottom w:val="single" w:sz="4" w:space="0" w:color="auto"/>
              <w:right w:val="single" w:sz="4" w:space="0" w:color="auto"/>
            </w:tcBorders>
            <w:shd w:val="clear" w:color="auto" w:fill="auto"/>
            <w:noWrap/>
            <w:vAlign w:val="center"/>
          </w:tcPr>
          <w:p w14:paraId="017941FB"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0,1</w:t>
            </w:r>
          </w:p>
        </w:tc>
      </w:tr>
      <w:tr w:rsidR="0027570C" w:rsidRPr="00F061D0" w14:paraId="05A5B6B0" w14:textId="77777777" w:rsidTr="005F05A2">
        <w:trPr>
          <w:trHeight w:val="64"/>
          <w:jc w:val="center"/>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F3CFB" w14:textId="77777777" w:rsidR="0027570C" w:rsidRPr="00ED5CA8" w:rsidRDefault="0027570C" w:rsidP="005F05A2">
            <w:pPr>
              <w:spacing w:after="0"/>
              <w:ind w:firstLine="0"/>
              <w:rPr>
                <w:rFonts w:eastAsia="Times New Roman" w:cs="Times New Roman"/>
                <w:b/>
                <w:sz w:val="18"/>
                <w:szCs w:val="18"/>
              </w:rPr>
            </w:pPr>
            <w:r w:rsidRPr="00ED5CA8">
              <w:rPr>
                <w:rFonts w:eastAsia="Times New Roman" w:cs="Times New Roman"/>
                <w:b/>
                <w:sz w:val="18"/>
                <w:szCs w:val="18"/>
              </w:rPr>
              <w:t>Ieņēmumi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2631B33"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37,1</w:t>
            </w:r>
          </w:p>
        </w:tc>
        <w:tc>
          <w:tcPr>
            <w:tcW w:w="936" w:type="dxa"/>
            <w:tcBorders>
              <w:top w:val="nil"/>
              <w:left w:val="nil"/>
              <w:bottom w:val="single" w:sz="4" w:space="0" w:color="auto"/>
              <w:right w:val="double" w:sz="4" w:space="0" w:color="auto"/>
            </w:tcBorders>
            <w:shd w:val="clear" w:color="auto" w:fill="auto"/>
            <w:vAlign w:val="center"/>
          </w:tcPr>
          <w:p w14:paraId="1F174397"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39,0</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5A88C1B2"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sz w:val="18"/>
                <w:szCs w:val="18"/>
              </w:rPr>
              <w:t>36,3</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4B7BB6F2"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sz w:val="18"/>
                <w:szCs w:val="18"/>
              </w:rPr>
              <w:t>36,6</w:t>
            </w:r>
          </w:p>
        </w:tc>
        <w:tc>
          <w:tcPr>
            <w:tcW w:w="936" w:type="dxa"/>
            <w:tcBorders>
              <w:top w:val="nil"/>
              <w:left w:val="double" w:sz="4" w:space="0" w:color="auto"/>
              <w:bottom w:val="single" w:sz="4" w:space="0" w:color="auto"/>
              <w:right w:val="single" w:sz="4" w:space="0" w:color="auto"/>
            </w:tcBorders>
            <w:shd w:val="clear" w:color="auto" w:fill="auto"/>
            <w:vAlign w:val="center"/>
          </w:tcPr>
          <w:p w14:paraId="64264C03"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-0,8</w:t>
            </w:r>
          </w:p>
        </w:tc>
        <w:tc>
          <w:tcPr>
            <w:tcW w:w="936" w:type="dxa"/>
            <w:tcBorders>
              <w:top w:val="nil"/>
              <w:left w:val="nil"/>
              <w:bottom w:val="single" w:sz="4" w:space="0" w:color="auto"/>
              <w:right w:val="single" w:sz="4" w:space="0" w:color="auto"/>
            </w:tcBorders>
            <w:shd w:val="clear" w:color="auto" w:fill="auto"/>
            <w:noWrap/>
            <w:vAlign w:val="center"/>
          </w:tcPr>
          <w:p w14:paraId="2C3EF0B9"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-2,4</w:t>
            </w:r>
          </w:p>
        </w:tc>
      </w:tr>
      <w:tr w:rsidR="0027570C" w:rsidRPr="00F061D0" w14:paraId="67287267"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15E2A5F" w14:textId="77777777" w:rsidR="0027570C" w:rsidRPr="00ED5CA8" w:rsidRDefault="0027570C" w:rsidP="005F05A2">
            <w:pPr>
              <w:spacing w:after="0"/>
              <w:ind w:firstLine="360"/>
              <w:rPr>
                <w:rFonts w:eastAsia="Times New Roman" w:cs="Times New Roman"/>
                <w:sz w:val="18"/>
                <w:szCs w:val="18"/>
              </w:rPr>
            </w:pPr>
            <w:r w:rsidRPr="00ED5CA8">
              <w:rPr>
                <w:rFonts w:eastAsia="Times New Roman" w:cs="Times New Roman"/>
                <w:sz w:val="18"/>
                <w:szCs w:val="18"/>
              </w:rPr>
              <w:t>Nodokļu ieņēmumi</w:t>
            </w:r>
            <w:r w:rsidRPr="00ED5CA8">
              <w:rPr>
                <w:rFonts w:eastAsia="Times New Roman" w:cs="Times New Roman"/>
                <w:sz w:val="18"/>
                <w:szCs w:val="18"/>
                <w:vertAlign w:val="superscript"/>
              </w:rPr>
              <w:footnoteReference w:id="23"/>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48C4D56"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29,9</w:t>
            </w:r>
          </w:p>
        </w:tc>
        <w:tc>
          <w:tcPr>
            <w:tcW w:w="936" w:type="dxa"/>
            <w:tcBorders>
              <w:top w:val="nil"/>
              <w:left w:val="nil"/>
              <w:bottom w:val="single" w:sz="4" w:space="0" w:color="auto"/>
              <w:right w:val="double" w:sz="4" w:space="0" w:color="auto"/>
            </w:tcBorders>
            <w:shd w:val="clear" w:color="auto" w:fill="auto"/>
            <w:vAlign w:val="center"/>
          </w:tcPr>
          <w:p w14:paraId="257FB961"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31,0</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2FF78F9D"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29,9</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474D378D"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30,0</w:t>
            </w:r>
          </w:p>
        </w:tc>
        <w:tc>
          <w:tcPr>
            <w:tcW w:w="936" w:type="dxa"/>
            <w:tcBorders>
              <w:top w:val="nil"/>
              <w:left w:val="double" w:sz="4" w:space="0" w:color="auto"/>
              <w:bottom w:val="single" w:sz="4" w:space="0" w:color="auto"/>
              <w:right w:val="single" w:sz="4" w:space="0" w:color="auto"/>
            </w:tcBorders>
            <w:shd w:val="clear" w:color="auto" w:fill="auto"/>
            <w:vAlign w:val="center"/>
          </w:tcPr>
          <w:p w14:paraId="7858FAEE"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0,0</w:t>
            </w:r>
          </w:p>
        </w:tc>
        <w:tc>
          <w:tcPr>
            <w:tcW w:w="936" w:type="dxa"/>
            <w:tcBorders>
              <w:top w:val="nil"/>
              <w:left w:val="nil"/>
              <w:bottom w:val="single" w:sz="4" w:space="0" w:color="auto"/>
              <w:right w:val="single" w:sz="4" w:space="0" w:color="auto"/>
            </w:tcBorders>
            <w:shd w:val="clear" w:color="auto" w:fill="auto"/>
            <w:noWrap/>
            <w:vAlign w:val="center"/>
          </w:tcPr>
          <w:p w14:paraId="089F6D15"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-1,1</w:t>
            </w:r>
          </w:p>
        </w:tc>
      </w:tr>
      <w:tr w:rsidR="0027570C" w:rsidRPr="00F061D0" w14:paraId="4097E699"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15B9C6F7" w14:textId="77777777" w:rsidR="0027570C" w:rsidRPr="00ED5CA8" w:rsidRDefault="0027570C" w:rsidP="005F05A2">
            <w:pPr>
              <w:spacing w:after="0"/>
              <w:ind w:firstLine="0"/>
              <w:jc w:val="center"/>
              <w:rPr>
                <w:rFonts w:eastAsia="Times New Roman" w:cs="Times New Roman"/>
                <w:i/>
                <w:iCs/>
                <w:sz w:val="18"/>
                <w:szCs w:val="18"/>
              </w:rPr>
            </w:pPr>
            <w:r>
              <w:rPr>
                <w:rFonts w:eastAsia="Times New Roman" w:cs="Times New Roman"/>
                <w:i/>
                <w:iCs/>
                <w:sz w:val="18"/>
                <w:szCs w:val="18"/>
              </w:rPr>
              <w:t xml:space="preserve"> </w:t>
            </w:r>
            <w:r w:rsidRPr="00ED5CA8">
              <w:rPr>
                <w:rFonts w:eastAsia="Times New Roman" w:cs="Times New Roman"/>
                <w:i/>
                <w:iCs/>
                <w:sz w:val="18"/>
                <w:szCs w:val="18"/>
              </w:rPr>
              <w:t>Ražošanas un importa nodokļi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312BAA4"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13,0</w:t>
            </w:r>
          </w:p>
        </w:tc>
        <w:tc>
          <w:tcPr>
            <w:tcW w:w="936" w:type="dxa"/>
            <w:tcBorders>
              <w:top w:val="nil"/>
              <w:left w:val="nil"/>
              <w:bottom w:val="single" w:sz="4" w:space="0" w:color="auto"/>
              <w:right w:val="double" w:sz="4" w:space="0" w:color="auto"/>
            </w:tcBorders>
            <w:shd w:val="clear" w:color="auto" w:fill="auto"/>
            <w:vAlign w:val="center"/>
          </w:tcPr>
          <w:p w14:paraId="508ECEF0"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13,1</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11A5B138"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sz w:val="18"/>
                <w:szCs w:val="18"/>
              </w:rPr>
              <w:t>13,3</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1C8C77A1"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sz w:val="18"/>
                <w:szCs w:val="18"/>
              </w:rPr>
              <w:t>13,2</w:t>
            </w:r>
          </w:p>
        </w:tc>
        <w:tc>
          <w:tcPr>
            <w:tcW w:w="936" w:type="dxa"/>
            <w:tcBorders>
              <w:top w:val="nil"/>
              <w:left w:val="double" w:sz="4" w:space="0" w:color="auto"/>
              <w:bottom w:val="single" w:sz="4" w:space="0" w:color="auto"/>
              <w:right w:val="single" w:sz="4" w:space="0" w:color="auto"/>
            </w:tcBorders>
            <w:shd w:val="clear" w:color="auto" w:fill="auto"/>
            <w:vAlign w:val="center"/>
          </w:tcPr>
          <w:p w14:paraId="53D61D80"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0,3</w:t>
            </w:r>
          </w:p>
        </w:tc>
        <w:tc>
          <w:tcPr>
            <w:tcW w:w="936" w:type="dxa"/>
            <w:tcBorders>
              <w:top w:val="nil"/>
              <w:left w:val="nil"/>
              <w:bottom w:val="single" w:sz="4" w:space="0" w:color="auto"/>
              <w:right w:val="single" w:sz="4" w:space="0" w:color="auto"/>
            </w:tcBorders>
            <w:shd w:val="clear" w:color="auto" w:fill="auto"/>
            <w:noWrap/>
            <w:vAlign w:val="center"/>
          </w:tcPr>
          <w:p w14:paraId="58369250"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0,0</w:t>
            </w:r>
          </w:p>
        </w:tc>
      </w:tr>
      <w:tr w:rsidR="0027570C" w:rsidRPr="00F061D0" w14:paraId="1B81A68B"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1E7645C3" w14:textId="77777777" w:rsidR="0027570C" w:rsidRPr="00ED5CA8" w:rsidRDefault="0027570C" w:rsidP="005F05A2">
            <w:pPr>
              <w:spacing w:after="0"/>
              <w:ind w:firstLine="0"/>
              <w:jc w:val="right"/>
              <w:rPr>
                <w:rFonts w:eastAsia="Times New Roman" w:cs="Times New Roman"/>
                <w:i/>
                <w:iCs/>
                <w:sz w:val="18"/>
                <w:szCs w:val="18"/>
              </w:rPr>
            </w:pPr>
            <w:r>
              <w:rPr>
                <w:rFonts w:eastAsia="Times New Roman" w:cs="Times New Roman"/>
                <w:i/>
                <w:iCs/>
                <w:sz w:val="18"/>
                <w:szCs w:val="18"/>
                <w:lang w:eastAsia="en-US"/>
              </w:rPr>
              <w:t xml:space="preserve"> </w:t>
            </w:r>
            <w:r w:rsidRPr="00ED5CA8">
              <w:rPr>
                <w:rFonts w:eastAsia="Times New Roman" w:cs="Times New Roman"/>
                <w:i/>
                <w:iCs/>
                <w:sz w:val="18"/>
                <w:szCs w:val="18"/>
                <w:lang w:eastAsia="en-US"/>
              </w:rPr>
              <w:t>Ienākuma un mantas kārtējie nodokļi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A5F1CF0"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7,0</w:t>
            </w:r>
          </w:p>
        </w:tc>
        <w:tc>
          <w:tcPr>
            <w:tcW w:w="936" w:type="dxa"/>
            <w:tcBorders>
              <w:top w:val="nil"/>
              <w:left w:val="nil"/>
              <w:bottom w:val="single" w:sz="4" w:space="0" w:color="auto"/>
              <w:right w:val="double" w:sz="4" w:space="0" w:color="auto"/>
            </w:tcBorders>
            <w:shd w:val="clear" w:color="auto" w:fill="auto"/>
            <w:vAlign w:val="center"/>
          </w:tcPr>
          <w:p w14:paraId="6DE5E785"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7,5</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27EFCC55"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sz w:val="18"/>
                <w:szCs w:val="18"/>
              </w:rPr>
              <w:t>6,8</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357EABD3"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sz w:val="18"/>
                <w:szCs w:val="18"/>
              </w:rPr>
              <w:t>6,8</w:t>
            </w:r>
          </w:p>
        </w:tc>
        <w:tc>
          <w:tcPr>
            <w:tcW w:w="936" w:type="dxa"/>
            <w:tcBorders>
              <w:top w:val="nil"/>
              <w:left w:val="double" w:sz="4" w:space="0" w:color="auto"/>
              <w:bottom w:val="single" w:sz="4" w:space="0" w:color="auto"/>
              <w:right w:val="single" w:sz="4" w:space="0" w:color="auto"/>
            </w:tcBorders>
            <w:shd w:val="clear" w:color="auto" w:fill="auto"/>
            <w:vAlign w:val="center"/>
          </w:tcPr>
          <w:p w14:paraId="57929A6A"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-0,2</w:t>
            </w:r>
          </w:p>
        </w:tc>
        <w:tc>
          <w:tcPr>
            <w:tcW w:w="936" w:type="dxa"/>
            <w:tcBorders>
              <w:top w:val="nil"/>
              <w:left w:val="nil"/>
              <w:bottom w:val="single" w:sz="4" w:space="0" w:color="auto"/>
              <w:right w:val="single" w:sz="4" w:space="0" w:color="auto"/>
            </w:tcBorders>
            <w:shd w:val="clear" w:color="auto" w:fill="auto"/>
            <w:noWrap/>
            <w:vAlign w:val="center"/>
          </w:tcPr>
          <w:p w14:paraId="2E3AA967"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-0,7</w:t>
            </w:r>
          </w:p>
        </w:tc>
      </w:tr>
      <w:tr w:rsidR="0027570C" w:rsidRPr="00F061D0" w14:paraId="6B3296C1"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57DED8F8" w14:textId="77777777" w:rsidR="0027570C" w:rsidRPr="00ED5CA8" w:rsidRDefault="0027570C" w:rsidP="005F05A2">
            <w:pPr>
              <w:spacing w:after="0"/>
              <w:ind w:firstLine="0"/>
              <w:rPr>
                <w:rFonts w:eastAsia="Times New Roman" w:cs="Times New Roman"/>
                <w:i/>
                <w:iCs/>
                <w:sz w:val="18"/>
                <w:szCs w:val="18"/>
              </w:rPr>
            </w:pPr>
            <w:r>
              <w:rPr>
                <w:rFonts w:eastAsia="Times New Roman" w:cs="Times New Roman"/>
                <w:i/>
                <w:iCs/>
                <w:sz w:val="18"/>
                <w:szCs w:val="18"/>
                <w:lang w:eastAsia="en-US"/>
              </w:rPr>
              <w:t xml:space="preserve">           </w:t>
            </w:r>
            <w:r w:rsidRPr="00ED5CA8">
              <w:rPr>
                <w:rFonts w:eastAsia="Times New Roman" w:cs="Times New Roman"/>
                <w:i/>
                <w:iCs/>
                <w:sz w:val="18"/>
                <w:szCs w:val="18"/>
                <w:lang w:eastAsia="en-US"/>
              </w:rPr>
              <w:t>Neto sociālās iemaksas</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B367DF5"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9,9</w:t>
            </w:r>
          </w:p>
        </w:tc>
        <w:tc>
          <w:tcPr>
            <w:tcW w:w="936" w:type="dxa"/>
            <w:tcBorders>
              <w:top w:val="nil"/>
              <w:left w:val="nil"/>
              <w:bottom w:val="single" w:sz="4" w:space="0" w:color="auto"/>
              <w:right w:val="double" w:sz="4" w:space="0" w:color="auto"/>
            </w:tcBorders>
            <w:shd w:val="clear" w:color="auto" w:fill="auto"/>
            <w:vAlign w:val="center"/>
          </w:tcPr>
          <w:p w14:paraId="148AEE02"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10,3</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30D97993"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sz w:val="18"/>
                <w:szCs w:val="18"/>
              </w:rPr>
              <w:t>9,8</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2219D4BF"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sz w:val="18"/>
                <w:szCs w:val="18"/>
              </w:rPr>
              <w:t>10,0</w:t>
            </w:r>
          </w:p>
        </w:tc>
        <w:tc>
          <w:tcPr>
            <w:tcW w:w="936" w:type="dxa"/>
            <w:tcBorders>
              <w:top w:val="nil"/>
              <w:left w:val="double" w:sz="4" w:space="0" w:color="auto"/>
              <w:bottom w:val="single" w:sz="4" w:space="0" w:color="auto"/>
              <w:right w:val="single" w:sz="4" w:space="0" w:color="auto"/>
            </w:tcBorders>
            <w:shd w:val="clear" w:color="auto" w:fill="auto"/>
            <w:vAlign w:val="center"/>
          </w:tcPr>
          <w:p w14:paraId="54035CC8"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-0,1</w:t>
            </w:r>
          </w:p>
        </w:tc>
        <w:tc>
          <w:tcPr>
            <w:tcW w:w="936" w:type="dxa"/>
            <w:tcBorders>
              <w:top w:val="nil"/>
              <w:left w:val="nil"/>
              <w:bottom w:val="single" w:sz="4" w:space="0" w:color="auto"/>
              <w:right w:val="single" w:sz="4" w:space="0" w:color="auto"/>
            </w:tcBorders>
            <w:shd w:val="clear" w:color="auto" w:fill="auto"/>
            <w:noWrap/>
            <w:vAlign w:val="center"/>
          </w:tcPr>
          <w:p w14:paraId="200B43BE" w14:textId="77777777" w:rsidR="0027570C" w:rsidRPr="00F061D0" w:rsidRDefault="0027570C" w:rsidP="005F05A2">
            <w:pPr>
              <w:spacing w:after="0"/>
              <w:ind w:firstLine="360"/>
              <w:jc w:val="right"/>
              <w:rPr>
                <w:rFonts w:eastAsia="Times New Roman" w:cs="Times New Roman"/>
                <w:i/>
                <w:iCs/>
                <w:color w:val="FF0000"/>
                <w:sz w:val="18"/>
                <w:szCs w:val="18"/>
                <w:lang w:eastAsia="en-US"/>
              </w:rPr>
            </w:pPr>
            <w:r>
              <w:rPr>
                <w:i/>
                <w:iCs/>
                <w:color w:val="000000"/>
                <w:sz w:val="18"/>
                <w:szCs w:val="18"/>
              </w:rPr>
              <w:t>-0,4</w:t>
            </w:r>
          </w:p>
        </w:tc>
      </w:tr>
      <w:tr w:rsidR="0027570C" w:rsidRPr="00F061D0" w14:paraId="1F9AEA1F"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ECE55F0" w14:textId="77777777" w:rsidR="0027570C" w:rsidRPr="00ED5CA8" w:rsidRDefault="0027570C" w:rsidP="005F05A2">
            <w:pPr>
              <w:spacing w:after="0"/>
              <w:ind w:firstLine="360"/>
              <w:rPr>
                <w:rFonts w:eastAsia="Times New Roman" w:cs="Times New Roman"/>
                <w:sz w:val="18"/>
                <w:szCs w:val="18"/>
              </w:rPr>
            </w:pPr>
            <w:r w:rsidRPr="00ED5CA8">
              <w:rPr>
                <w:rFonts w:eastAsia="Times New Roman" w:cs="Times New Roman"/>
                <w:sz w:val="18"/>
                <w:szCs w:val="18"/>
              </w:rPr>
              <w:t>Pārējie ieņēmumi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CC39A5A"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7,1</w:t>
            </w:r>
          </w:p>
        </w:tc>
        <w:tc>
          <w:tcPr>
            <w:tcW w:w="936" w:type="dxa"/>
            <w:tcBorders>
              <w:top w:val="nil"/>
              <w:left w:val="nil"/>
              <w:bottom w:val="single" w:sz="4" w:space="0" w:color="auto"/>
              <w:right w:val="double" w:sz="4" w:space="0" w:color="auto"/>
            </w:tcBorders>
            <w:shd w:val="clear" w:color="auto" w:fill="auto"/>
            <w:vAlign w:val="center"/>
          </w:tcPr>
          <w:p w14:paraId="17053116"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8,0</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3D38C9EC"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6,4</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46A72DAA"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6,6</w:t>
            </w:r>
          </w:p>
        </w:tc>
        <w:tc>
          <w:tcPr>
            <w:tcW w:w="936" w:type="dxa"/>
            <w:tcBorders>
              <w:top w:val="nil"/>
              <w:left w:val="double" w:sz="4" w:space="0" w:color="auto"/>
              <w:bottom w:val="single" w:sz="4" w:space="0" w:color="auto"/>
              <w:right w:val="single" w:sz="4" w:space="0" w:color="auto"/>
            </w:tcBorders>
            <w:shd w:val="clear" w:color="auto" w:fill="auto"/>
            <w:vAlign w:val="center"/>
          </w:tcPr>
          <w:p w14:paraId="168F9ED0"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-0,8</w:t>
            </w:r>
          </w:p>
        </w:tc>
        <w:tc>
          <w:tcPr>
            <w:tcW w:w="936" w:type="dxa"/>
            <w:tcBorders>
              <w:top w:val="nil"/>
              <w:left w:val="nil"/>
              <w:bottom w:val="single" w:sz="4" w:space="0" w:color="auto"/>
              <w:right w:val="single" w:sz="4" w:space="0" w:color="auto"/>
            </w:tcBorders>
            <w:shd w:val="clear" w:color="auto" w:fill="auto"/>
            <w:noWrap/>
            <w:vAlign w:val="center"/>
          </w:tcPr>
          <w:p w14:paraId="1ECC530D"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-1,4</w:t>
            </w:r>
          </w:p>
        </w:tc>
      </w:tr>
      <w:tr w:rsidR="0027570C" w:rsidRPr="00F061D0" w14:paraId="2B565776" w14:textId="77777777" w:rsidTr="005F05A2">
        <w:trPr>
          <w:trHeight w:val="64"/>
          <w:jc w:val="center"/>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5147D48" w14:textId="77777777" w:rsidR="0027570C" w:rsidRPr="00ED5CA8" w:rsidRDefault="0027570C" w:rsidP="005F05A2">
            <w:pPr>
              <w:spacing w:after="0"/>
              <w:ind w:firstLine="0"/>
              <w:rPr>
                <w:rFonts w:eastAsia="Times New Roman" w:cs="Times New Roman"/>
                <w:b/>
                <w:sz w:val="18"/>
                <w:szCs w:val="18"/>
              </w:rPr>
            </w:pPr>
            <w:r w:rsidRPr="00ED5CA8">
              <w:rPr>
                <w:rFonts w:eastAsia="Times New Roman" w:cs="Times New Roman"/>
                <w:b/>
                <w:sz w:val="18"/>
                <w:szCs w:val="18"/>
              </w:rPr>
              <w:t>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E16FAB6"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39,8</w:t>
            </w:r>
          </w:p>
        </w:tc>
        <w:tc>
          <w:tcPr>
            <w:tcW w:w="936" w:type="dxa"/>
            <w:tcBorders>
              <w:top w:val="nil"/>
              <w:left w:val="nil"/>
              <w:bottom w:val="single" w:sz="4" w:space="0" w:color="auto"/>
              <w:right w:val="double" w:sz="4" w:space="0" w:color="auto"/>
            </w:tcBorders>
            <w:shd w:val="clear" w:color="auto" w:fill="auto"/>
            <w:vAlign w:val="center"/>
          </w:tcPr>
          <w:p w14:paraId="629D03DD"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41,8</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3CAA16C4"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sz w:val="18"/>
                <w:szCs w:val="18"/>
              </w:rPr>
              <w:t>40,1</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6438431B"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sz w:val="18"/>
                <w:szCs w:val="18"/>
              </w:rPr>
              <w:t>39,3</w:t>
            </w:r>
          </w:p>
        </w:tc>
        <w:tc>
          <w:tcPr>
            <w:tcW w:w="936" w:type="dxa"/>
            <w:tcBorders>
              <w:top w:val="nil"/>
              <w:left w:val="double" w:sz="4" w:space="0" w:color="auto"/>
              <w:bottom w:val="single" w:sz="4" w:space="0" w:color="auto"/>
              <w:right w:val="single" w:sz="4" w:space="0" w:color="auto"/>
            </w:tcBorders>
            <w:shd w:val="clear" w:color="auto" w:fill="auto"/>
            <w:vAlign w:val="center"/>
          </w:tcPr>
          <w:p w14:paraId="5D733DD8"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0,4</w:t>
            </w:r>
          </w:p>
        </w:tc>
        <w:tc>
          <w:tcPr>
            <w:tcW w:w="936" w:type="dxa"/>
            <w:tcBorders>
              <w:top w:val="nil"/>
              <w:left w:val="nil"/>
              <w:bottom w:val="single" w:sz="4" w:space="0" w:color="auto"/>
              <w:right w:val="single" w:sz="4" w:space="0" w:color="auto"/>
            </w:tcBorders>
            <w:shd w:val="clear" w:color="auto" w:fill="auto"/>
            <w:noWrap/>
            <w:vAlign w:val="center"/>
          </w:tcPr>
          <w:p w14:paraId="29187BE9" w14:textId="77777777" w:rsidR="0027570C" w:rsidRPr="00F061D0" w:rsidRDefault="0027570C" w:rsidP="005F05A2">
            <w:pPr>
              <w:spacing w:after="0"/>
              <w:ind w:firstLine="360"/>
              <w:jc w:val="right"/>
              <w:rPr>
                <w:rFonts w:eastAsia="Times New Roman" w:cs="Times New Roman"/>
                <w:b/>
                <w:bCs/>
                <w:color w:val="FF0000"/>
                <w:sz w:val="18"/>
                <w:szCs w:val="18"/>
                <w:lang w:eastAsia="en-US"/>
              </w:rPr>
            </w:pPr>
            <w:r>
              <w:rPr>
                <w:b/>
                <w:bCs/>
                <w:color w:val="000000"/>
                <w:sz w:val="18"/>
                <w:szCs w:val="18"/>
              </w:rPr>
              <w:t>-2,5</w:t>
            </w:r>
          </w:p>
        </w:tc>
      </w:tr>
      <w:tr w:rsidR="0027570C" w:rsidRPr="00F061D0" w14:paraId="333E4D06"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A661E17" w14:textId="77777777" w:rsidR="0027570C" w:rsidRPr="00ED5CA8" w:rsidRDefault="0027570C" w:rsidP="005F05A2">
            <w:pPr>
              <w:spacing w:after="0"/>
              <w:ind w:firstLine="360"/>
              <w:rPr>
                <w:rFonts w:eastAsia="Times New Roman" w:cs="Times New Roman"/>
                <w:sz w:val="18"/>
                <w:szCs w:val="18"/>
              </w:rPr>
            </w:pPr>
            <w:r w:rsidRPr="00ED5CA8">
              <w:rPr>
                <w:rFonts w:eastAsia="Times New Roman" w:cs="Times New Roman"/>
                <w:sz w:val="18"/>
                <w:szCs w:val="18"/>
              </w:rPr>
              <w:t>Atlīdzība</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A9D1220"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10,5</w:t>
            </w:r>
          </w:p>
        </w:tc>
        <w:tc>
          <w:tcPr>
            <w:tcW w:w="936" w:type="dxa"/>
            <w:tcBorders>
              <w:top w:val="nil"/>
              <w:left w:val="nil"/>
              <w:bottom w:val="single" w:sz="4" w:space="0" w:color="auto"/>
              <w:right w:val="double" w:sz="4" w:space="0" w:color="auto"/>
            </w:tcBorders>
            <w:shd w:val="clear" w:color="auto" w:fill="auto"/>
            <w:vAlign w:val="center"/>
          </w:tcPr>
          <w:p w14:paraId="66CD312F"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11,1</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68E4D6ED"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10,5</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2E162FCB"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10,4</w:t>
            </w:r>
          </w:p>
        </w:tc>
        <w:tc>
          <w:tcPr>
            <w:tcW w:w="936" w:type="dxa"/>
            <w:tcBorders>
              <w:top w:val="nil"/>
              <w:left w:val="double" w:sz="4" w:space="0" w:color="auto"/>
              <w:bottom w:val="single" w:sz="4" w:space="0" w:color="auto"/>
              <w:right w:val="single" w:sz="4" w:space="0" w:color="auto"/>
            </w:tcBorders>
            <w:shd w:val="clear" w:color="auto" w:fill="auto"/>
            <w:vAlign w:val="center"/>
          </w:tcPr>
          <w:p w14:paraId="24345597"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0,0</w:t>
            </w:r>
          </w:p>
        </w:tc>
        <w:tc>
          <w:tcPr>
            <w:tcW w:w="936" w:type="dxa"/>
            <w:tcBorders>
              <w:top w:val="nil"/>
              <w:left w:val="nil"/>
              <w:bottom w:val="single" w:sz="4" w:space="0" w:color="auto"/>
              <w:right w:val="single" w:sz="4" w:space="0" w:color="auto"/>
            </w:tcBorders>
            <w:shd w:val="clear" w:color="auto" w:fill="auto"/>
            <w:noWrap/>
            <w:vAlign w:val="center"/>
          </w:tcPr>
          <w:p w14:paraId="06C44957"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-0,7</w:t>
            </w:r>
          </w:p>
        </w:tc>
      </w:tr>
      <w:tr w:rsidR="0027570C" w:rsidRPr="00F061D0" w14:paraId="61A25D05"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781D9E6B" w14:textId="77777777" w:rsidR="0027570C" w:rsidRPr="00ED5CA8" w:rsidRDefault="0027570C" w:rsidP="005F05A2">
            <w:pPr>
              <w:spacing w:after="0"/>
              <w:ind w:firstLine="360"/>
              <w:rPr>
                <w:rFonts w:eastAsia="Times New Roman" w:cs="Times New Roman"/>
                <w:sz w:val="18"/>
                <w:szCs w:val="18"/>
              </w:rPr>
            </w:pPr>
            <w:r w:rsidRPr="00ED5CA8">
              <w:rPr>
                <w:rFonts w:eastAsia="Times New Roman" w:cs="Times New Roman"/>
                <w:sz w:val="18"/>
                <w:szCs w:val="18"/>
              </w:rPr>
              <w:t>Starppatēriņš</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3535467"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6,0</w:t>
            </w:r>
          </w:p>
        </w:tc>
        <w:tc>
          <w:tcPr>
            <w:tcW w:w="936" w:type="dxa"/>
            <w:tcBorders>
              <w:top w:val="nil"/>
              <w:left w:val="nil"/>
              <w:bottom w:val="single" w:sz="4" w:space="0" w:color="auto"/>
              <w:right w:val="double" w:sz="4" w:space="0" w:color="auto"/>
            </w:tcBorders>
            <w:shd w:val="clear" w:color="auto" w:fill="auto"/>
            <w:vAlign w:val="center"/>
          </w:tcPr>
          <w:p w14:paraId="4ED9ABB0"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6,0</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0F9C6897"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6,3</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7E6520AC"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6,3</w:t>
            </w:r>
          </w:p>
        </w:tc>
        <w:tc>
          <w:tcPr>
            <w:tcW w:w="936" w:type="dxa"/>
            <w:tcBorders>
              <w:top w:val="nil"/>
              <w:left w:val="double" w:sz="4" w:space="0" w:color="auto"/>
              <w:bottom w:val="single" w:sz="4" w:space="0" w:color="auto"/>
              <w:right w:val="single" w:sz="4" w:space="0" w:color="auto"/>
            </w:tcBorders>
            <w:shd w:val="clear" w:color="auto" w:fill="auto"/>
            <w:vAlign w:val="center"/>
          </w:tcPr>
          <w:p w14:paraId="08A3730E"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0,2</w:t>
            </w:r>
          </w:p>
        </w:tc>
        <w:tc>
          <w:tcPr>
            <w:tcW w:w="936" w:type="dxa"/>
            <w:tcBorders>
              <w:top w:val="nil"/>
              <w:left w:val="nil"/>
              <w:bottom w:val="single" w:sz="4" w:space="0" w:color="auto"/>
              <w:right w:val="single" w:sz="4" w:space="0" w:color="auto"/>
            </w:tcBorders>
            <w:shd w:val="clear" w:color="auto" w:fill="auto"/>
            <w:noWrap/>
            <w:vAlign w:val="center"/>
          </w:tcPr>
          <w:p w14:paraId="01818A46"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0,4</w:t>
            </w:r>
          </w:p>
        </w:tc>
      </w:tr>
      <w:tr w:rsidR="0027570C" w:rsidRPr="00F061D0" w14:paraId="5C91AB1A"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2CD76E7F" w14:textId="77777777" w:rsidR="0027570C" w:rsidRPr="00ED5CA8" w:rsidRDefault="0027570C" w:rsidP="005F05A2">
            <w:pPr>
              <w:spacing w:after="0"/>
              <w:ind w:firstLine="360"/>
              <w:rPr>
                <w:rFonts w:eastAsia="Times New Roman" w:cs="Times New Roman"/>
                <w:sz w:val="18"/>
                <w:szCs w:val="18"/>
              </w:rPr>
            </w:pPr>
            <w:r w:rsidRPr="00ED5CA8">
              <w:rPr>
                <w:rFonts w:eastAsia="Times New Roman" w:cs="Times New Roman"/>
                <w:sz w:val="18"/>
                <w:szCs w:val="18"/>
              </w:rPr>
              <w:t>Sociālie maksājumi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FB6CFBB"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13,2</w:t>
            </w:r>
          </w:p>
        </w:tc>
        <w:tc>
          <w:tcPr>
            <w:tcW w:w="936" w:type="dxa"/>
            <w:tcBorders>
              <w:top w:val="nil"/>
              <w:left w:val="nil"/>
              <w:bottom w:val="single" w:sz="4" w:space="0" w:color="auto"/>
              <w:right w:val="double" w:sz="4" w:space="0" w:color="auto"/>
            </w:tcBorders>
            <w:shd w:val="clear" w:color="auto" w:fill="auto"/>
            <w:vAlign w:val="center"/>
          </w:tcPr>
          <w:p w14:paraId="034C31B9"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13,3</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1D1C3231"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12,8</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5DBE4D2E"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12,6</w:t>
            </w:r>
          </w:p>
        </w:tc>
        <w:tc>
          <w:tcPr>
            <w:tcW w:w="936" w:type="dxa"/>
            <w:tcBorders>
              <w:top w:val="nil"/>
              <w:left w:val="double" w:sz="4" w:space="0" w:color="auto"/>
              <w:bottom w:val="single" w:sz="4" w:space="0" w:color="auto"/>
              <w:right w:val="single" w:sz="4" w:space="0" w:color="auto"/>
            </w:tcBorders>
            <w:shd w:val="clear" w:color="auto" w:fill="auto"/>
            <w:vAlign w:val="center"/>
          </w:tcPr>
          <w:p w14:paraId="68A3C436"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-0,4</w:t>
            </w:r>
          </w:p>
        </w:tc>
        <w:tc>
          <w:tcPr>
            <w:tcW w:w="936" w:type="dxa"/>
            <w:tcBorders>
              <w:top w:val="nil"/>
              <w:left w:val="nil"/>
              <w:bottom w:val="single" w:sz="4" w:space="0" w:color="auto"/>
              <w:right w:val="single" w:sz="4" w:space="0" w:color="auto"/>
            </w:tcBorders>
            <w:shd w:val="clear" w:color="auto" w:fill="auto"/>
            <w:noWrap/>
            <w:vAlign w:val="center"/>
          </w:tcPr>
          <w:p w14:paraId="6DAB3809"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-0,8</w:t>
            </w:r>
          </w:p>
        </w:tc>
      </w:tr>
      <w:tr w:rsidR="0027570C" w:rsidRPr="00F061D0" w14:paraId="6CC7464B"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5B5DEBC5" w14:textId="77777777" w:rsidR="0027570C" w:rsidRPr="00ED5CA8" w:rsidRDefault="0027570C" w:rsidP="005F05A2">
            <w:pPr>
              <w:spacing w:after="0"/>
              <w:ind w:firstLine="360"/>
              <w:rPr>
                <w:rFonts w:eastAsia="Times New Roman" w:cs="Times New Roman"/>
                <w:sz w:val="18"/>
                <w:szCs w:val="18"/>
              </w:rPr>
            </w:pPr>
            <w:r w:rsidRPr="00ED5CA8">
              <w:rPr>
                <w:rFonts w:eastAsia="Times New Roman" w:cs="Times New Roman"/>
                <w:sz w:val="18"/>
                <w:szCs w:val="18"/>
              </w:rPr>
              <w:t>Procentu 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2AD0EA"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0,7</w:t>
            </w:r>
          </w:p>
        </w:tc>
        <w:tc>
          <w:tcPr>
            <w:tcW w:w="936" w:type="dxa"/>
            <w:tcBorders>
              <w:top w:val="nil"/>
              <w:left w:val="nil"/>
              <w:bottom w:val="single" w:sz="4" w:space="0" w:color="auto"/>
              <w:right w:val="double" w:sz="4" w:space="0" w:color="auto"/>
            </w:tcBorders>
            <w:shd w:val="clear" w:color="auto" w:fill="auto"/>
            <w:vAlign w:val="center"/>
          </w:tcPr>
          <w:p w14:paraId="2E9D6D83"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0,9</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687EFF86"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0,6</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6B1D95B6"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0,8</w:t>
            </w:r>
          </w:p>
        </w:tc>
        <w:tc>
          <w:tcPr>
            <w:tcW w:w="936" w:type="dxa"/>
            <w:tcBorders>
              <w:top w:val="nil"/>
              <w:left w:val="double" w:sz="4" w:space="0" w:color="auto"/>
              <w:bottom w:val="single" w:sz="4" w:space="0" w:color="auto"/>
              <w:right w:val="single" w:sz="4" w:space="0" w:color="auto"/>
            </w:tcBorders>
            <w:shd w:val="clear" w:color="auto" w:fill="auto"/>
            <w:vAlign w:val="center"/>
          </w:tcPr>
          <w:p w14:paraId="690565BE"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-0,1</w:t>
            </w:r>
          </w:p>
        </w:tc>
        <w:tc>
          <w:tcPr>
            <w:tcW w:w="936" w:type="dxa"/>
            <w:tcBorders>
              <w:top w:val="nil"/>
              <w:left w:val="nil"/>
              <w:bottom w:val="single" w:sz="4" w:space="0" w:color="auto"/>
              <w:right w:val="single" w:sz="4" w:space="0" w:color="auto"/>
            </w:tcBorders>
            <w:shd w:val="clear" w:color="auto" w:fill="auto"/>
            <w:noWrap/>
            <w:vAlign w:val="center"/>
          </w:tcPr>
          <w:p w14:paraId="0F1D2954"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-0,1</w:t>
            </w:r>
          </w:p>
        </w:tc>
      </w:tr>
      <w:tr w:rsidR="0027570C" w:rsidRPr="00F061D0" w14:paraId="13338D73" w14:textId="77777777" w:rsidTr="005F05A2">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33E08FBA" w14:textId="77777777" w:rsidR="0027570C" w:rsidRPr="00ED5CA8" w:rsidRDefault="0027570C" w:rsidP="005F05A2">
            <w:pPr>
              <w:spacing w:after="0"/>
              <w:ind w:firstLine="360"/>
              <w:rPr>
                <w:rFonts w:eastAsia="Times New Roman" w:cs="Times New Roman"/>
                <w:sz w:val="18"/>
                <w:szCs w:val="18"/>
              </w:rPr>
            </w:pPr>
            <w:r w:rsidRPr="00ED5CA8">
              <w:rPr>
                <w:rFonts w:eastAsia="Times New Roman" w:cs="Times New Roman"/>
                <w:sz w:val="18"/>
                <w:szCs w:val="18"/>
              </w:rPr>
              <w:t>Subsīdijas</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8F69C60"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0,7</w:t>
            </w:r>
          </w:p>
        </w:tc>
        <w:tc>
          <w:tcPr>
            <w:tcW w:w="936" w:type="dxa"/>
            <w:tcBorders>
              <w:top w:val="nil"/>
              <w:left w:val="nil"/>
              <w:bottom w:val="single" w:sz="4" w:space="0" w:color="auto"/>
              <w:right w:val="double" w:sz="4" w:space="0" w:color="auto"/>
            </w:tcBorders>
            <w:shd w:val="clear" w:color="auto" w:fill="auto"/>
            <w:vAlign w:val="center"/>
          </w:tcPr>
          <w:p w14:paraId="37D9E57E"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0,7</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3D45EBB7"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1,3</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3E709642"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0,8</w:t>
            </w:r>
          </w:p>
        </w:tc>
        <w:tc>
          <w:tcPr>
            <w:tcW w:w="936" w:type="dxa"/>
            <w:tcBorders>
              <w:top w:val="nil"/>
              <w:left w:val="double" w:sz="4" w:space="0" w:color="auto"/>
              <w:bottom w:val="single" w:sz="4" w:space="0" w:color="auto"/>
              <w:right w:val="single" w:sz="4" w:space="0" w:color="auto"/>
            </w:tcBorders>
            <w:shd w:val="clear" w:color="auto" w:fill="auto"/>
            <w:vAlign w:val="center"/>
          </w:tcPr>
          <w:p w14:paraId="00414676"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0,5</w:t>
            </w:r>
          </w:p>
        </w:tc>
        <w:tc>
          <w:tcPr>
            <w:tcW w:w="936" w:type="dxa"/>
            <w:tcBorders>
              <w:top w:val="nil"/>
              <w:left w:val="nil"/>
              <w:bottom w:val="single" w:sz="4" w:space="0" w:color="auto"/>
              <w:right w:val="single" w:sz="4" w:space="0" w:color="auto"/>
            </w:tcBorders>
            <w:shd w:val="clear" w:color="auto" w:fill="auto"/>
            <w:noWrap/>
            <w:vAlign w:val="center"/>
          </w:tcPr>
          <w:p w14:paraId="6338C03B"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0,1</w:t>
            </w:r>
          </w:p>
        </w:tc>
      </w:tr>
      <w:tr w:rsidR="0027570C" w:rsidRPr="00F061D0" w14:paraId="58842689" w14:textId="77777777" w:rsidTr="005F05A2">
        <w:trPr>
          <w:trHeight w:val="70"/>
          <w:jc w:val="center"/>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639DD" w14:textId="77777777" w:rsidR="0027570C" w:rsidRPr="00ED5CA8" w:rsidRDefault="0027570C" w:rsidP="005F05A2">
            <w:pPr>
              <w:spacing w:after="0"/>
              <w:ind w:firstLine="360"/>
              <w:jc w:val="left"/>
              <w:rPr>
                <w:rFonts w:eastAsia="Times New Roman" w:cs="Times New Roman"/>
                <w:sz w:val="18"/>
                <w:szCs w:val="18"/>
              </w:rPr>
            </w:pPr>
            <w:r w:rsidRPr="00ED5CA8">
              <w:rPr>
                <w:rFonts w:eastAsia="Times New Roman" w:cs="Times New Roman"/>
                <w:sz w:val="18"/>
                <w:szCs w:val="18"/>
              </w:rPr>
              <w:t>Bruto pamatkapitāla veidošana</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EA698E5"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4,8</w:t>
            </w:r>
          </w:p>
        </w:tc>
        <w:tc>
          <w:tcPr>
            <w:tcW w:w="936" w:type="dxa"/>
            <w:tcBorders>
              <w:top w:val="nil"/>
              <w:left w:val="nil"/>
              <w:bottom w:val="single" w:sz="4" w:space="0" w:color="auto"/>
              <w:right w:val="double" w:sz="4" w:space="0" w:color="auto"/>
            </w:tcBorders>
            <w:shd w:val="clear" w:color="auto" w:fill="auto"/>
            <w:vAlign w:val="center"/>
          </w:tcPr>
          <w:p w14:paraId="18445938"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6,3</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111F6C86"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5,5</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7D93067A"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6,1</w:t>
            </w:r>
          </w:p>
        </w:tc>
        <w:tc>
          <w:tcPr>
            <w:tcW w:w="936" w:type="dxa"/>
            <w:tcBorders>
              <w:top w:val="nil"/>
              <w:left w:val="double" w:sz="4" w:space="0" w:color="auto"/>
              <w:bottom w:val="single" w:sz="4" w:space="0" w:color="auto"/>
              <w:right w:val="single" w:sz="4" w:space="0" w:color="auto"/>
            </w:tcBorders>
            <w:shd w:val="clear" w:color="auto" w:fill="auto"/>
            <w:vAlign w:val="center"/>
          </w:tcPr>
          <w:p w14:paraId="0C6C6033"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0,7</w:t>
            </w:r>
          </w:p>
        </w:tc>
        <w:tc>
          <w:tcPr>
            <w:tcW w:w="936" w:type="dxa"/>
            <w:tcBorders>
              <w:top w:val="nil"/>
              <w:left w:val="nil"/>
              <w:bottom w:val="single" w:sz="4" w:space="0" w:color="auto"/>
              <w:right w:val="single" w:sz="4" w:space="0" w:color="auto"/>
            </w:tcBorders>
            <w:shd w:val="clear" w:color="auto" w:fill="auto"/>
            <w:noWrap/>
            <w:vAlign w:val="center"/>
          </w:tcPr>
          <w:p w14:paraId="34B32AF7"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-0,2</w:t>
            </w:r>
          </w:p>
        </w:tc>
      </w:tr>
      <w:tr w:rsidR="0027570C" w:rsidRPr="00F061D0" w14:paraId="15474A72" w14:textId="77777777" w:rsidTr="005F05A2">
        <w:trPr>
          <w:trHeight w:val="70"/>
          <w:jc w:val="center"/>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749AF" w14:textId="77777777" w:rsidR="0027570C" w:rsidRPr="00ED5CA8" w:rsidRDefault="0027570C" w:rsidP="005F05A2">
            <w:pPr>
              <w:spacing w:after="0"/>
              <w:ind w:firstLine="360"/>
              <w:rPr>
                <w:rFonts w:eastAsia="Times New Roman" w:cs="Times New Roman"/>
                <w:sz w:val="18"/>
                <w:szCs w:val="18"/>
              </w:rPr>
            </w:pPr>
            <w:r w:rsidRPr="00ED5CA8">
              <w:rPr>
                <w:rFonts w:eastAsia="Times New Roman" w:cs="Times New Roman"/>
                <w:sz w:val="18"/>
                <w:szCs w:val="18"/>
              </w:rPr>
              <w:t>Pārējie 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8629856"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3,8</w:t>
            </w:r>
          </w:p>
        </w:tc>
        <w:tc>
          <w:tcPr>
            <w:tcW w:w="936" w:type="dxa"/>
            <w:tcBorders>
              <w:top w:val="nil"/>
              <w:left w:val="nil"/>
              <w:bottom w:val="single" w:sz="4" w:space="0" w:color="auto"/>
              <w:right w:val="double" w:sz="4" w:space="0" w:color="auto"/>
            </w:tcBorders>
            <w:shd w:val="clear" w:color="auto" w:fill="auto"/>
            <w:vAlign w:val="center"/>
          </w:tcPr>
          <w:p w14:paraId="597B0C4F"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3,5</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60941035"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3,2</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2B3EB578"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sz w:val="18"/>
                <w:szCs w:val="18"/>
              </w:rPr>
              <w:t>2,3</w:t>
            </w:r>
          </w:p>
        </w:tc>
        <w:tc>
          <w:tcPr>
            <w:tcW w:w="936" w:type="dxa"/>
            <w:tcBorders>
              <w:top w:val="nil"/>
              <w:left w:val="double" w:sz="4" w:space="0" w:color="auto"/>
              <w:bottom w:val="single" w:sz="4" w:space="0" w:color="auto"/>
              <w:right w:val="single" w:sz="4" w:space="0" w:color="auto"/>
            </w:tcBorders>
            <w:shd w:val="clear" w:color="auto" w:fill="auto"/>
            <w:vAlign w:val="center"/>
          </w:tcPr>
          <w:p w14:paraId="1FC48BDF"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-0,6</w:t>
            </w:r>
          </w:p>
        </w:tc>
        <w:tc>
          <w:tcPr>
            <w:tcW w:w="936" w:type="dxa"/>
            <w:tcBorders>
              <w:top w:val="nil"/>
              <w:left w:val="nil"/>
              <w:bottom w:val="single" w:sz="4" w:space="0" w:color="auto"/>
              <w:right w:val="single" w:sz="4" w:space="0" w:color="auto"/>
            </w:tcBorders>
            <w:shd w:val="clear" w:color="auto" w:fill="auto"/>
            <w:noWrap/>
            <w:vAlign w:val="center"/>
          </w:tcPr>
          <w:p w14:paraId="5236A43B" w14:textId="77777777" w:rsidR="0027570C" w:rsidRPr="00F061D0" w:rsidRDefault="0027570C" w:rsidP="005F05A2">
            <w:pPr>
              <w:spacing w:after="0"/>
              <w:ind w:firstLine="360"/>
              <w:jc w:val="right"/>
              <w:rPr>
                <w:rFonts w:eastAsia="Times New Roman" w:cs="Times New Roman"/>
                <w:color w:val="FF0000"/>
                <w:sz w:val="18"/>
                <w:szCs w:val="18"/>
                <w:lang w:eastAsia="en-US"/>
              </w:rPr>
            </w:pPr>
            <w:r>
              <w:rPr>
                <w:color w:val="000000"/>
                <w:sz w:val="18"/>
                <w:szCs w:val="18"/>
              </w:rPr>
              <w:t>-1,2</w:t>
            </w:r>
          </w:p>
        </w:tc>
      </w:tr>
    </w:tbl>
    <w:p w14:paraId="6AFFB72D" w14:textId="77777777" w:rsidR="0027570C" w:rsidRPr="00F061D0" w:rsidRDefault="0027570C" w:rsidP="0027570C">
      <w:pPr>
        <w:spacing w:after="0"/>
        <w:ind w:firstLine="0"/>
        <w:rPr>
          <w:rFonts w:eastAsia="Calibri" w:cs="Times New Roman"/>
          <w:bCs/>
          <w:color w:val="FF0000"/>
          <w:szCs w:val="20"/>
          <w:lang w:eastAsia="en-US"/>
        </w:rPr>
      </w:pPr>
    </w:p>
    <w:p w14:paraId="6F23294A" w14:textId="77777777" w:rsidR="0027570C" w:rsidRPr="00C50141" w:rsidRDefault="0027570C" w:rsidP="0027570C">
      <w:pPr>
        <w:rPr>
          <w:rFonts w:eastAsia="Calibri" w:cs="Times New Roman"/>
          <w:bCs/>
          <w:noProof/>
          <w:szCs w:val="28"/>
          <w:lang w:eastAsia="en-US"/>
        </w:rPr>
      </w:pPr>
      <w:r w:rsidRPr="00C50141">
        <w:rPr>
          <w:rFonts w:eastAsia="Calibri" w:cs="Times New Roman"/>
          <w:bCs/>
          <w:noProof/>
          <w:szCs w:val="28"/>
          <w:lang w:eastAsia="en-US"/>
        </w:rPr>
        <w:t>Atbilstoši 2023. gada pavasara prognozēm EK sagaida, ka Latvijas vispārējās valdības budžeta deficīts 2023. gadā būs 3,8% no IKP un 2024. gadā būs 2,</w:t>
      </w:r>
      <w:r>
        <w:rPr>
          <w:rFonts w:eastAsia="Calibri" w:cs="Times New Roman"/>
          <w:bCs/>
          <w:noProof/>
          <w:szCs w:val="28"/>
          <w:lang w:eastAsia="en-US"/>
        </w:rPr>
        <w:t>8</w:t>
      </w:r>
      <w:r w:rsidRPr="00C50141">
        <w:rPr>
          <w:rFonts w:eastAsia="Calibri" w:cs="Times New Roman"/>
          <w:bCs/>
          <w:noProof/>
          <w:szCs w:val="28"/>
          <w:lang w:eastAsia="en-US"/>
        </w:rPr>
        <w:t>% no IKP. EK prognozētais deficīts 2023. gadam ir augstāks nekā FM novērtētais, pamatā ņemot vērā lielākus izdevumus subsīdijām, kas galvenokārt paredzētas energoatbalsta pasākumu finansēšanai, taču pamatojoties uz faktiskajiem izpildes datiem, redzams, ka izdevumi energoatbalstam 2023.</w:t>
      </w:r>
      <w:r>
        <w:rPr>
          <w:rFonts w:eastAsia="Calibri" w:cs="Times New Roman"/>
          <w:bCs/>
          <w:noProof/>
          <w:szCs w:val="28"/>
          <w:lang w:eastAsia="en-US"/>
        </w:rPr>
        <w:t> </w:t>
      </w:r>
      <w:r w:rsidRPr="00C50141">
        <w:rPr>
          <w:rFonts w:eastAsia="Calibri" w:cs="Times New Roman"/>
          <w:bCs/>
          <w:noProof/>
          <w:szCs w:val="28"/>
          <w:lang w:eastAsia="en-US"/>
        </w:rPr>
        <w:t xml:space="preserve">gadā visticamāk būs zemāki nekā plānots, un tas jau ir ņemts vērā FM prognozē. Savukārt, attiecībā uz 2024. gada vispārējās valdības budžeta deficītu FM prognoze </w:t>
      </w:r>
      <w:r>
        <w:rPr>
          <w:rFonts w:eastAsia="Calibri" w:cs="Times New Roman"/>
          <w:bCs/>
          <w:noProof/>
          <w:szCs w:val="28"/>
          <w:lang w:eastAsia="en-US"/>
        </w:rPr>
        <w:t xml:space="preserve"> kopumā būtiski </w:t>
      </w:r>
      <w:r w:rsidRPr="00C50141">
        <w:rPr>
          <w:rFonts w:eastAsia="Calibri" w:cs="Times New Roman"/>
          <w:bCs/>
          <w:noProof/>
          <w:szCs w:val="28"/>
          <w:lang w:eastAsia="en-US"/>
        </w:rPr>
        <w:t>neatsķiras no EK prognozēm.</w:t>
      </w:r>
      <w:r>
        <w:rPr>
          <w:rFonts w:eastAsia="Calibri" w:cs="Times New Roman"/>
          <w:bCs/>
          <w:noProof/>
          <w:szCs w:val="28"/>
          <w:lang w:eastAsia="en-US"/>
        </w:rPr>
        <w:t xml:space="preserve"> Jāņem gan vērā, ka 2024. gada budžeta izstrādē valdība apstiprinājusi virkni prioritāro pasākumu un sadalījusi fiskālo telpu, tādēļ ieņēmumu un izdevumu līmenis no EK prognozēm ir atšķirīgs.</w:t>
      </w:r>
    </w:p>
    <w:p w14:paraId="463E3DE3" w14:textId="2B7E3343" w:rsidR="003F3FCD" w:rsidRPr="004069EA" w:rsidRDefault="000548A5" w:rsidP="00920058">
      <w:pPr>
        <w:pStyle w:val="H2"/>
      </w:pPr>
      <w:r w:rsidRPr="004069EA">
        <w:t>2.3. Vidēja termiņa budžeta prioritārie attīstības virzieni</w:t>
      </w:r>
      <w:bookmarkEnd w:id="71"/>
    </w:p>
    <w:p w14:paraId="7ED434CB" w14:textId="0EF62DA5" w:rsidR="00166096" w:rsidRPr="00F05953" w:rsidRDefault="00166096" w:rsidP="00166096">
      <w:pPr>
        <w:shd w:val="clear" w:color="auto" w:fill="FFFFFF"/>
        <w:rPr>
          <w:rFonts w:eastAsia="Times New Roman" w:cs="Times New Roman"/>
          <w:szCs w:val="24"/>
        </w:rPr>
      </w:pPr>
      <w:r w:rsidRPr="00F05953">
        <w:rPr>
          <w:rFonts w:eastAsia="Times New Roman" w:cs="Times New Roman"/>
          <w:szCs w:val="20"/>
        </w:rPr>
        <w:t>202</w:t>
      </w:r>
      <w:r w:rsidR="00F05953" w:rsidRPr="00F05953">
        <w:rPr>
          <w:rFonts w:eastAsia="Times New Roman" w:cs="Times New Roman"/>
          <w:szCs w:val="20"/>
        </w:rPr>
        <w:t>3</w:t>
      </w:r>
      <w:r w:rsidRPr="00F05953">
        <w:rPr>
          <w:rFonts w:eastAsia="Times New Roman" w:cs="Times New Roman"/>
          <w:szCs w:val="20"/>
        </w:rPr>
        <w:t>. gada 1</w:t>
      </w:r>
      <w:r w:rsidR="00F05953" w:rsidRPr="00F05953">
        <w:rPr>
          <w:rFonts w:eastAsia="Times New Roman" w:cs="Times New Roman"/>
          <w:szCs w:val="20"/>
        </w:rPr>
        <w:t>5</w:t>
      </w:r>
      <w:r w:rsidRPr="00F05953">
        <w:rPr>
          <w:rFonts w:eastAsia="Times New Roman" w:cs="Times New Roman"/>
          <w:szCs w:val="20"/>
        </w:rPr>
        <w:t xml:space="preserve">. </w:t>
      </w:r>
      <w:r w:rsidR="00F05953" w:rsidRPr="00F05953">
        <w:rPr>
          <w:rFonts w:eastAsia="Times New Roman" w:cs="Times New Roman"/>
          <w:szCs w:val="20"/>
        </w:rPr>
        <w:t>septembr</w:t>
      </w:r>
      <w:r w:rsidRPr="00F05953">
        <w:rPr>
          <w:rFonts w:eastAsia="Times New Roman" w:cs="Times New Roman"/>
          <w:szCs w:val="20"/>
        </w:rPr>
        <w:t xml:space="preserve">ī Saeimas ārkārtas sēdē tika izteikta uzticība </w:t>
      </w:r>
      <w:r w:rsidR="0047535A">
        <w:rPr>
          <w:rFonts w:eastAsia="Times New Roman" w:cs="Times New Roman"/>
          <w:szCs w:val="20"/>
        </w:rPr>
        <w:t>MK</w:t>
      </w:r>
      <w:r w:rsidRPr="00F05953">
        <w:rPr>
          <w:rFonts w:eastAsia="Times New Roman" w:cs="Times New Roman"/>
          <w:szCs w:val="20"/>
        </w:rPr>
        <w:t xml:space="preserve"> un attiecīgi uzsākts budžeta 202</w:t>
      </w:r>
      <w:r w:rsidR="00F05953" w:rsidRPr="00F05953">
        <w:rPr>
          <w:rFonts w:eastAsia="Times New Roman" w:cs="Times New Roman"/>
          <w:szCs w:val="20"/>
        </w:rPr>
        <w:t>4</w:t>
      </w:r>
      <w:r w:rsidRPr="00F05953">
        <w:rPr>
          <w:rFonts w:eastAsia="Times New Roman" w:cs="Times New Roman"/>
          <w:szCs w:val="20"/>
        </w:rPr>
        <w:t>.</w:t>
      </w:r>
      <w:r w:rsidR="00DC6265" w:rsidRPr="00F05953">
        <w:rPr>
          <w:rFonts w:eastAsia="Times New Roman" w:cs="Times New Roman"/>
          <w:szCs w:val="20"/>
        </w:rPr>
        <w:t xml:space="preserve"> </w:t>
      </w:r>
      <w:r w:rsidRPr="00F05953">
        <w:rPr>
          <w:rFonts w:eastAsia="Times New Roman" w:cs="Times New Roman"/>
          <w:szCs w:val="20"/>
        </w:rPr>
        <w:t xml:space="preserve">gadam un vidējam termiņam veidošanas process. </w:t>
      </w:r>
    </w:p>
    <w:p w14:paraId="2DFA53D9" w14:textId="66A483C2" w:rsidR="00166096" w:rsidRPr="00911F3E" w:rsidRDefault="00F05953" w:rsidP="00166096">
      <w:pPr>
        <w:shd w:val="clear" w:color="auto" w:fill="FFFFFF"/>
        <w:rPr>
          <w:rFonts w:eastAsia="Times New Roman" w:cs="Times New Roman"/>
          <w:szCs w:val="24"/>
        </w:rPr>
      </w:pPr>
      <w:proofErr w:type="spellStart"/>
      <w:r w:rsidRPr="00F05953">
        <w:rPr>
          <w:rFonts w:eastAsia="Times New Roman" w:cs="Times New Roman"/>
          <w:szCs w:val="24"/>
        </w:rPr>
        <w:t>Evikas</w:t>
      </w:r>
      <w:proofErr w:type="spellEnd"/>
      <w:r w:rsidRPr="00F05953">
        <w:rPr>
          <w:rFonts w:eastAsia="Times New Roman" w:cs="Times New Roman"/>
          <w:szCs w:val="24"/>
        </w:rPr>
        <w:t xml:space="preserve"> Si</w:t>
      </w:r>
      <w:r w:rsidR="007C3576">
        <w:rPr>
          <w:rFonts w:eastAsia="Times New Roman" w:cs="Times New Roman"/>
          <w:szCs w:val="24"/>
        </w:rPr>
        <w:t>l</w:t>
      </w:r>
      <w:r w:rsidRPr="00F05953">
        <w:rPr>
          <w:rFonts w:eastAsia="Times New Roman" w:cs="Times New Roman"/>
          <w:szCs w:val="24"/>
        </w:rPr>
        <w:t>iņas</w:t>
      </w:r>
      <w:r w:rsidR="00166096" w:rsidRPr="00F05953">
        <w:rPr>
          <w:rFonts w:eastAsia="Times New Roman" w:cs="Times New Roman"/>
          <w:szCs w:val="24"/>
        </w:rPr>
        <w:t xml:space="preserve"> vadītais </w:t>
      </w:r>
      <w:r w:rsidR="0047535A">
        <w:rPr>
          <w:rFonts w:eastAsia="Times New Roman" w:cs="Times New Roman"/>
          <w:szCs w:val="24"/>
        </w:rPr>
        <w:t>MK</w:t>
      </w:r>
      <w:r w:rsidR="00166096" w:rsidRPr="00F05953">
        <w:rPr>
          <w:rFonts w:eastAsia="Times New Roman" w:cs="Times New Roman"/>
          <w:szCs w:val="24"/>
        </w:rPr>
        <w:t xml:space="preserve"> atbilstoši “Deklarācijai par iecerēto darbību”</w:t>
      </w:r>
      <w:r w:rsidR="00166096" w:rsidRPr="00F05953">
        <w:rPr>
          <w:rStyle w:val="FootnoteReference"/>
          <w:rFonts w:eastAsia="Times New Roman" w:cs="Times New Roman"/>
          <w:szCs w:val="24"/>
        </w:rPr>
        <w:footnoteReference w:id="24"/>
      </w:r>
      <w:r w:rsidR="00166096" w:rsidRPr="00F05953">
        <w:rPr>
          <w:rFonts w:eastAsia="Times New Roman" w:cs="Times New Roman"/>
          <w:szCs w:val="24"/>
        </w:rPr>
        <w:t xml:space="preserve"> </w:t>
      </w:r>
      <w:r w:rsidR="004D2FBC" w:rsidRPr="00F05953">
        <w:rPr>
          <w:rFonts w:eastAsia="Times New Roman" w:cs="Times New Roman"/>
          <w:szCs w:val="24"/>
        </w:rPr>
        <w:t>(turpmāk – Deklarācijā)</w:t>
      </w:r>
      <w:r w:rsidRPr="00F05953">
        <w:rPr>
          <w:rFonts w:eastAsia="Times New Roman" w:cs="Times New Roman"/>
          <w:szCs w:val="24"/>
        </w:rPr>
        <w:t>,</w:t>
      </w:r>
      <w:r w:rsidR="004D2FBC" w:rsidRPr="00F05953">
        <w:rPr>
          <w:rFonts w:eastAsia="Times New Roman" w:cs="Times New Roman"/>
          <w:szCs w:val="24"/>
        </w:rPr>
        <w:t xml:space="preserve"> </w:t>
      </w:r>
      <w:r w:rsidRPr="00F05953">
        <w:rPr>
          <w:rFonts w:eastAsia="Times New Roman" w:cs="Times New Roman"/>
          <w:szCs w:val="24"/>
        </w:rPr>
        <w:t xml:space="preserve">līdzīgi kā iepriekšējais, ir </w:t>
      </w:r>
      <w:r w:rsidR="00166096" w:rsidRPr="00F05953">
        <w:rPr>
          <w:rFonts w:eastAsia="Times New Roman" w:cs="Times New Roman"/>
          <w:szCs w:val="24"/>
        </w:rPr>
        <w:t>izvirzījis cilvēk</w:t>
      </w:r>
      <w:r w:rsidR="00DC6265" w:rsidRPr="00F05953">
        <w:rPr>
          <w:rFonts w:eastAsia="Times New Roman" w:cs="Times New Roman"/>
          <w:szCs w:val="24"/>
        </w:rPr>
        <w:t>u</w:t>
      </w:r>
      <w:r w:rsidR="00166096" w:rsidRPr="00F05953">
        <w:rPr>
          <w:rFonts w:eastAsia="Times New Roman" w:cs="Times New Roman"/>
          <w:szCs w:val="24"/>
        </w:rPr>
        <w:t xml:space="preserve"> par galveno Latvijas </w:t>
      </w:r>
      <w:r w:rsidR="00166096" w:rsidRPr="00911F3E">
        <w:rPr>
          <w:rFonts w:eastAsia="Times New Roman" w:cs="Times New Roman"/>
          <w:szCs w:val="24"/>
        </w:rPr>
        <w:t>vērtīb</w:t>
      </w:r>
      <w:r w:rsidR="00DC6265" w:rsidRPr="00911F3E">
        <w:rPr>
          <w:rFonts w:eastAsia="Times New Roman" w:cs="Times New Roman"/>
          <w:szCs w:val="24"/>
        </w:rPr>
        <w:t>u</w:t>
      </w:r>
      <w:r w:rsidR="00166096" w:rsidRPr="00911F3E">
        <w:rPr>
          <w:rFonts w:eastAsia="Times New Roman" w:cs="Times New Roman"/>
          <w:szCs w:val="24"/>
        </w:rPr>
        <w:t xml:space="preserve">. </w:t>
      </w:r>
    </w:p>
    <w:p w14:paraId="44D45C2A" w14:textId="1670C22D" w:rsidR="00F05953" w:rsidRPr="00911F3E" w:rsidRDefault="00166096" w:rsidP="00F05953">
      <w:pPr>
        <w:shd w:val="clear" w:color="auto" w:fill="FFFFFF"/>
        <w:rPr>
          <w:rFonts w:eastAsia="Times New Roman" w:cs="Times New Roman"/>
          <w:szCs w:val="24"/>
        </w:rPr>
      </w:pPr>
      <w:r w:rsidRPr="00911F3E">
        <w:rPr>
          <w:rFonts w:eastAsia="Times New Roman" w:cs="Times New Roman"/>
          <w:szCs w:val="24"/>
        </w:rPr>
        <w:t xml:space="preserve">Valdību veidojošie politiskie spēki apņēmušies īstenot politiku, kas </w:t>
      </w:r>
      <w:r w:rsidR="00F05953" w:rsidRPr="00911F3E">
        <w:rPr>
          <w:rFonts w:eastAsia="Times New Roman" w:cs="Times New Roman"/>
          <w:szCs w:val="24"/>
        </w:rPr>
        <w:t>veidos</w:t>
      </w:r>
      <w:r w:rsidRPr="00911F3E">
        <w:rPr>
          <w:rFonts w:eastAsia="Times New Roman" w:cs="Times New Roman"/>
          <w:szCs w:val="24"/>
        </w:rPr>
        <w:t xml:space="preserve"> Latvij</w:t>
      </w:r>
      <w:r w:rsidR="00F05953" w:rsidRPr="00911F3E">
        <w:rPr>
          <w:rFonts w:eastAsia="Times New Roman" w:cs="Times New Roman"/>
          <w:szCs w:val="24"/>
        </w:rPr>
        <w:t>u</w:t>
      </w:r>
      <w:r w:rsidRPr="00911F3E">
        <w:rPr>
          <w:rFonts w:eastAsia="Times New Roman" w:cs="Times New Roman"/>
          <w:szCs w:val="24"/>
        </w:rPr>
        <w:t xml:space="preserve"> </w:t>
      </w:r>
      <w:r w:rsidR="00F05953" w:rsidRPr="00911F3E">
        <w:rPr>
          <w:rFonts w:eastAsia="Times New Roman" w:cs="Times New Roman"/>
          <w:szCs w:val="24"/>
        </w:rPr>
        <w:t>par ilgtspējīgu valsti, uzlabojot ģimeņu dzīves kvalitāti, līdzsvarojot sociālo, ekonomikas un vides politiku dimensijas</w:t>
      </w:r>
      <w:r w:rsidRPr="00911F3E">
        <w:rPr>
          <w:rFonts w:eastAsia="Times New Roman" w:cs="Times New Roman"/>
          <w:szCs w:val="24"/>
        </w:rPr>
        <w:t xml:space="preserve">. </w:t>
      </w:r>
      <w:bookmarkStart w:id="72" w:name="_Hlk125536131"/>
      <w:r w:rsidR="00F05953" w:rsidRPr="00911F3E">
        <w:rPr>
          <w:rFonts w:eastAsia="Times New Roman" w:cs="Times New Roman"/>
          <w:szCs w:val="24"/>
        </w:rPr>
        <w:t xml:space="preserve">Laikā, kad pasaule piedzīvo ģeopolitiskus satricinājumus, </w:t>
      </w:r>
      <w:r w:rsidR="003D5C1C">
        <w:rPr>
          <w:rFonts w:eastAsia="Times New Roman" w:cs="Times New Roman"/>
          <w:szCs w:val="24"/>
        </w:rPr>
        <w:t>koalīciju veidojošās partijas</w:t>
      </w:r>
      <w:r w:rsidR="00F05953" w:rsidRPr="00911F3E">
        <w:rPr>
          <w:rFonts w:eastAsia="Times New Roman" w:cs="Times New Roman"/>
          <w:szCs w:val="24"/>
        </w:rPr>
        <w:t xml:space="preserve"> apvienojuš</w:t>
      </w:r>
      <w:r w:rsidR="003D5C1C">
        <w:rPr>
          <w:rFonts w:eastAsia="Times New Roman" w:cs="Times New Roman"/>
          <w:szCs w:val="24"/>
        </w:rPr>
        <w:t>ās</w:t>
      </w:r>
      <w:r w:rsidR="00F05953" w:rsidRPr="00911F3E">
        <w:rPr>
          <w:rFonts w:eastAsia="Times New Roman" w:cs="Times New Roman"/>
          <w:szCs w:val="24"/>
        </w:rPr>
        <w:t xml:space="preserve"> kopīgam darbam Latvijas </w:t>
      </w:r>
      <w:r w:rsidR="00F05953" w:rsidRPr="00911F3E">
        <w:rPr>
          <w:rFonts w:eastAsia="Times New Roman" w:cs="Times New Roman"/>
          <w:b/>
          <w:bCs/>
          <w:szCs w:val="24"/>
        </w:rPr>
        <w:t>drošības stiprināšanai, sabiedrības kopīgai izaugsmei, labklājībai šodienas un nākamajām paaudzēm</w:t>
      </w:r>
      <w:r w:rsidR="00F05953" w:rsidRPr="00911F3E">
        <w:rPr>
          <w:rFonts w:eastAsia="Times New Roman" w:cs="Times New Roman"/>
          <w:szCs w:val="24"/>
        </w:rPr>
        <w:t xml:space="preserve">. </w:t>
      </w:r>
    </w:p>
    <w:p w14:paraId="08011BDB" w14:textId="02D66C16" w:rsidR="00166096" w:rsidRPr="00F135D5" w:rsidRDefault="0047535A" w:rsidP="00F05953">
      <w:pPr>
        <w:shd w:val="clear" w:color="auto" w:fill="FFFFFF"/>
        <w:rPr>
          <w:rFonts w:cs="Times New Roman"/>
          <w:b/>
          <w:bCs/>
          <w:i/>
          <w:iCs/>
          <w:noProof/>
          <w:szCs w:val="24"/>
        </w:rPr>
      </w:pPr>
      <w:r>
        <w:rPr>
          <w:rFonts w:cs="Times New Roman"/>
          <w:szCs w:val="24"/>
        </w:rPr>
        <w:t>MK</w:t>
      </w:r>
      <w:r w:rsidR="00166096" w:rsidRPr="00F135D5">
        <w:rPr>
          <w:rFonts w:cs="Times New Roman"/>
          <w:szCs w:val="24"/>
        </w:rPr>
        <w:t xml:space="preserve"> 202</w:t>
      </w:r>
      <w:r w:rsidR="00F05953" w:rsidRPr="00F135D5">
        <w:rPr>
          <w:rFonts w:cs="Times New Roman"/>
          <w:szCs w:val="24"/>
        </w:rPr>
        <w:t>3</w:t>
      </w:r>
      <w:r w:rsidR="00166096" w:rsidRPr="00F135D5">
        <w:rPr>
          <w:rFonts w:cs="Times New Roman"/>
          <w:szCs w:val="24"/>
        </w:rPr>
        <w:t xml:space="preserve">. gada </w:t>
      </w:r>
      <w:r w:rsidR="00911F3E" w:rsidRPr="00F135D5">
        <w:rPr>
          <w:rFonts w:cs="Times New Roman"/>
          <w:szCs w:val="24"/>
        </w:rPr>
        <w:t>15.</w:t>
      </w:r>
      <w:r w:rsidR="004069EA">
        <w:rPr>
          <w:rFonts w:cs="Times New Roman"/>
          <w:szCs w:val="24"/>
        </w:rPr>
        <w:t xml:space="preserve"> </w:t>
      </w:r>
      <w:r w:rsidR="00911F3E" w:rsidRPr="00F135D5">
        <w:rPr>
          <w:rFonts w:cs="Times New Roman"/>
          <w:szCs w:val="24"/>
        </w:rPr>
        <w:t>augustā</w:t>
      </w:r>
      <w:r w:rsidR="00166096" w:rsidRPr="00F135D5">
        <w:rPr>
          <w:rFonts w:cs="Times New Roman"/>
          <w:szCs w:val="24"/>
        </w:rPr>
        <w:t xml:space="preserve"> sēdē, izskatot informatīvo ziņojumu „Par aktualizētām makroekonomisko rādītāju, ieņēmumu un vispārējās valdības budžeta bilances prognozēm 202</w:t>
      </w:r>
      <w:r w:rsidR="00911F3E" w:rsidRPr="00F135D5">
        <w:rPr>
          <w:rFonts w:cs="Times New Roman"/>
          <w:szCs w:val="24"/>
        </w:rPr>
        <w:t>4</w:t>
      </w:r>
      <w:r w:rsidR="00166096" w:rsidRPr="00F135D5">
        <w:rPr>
          <w:rFonts w:cs="Times New Roman"/>
          <w:szCs w:val="24"/>
        </w:rPr>
        <w:t>.–202</w:t>
      </w:r>
      <w:r w:rsidR="00911F3E" w:rsidRPr="00F135D5">
        <w:rPr>
          <w:rFonts w:cs="Times New Roman"/>
          <w:szCs w:val="24"/>
        </w:rPr>
        <w:t>6</w:t>
      </w:r>
      <w:r w:rsidR="00166096" w:rsidRPr="00F135D5">
        <w:rPr>
          <w:rFonts w:cs="Times New Roman"/>
          <w:szCs w:val="24"/>
        </w:rPr>
        <w:t>. gadā”</w:t>
      </w:r>
      <w:r w:rsidR="00911F3E" w:rsidRPr="00F135D5">
        <w:rPr>
          <w:rStyle w:val="FootnoteReference"/>
          <w:rFonts w:cs="Times New Roman"/>
          <w:szCs w:val="24"/>
        </w:rPr>
        <w:footnoteReference w:id="25"/>
      </w:r>
      <w:r w:rsidR="00166096" w:rsidRPr="00F135D5">
        <w:rPr>
          <w:rFonts w:cs="Times New Roman"/>
          <w:szCs w:val="24"/>
        </w:rPr>
        <w:t xml:space="preserve">, tika pieņemts zināšanai, ka </w:t>
      </w:r>
      <w:r w:rsidR="00911F3E" w:rsidRPr="00F135D5">
        <w:rPr>
          <w:rFonts w:cs="Times New Roman"/>
          <w:szCs w:val="24"/>
        </w:rPr>
        <w:t xml:space="preserve">vispārējās valdības budžeta bilance pie nemainīgas politikas tiek prognozēta 2024. gadā  -1 016,2 milj. </w:t>
      </w:r>
      <w:proofErr w:type="spellStart"/>
      <w:r w:rsidR="00911F3E" w:rsidRPr="00F135D5">
        <w:rPr>
          <w:rFonts w:cs="Times New Roman"/>
          <w:i/>
          <w:iCs/>
          <w:szCs w:val="24"/>
        </w:rPr>
        <w:t>euro</w:t>
      </w:r>
      <w:proofErr w:type="spellEnd"/>
      <w:r w:rsidR="00911F3E" w:rsidRPr="00F135D5">
        <w:rPr>
          <w:rFonts w:cs="Times New Roman"/>
          <w:szCs w:val="24"/>
        </w:rPr>
        <w:t xml:space="preserve"> jeb -2,2% no IKP, </w:t>
      </w:r>
      <w:r w:rsidR="00911F3E" w:rsidRPr="00F135D5">
        <w:rPr>
          <w:rFonts w:cs="Times New Roman"/>
          <w:szCs w:val="24"/>
        </w:rPr>
        <w:lastRenderedPageBreak/>
        <w:t xml:space="preserve">2025. gadā ir -640,2 milj. </w:t>
      </w:r>
      <w:proofErr w:type="spellStart"/>
      <w:r w:rsidR="00911F3E" w:rsidRPr="00F135D5">
        <w:rPr>
          <w:rFonts w:cs="Times New Roman"/>
          <w:i/>
          <w:iCs/>
          <w:szCs w:val="24"/>
        </w:rPr>
        <w:t>euro</w:t>
      </w:r>
      <w:proofErr w:type="spellEnd"/>
      <w:r w:rsidR="00911F3E" w:rsidRPr="00F135D5">
        <w:rPr>
          <w:rFonts w:cs="Times New Roman"/>
          <w:szCs w:val="24"/>
        </w:rPr>
        <w:t xml:space="preserve"> jeb -1,3% no IKP un 2026. gadā ir 71,2 milj. </w:t>
      </w:r>
      <w:proofErr w:type="spellStart"/>
      <w:r w:rsidR="00911F3E" w:rsidRPr="00F135D5">
        <w:rPr>
          <w:rFonts w:cs="Times New Roman"/>
          <w:i/>
          <w:iCs/>
          <w:szCs w:val="24"/>
        </w:rPr>
        <w:t>euro</w:t>
      </w:r>
      <w:proofErr w:type="spellEnd"/>
      <w:r w:rsidR="00911F3E" w:rsidRPr="00F135D5">
        <w:rPr>
          <w:rFonts w:cs="Times New Roman"/>
          <w:szCs w:val="24"/>
        </w:rPr>
        <w:t xml:space="preserve"> jeb 0,1% no IKP</w:t>
      </w:r>
      <w:r w:rsidR="00166096" w:rsidRPr="00F135D5">
        <w:rPr>
          <w:rFonts w:cs="Times New Roman"/>
          <w:noProof/>
          <w:szCs w:val="24"/>
        </w:rPr>
        <w:t xml:space="preserve"> un tika noteikts, ka </w:t>
      </w:r>
      <w:r w:rsidR="00911F3E" w:rsidRPr="006638AB">
        <w:rPr>
          <w:rFonts w:cs="Times New Roman"/>
          <w:b/>
          <w:bCs/>
          <w:noProof/>
          <w:szCs w:val="24"/>
        </w:rPr>
        <w:t>f</w:t>
      </w:r>
      <w:r w:rsidR="00911F3E" w:rsidRPr="00F135D5">
        <w:rPr>
          <w:rFonts w:cs="Times New Roman"/>
          <w:b/>
          <w:bCs/>
          <w:noProof/>
          <w:szCs w:val="24"/>
        </w:rPr>
        <w:t xml:space="preserve">iskālā telpa 2024. gadā ir 148,4 milj. </w:t>
      </w:r>
      <w:r w:rsidR="00911F3E" w:rsidRPr="00F135D5">
        <w:rPr>
          <w:rFonts w:cs="Times New Roman"/>
          <w:b/>
          <w:bCs/>
          <w:i/>
          <w:iCs/>
          <w:noProof/>
          <w:szCs w:val="24"/>
        </w:rPr>
        <w:t>euro</w:t>
      </w:r>
      <w:r w:rsidR="00911F3E" w:rsidRPr="00F135D5">
        <w:rPr>
          <w:rFonts w:cs="Times New Roman"/>
          <w:b/>
          <w:bCs/>
          <w:noProof/>
          <w:szCs w:val="24"/>
        </w:rPr>
        <w:t xml:space="preserve">, 2025. gadā ir 450,3 milj. </w:t>
      </w:r>
      <w:r w:rsidR="00911F3E" w:rsidRPr="00F135D5">
        <w:rPr>
          <w:rFonts w:cs="Times New Roman"/>
          <w:b/>
          <w:bCs/>
          <w:i/>
          <w:iCs/>
          <w:noProof/>
          <w:szCs w:val="24"/>
        </w:rPr>
        <w:t>euro</w:t>
      </w:r>
      <w:r w:rsidR="00911F3E" w:rsidRPr="00F135D5">
        <w:rPr>
          <w:rFonts w:cs="Times New Roman"/>
          <w:b/>
          <w:bCs/>
          <w:noProof/>
          <w:szCs w:val="24"/>
        </w:rPr>
        <w:t xml:space="preserve"> un 2026. gadā ir 684,3 milj. </w:t>
      </w:r>
      <w:r w:rsidR="00911F3E" w:rsidRPr="00F135D5">
        <w:rPr>
          <w:rFonts w:cs="Times New Roman"/>
          <w:b/>
          <w:bCs/>
          <w:i/>
          <w:iCs/>
          <w:noProof/>
          <w:szCs w:val="24"/>
        </w:rPr>
        <w:t>euro</w:t>
      </w:r>
      <w:r w:rsidR="00911F3E" w:rsidRPr="00F135D5">
        <w:rPr>
          <w:rFonts w:cs="Times New Roman"/>
          <w:b/>
          <w:bCs/>
          <w:noProof/>
          <w:szCs w:val="24"/>
        </w:rPr>
        <w:t>, neskaitot vienreizējos pasākumus</w:t>
      </w:r>
      <w:r w:rsidR="00166096" w:rsidRPr="00F135D5">
        <w:rPr>
          <w:rFonts w:cs="Times New Roman"/>
          <w:b/>
          <w:bCs/>
          <w:noProof/>
          <w:szCs w:val="24"/>
        </w:rPr>
        <w:t>.</w:t>
      </w:r>
    </w:p>
    <w:p w14:paraId="354D40D3" w14:textId="47B6A6DB" w:rsidR="005234D9" w:rsidRDefault="00166096" w:rsidP="005234D9">
      <w:pPr>
        <w:rPr>
          <w:rFonts w:eastAsia="Times New Roman" w:cs="Times New Roman"/>
          <w:szCs w:val="24"/>
        </w:rPr>
      </w:pPr>
      <w:r w:rsidRPr="00B34FDF">
        <w:rPr>
          <w:rFonts w:eastAsia="Times New Roman" w:cs="Times New Roman"/>
          <w:szCs w:val="24"/>
        </w:rPr>
        <w:t xml:space="preserve">Valdību veidojošo partiju pārstāvji ir plaši izdiskutējuši ministriju un citu centrālo valsts, tai skaitā neatkarīgo iestāžu, finansējuma pieprasījumus prioritārajiem pasākumiem un vienojušies par </w:t>
      </w:r>
      <w:r w:rsidR="00455212">
        <w:rPr>
          <w:rFonts w:eastAsia="Times New Roman" w:cs="Times New Roman"/>
          <w:szCs w:val="24"/>
        </w:rPr>
        <w:t xml:space="preserve">kopējo </w:t>
      </w:r>
      <w:r w:rsidR="00E21284" w:rsidRPr="00B34FDF">
        <w:rPr>
          <w:rFonts w:eastAsia="Times New Roman" w:cs="Times New Roman"/>
          <w:szCs w:val="24"/>
        </w:rPr>
        <w:t xml:space="preserve">papildus </w:t>
      </w:r>
      <w:r w:rsidRPr="00B34FDF">
        <w:rPr>
          <w:rFonts w:eastAsia="Times New Roman" w:cs="Times New Roman"/>
          <w:szCs w:val="24"/>
        </w:rPr>
        <w:t xml:space="preserve">atbalstu </w:t>
      </w:r>
      <w:r w:rsidR="00455212" w:rsidRPr="00B34FDF">
        <w:rPr>
          <w:rFonts w:eastAsia="Times New Roman" w:cs="Times New Roman"/>
          <w:szCs w:val="24"/>
        </w:rPr>
        <w:t>valsts</w:t>
      </w:r>
      <w:r w:rsidR="00776128">
        <w:rPr>
          <w:rFonts w:eastAsia="Times New Roman" w:cs="Times New Roman"/>
          <w:szCs w:val="24"/>
        </w:rPr>
        <w:t xml:space="preserve">, </w:t>
      </w:r>
      <w:r w:rsidR="00455212" w:rsidRPr="00B34FDF">
        <w:rPr>
          <w:rFonts w:eastAsia="Times New Roman" w:cs="Times New Roman"/>
          <w:szCs w:val="24"/>
        </w:rPr>
        <w:t xml:space="preserve">nozaru </w:t>
      </w:r>
      <w:r w:rsidR="00776128">
        <w:rPr>
          <w:rFonts w:eastAsia="Times New Roman" w:cs="Times New Roman"/>
          <w:szCs w:val="24"/>
        </w:rPr>
        <w:t xml:space="preserve">u.c. </w:t>
      </w:r>
      <w:r w:rsidR="003509CE" w:rsidRPr="00B34FDF">
        <w:rPr>
          <w:rFonts w:eastAsia="Times New Roman" w:cs="Times New Roman"/>
          <w:szCs w:val="24"/>
        </w:rPr>
        <w:t xml:space="preserve">prioritātēm  </w:t>
      </w:r>
      <w:r w:rsidR="00D458F6" w:rsidRPr="00B34FDF">
        <w:rPr>
          <w:rFonts w:eastAsia="Times New Roman" w:cs="Times New Roman"/>
          <w:szCs w:val="24"/>
        </w:rPr>
        <w:t>2,</w:t>
      </w:r>
      <w:r w:rsidR="00AD4177">
        <w:rPr>
          <w:rFonts w:eastAsia="Times New Roman" w:cs="Times New Roman"/>
          <w:szCs w:val="24"/>
        </w:rPr>
        <w:t>35</w:t>
      </w:r>
      <w:r w:rsidR="00D458F6" w:rsidRPr="00B34FDF">
        <w:rPr>
          <w:rFonts w:eastAsia="Times New Roman" w:cs="Times New Roman"/>
          <w:szCs w:val="24"/>
        </w:rPr>
        <w:t xml:space="preserve"> mljrd. </w:t>
      </w:r>
      <w:proofErr w:type="spellStart"/>
      <w:r w:rsidR="00D458F6" w:rsidRPr="00B34FDF">
        <w:rPr>
          <w:rFonts w:eastAsia="Times New Roman" w:cs="Times New Roman"/>
          <w:i/>
          <w:iCs/>
          <w:szCs w:val="24"/>
        </w:rPr>
        <w:t>euro</w:t>
      </w:r>
      <w:proofErr w:type="spellEnd"/>
      <w:r w:rsidR="00D458F6" w:rsidRPr="00B34FDF">
        <w:rPr>
          <w:rFonts w:eastAsia="Times New Roman" w:cs="Times New Roman"/>
          <w:i/>
          <w:iCs/>
          <w:szCs w:val="24"/>
        </w:rPr>
        <w:t xml:space="preserve"> </w:t>
      </w:r>
      <w:r w:rsidR="00D458F6" w:rsidRPr="00B34FDF">
        <w:rPr>
          <w:rFonts w:eastAsia="Times New Roman" w:cs="Times New Roman"/>
          <w:szCs w:val="24"/>
        </w:rPr>
        <w:t xml:space="preserve">apmērā, t.sk. 783,4 milj. </w:t>
      </w:r>
      <w:proofErr w:type="spellStart"/>
      <w:r w:rsidR="00D458F6" w:rsidRPr="00B34FDF">
        <w:rPr>
          <w:rFonts w:eastAsia="Times New Roman" w:cs="Times New Roman"/>
          <w:i/>
          <w:iCs/>
          <w:szCs w:val="24"/>
        </w:rPr>
        <w:t>euro</w:t>
      </w:r>
      <w:proofErr w:type="spellEnd"/>
      <w:r w:rsidR="00D458F6" w:rsidRPr="00B34FDF">
        <w:rPr>
          <w:rFonts w:eastAsia="Times New Roman" w:cs="Times New Roman"/>
          <w:szCs w:val="24"/>
        </w:rPr>
        <w:t xml:space="preserve"> 2024. gadam (1,7% no IKP), 720,4 milj. </w:t>
      </w:r>
      <w:proofErr w:type="spellStart"/>
      <w:r w:rsidR="00D458F6" w:rsidRPr="00B34FDF">
        <w:rPr>
          <w:rFonts w:eastAsia="Times New Roman" w:cs="Times New Roman"/>
          <w:i/>
          <w:iCs/>
          <w:szCs w:val="24"/>
        </w:rPr>
        <w:t>euro</w:t>
      </w:r>
      <w:proofErr w:type="spellEnd"/>
      <w:r w:rsidR="00D458F6" w:rsidRPr="00B34FDF">
        <w:rPr>
          <w:rFonts w:eastAsia="Times New Roman" w:cs="Times New Roman"/>
          <w:szCs w:val="24"/>
        </w:rPr>
        <w:t xml:space="preserve"> (1,5% no IKP) 2025. gadam un 846,9 milj. </w:t>
      </w:r>
      <w:proofErr w:type="spellStart"/>
      <w:r w:rsidR="00D458F6" w:rsidRPr="00B34FDF">
        <w:rPr>
          <w:rFonts w:eastAsia="Times New Roman" w:cs="Times New Roman"/>
          <w:i/>
          <w:iCs/>
          <w:szCs w:val="24"/>
        </w:rPr>
        <w:t>euro</w:t>
      </w:r>
      <w:proofErr w:type="spellEnd"/>
      <w:r w:rsidR="00D458F6" w:rsidRPr="00B34FDF">
        <w:rPr>
          <w:rFonts w:eastAsia="Times New Roman" w:cs="Times New Roman"/>
          <w:szCs w:val="24"/>
        </w:rPr>
        <w:t xml:space="preserve"> (1,7% no IKP) 2026. gadam</w:t>
      </w:r>
      <w:r w:rsidR="00455212">
        <w:rPr>
          <w:rFonts w:eastAsia="Times New Roman" w:cs="Times New Roman"/>
          <w:szCs w:val="24"/>
        </w:rPr>
        <w:t xml:space="preserve">, </w:t>
      </w:r>
      <w:r w:rsidR="00455212" w:rsidRPr="00455212">
        <w:rPr>
          <w:rFonts w:eastAsia="Times New Roman" w:cs="Times New Roman"/>
          <w:szCs w:val="24"/>
        </w:rPr>
        <w:t>piedāvā</w:t>
      </w:r>
      <w:r w:rsidR="00455212">
        <w:rPr>
          <w:rFonts w:eastAsia="Times New Roman" w:cs="Times New Roman"/>
          <w:szCs w:val="24"/>
        </w:rPr>
        <w:t>jot</w:t>
      </w:r>
      <w:r w:rsidR="00455212" w:rsidRPr="00455212">
        <w:rPr>
          <w:rFonts w:eastAsia="Times New Roman" w:cs="Times New Roman"/>
          <w:szCs w:val="24"/>
        </w:rPr>
        <w:t xml:space="preserve"> īstenot tādus prioritāros pasākumus, kas nodrošinās sabalansētu valdības deklarācijā iekļauto mērķu sasniegšanu.</w:t>
      </w:r>
      <w:r w:rsidR="00B34FDF">
        <w:rPr>
          <w:rFonts w:eastAsia="Times New Roman" w:cs="Times New Roman"/>
          <w:szCs w:val="24"/>
        </w:rPr>
        <w:t xml:space="preserve"> </w:t>
      </w:r>
      <w:r w:rsidR="003810CB" w:rsidRPr="00455212">
        <w:rPr>
          <w:rFonts w:eastAsia="Times New Roman" w:cs="Times New Roman"/>
          <w:szCs w:val="24"/>
        </w:rPr>
        <w:t xml:space="preserve">Papildus jau esošajām valsts programmām, prioritāro pasākumu īstenošanai tiks izmantoti līdzekļi no fiskālās telpas, budžeta izpildes procesā pārdalāmie finanšu līdzekļi </w:t>
      </w:r>
      <w:r w:rsidR="00776128">
        <w:rPr>
          <w:rFonts w:eastAsia="Times New Roman" w:cs="Times New Roman"/>
          <w:szCs w:val="24"/>
        </w:rPr>
        <w:t xml:space="preserve">(t.sk. </w:t>
      </w:r>
      <w:r w:rsidR="003810CB" w:rsidRPr="00455212">
        <w:rPr>
          <w:rFonts w:eastAsia="Times New Roman" w:cs="Times New Roman"/>
          <w:szCs w:val="24"/>
        </w:rPr>
        <w:t>papildu iemaksas valsts budžetā no valsts kapitālsabiedrībām</w:t>
      </w:r>
      <w:r w:rsidR="00776128">
        <w:rPr>
          <w:rFonts w:eastAsia="Times New Roman" w:cs="Times New Roman"/>
          <w:szCs w:val="24"/>
        </w:rPr>
        <w:t>)</w:t>
      </w:r>
      <w:r w:rsidR="003810CB" w:rsidRPr="00455212">
        <w:rPr>
          <w:rFonts w:eastAsia="Times New Roman" w:cs="Times New Roman"/>
          <w:szCs w:val="24"/>
        </w:rPr>
        <w:t>, vienreizējiem pasākumiem finansējums ir paredzēts ārpus fiskālās telpas</w:t>
      </w:r>
      <w:r w:rsidR="003810CB" w:rsidRPr="005234D9">
        <w:rPr>
          <w:rFonts w:eastAsia="Times New Roman" w:cs="Times New Roman"/>
          <w:szCs w:val="24"/>
        </w:rPr>
        <w:t xml:space="preserve">. </w:t>
      </w:r>
      <w:r w:rsidR="00776128" w:rsidRPr="005234D9">
        <w:rPr>
          <w:rFonts w:eastAsia="Times New Roman" w:cs="Times New Roman"/>
          <w:szCs w:val="24"/>
        </w:rPr>
        <w:t xml:space="preserve">Jāatzīmē, ka 2026.gadam </w:t>
      </w:r>
      <w:r w:rsidR="00F466C8" w:rsidRPr="005234D9">
        <w:rPr>
          <w:rFonts w:eastAsia="Times New Roman" w:cs="Times New Roman"/>
          <w:szCs w:val="24"/>
        </w:rPr>
        <w:t xml:space="preserve">sākotnēji </w:t>
      </w:r>
      <w:r w:rsidR="00776128" w:rsidRPr="005234D9">
        <w:rPr>
          <w:rFonts w:eastAsia="Times New Roman" w:cs="Times New Roman"/>
          <w:szCs w:val="24"/>
        </w:rPr>
        <w:t xml:space="preserve">noteiktā fiskālā telpa ir sadalīta daļēji, tās atlikums veido 68,9 milj. </w:t>
      </w:r>
      <w:proofErr w:type="spellStart"/>
      <w:r w:rsidR="00776128" w:rsidRPr="005234D9">
        <w:rPr>
          <w:rFonts w:eastAsia="Times New Roman" w:cs="Times New Roman"/>
          <w:i/>
          <w:iCs/>
          <w:szCs w:val="24"/>
        </w:rPr>
        <w:t>euro</w:t>
      </w:r>
      <w:proofErr w:type="spellEnd"/>
      <w:r w:rsidR="00776128" w:rsidRPr="005234D9">
        <w:rPr>
          <w:rFonts w:eastAsia="Times New Roman" w:cs="Times New Roman"/>
          <w:szCs w:val="24"/>
        </w:rPr>
        <w:t>.</w:t>
      </w:r>
      <w:r w:rsidR="005234D9">
        <w:rPr>
          <w:rFonts w:eastAsia="Times New Roman" w:cs="Times New Roman"/>
          <w:szCs w:val="24"/>
        </w:rPr>
        <w:t xml:space="preserve"> </w:t>
      </w:r>
    </w:p>
    <w:p w14:paraId="57CD21A3" w14:textId="53B6FBD2" w:rsidR="003810CB" w:rsidRDefault="00776128" w:rsidP="00776128">
      <w:pPr>
        <w:shd w:val="clear" w:color="auto" w:fill="FFFFFF"/>
        <w:ind w:firstLine="0"/>
        <w:jc w:val="center"/>
        <w:rPr>
          <w:rFonts w:eastAsia="Times New Roman" w:cs="Times New Roman"/>
          <w:szCs w:val="24"/>
        </w:rPr>
      </w:pPr>
      <w:r>
        <w:rPr>
          <w:rFonts w:eastAsia="Times New Roman" w:cs="Times New Roman"/>
          <w:noProof/>
          <w:szCs w:val="24"/>
        </w:rPr>
        <w:drawing>
          <wp:inline distT="0" distB="0" distL="0" distR="0" wp14:anchorId="406577E3" wp14:editId="2A9B4A84">
            <wp:extent cx="5127141" cy="2650606"/>
            <wp:effectExtent l="19050" t="19050" r="16510" b="16510"/>
            <wp:docPr id="18411104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51607" cy="2663255"/>
                    </a:xfrm>
                    <a:prstGeom prst="rect">
                      <a:avLst/>
                    </a:prstGeom>
                    <a:noFill/>
                    <a:ln>
                      <a:solidFill>
                        <a:schemeClr val="tx2"/>
                      </a:solidFill>
                    </a:ln>
                  </pic:spPr>
                </pic:pic>
              </a:graphicData>
            </a:graphic>
          </wp:inline>
        </w:drawing>
      </w:r>
    </w:p>
    <w:p w14:paraId="13B1E699" w14:textId="7B97A220" w:rsidR="00776128" w:rsidRPr="0054181D" w:rsidRDefault="00776128" w:rsidP="00776128">
      <w:pPr>
        <w:spacing w:after="0"/>
        <w:jc w:val="center"/>
        <w:rPr>
          <w:b/>
          <w:bCs/>
          <w:i/>
          <w:iCs/>
        </w:rPr>
      </w:pPr>
      <w:r w:rsidRPr="005273F0">
        <w:rPr>
          <w:rFonts w:cs="Times New Roman"/>
          <w:b/>
          <w:bCs/>
          <w:i/>
          <w:iCs/>
          <w:szCs w:val="24"/>
        </w:rPr>
        <w:t>2.</w:t>
      </w:r>
      <w:r w:rsidR="005273F0" w:rsidRPr="005273F0">
        <w:rPr>
          <w:rFonts w:cs="Times New Roman"/>
          <w:b/>
          <w:bCs/>
          <w:i/>
          <w:iCs/>
          <w:szCs w:val="24"/>
        </w:rPr>
        <w:t>3</w:t>
      </w:r>
      <w:r w:rsidRPr="005273F0">
        <w:rPr>
          <w:rFonts w:cs="Times New Roman"/>
          <w:b/>
          <w:bCs/>
          <w:i/>
          <w:iCs/>
          <w:szCs w:val="24"/>
        </w:rPr>
        <w:t>.</w:t>
      </w:r>
      <w:r w:rsidRPr="0054181D">
        <w:rPr>
          <w:rFonts w:cs="Times New Roman"/>
          <w:b/>
          <w:bCs/>
          <w:i/>
          <w:iCs/>
          <w:szCs w:val="24"/>
        </w:rPr>
        <w:t xml:space="preserve"> att. Prioritāro pasākumu finansējuma avoti</w:t>
      </w:r>
      <w:r w:rsidRPr="0054181D">
        <w:rPr>
          <w:b/>
          <w:bCs/>
          <w:i/>
          <w:iCs/>
        </w:rPr>
        <w:t xml:space="preserve"> </w:t>
      </w:r>
    </w:p>
    <w:p w14:paraId="2995FFFB" w14:textId="77777777" w:rsidR="00E06683" w:rsidRDefault="00E06683" w:rsidP="00166096">
      <w:pPr>
        <w:shd w:val="clear" w:color="auto" w:fill="FFFFFF"/>
        <w:rPr>
          <w:rFonts w:eastAsia="Times New Roman" w:cs="Times New Roman"/>
          <w:szCs w:val="24"/>
        </w:rPr>
      </w:pPr>
    </w:p>
    <w:p w14:paraId="2D9657EF" w14:textId="163FD333" w:rsidR="00166096" w:rsidRDefault="00455212" w:rsidP="00166096">
      <w:pPr>
        <w:shd w:val="clear" w:color="auto" w:fill="FFFFFF"/>
        <w:rPr>
          <w:rFonts w:eastAsia="Times New Roman" w:cs="Times New Roman"/>
          <w:szCs w:val="24"/>
        </w:rPr>
      </w:pPr>
      <w:r>
        <w:rPr>
          <w:rFonts w:eastAsia="Times New Roman" w:cs="Times New Roman"/>
          <w:szCs w:val="24"/>
        </w:rPr>
        <w:t xml:space="preserve">Vairāk kā 70% jeb </w:t>
      </w:r>
      <w:r w:rsidRPr="00B34FDF">
        <w:rPr>
          <w:rFonts w:eastAsia="Times New Roman" w:cs="Times New Roman"/>
          <w:b/>
          <w:bCs/>
          <w:szCs w:val="24"/>
        </w:rPr>
        <w:t xml:space="preserve">1,7 mljrd. </w:t>
      </w:r>
      <w:proofErr w:type="spellStart"/>
      <w:r w:rsidRPr="00B34FDF">
        <w:rPr>
          <w:rFonts w:eastAsia="Times New Roman" w:cs="Times New Roman"/>
          <w:b/>
          <w:bCs/>
          <w:i/>
          <w:iCs/>
          <w:szCs w:val="24"/>
        </w:rPr>
        <w:t>euro</w:t>
      </w:r>
      <w:proofErr w:type="spellEnd"/>
      <w:r w:rsidRPr="00B34FDF">
        <w:rPr>
          <w:rFonts w:eastAsia="Times New Roman" w:cs="Times New Roman"/>
          <w:i/>
          <w:iCs/>
          <w:szCs w:val="24"/>
        </w:rPr>
        <w:t xml:space="preserve"> </w:t>
      </w:r>
      <w:r>
        <w:rPr>
          <w:rFonts w:eastAsia="Times New Roman" w:cs="Times New Roman"/>
          <w:szCs w:val="24"/>
        </w:rPr>
        <w:t xml:space="preserve">no minētā finansējuma iezīmēti </w:t>
      </w:r>
      <w:r w:rsidRPr="00455212">
        <w:rPr>
          <w:rFonts w:eastAsia="Times New Roman" w:cs="Times New Roman"/>
          <w:b/>
          <w:bCs/>
          <w:szCs w:val="24"/>
        </w:rPr>
        <w:t>vidēja termiņa budžeta prioritātēm</w:t>
      </w:r>
      <w:r w:rsidR="00166096" w:rsidRPr="00B34FDF">
        <w:rPr>
          <w:rFonts w:eastAsia="Times New Roman" w:cs="Times New Roman"/>
          <w:szCs w:val="24"/>
        </w:rPr>
        <w:t xml:space="preserve">, t.sk. </w:t>
      </w:r>
      <w:r w:rsidR="003509CE" w:rsidRPr="00B34FDF">
        <w:rPr>
          <w:rFonts w:eastAsia="Times New Roman" w:cs="Times New Roman"/>
          <w:szCs w:val="24"/>
        </w:rPr>
        <w:t>486,2</w:t>
      </w:r>
      <w:r w:rsidR="00166096" w:rsidRPr="00B34FDF">
        <w:rPr>
          <w:rFonts w:eastAsia="Times New Roman" w:cs="Times New Roman"/>
          <w:szCs w:val="24"/>
        </w:rPr>
        <w:t xml:space="preserve"> milj. </w:t>
      </w:r>
      <w:proofErr w:type="spellStart"/>
      <w:r w:rsidR="00166096" w:rsidRPr="00B34FDF">
        <w:rPr>
          <w:rFonts w:eastAsia="Times New Roman" w:cs="Times New Roman"/>
          <w:i/>
          <w:iCs/>
          <w:szCs w:val="24"/>
        </w:rPr>
        <w:t>euro</w:t>
      </w:r>
      <w:proofErr w:type="spellEnd"/>
      <w:r w:rsidR="00166096" w:rsidRPr="00B34FDF">
        <w:rPr>
          <w:rFonts w:eastAsia="Times New Roman" w:cs="Times New Roman"/>
          <w:szCs w:val="24"/>
        </w:rPr>
        <w:t xml:space="preserve"> 202</w:t>
      </w:r>
      <w:r w:rsidR="003509CE" w:rsidRPr="00B34FDF">
        <w:rPr>
          <w:rFonts w:eastAsia="Times New Roman" w:cs="Times New Roman"/>
          <w:szCs w:val="24"/>
        </w:rPr>
        <w:t>4</w:t>
      </w:r>
      <w:r w:rsidR="00166096" w:rsidRPr="00B34FDF">
        <w:rPr>
          <w:rFonts w:eastAsia="Times New Roman" w:cs="Times New Roman"/>
          <w:szCs w:val="24"/>
        </w:rPr>
        <w:t>.</w:t>
      </w:r>
      <w:r w:rsidR="00DC6265" w:rsidRPr="00B34FDF">
        <w:rPr>
          <w:rFonts w:eastAsia="Times New Roman" w:cs="Times New Roman"/>
          <w:szCs w:val="24"/>
        </w:rPr>
        <w:t xml:space="preserve"> </w:t>
      </w:r>
      <w:r w:rsidR="00166096" w:rsidRPr="00B34FDF">
        <w:rPr>
          <w:rFonts w:eastAsia="Times New Roman" w:cs="Times New Roman"/>
          <w:szCs w:val="24"/>
        </w:rPr>
        <w:t>gada</w:t>
      </w:r>
      <w:r w:rsidR="00C030DA" w:rsidRPr="00B34FDF">
        <w:rPr>
          <w:rFonts w:eastAsia="Times New Roman" w:cs="Times New Roman"/>
          <w:szCs w:val="24"/>
        </w:rPr>
        <w:t>m</w:t>
      </w:r>
      <w:r w:rsidR="00166096" w:rsidRPr="00B34FDF">
        <w:rPr>
          <w:rFonts w:eastAsia="Times New Roman" w:cs="Times New Roman"/>
          <w:szCs w:val="24"/>
        </w:rPr>
        <w:t xml:space="preserve"> (1,</w:t>
      </w:r>
      <w:r w:rsidR="003509CE" w:rsidRPr="00B34FDF">
        <w:rPr>
          <w:rFonts w:eastAsia="Times New Roman" w:cs="Times New Roman"/>
          <w:szCs w:val="24"/>
        </w:rPr>
        <w:t>1</w:t>
      </w:r>
      <w:r w:rsidR="00166096" w:rsidRPr="00B34FDF">
        <w:rPr>
          <w:rFonts w:eastAsia="Times New Roman" w:cs="Times New Roman"/>
          <w:szCs w:val="24"/>
        </w:rPr>
        <w:t xml:space="preserve">% no IKP), </w:t>
      </w:r>
      <w:r w:rsidR="003509CE" w:rsidRPr="00B34FDF">
        <w:rPr>
          <w:rFonts w:eastAsia="Times New Roman" w:cs="Times New Roman"/>
          <w:szCs w:val="24"/>
        </w:rPr>
        <w:t>541,3</w:t>
      </w:r>
      <w:r w:rsidR="00166096" w:rsidRPr="00B34FDF">
        <w:rPr>
          <w:rFonts w:eastAsia="Times New Roman" w:cs="Times New Roman"/>
          <w:szCs w:val="24"/>
        </w:rPr>
        <w:t xml:space="preserve"> milj. </w:t>
      </w:r>
      <w:proofErr w:type="spellStart"/>
      <w:r w:rsidR="00166096" w:rsidRPr="00B34FDF">
        <w:rPr>
          <w:rFonts w:eastAsia="Times New Roman" w:cs="Times New Roman"/>
          <w:i/>
          <w:iCs/>
          <w:szCs w:val="24"/>
        </w:rPr>
        <w:t>euro</w:t>
      </w:r>
      <w:proofErr w:type="spellEnd"/>
      <w:r w:rsidR="00166096" w:rsidRPr="00B34FDF">
        <w:rPr>
          <w:rFonts w:eastAsia="Times New Roman" w:cs="Times New Roman"/>
          <w:szCs w:val="24"/>
        </w:rPr>
        <w:t xml:space="preserve"> (</w:t>
      </w:r>
      <w:r w:rsidR="003509CE" w:rsidRPr="00B34FDF">
        <w:rPr>
          <w:rFonts w:eastAsia="Times New Roman" w:cs="Times New Roman"/>
          <w:szCs w:val="24"/>
        </w:rPr>
        <w:t>1,1</w:t>
      </w:r>
      <w:r w:rsidR="00166096" w:rsidRPr="00B34FDF">
        <w:rPr>
          <w:rFonts w:eastAsia="Times New Roman" w:cs="Times New Roman"/>
          <w:szCs w:val="24"/>
        </w:rPr>
        <w:t>% no IKP)</w:t>
      </w:r>
      <w:r w:rsidR="00C030DA" w:rsidRPr="00B34FDF">
        <w:rPr>
          <w:rFonts w:eastAsia="Times New Roman" w:cs="Times New Roman"/>
          <w:szCs w:val="24"/>
        </w:rPr>
        <w:t xml:space="preserve"> 202</w:t>
      </w:r>
      <w:r w:rsidR="003509CE" w:rsidRPr="00B34FDF">
        <w:rPr>
          <w:rFonts w:eastAsia="Times New Roman" w:cs="Times New Roman"/>
          <w:szCs w:val="24"/>
        </w:rPr>
        <w:t>5</w:t>
      </w:r>
      <w:r w:rsidR="00C030DA" w:rsidRPr="00B34FDF">
        <w:rPr>
          <w:rFonts w:eastAsia="Times New Roman" w:cs="Times New Roman"/>
          <w:szCs w:val="24"/>
        </w:rPr>
        <w:t>.</w:t>
      </w:r>
      <w:r w:rsidR="00811382" w:rsidRPr="00B34FDF">
        <w:rPr>
          <w:rFonts w:eastAsia="Times New Roman" w:cs="Times New Roman"/>
          <w:szCs w:val="24"/>
        </w:rPr>
        <w:t xml:space="preserve"> </w:t>
      </w:r>
      <w:r w:rsidR="00C030DA" w:rsidRPr="00B34FDF">
        <w:rPr>
          <w:rFonts w:eastAsia="Times New Roman" w:cs="Times New Roman"/>
          <w:szCs w:val="24"/>
        </w:rPr>
        <w:t>gadam</w:t>
      </w:r>
      <w:r w:rsidR="00166096" w:rsidRPr="00B34FDF">
        <w:rPr>
          <w:rFonts w:eastAsia="Times New Roman" w:cs="Times New Roman"/>
          <w:szCs w:val="24"/>
        </w:rPr>
        <w:t xml:space="preserve"> un </w:t>
      </w:r>
      <w:r w:rsidR="003509CE" w:rsidRPr="00B34FDF">
        <w:rPr>
          <w:rFonts w:eastAsia="Times New Roman" w:cs="Times New Roman"/>
          <w:szCs w:val="24"/>
        </w:rPr>
        <w:t>632,2</w:t>
      </w:r>
      <w:r w:rsidR="00166096" w:rsidRPr="00B34FDF">
        <w:rPr>
          <w:rFonts w:eastAsia="Times New Roman" w:cs="Times New Roman"/>
          <w:szCs w:val="24"/>
        </w:rPr>
        <w:t xml:space="preserve"> milj. </w:t>
      </w:r>
      <w:proofErr w:type="spellStart"/>
      <w:r w:rsidR="00166096" w:rsidRPr="00B34FDF">
        <w:rPr>
          <w:rFonts w:eastAsia="Times New Roman" w:cs="Times New Roman"/>
          <w:i/>
          <w:iCs/>
          <w:szCs w:val="24"/>
        </w:rPr>
        <w:t>euro</w:t>
      </w:r>
      <w:proofErr w:type="spellEnd"/>
      <w:r w:rsidR="00166096" w:rsidRPr="00B34FDF">
        <w:rPr>
          <w:rFonts w:eastAsia="Times New Roman" w:cs="Times New Roman"/>
          <w:szCs w:val="24"/>
        </w:rPr>
        <w:t xml:space="preserve"> (1</w:t>
      </w:r>
      <w:r w:rsidR="003509CE" w:rsidRPr="00B34FDF">
        <w:rPr>
          <w:rFonts w:eastAsia="Times New Roman" w:cs="Times New Roman"/>
          <w:szCs w:val="24"/>
        </w:rPr>
        <w:t>,2</w:t>
      </w:r>
      <w:r w:rsidR="00166096" w:rsidRPr="00B34FDF">
        <w:rPr>
          <w:rFonts w:eastAsia="Times New Roman" w:cs="Times New Roman"/>
          <w:szCs w:val="24"/>
        </w:rPr>
        <w:t>% no IKP)</w:t>
      </w:r>
      <w:r w:rsidR="00C030DA" w:rsidRPr="00B34FDF">
        <w:rPr>
          <w:rFonts w:eastAsia="Times New Roman" w:cs="Times New Roman"/>
          <w:szCs w:val="24"/>
        </w:rPr>
        <w:t xml:space="preserve"> 202</w:t>
      </w:r>
      <w:r w:rsidR="003509CE" w:rsidRPr="00B34FDF">
        <w:rPr>
          <w:rFonts w:eastAsia="Times New Roman" w:cs="Times New Roman"/>
          <w:szCs w:val="24"/>
        </w:rPr>
        <w:t>6</w:t>
      </w:r>
      <w:r w:rsidR="00C030DA" w:rsidRPr="00B34FDF">
        <w:rPr>
          <w:rFonts w:eastAsia="Times New Roman" w:cs="Times New Roman"/>
          <w:szCs w:val="24"/>
        </w:rPr>
        <w:t>.</w:t>
      </w:r>
      <w:r w:rsidR="003509CE" w:rsidRPr="00B34FDF">
        <w:rPr>
          <w:rFonts w:eastAsia="Times New Roman" w:cs="Times New Roman"/>
          <w:szCs w:val="24"/>
        </w:rPr>
        <w:t xml:space="preserve"> </w:t>
      </w:r>
      <w:r w:rsidR="00C030DA" w:rsidRPr="00B34FDF">
        <w:rPr>
          <w:rFonts w:eastAsia="Times New Roman" w:cs="Times New Roman"/>
          <w:szCs w:val="24"/>
        </w:rPr>
        <w:t>gadam</w:t>
      </w:r>
      <w:r w:rsidR="00166096" w:rsidRPr="00B34FDF">
        <w:rPr>
          <w:rFonts w:eastAsia="Times New Roman" w:cs="Times New Roman"/>
          <w:szCs w:val="24"/>
        </w:rPr>
        <w:t>.</w:t>
      </w:r>
      <w:r w:rsidR="00B34FDF" w:rsidRPr="00B34FDF">
        <w:rPr>
          <w:rFonts w:eastAsia="Times New Roman" w:cs="Times New Roman"/>
          <w:szCs w:val="24"/>
        </w:rPr>
        <w:t xml:space="preserve"> </w:t>
      </w:r>
      <w:r>
        <w:rPr>
          <w:rFonts w:eastAsia="Times New Roman" w:cs="Times New Roman"/>
          <w:szCs w:val="24"/>
        </w:rPr>
        <w:t xml:space="preserve">Iezīmētais finansējums ietver arī finansējumu </w:t>
      </w:r>
      <w:r w:rsidR="00835674" w:rsidRPr="00651274">
        <w:rPr>
          <w:rFonts w:eastAsia="Times New Roman" w:cs="Times New Roman"/>
          <w:b/>
          <w:bCs/>
          <w:szCs w:val="24"/>
        </w:rPr>
        <w:t>vidēja termiņa budžeta prioritāšu</w:t>
      </w:r>
      <w:r w:rsidR="00835674">
        <w:rPr>
          <w:rFonts w:eastAsia="Times New Roman" w:cs="Times New Roman"/>
          <w:szCs w:val="24"/>
        </w:rPr>
        <w:t xml:space="preserve"> vienreizējiem pasākumiem</w:t>
      </w:r>
      <w:r w:rsidR="00835674" w:rsidRPr="00835674">
        <w:rPr>
          <w:rFonts w:eastAsia="Times New Roman" w:cs="Times New Roman"/>
          <w:szCs w:val="24"/>
        </w:rPr>
        <w:t xml:space="preserve"> 204,0 milj. </w:t>
      </w:r>
      <w:proofErr w:type="spellStart"/>
      <w:r w:rsidR="00835674" w:rsidRPr="00835674">
        <w:rPr>
          <w:rFonts w:eastAsia="Times New Roman" w:cs="Times New Roman"/>
          <w:i/>
          <w:iCs/>
          <w:szCs w:val="24"/>
        </w:rPr>
        <w:t>euro</w:t>
      </w:r>
      <w:proofErr w:type="spellEnd"/>
      <w:r w:rsidR="00E06683">
        <w:rPr>
          <w:rFonts w:eastAsia="Times New Roman" w:cs="Times New Roman"/>
          <w:i/>
          <w:iCs/>
          <w:szCs w:val="24"/>
        </w:rPr>
        <w:t xml:space="preserve"> </w:t>
      </w:r>
      <w:r w:rsidR="00E06683">
        <w:rPr>
          <w:rFonts w:eastAsia="Times New Roman" w:cs="Times New Roman"/>
          <w:szCs w:val="24"/>
        </w:rPr>
        <w:t>apmērā</w:t>
      </w:r>
      <w:r w:rsidR="00835674" w:rsidRPr="00835674">
        <w:rPr>
          <w:rFonts w:eastAsia="Times New Roman" w:cs="Times New Roman"/>
          <w:szCs w:val="24"/>
        </w:rPr>
        <w:t>.</w:t>
      </w:r>
      <w:r>
        <w:rPr>
          <w:rFonts w:eastAsia="Times New Roman" w:cs="Times New Roman"/>
          <w:szCs w:val="24"/>
        </w:rPr>
        <w:t xml:space="preserve"> </w:t>
      </w:r>
    </w:p>
    <w:p w14:paraId="61AC182B" w14:textId="77777777" w:rsidR="003810CB" w:rsidRDefault="003810CB" w:rsidP="00166096">
      <w:pPr>
        <w:shd w:val="clear" w:color="auto" w:fill="FFFFFF"/>
        <w:rPr>
          <w:rFonts w:eastAsia="Times New Roman" w:cs="Times New Roman"/>
          <w:szCs w:val="24"/>
        </w:rPr>
      </w:pPr>
    </w:p>
    <w:p w14:paraId="3DBB2BE7" w14:textId="4C810B3E" w:rsidR="0019451D" w:rsidRDefault="007F6F2B" w:rsidP="00AD4177">
      <w:pPr>
        <w:shd w:val="clear" w:color="auto" w:fill="FFFFFF"/>
        <w:ind w:firstLine="0"/>
        <w:jc w:val="center"/>
        <w:rPr>
          <w:rFonts w:eastAsia="Times New Roman" w:cs="Times New Roman"/>
          <w:szCs w:val="24"/>
        </w:rPr>
      </w:pPr>
      <w:r>
        <w:rPr>
          <w:rFonts w:eastAsia="Times New Roman" w:cs="Times New Roman"/>
          <w:noProof/>
          <w:szCs w:val="24"/>
        </w:rPr>
        <w:lastRenderedPageBreak/>
        <w:drawing>
          <wp:inline distT="0" distB="0" distL="0" distR="0" wp14:anchorId="6CDD60A8" wp14:editId="295A10FB">
            <wp:extent cx="5223243" cy="2780580"/>
            <wp:effectExtent l="19050" t="19050" r="15875" b="20320"/>
            <wp:docPr id="12719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54667" cy="2797308"/>
                    </a:xfrm>
                    <a:prstGeom prst="rect">
                      <a:avLst/>
                    </a:prstGeom>
                    <a:noFill/>
                    <a:ln>
                      <a:solidFill>
                        <a:schemeClr val="tx2"/>
                      </a:solidFill>
                    </a:ln>
                  </pic:spPr>
                </pic:pic>
              </a:graphicData>
            </a:graphic>
          </wp:inline>
        </w:drawing>
      </w:r>
    </w:p>
    <w:p w14:paraId="4C9218EB" w14:textId="534793C3" w:rsidR="003810CB" w:rsidRPr="0038459F" w:rsidRDefault="003810CB" w:rsidP="003810CB">
      <w:pPr>
        <w:spacing w:after="0"/>
        <w:jc w:val="center"/>
        <w:rPr>
          <w:b/>
          <w:bCs/>
          <w:i/>
          <w:iCs/>
          <w:highlight w:val="lightGray"/>
        </w:rPr>
      </w:pPr>
      <w:r w:rsidRPr="005273F0">
        <w:rPr>
          <w:rFonts w:cs="Times New Roman"/>
          <w:b/>
          <w:bCs/>
          <w:i/>
          <w:iCs/>
          <w:szCs w:val="24"/>
        </w:rPr>
        <w:t xml:space="preserve">2.4. </w:t>
      </w:r>
      <w:r w:rsidRPr="0054181D">
        <w:rPr>
          <w:rFonts w:cs="Times New Roman"/>
          <w:b/>
          <w:bCs/>
          <w:i/>
          <w:iCs/>
          <w:szCs w:val="24"/>
        </w:rPr>
        <w:t>att. V</w:t>
      </w:r>
      <w:r w:rsidRPr="0054181D">
        <w:rPr>
          <w:b/>
          <w:bCs/>
          <w:i/>
          <w:iCs/>
        </w:rPr>
        <w:t xml:space="preserve">idēja termiņa budžeta prioritātēm iezīmētā finansējuma sadalījums </w:t>
      </w:r>
    </w:p>
    <w:p w14:paraId="74AA83E0" w14:textId="77777777" w:rsidR="003810CB" w:rsidRDefault="003810CB" w:rsidP="00AD4177">
      <w:pPr>
        <w:shd w:val="clear" w:color="auto" w:fill="FFFFFF"/>
        <w:ind w:firstLine="0"/>
        <w:jc w:val="center"/>
        <w:rPr>
          <w:rFonts w:eastAsia="Times New Roman" w:cs="Times New Roman"/>
          <w:szCs w:val="24"/>
        </w:rPr>
      </w:pPr>
    </w:p>
    <w:p w14:paraId="1DFBDE51" w14:textId="7226F272" w:rsidR="003810CB" w:rsidRDefault="003810CB" w:rsidP="003810CB">
      <w:pPr>
        <w:shd w:val="clear" w:color="auto" w:fill="FFFFFF"/>
        <w:ind w:firstLine="0"/>
        <w:jc w:val="center"/>
        <w:rPr>
          <w:rFonts w:eastAsia="Times New Roman" w:cs="Times New Roman"/>
          <w:szCs w:val="24"/>
        </w:rPr>
      </w:pPr>
    </w:p>
    <w:p w14:paraId="3AE75415" w14:textId="0EB6F733" w:rsidR="005C20A7" w:rsidRPr="00B34FDF" w:rsidRDefault="0019451D" w:rsidP="003810CB">
      <w:pPr>
        <w:shd w:val="clear" w:color="auto" w:fill="FFFFFF"/>
        <w:ind w:firstLine="0"/>
        <w:jc w:val="center"/>
        <w:rPr>
          <w:rFonts w:eastAsia="Times New Roman" w:cs="Times New Roman"/>
          <w:szCs w:val="24"/>
        </w:rPr>
      </w:pPr>
      <w:r>
        <w:rPr>
          <w:rFonts w:eastAsia="Times New Roman" w:cs="Times New Roman"/>
          <w:noProof/>
          <w:szCs w:val="24"/>
        </w:rPr>
        <w:drawing>
          <wp:inline distT="0" distB="0" distL="0" distR="0" wp14:anchorId="2297DF5D" wp14:editId="7D0A3DA2">
            <wp:extent cx="5184291" cy="3175254"/>
            <wp:effectExtent l="19050" t="19050" r="16510" b="25400"/>
            <wp:docPr id="11245972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18984" cy="3196503"/>
                    </a:xfrm>
                    <a:prstGeom prst="rect">
                      <a:avLst/>
                    </a:prstGeom>
                    <a:noFill/>
                    <a:ln>
                      <a:solidFill>
                        <a:schemeClr val="tx2"/>
                      </a:solidFill>
                    </a:ln>
                  </pic:spPr>
                </pic:pic>
              </a:graphicData>
            </a:graphic>
          </wp:inline>
        </w:drawing>
      </w:r>
    </w:p>
    <w:p w14:paraId="54BDD9DF" w14:textId="3AD54B9C" w:rsidR="00776128" w:rsidRPr="0038459F" w:rsidRDefault="00776128" w:rsidP="00776128">
      <w:pPr>
        <w:spacing w:after="0"/>
        <w:jc w:val="center"/>
        <w:rPr>
          <w:b/>
          <w:bCs/>
          <w:i/>
          <w:iCs/>
          <w:highlight w:val="lightGray"/>
        </w:rPr>
      </w:pPr>
      <w:r w:rsidRPr="005273F0">
        <w:rPr>
          <w:rFonts w:cs="Times New Roman"/>
          <w:b/>
          <w:bCs/>
          <w:i/>
          <w:iCs/>
          <w:szCs w:val="24"/>
        </w:rPr>
        <w:t>2.</w:t>
      </w:r>
      <w:r w:rsidR="005273F0" w:rsidRPr="005273F0">
        <w:rPr>
          <w:rFonts w:cs="Times New Roman"/>
          <w:b/>
          <w:bCs/>
          <w:i/>
          <w:iCs/>
          <w:szCs w:val="24"/>
        </w:rPr>
        <w:t>5</w:t>
      </w:r>
      <w:r w:rsidRPr="005273F0">
        <w:rPr>
          <w:rFonts w:cs="Times New Roman"/>
          <w:b/>
          <w:bCs/>
          <w:i/>
          <w:iCs/>
          <w:szCs w:val="24"/>
        </w:rPr>
        <w:t>.</w:t>
      </w:r>
      <w:r w:rsidRPr="0054181D">
        <w:rPr>
          <w:rFonts w:cs="Times New Roman"/>
          <w:b/>
          <w:bCs/>
          <w:i/>
          <w:iCs/>
          <w:szCs w:val="24"/>
        </w:rPr>
        <w:t xml:space="preserve"> att. Finansējums </w:t>
      </w:r>
      <w:r w:rsidR="008309DF" w:rsidRPr="0054181D">
        <w:rPr>
          <w:rFonts w:cs="Times New Roman"/>
          <w:b/>
          <w:bCs/>
          <w:i/>
          <w:iCs/>
          <w:szCs w:val="24"/>
        </w:rPr>
        <w:t>vidēja termiņa</w:t>
      </w:r>
      <w:r w:rsidRPr="0054181D">
        <w:rPr>
          <w:b/>
          <w:bCs/>
          <w:i/>
          <w:iCs/>
        </w:rPr>
        <w:t xml:space="preserve"> budžeta prioritātēm </w:t>
      </w:r>
    </w:p>
    <w:p w14:paraId="665663EC" w14:textId="385DA162" w:rsidR="00455212" w:rsidRPr="00455212" w:rsidRDefault="00455212" w:rsidP="004069EA">
      <w:pPr>
        <w:shd w:val="clear" w:color="auto" w:fill="FFFFFF"/>
        <w:ind w:firstLine="0"/>
        <w:rPr>
          <w:rFonts w:eastAsia="Times New Roman" w:cs="Times New Roman"/>
          <w:szCs w:val="24"/>
        </w:rPr>
      </w:pPr>
      <w:bookmarkStart w:id="73" w:name="_Toc126236655"/>
      <w:bookmarkEnd w:id="72"/>
    </w:p>
    <w:p w14:paraId="5CD90701" w14:textId="1B443312" w:rsidR="003F3FCD" w:rsidRPr="004069EA" w:rsidRDefault="000548A5" w:rsidP="004069EA">
      <w:pPr>
        <w:pStyle w:val="H3"/>
      </w:pPr>
      <w:r w:rsidRPr="004069EA">
        <w:t>2.3.1. Politikas pasākumi vidēja termiņa budžeta prioritāro attīstības virzienu īstenošanā</w:t>
      </w:r>
      <w:bookmarkEnd w:id="73"/>
    </w:p>
    <w:p w14:paraId="64BC8E76" w14:textId="10BC0FE4" w:rsidR="00AB40FA" w:rsidRPr="00C32014" w:rsidRDefault="00AB40FA" w:rsidP="006F1373">
      <w:pPr>
        <w:pStyle w:val="H5"/>
      </w:pPr>
      <w:bookmarkStart w:id="74" w:name="_Hlk83804472"/>
      <w:r w:rsidRPr="00C32014">
        <w:t>Drošība</w:t>
      </w:r>
      <w:r w:rsidR="008309DF" w:rsidRPr="008309DF">
        <w:t xml:space="preserve"> </w:t>
      </w:r>
    </w:p>
    <w:p w14:paraId="0DE85913" w14:textId="08FD457E" w:rsidR="00421A3B" w:rsidRPr="00C32014" w:rsidRDefault="00A84ECE" w:rsidP="00992F3F">
      <w:r w:rsidRPr="00C32014">
        <w:t xml:space="preserve">Ieejot ilgstošā fāzē </w:t>
      </w:r>
      <w:r w:rsidR="00AB40FA" w:rsidRPr="00C32014">
        <w:t xml:space="preserve">Krievijas militārā agresija Ukrainā </w:t>
      </w:r>
      <w:r w:rsidR="001C77C1" w:rsidRPr="00C32014">
        <w:t xml:space="preserve">rada nepieciešamību pēc </w:t>
      </w:r>
      <w:r w:rsidR="00D92979" w:rsidRPr="00C32014">
        <w:t xml:space="preserve">turpmākas </w:t>
      </w:r>
      <w:r w:rsidR="00AB40FA" w:rsidRPr="00C32014">
        <w:t xml:space="preserve">drošības </w:t>
      </w:r>
      <w:r w:rsidR="001C77C1" w:rsidRPr="00C32014">
        <w:t>līmeņa stiprināšanas</w:t>
      </w:r>
      <w:r w:rsidR="00D92979" w:rsidRPr="00C32014">
        <w:t xml:space="preserve"> un paaugstināšanas</w:t>
      </w:r>
      <w:r w:rsidR="004069EA">
        <w:t>, t</w:t>
      </w:r>
      <w:r w:rsidR="00D92979" w:rsidRPr="00C32014">
        <w:t xml:space="preserve">āpēc arī šīs </w:t>
      </w:r>
      <w:r w:rsidR="00AB40FA" w:rsidRPr="00C32014">
        <w:t xml:space="preserve">valdības Deklarācijā drošība ir izvirzīta par vienu no galvenajām prioritātēm. </w:t>
      </w:r>
      <w:r w:rsidR="003F1E12" w:rsidRPr="00C32014">
        <w:t xml:space="preserve">Drošības joma aptver ne </w:t>
      </w:r>
      <w:r w:rsidR="00D92979" w:rsidRPr="00C32014">
        <w:t xml:space="preserve">tikai aizsardzību pret ārējiem riskiem, bet arī iekšējo drošības risku risināšanu, nodrošinot dienestus </w:t>
      </w:r>
      <w:r w:rsidR="00D92979" w:rsidRPr="00C32014">
        <w:lastRenderedPageBreak/>
        <w:t xml:space="preserve">ar nepieciešamajiem resursiem to kapacitātes stiprināšanai, </w:t>
      </w:r>
      <w:r w:rsidR="003F1E12" w:rsidRPr="00C32014">
        <w:t>tiesiskumu un likuma varas stiprināšanu, kas ietver gan policijas, gan ugunsdzēsēju, gan robežsardzes, gan korupcijas apkarošanas spēkus.</w:t>
      </w:r>
      <w:bookmarkStart w:id="75" w:name="_Hlk124375150"/>
      <w:r w:rsidR="00992F3F" w:rsidRPr="00C32014">
        <w:t xml:space="preserve"> </w:t>
      </w:r>
    </w:p>
    <w:p w14:paraId="26569DEB" w14:textId="23F8DAFB" w:rsidR="00992F3F" w:rsidRDefault="00331973" w:rsidP="00992F3F">
      <w:r w:rsidRPr="00B430A8">
        <w:t xml:space="preserve">Kā liecina </w:t>
      </w:r>
      <w:proofErr w:type="spellStart"/>
      <w:r w:rsidRPr="00B430A8">
        <w:rPr>
          <w:i/>
          <w:iCs/>
        </w:rPr>
        <w:t>Eurostat</w:t>
      </w:r>
      <w:proofErr w:type="spellEnd"/>
      <w:r w:rsidRPr="00B430A8">
        <w:t xml:space="preserve"> dati</w:t>
      </w:r>
      <w:r w:rsidRPr="00B430A8">
        <w:rPr>
          <w:rStyle w:val="FootnoteReference"/>
        </w:rPr>
        <w:footnoteReference w:id="26"/>
      </w:r>
      <w:r w:rsidRPr="00B430A8">
        <w:t xml:space="preserve">, </w:t>
      </w:r>
      <w:r w:rsidR="00A60BE8" w:rsidRPr="00B430A8">
        <w:t xml:space="preserve">Latvijā </w:t>
      </w:r>
      <w:r w:rsidRPr="00B430A8">
        <w:t>vispārējās valdības izdevumi aizsardzībai</w:t>
      </w:r>
      <w:r w:rsidR="0033167E" w:rsidRPr="00B430A8">
        <w:t xml:space="preserve"> (kas iekļauj sevī izdevumus militārai aizsardzībai, civilai aizsardzībai, ārvalstu militārās palīdzības izdevumus, izdevumus </w:t>
      </w:r>
      <w:r w:rsidR="0033167E" w:rsidRPr="00B46249">
        <w:t>pētniecībai un attīstībai aizsardzības jomā un citus)</w:t>
      </w:r>
      <w:r w:rsidRPr="00B46249">
        <w:t xml:space="preserve"> 202</w:t>
      </w:r>
      <w:r w:rsidR="00B430A8" w:rsidRPr="00B46249">
        <w:t>1</w:t>
      </w:r>
      <w:r w:rsidRPr="00B46249">
        <w:t>. gadā sasniedza 2,</w:t>
      </w:r>
      <w:r w:rsidR="00B430A8" w:rsidRPr="00B46249">
        <w:t>3</w:t>
      </w:r>
      <w:r w:rsidRPr="00B46249">
        <w:t>% no IKP (skat 2.</w:t>
      </w:r>
      <w:r w:rsidR="00B7070D" w:rsidRPr="00B46249">
        <w:t>6</w:t>
      </w:r>
      <w:r w:rsidRPr="00B46249">
        <w:t>. attēlu). Lielāki izdevumi aizsardzībai bija tikai Grieķijā, kur tie sasniedza 2,</w:t>
      </w:r>
      <w:r w:rsidR="00B430A8" w:rsidRPr="00B46249">
        <w:t>8</w:t>
      </w:r>
      <w:r w:rsidRPr="00B46249">
        <w:t>% no IKP. Aizsardzības</w:t>
      </w:r>
      <w:r w:rsidRPr="00B430A8">
        <w:t xml:space="preserve"> kapacitātes </w:t>
      </w:r>
      <w:r w:rsidR="0033167E" w:rsidRPr="00B430A8">
        <w:t>stiprināšana ir prioritāt</w:t>
      </w:r>
      <w:r w:rsidR="00B430A8">
        <w:t>e</w:t>
      </w:r>
      <w:r w:rsidR="0033167E" w:rsidRPr="00B430A8">
        <w:t xml:space="preserve"> visās Baltijas valstīs</w:t>
      </w:r>
      <w:r w:rsidR="00B430A8">
        <w:t>, bet izdevumu apjoms konkrēt</w:t>
      </w:r>
      <w:r w:rsidR="00CC1804">
        <w:t>aj</w:t>
      </w:r>
      <w:r w:rsidR="00B430A8">
        <w:t xml:space="preserve">ā gadā </w:t>
      </w:r>
      <w:r w:rsidR="00CC1804">
        <w:t xml:space="preserve">Igaunijā </w:t>
      </w:r>
      <w:r w:rsidR="00B430A8">
        <w:t xml:space="preserve">ir </w:t>
      </w:r>
      <w:r w:rsidR="00CC1804">
        <w:t xml:space="preserve">bijis nedaudz </w:t>
      </w:r>
      <w:r w:rsidR="00B430A8">
        <w:t>zemāks</w:t>
      </w:r>
      <w:r w:rsidR="00CC1804">
        <w:t xml:space="preserve"> nekā Latvijā - </w:t>
      </w:r>
      <w:r w:rsidR="00B430A8">
        <w:t xml:space="preserve">2,0% no IKP, Lietuvā </w:t>
      </w:r>
      <w:r w:rsidR="00CC1804">
        <w:t xml:space="preserve">vēl nedaudz zemāks - </w:t>
      </w:r>
      <w:r w:rsidR="00B430A8">
        <w:t xml:space="preserve">1,8% no IKP apmērā.  </w:t>
      </w:r>
    </w:p>
    <w:p w14:paraId="70D62B45" w14:textId="29F33214" w:rsidR="00B430A8" w:rsidRPr="00B430A8" w:rsidRDefault="00063C33" w:rsidP="00063C33">
      <w:pPr>
        <w:ind w:firstLine="0"/>
        <w:jc w:val="center"/>
      </w:pPr>
      <w:r>
        <w:rPr>
          <w:noProof/>
        </w:rPr>
        <w:drawing>
          <wp:inline distT="0" distB="0" distL="0" distR="0" wp14:anchorId="18786C9D" wp14:editId="648E376F">
            <wp:extent cx="5501562" cy="3017520"/>
            <wp:effectExtent l="19050" t="19050" r="23495" b="11430"/>
            <wp:docPr id="1926503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21895" cy="3028672"/>
                    </a:xfrm>
                    <a:prstGeom prst="rect">
                      <a:avLst/>
                    </a:prstGeom>
                    <a:noFill/>
                    <a:ln>
                      <a:solidFill>
                        <a:schemeClr val="tx2"/>
                      </a:solidFill>
                    </a:ln>
                  </pic:spPr>
                </pic:pic>
              </a:graphicData>
            </a:graphic>
          </wp:inline>
        </w:drawing>
      </w:r>
    </w:p>
    <w:p w14:paraId="34AFC0CF" w14:textId="746F22C5" w:rsidR="00331973" w:rsidRPr="0038459F" w:rsidRDefault="00331973" w:rsidP="00CB7E29">
      <w:pPr>
        <w:spacing w:after="0"/>
        <w:jc w:val="center"/>
        <w:rPr>
          <w:b/>
          <w:bCs/>
          <w:i/>
          <w:iCs/>
          <w:highlight w:val="lightGray"/>
        </w:rPr>
      </w:pPr>
      <w:r w:rsidRPr="005273F0">
        <w:rPr>
          <w:rFonts w:cs="Times New Roman"/>
          <w:b/>
          <w:bCs/>
          <w:i/>
          <w:iCs/>
          <w:szCs w:val="24"/>
        </w:rPr>
        <w:t>2.</w:t>
      </w:r>
      <w:r w:rsidR="005273F0" w:rsidRPr="005273F0">
        <w:rPr>
          <w:rFonts w:cs="Times New Roman"/>
          <w:b/>
          <w:bCs/>
          <w:i/>
          <w:iCs/>
          <w:szCs w:val="24"/>
        </w:rPr>
        <w:t>6</w:t>
      </w:r>
      <w:r w:rsidRPr="005273F0">
        <w:rPr>
          <w:rFonts w:cs="Times New Roman"/>
          <w:b/>
          <w:bCs/>
          <w:i/>
          <w:iCs/>
          <w:szCs w:val="24"/>
        </w:rPr>
        <w:t xml:space="preserve">. </w:t>
      </w:r>
      <w:r w:rsidRPr="001F739F">
        <w:rPr>
          <w:rFonts w:cs="Times New Roman"/>
          <w:b/>
          <w:bCs/>
          <w:i/>
          <w:iCs/>
          <w:szCs w:val="24"/>
        </w:rPr>
        <w:t xml:space="preserve">att. </w:t>
      </w:r>
      <w:r w:rsidRPr="001F739F">
        <w:rPr>
          <w:b/>
          <w:bCs/>
          <w:i/>
          <w:iCs/>
        </w:rPr>
        <w:t>Vispārējās valdības budžeta izdevumi aizsardzībai atbilstoši funkcionālajām kategorijām 202</w:t>
      </w:r>
      <w:r w:rsidR="00B430A8" w:rsidRPr="001F739F">
        <w:rPr>
          <w:b/>
          <w:bCs/>
          <w:i/>
          <w:iCs/>
        </w:rPr>
        <w:t>1</w:t>
      </w:r>
      <w:r w:rsidRPr="001F739F">
        <w:rPr>
          <w:b/>
          <w:bCs/>
          <w:i/>
          <w:iCs/>
        </w:rPr>
        <w:t>.gadā, % no IKP</w:t>
      </w:r>
    </w:p>
    <w:p w14:paraId="6439DBE8" w14:textId="77777777" w:rsidR="00CB7E29" w:rsidRPr="0038459F" w:rsidRDefault="00CB7E29" w:rsidP="00331973">
      <w:pPr>
        <w:widowControl w:val="0"/>
        <w:rPr>
          <w:highlight w:val="lightGray"/>
        </w:rPr>
      </w:pPr>
    </w:p>
    <w:p w14:paraId="61113024" w14:textId="7EE5D670" w:rsidR="00AB526D" w:rsidRDefault="00A2656A" w:rsidP="00AB526D">
      <w:pPr>
        <w:widowControl w:val="0"/>
        <w:rPr>
          <w:highlight w:val="lightGray"/>
        </w:rPr>
      </w:pPr>
      <w:r>
        <w:t xml:space="preserve">Realizējot </w:t>
      </w:r>
      <w:r w:rsidRPr="00A2656A">
        <w:t>Latvijas eiroatlantisk</w:t>
      </w:r>
      <w:r>
        <w:t>o</w:t>
      </w:r>
      <w:r w:rsidRPr="00A2656A">
        <w:t xml:space="preserve"> ārpolitikas kurs</w:t>
      </w:r>
      <w:r>
        <w:t>u un</w:t>
      </w:r>
      <w:r w:rsidRPr="00A2656A">
        <w:t xml:space="preserve"> ārējā</w:t>
      </w:r>
      <w:r>
        <w:t>s</w:t>
      </w:r>
      <w:r w:rsidRPr="00A2656A">
        <w:t xml:space="preserve"> drošība</w:t>
      </w:r>
      <w:r>
        <w:t>s</w:t>
      </w:r>
      <w:r w:rsidRPr="00A2656A">
        <w:t xml:space="preserve"> prioritāt</w:t>
      </w:r>
      <w:r>
        <w:t>i,</w:t>
      </w:r>
      <w:r w:rsidRPr="00A2656A">
        <w:t xml:space="preserve"> </w:t>
      </w:r>
      <w:r>
        <w:t>j</w:t>
      </w:r>
      <w:r w:rsidR="00CC1804" w:rsidRPr="00A2656A">
        <w:t xml:space="preserve">aunais </w:t>
      </w:r>
      <w:r w:rsidR="0047535A">
        <w:t>MK</w:t>
      </w:r>
      <w:r w:rsidR="00CC1804" w:rsidRPr="00A2656A">
        <w:t xml:space="preserve"> </w:t>
      </w:r>
      <w:r w:rsidR="004E2653" w:rsidRPr="00A2656A">
        <w:t xml:space="preserve">ir apņemies nodrošināt valsts aizsardzības budžeta turpmāku palielināšanu un ir panākta vienošanās par finansējuma 2,75% no IKP apmērā </w:t>
      </w:r>
      <w:r w:rsidR="0094607A">
        <w:t xml:space="preserve">(jeb 129,6 milj. </w:t>
      </w:r>
      <w:proofErr w:type="spellStart"/>
      <w:r w:rsidR="0094607A" w:rsidRPr="0094607A">
        <w:rPr>
          <w:i/>
          <w:iCs/>
        </w:rPr>
        <w:t>euro</w:t>
      </w:r>
      <w:proofErr w:type="spellEnd"/>
      <w:r w:rsidR="0094607A">
        <w:t xml:space="preserve">) </w:t>
      </w:r>
      <w:r w:rsidR="004E2653" w:rsidRPr="00A2656A">
        <w:t>novirzīšanu aizsardzības jomai 2026. gadā un 3% no IKP 2027. gadā</w:t>
      </w:r>
      <w:r w:rsidRPr="00A2656A">
        <w:t xml:space="preserve"> saskaņā ar grozījumiem Valsts aizsardzības finansēšanas likumā</w:t>
      </w:r>
      <w:r w:rsidR="00AB526D">
        <w:t xml:space="preserve">, </w:t>
      </w:r>
      <w:r w:rsidR="00AB526D" w:rsidRPr="00AB526D">
        <w:t xml:space="preserve">lai nodrošinātu straujāku valsts aizsardzības dienesta ieviešanu, nesamazinot </w:t>
      </w:r>
      <w:r w:rsidR="00AB526D">
        <w:t>nacionālo bruņoto spēku</w:t>
      </w:r>
      <w:r w:rsidR="00AB526D" w:rsidRPr="00AB526D">
        <w:t xml:space="preserve"> attīstībai paredzēto finansējumu.</w:t>
      </w:r>
      <w:r w:rsidR="00AA3F27" w:rsidRPr="00AA3F27">
        <w:t xml:space="preserve"> Finansējums tiks novirzīts jauno un esošo spēju attīstībai - uzņemošās valsts pienākumu pildīšanai, nodrošinot sabiedroto atbalstu, papildus munīcijas iegādei un būvniecībai - Sēlijas militārā poligona attīstībai un </w:t>
      </w:r>
      <w:r w:rsidR="00AA3F27">
        <w:t>valsts aizsardzības dienesta</w:t>
      </w:r>
      <w:r w:rsidR="00AA3F27" w:rsidRPr="00AA3F27">
        <w:t xml:space="preserve"> infrastruktūras izbūvei, jauno kaujas spēju infrastruktūras izbūvei.</w:t>
      </w:r>
    </w:p>
    <w:bookmarkEnd w:id="75"/>
    <w:p w14:paraId="6CE1AE40" w14:textId="48DD5EC0" w:rsidR="00723270" w:rsidRDefault="00F23C67" w:rsidP="00E9072A">
      <w:pPr>
        <w:rPr>
          <w:rFonts w:eastAsia="Times New Roman" w:cs="Times New Roman"/>
          <w:szCs w:val="24"/>
        </w:rPr>
      </w:pPr>
      <w:r w:rsidRPr="00F474D6">
        <w:t>Atbilstoši likumprojektam “Par valsts budžetu 202</w:t>
      </w:r>
      <w:r w:rsidR="00AA3F27" w:rsidRPr="00F474D6">
        <w:t>4</w:t>
      </w:r>
      <w:r w:rsidRPr="00F474D6">
        <w:t>. gadam un budžeta ietvaru 202</w:t>
      </w:r>
      <w:r w:rsidR="00AA3F27" w:rsidRPr="00F474D6">
        <w:t>4</w:t>
      </w:r>
      <w:r w:rsidRPr="00F474D6">
        <w:t>., 202</w:t>
      </w:r>
      <w:r w:rsidR="00AA3F27" w:rsidRPr="00F474D6">
        <w:t>5</w:t>
      </w:r>
      <w:r w:rsidRPr="00F474D6">
        <w:t>. un 202</w:t>
      </w:r>
      <w:r w:rsidR="00AA3F27" w:rsidRPr="00F474D6">
        <w:t>6</w:t>
      </w:r>
      <w:r w:rsidRPr="00F474D6">
        <w:t xml:space="preserve">. gadam” prioritārajam </w:t>
      </w:r>
      <w:r w:rsidRPr="004069EA">
        <w:t>virzienam “D</w:t>
      </w:r>
      <w:r w:rsidR="003B3D5E" w:rsidRPr="004069EA">
        <w:rPr>
          <w:szCs w:val="24"/>
        </w:rPr>
        <w:t>rošība</w:t>
      </w:r>
      <w:r w:rsidRPr="004069EA">
        <w:rPr>
          <w:szCs w:val="24"/>
        </w:rPr>
        <w:t>”</w:t>
      </w:r>
      <w:r w:rsidR="00331973" w:rsidRPr="00F474D6">
        <w:rPr>
          <w:bCs/>
          <w:szCs w:val="24"/>
        </w:rPr>
        <w:t xml:space="preserve"> </w:t>
      </w:r>
      <w:r w:rsidRPr="00F474D6">
        <w:rPr>
          <w:bCs/>
          <w:szCs w:val="24"/>
        </w:rPr>
        <w:t xml:space="preserve">vidējā termiņā </w:t>
      </w:r>
      <w:r w:rsidR="00331973" w:rsidRPr="00F474D6">
        <w:rPr>
          <w:bCs/>
          <w:szCs w:val="24"/>
        </w:rPr>
        <w:t xml:space="preserve">ir paredzēts </w:t>
      </w:r>
      <w:r w:rsidR="008F1E66" w:rsidRPr="00F474D6">
        <w:rPr>
          <w:bCs/>
          <w:szCs w:val="24"/>
        </w:rPr>
        <w:t xml:space="preserve">papildus </w:t>
      </w:r>
      <w:r w:rsidR="00331973" w:rsidRPr="00F474D6">
        <w:rPr>
          <w:bCs/>
          <w:szCs w:val="24"/>
        </w:rPr>
        <w:t xml:space="preserve">finansējums </w:t>
      </w:r>
      <w:r w:rsidRPr="00F474D6">
        <w:rPr>
          <w:bCs/>
          <w:szCs w:val="24"/>
        </w:rPr>
        <w:t xml:space="preserve">vairāk kā </w:t>
      </w:r>
      <w:r w:rsidR="00AA3F27" w:rsidRPr="00F474D6">
        <w:rPr>
          <w:bCs/>
          <w:szCs w:val="24"/>
        </w:rPr>
        <w:t>458 milj</w:t>
      </w:r>
      <w:r w:rsidRPr="00F474D6">
        <w:rPr>
          <w:bCs/>
          <w:szCs w:val="24"/>
        </w:rPr>
        <w:t xml:space="preserve">. </w:t>
      </w:r>
      <w:proofErr w:type="spellStart"/>
      <w:r w:rsidRPr="00F474D6">
        <w:rPr>
          <w:bCs/>
          <w:i/>
          <w:iCs/>
          <w:szCs w:val="24"/>
        </w:rPr>
        <w:t>euro</w:t>
      </w:r>
      <w:proofErr w:type="spellEnd"/>
      <w:r w:rsidRPr="00F474D6">
        <w:rPr>
          <w:bCs/>
          <w:szCs w:val="24"/>
        </w:rPr>
        <w:t xml:space="preserve"> apmērā, t.sk. </w:t>
      </w:r>
      <w:r w:rsidR="006A553C">
        <w:rPr>
          <w:bCs/>
          <w:szCs w:val="24"/>
        </w:rPr>
        <w:t xml:space="preserve">45% no finansējuma </w:t>
      </w:r>
      <w:r w:rsidR="006A553C">
        <w:rPr>
          <w:rFonts w:eastAsia="Times New Roman" w:cs="Times New Roman"/>
          <w:szCs w:val="24"/>
        </w:rPr>
        <w:t>nodrošinot</w:t>
      </w:r>
      <w:r w:rsidR="00F474D6" w:rsidRPr="00F474D6">
        <w:rPr>
          <w:rFonts w:eastAsia="Times New Roman" w:cs="Times New Roman"/>
          <w:szCs w:val="24"/>
        </w:rPr>
        <w:t xml:space="preserve"> </w:t>
      </w:r>
      <w:r w:rsidR="00ED6824" w:rsidRPr="00F474D6">
        <w:rPr>
          <w:szCs w:val="24"/>
          <w:lang w:bidi="lv-LV"/>
        </w:rPr>
        <w:t>ārpus fiskālās telpas</w:t>
      </w:r>
      <w:r w:rsidR="00ED6824" w:rsidRPr="00F474D6">
        <w:rPr>
          <w:b/>
          <w:bCs/>
          <w:szCs w:val="24"/>
          <w:lang w:bidi="lv-LV"/>
        </w:rPr>
        <w:t xml:space="preserve"> </w:t>
      </w:r>
      <w:r w:rsidR="006A553C">
        <w:rPr>
          <w:b/>
          <w:bCs/>
          <w:szCs w:val="24"/>
          <w:lang w:bidi="lv-LV"/>
        </w:rPr>
        <w:t xml:space="preserve">- </w:t>
      </w:r>
      <w:r w:rsidR="008F1E66" w:rsidRPr="00F474D6">
        <w:rPr>
          <w:rFonts w:eastAsia="Times New Roman" w:cs="Times New Roman"/>
          <w:szCs w:val="24"/>
        </w:rPr>
        <w:t>202</w:t>
      </w:r>
      <w:r w:rsidR="00F474D6" w:rsidRPr="00F474D6">
        <w:rPr>
          <w:rFonts w:eastAsia="Times New Roman" w:cs="Times New Roman"/>
          <w:szCs w:val="24"/>
        </w:rPr>
        <w:t>4</w:t>
      </w:r>
      <w:r w:rsidR="008F1E66" w:rsidRPr="00F474D6">
        <w:rPr>
          <w:rFonts w:eastAsia="Times New Roman" w:cs="Times New Roman"/>
          <w:szCs w:val="24"/>
        </w:rPr>
        <w:t xml:space="preserve">. gadam </w:t>
      </w:r>
      <w:r w:rsidR="00F474D6" w:rsidRPr="00F474D6">
        <w:rPr>
          <w:rFonts w:eastAsia="Times New Roman" w:cs="Times New Roman"/>
          <w:szCs w:val="24"/>
        </w:rPr>
        <w:t>43,0</w:t>
      </w:r>
      <w:r w:rsidR="008F1E66" w:rsidRPr="00F474D6">
        <w:rPr>
          <w:rFonts w:eastAsia="Times New Roman" w:cs="Times New Roman"/>
          <w:szCs w:val="24"/>
        </w:rPr>
        <w:t xml:space="preserve"> milj. </w:t>
      </w:r>
      <w:proofErr w:type="spellStart"/>
      <w:r w:rsidR="008F1E66" w:rsidRPr="00F474D6">
        <w:rPr>
          <w:rFonts w:eastAsia="Times New Roman" w:cs="Times New Roman"/>
          <w:i/>
          <w:iCs/>
          <w:szCs w:val="24"/>
        </w:rPr>
        <w:t>euro</w:t>
      </w:r>
      <w:proofErr w:type="spellEnd"/>
      <w:r w:rsidR="008F1E66" w:rsidRPr="00F474D6">
        <w:rPr>
          <w:rFonts w:eastAsia="Times New Roman" w:cs="Times New Roman"/>
          <w:szCs w:val="24"/>
        </w:rPr>
        <w:t xml:space="preserve"> (0,</w:t>
      </w:r>
      <w:r w:rsidR="00F474D6" w:rsidRPr="00F474D6">
        <w:rPr>
          <w:rFonts w:eastAsia="Times New Roman" w:cs="Times New Roman"/>
          <w:szCs w:val="24"/>
        </w:rPr>
        <w:t>09</w:t>
      </w:r>
      <w:r w:rsidR="008F1E66" w:rsidRPr="00F474D6">
        <w:rPr>
          <w:rFonts w:eastAsia="Times New Roman" w:cs="Times New Roman"/>
          <w:szCs w:val="24"/>
        </w:rPr>
        <w:t>% no IKP), 202</w:t>
      </w:r>
      <w:r w:rsidR="00F474D6" w:rsidRPr="00F474D6">
        <w:rPr>
          <w:rFonts w:eastAsia="Times New Roman" w:cs="Times New Roman"/>
          <w:szCs w:val="24"/>
        </w:rPr>
        <w:t>5</w:t>
      </w:r>
      <w:r w:rsidR="008F1E66" w:rsidRPr="00F474D6">
        <w:rPr>
          <w:rFonts w:eastAsia="Times New Roman" w:cs="Times New Roman"/>
          <w:szCs w:val="24"/>
        </w:rPr>
        <w:t xml:space="preserve">. gadam </w:t>
      </w:r>
      <w:r w:rsidR="00F474D6" w:rsidRPr="00F474D6">
        <w:rPr>
          <w:rFonts w:eastAsia="Times New Roman" w:cs="Times New Roman"/>
          <w:szCs w:val="24"/>
        </w:rPr>
        <w:t>100,4</w:t>
      </w:r>
      <w:r w:rsidR="008F1E66" w:rsidRPr="00F474D6">
        <w:rPr>
          <w:rFonts w:eastAsia="Times New Roman" w:cs="Times New Roman"/>
          <w:szCs w:val="24"/>
        </w:rPr>
        <w:t xml:space="preserve"> milj. </w:t>
      </w:r>
      <w:proofErr w:type="spellStart"/>
      <w:r w:rsidR="008F1E66" w:rsidRPr="00F474D6">
        <w:rPr>
          <w:rFonts w:eastAsia="Times New Roman" w:cs="Times New Roman"/>
          <w:i/>
          <w:iCs/>
          <w:szCs w:val="24"/>
        </w:rPr>
        <w:t>euro</w:t>
      </w:r>
      <w:proofErr w:type="spellEnd"/>
      <w:r w:rsidR="008F1E66" w:rsidRPr="00F474D6">
        <w:rPr>
          <w:rFonts w:eastAsia="Times New Roman" w:cs="Times New Roman"/>
          <w:szCs w:val="24"/>
        </w:rPr>
        <w:t xml:space="preserve"> (0,</w:t>
      </w:r>
      <w:r w:rsidR="00F474D6" w:rsidRPr="00F474D6">
        <w:rPr>
          <w:rFonts w:eastAsia="Times New Roman" w:cs="Times New Roman"/>
          <w:szCs w:val="24"/>
        </w:rPr>
        <w:t>21</w:t>
      </w:r>
      <w:r w:rsidR="008F1E66" w:rsidRPr="00F474D6">
        <w:rPr>
          <w:rFonts w:eastAsia="Times New Roman" w:cs="Times New Roman"/>
          <w:szCs w:val="24"/>
        </w:rPr>
        <w:t>% no IKP) un 202</w:t>
      </w:r>
      <w:r w:rsidR="00F474D6" w:rsidRPr="00F474D6">
        <w:rPr>
          <w:rFonts w:eastAsia="Times New Roman" w:cs="Times New Roman"/>
          <w:szCs w:val="24"/>
        </w:rPr>
        <w:t>6</w:t>
      </w:r>
      <w:r w:rsidR="008F1E66" w:rsidRPr="00F474D6">
        <w:rPr>
          <w:rFonts w:eastAsia="Times New Roman" w:cs="Times New Roman"/>
          <w:szCs w:val="24"/>
        </w:rPr>
        <w:t xml:space="preserve">. gadam </w:t>
      </w:r>
      <w:r w:rsidR="00F474D6" w:rsidRPr="00F474D6">
        <w:rPr>
          <w:rFonts w:eastAsia="Times New Roman" w:cs="Times New Roman"/>
          <w:szCs w:val="24"/>
        </w:rPr>
        <w:t>60,5</w:t>
      </w:r>
      <w:r w:rsidR="008F1E66" w:rsidRPr="00F474D6">
        <w:rPr>
          <w:rFonts w:eastAsia="Times New Roman" w:cs="Times New Roman"/>
          <w:szCs w:val="24"/>
        </w:rPr>
        <w:t xml:space="preserve"> milj. </w:t>
      </w:r>
      <w:proofErr w:type="spellStart"/>
      <w:r w:rsidR="008F1E66" w:rsidRPr="00F474D6">
        <w:rPr>
          <w:rFonts w:eastAsia="Times New Roman" w:cs="Times New Roman"/>
          <w:i/>
          <w:iCs/>
          <w:szCs w:val="24"/>
        </w:rPr>
        <w:t>euro</w:t>
      </w:r>
      <w:proofErr w:type="spellEnd"/>
      <w:r w:rsidR="008F1E66" w:rsidRPr="00F474D6">
        <w:rPr>
          <w:rFonts w:eastAsia="Times New Roman" w:cs="Times New Roman"/>
          <w:szCs w:val="24"/>
        </w:rPr>
        <w:t xml:space="preserve"> (0,</w:t>
      </w:r>
      <w:r w:rsidR="00F474D6" w:rsidRPr="00F474D6">
        <w:rPr>
          <w:rFonts w:eastAsia="Times New Roman" w:cs="Times New Roman"/>
          <w:szCs w:val="24"/>
        </w:rPr>
        <w:t>12</w:t>
      </w:r>
      <w:r w:rsidR="008F1E66" w:rsidRPr="00F474D6">
        <w:rPr>
          <w:rFonts w:eastAsia="Times New Roman" w:cs="Times New Roman"/>
          <w:szCs w:val="24"/>
        </w:rPr>
        <w:t>% no IKP)</w:t>
      </w:r>
      <w:r w:rsidRPr="00F474D6">
        <w:rPr>
          <w:rFonts w:eastAsia="Times New Roman" w:cs="Times New Roman"/>
          <w:szCs w:val="24"/>
        </w:rPr>
        <w:t xml:space="preserve">. </w:t>
      </w:r>
    </w:p>
    <w:p w14:paraId="5F86D712" w14:textId="717FD207" w:rsidR="008C16DD" w:rsidRDefault="00723270" w:rsidP="0022321B">
      <w:r>
        <w:rPr>
          <w:rFonts w:eastAsia="Times New Roman" w:cs="Times New Roman"/>
          <w:szCs w:val="24"/>
        </w:rPr>
        <w:lastRenderedPageBreak/>
        <w:t>Apņemoties p</w:t>
      </w:r>
      <w:r w:rsidRPr="00723270">
        <w:rPr>
          <w:rFonts w:eastAsia="Times New Roman" w:cs="Times New Roman"/>
          <w:szCs w:val="24"/>
        </w:rPr>
        <w:t>abeig</w:t>
      </w:r>
      <w:r>
        <w:rPr>
          <w:rFonts w:eastAsia="Times New Roman" w:cs="Times New Roman"/>
          <w:szCs w:val="24"/>
        </w:rPr>
        <w:t>t</w:t>
      </w:r>
      <w:r w:rsidRPr="00723270">
        <w:rPr>
          <w:rFonts w:eastAsia="Times New Roman" w:cs="Times New Roman"/>
          <w:szCs w:val="24"/>
        </w:rPr>
        <w:t xml:space="preserve"> žoga būvniecību uz robežas ar Baltkrieviju un Krieviju līdz 2024. gada beigām</w:t>
      </w:r>
      <w:r>
        <w:rPr>
          <w:rFonts w:eastAsia="Times New Roman" w:cs="Times New Roman"/>
          <w:szCs w:val="24"/>
        </w:rPr>
        <w:t>, kā arī i</w:t>
      </w:r>
      <w:r w:rsidRPr="00723270">
        <w:rPr>
          <w:rFonts w:eastAsia="Times New Roman" w:cs="Times New Roman"/>
          <w:szCs w:val="24"/>
        </w:rPr>
        <w:t>eguldī</w:t>
      </w:r>
      <w:r>
        <w:rPr>
          <w:rFonts w:eastAsia="Times New Roman" w:cs="Times New Roman"/>
          <w:szCs w:val="24"/>
        </w:rPr>
        <w:t>t</w:t>
      </w:r>
      <w:r w:rsidRPr="00723270">
        <w:rPr>
          <w:rFonts w:eastAsia="Times New Roman" w:cs="Times New Roman"/>
          <w:szCs w:val="24"/>
        </w:rPr>
        <w:t xml:space="preserve"> viedajā robežapsardzībā un cilvēkresursos, kas veic robežapsardzību</w:t>
      </w:r>
      <w:r>
        <w:rPr>
          <w:rFonts w:eastAsia="Times New Roman" w:cs="Times New Roman"/>
          <w:szCs w:val="24"/>
        </w:rPr>
        <w:t xml:space="preserve">, jaunais MK </w:t>
      </w:r>
      <w:r>
        <w:t xml:space="preserve">papildus likumā </w:t>
      </w:r>
      <w:r w:rsidRPr="00723270">
        <w:t>“Par valsts budžetu 202</w:t>
      </w:r>
      <w:r>
        <w:t>3</w:t>
      </w:r>
      <w:r w:rsidRPr="00723270">
        <w:t>. gadam un budžeta ietvaru 202</w:t>
      </w:r>
      <w:r>
        <w:t>3</w:t>
      </w:r>
      <w:r w:rsidRPr="00723270">
        <w:t>., 202</w:t>
      </w:r>
      <w:r>
        <w:t>4</w:t>
      </w:r>
      <w:r w:rsidRPr="00723270">
        <w:t>. un 202</w:t>
      </w:r>
      <w:r>
        <w:t>5</w:t>
      </w:r>
      <w:r w:rsidRPr="00723270">
        <w:t>. gadam”</w:t>
      </w:r>
      <w:r>
        <w:t xml:space="preserve"> </w:t>
      </w:r>
      <w:r>
        <w:rPr>
          <w:rFonts w:eastAsia="Times New Roman" w:cs="Times New Roman"/>
          <w:szCs w:val="24"/>
        </w:rPr>
        <w:t xml:space="preserve">ir paredzējis </w:t>
      </w:r>
      <w:r w:rsidRPr="008C16DD">
        <w:t xml:space="preserve">175,5 milj. </w:t>
      </w:r>
      <w:proofErr w:type="spellStart"/>
      <w:r w:rsidRPr="008C16DD">
        <w:rPr>
          <w:i/>
          <w:iCs/>
        </w:rPr>
        <w:t>euro</w:t>
      </w:r>
      <w:proofErr w:type="spellEnd"/>
      <w:r>
        <w:t xml:space="preserve"> </w:t>
      </w:r>
      <w:r>
        <w:rPr>
          <w:rFonts w:eastAsia="Times New Roman" w:cs="Times New Roman"/>
          <w:szCs w:val="24"/>
        </w:rPr>
        <w:t>v</w:t>
      </w:r>
      <w:r w:rsidR="008C16DD" w:rsidRPr="008C16DD">
        <w:t>alsts ā</w:t>
      </w:r>
      <w:r w:rsidR="00F474D6" w:rsidRPr="008C16DD">
        <w:t>rējās robežas tehniskās infrastruktūras izveide</w:t>
      </w:r>
      <w:r w:rsidR="008C16DD" w:rsidRPr="008C16DD">
        <w:t>i un drošības pasākumu nodrošināšanai</w:t>
      </w:r>
      <w:r>
        <w:t xml:space="preserve">, savukārt, 91,3 milj. </w:t>
      </w:r>
      <w:proofErr w:type="spellStart"/>
      <w:r w:rsidRPr="008C16DD">
        <w:rPr>
          <w:i/>
          <w:iCs/>
        </w:rPr>
        <w:t>euro</w:t>
      </w:r>
      <w:proofErr w:type="spellEnd"/>
      <w:r>
        <w:rPr>
          <w:i/>
          <w:iCs/>
        </w:rPr>
        <w:t xml:space="preserve"> </w:t>
      </w:r>
      <w:r w:rsidRPr="00723270">
        <w:t>tika novirzīti</w:t>
      </w:r>
      <w:r>
        <w:rPr>
          <w:i/>
          <w:iCs/>
        </w:rPr>
        <w:t xml:space="preserve"> </w:t>
      </w:r>
      <w:proofErr w:type="spellStart"/>
      <w:r w:rsidRPr="00723270">
        <w:t>I</w:t>
      </w:r>
      <w:r w:rsidR="008C16DD" w:rsidRPr="00723270">
        <w:t>ek</w:t>
      </w:r>
      <w:r w:rsidR="008C16DD" w:rsidRPr="008C16DD">
        <w:t>šlietu</w:t>
      </w:r>
      <w:proofErr w:type="spellEnd"/>
      <w:r w:rsidR="008C16DD" w:rsidRPr="008C16DD">
        <w:t xml:space="preserve"> ministrijas un Tieslietu ministrijas  institūcijās nodarbināt</w:t>
      </w:r>
      <w:r w:rsidR="008C16DD">
        <w:t>o</w:t>
      </w:r>
      <w:r w:rsidR="008C16DD" w:rsidRPr="008C16DD">
        <w:t>, tai skaitā Probācijas dienesta</w:t>
      </w:r>
      <w:r>
        <w:t>,</w:t>
      </w:r>
      <w:r w:rsidR="008C16DD">
        <w:t xml:space="preserve"> atlīdzībai</w:t>
      </w:r>
      <w:r>
        <w:t>.</w:t>
      </w:r>
      <w:r w:rsidR="0022321B">
        <w:t xml:space="preserve"> </w:t>
      </w:r>
      <w:proofErr w:type="spellStart"/>
      <w:r w:rsidR="0022321B">
        <w:t>Iekšlietu</w:t>
      </w:r>
      <w:proofErr w:type="spellEnd"/>
      <w:r w:rsidR="0022321B">
        <w:t xml:space="preserve"> ministrijas sistēmas iestāžu – Valsts policijas, Valsts robežsardzes, Valsts ugunsdzēsības un glābšanas dienesta, Iekšējās drošības biroja, Valsts policijas koledžas, Valsts robežsardzes koledžas, Ugunsdrošības un civilās aizsardzības koledžas, kā arī Ieslodzījuma vietu pārvaldes amatpersonu konkurētspējīgas atlīdzības nodrošināšana ir viens no svarīgākajiem jautājumiem stabilam un ilgtspējīgam dienestam, kas motivē amatpersonas uzsākt un turpināt dienestu, un ir garants valsts iekšējās drošības stiprināšanā. Īpaši būtiski tas ir pašreizējā ģeopolitiskajā situācijā saistībā ar plaša mēroga Krievijas militāro agresiju pret Ukrainu un pieaugošiem ģeopolitiskiem riskiem. Informatīvais ziņojums</w:t>
      </w:r>
      <w:r w:rsidR="00CF753F" w:rsidRPr="00CF753F">
        <w:t xml:space="preserve"> </w:t>
      </w:r>
      <w:r w:rsidR="00A9085D">
        <w:t>“</w:t>
      </w:r>
      <w:r w:rsidR="00CF753F">
        <w:t xml:space="preserve">Par priekšlikumiem atlīdzības palielināšanai </w:t>
      </w:r>
      <w:proofErr w:type="spellStart"/>
      <w:r w:rsidR="00CF753F">
        <w:t>Iekšlietu</w:t>
      </w:r>
      <w:proofErr w:type="spellEnd"/>
      <w:r w:rsidR="00CF753F">
        <w:t xml:space="preserve"> ministrijas un Tieslietu ministrijas institūcijās nodarbinātajiem, kas nodrošina valsts iekšējās drošības stiprināšanas pasākumu īstenošan</w:t>
      </w:r>
      <w:r w:rsidR="00A9085D">
        <w:t>u”</w:t>
      </w:r>
      <w:r w:rsidR="00CF753F">
        <w:rPr>
          <w:rStyle w:val="FootnoteReference"/>
        </w:rPr>
        <w:footnoteReference w:id="27"/>
      </w:r>
      <w:r w:rsidR="0022321B">
        <w:t xml:space="preserve"> paredzēja 2023. gadā amatpersonu mēnešalgu paaugstināšanu par 10%, turpinot pieaugumu arī 2024. un 2025. gadā, lai kopā 2023., 2024. un 2025. gadā sasniegtu  30% mēnešalgu pieaugumu pret 2022.</w:t>
      </w:r>
      <w:r w:rsidR="00A9085D">
        <w:t xml:space="preserve"> </w:t>
      </w:r>
      <w:r w:rsidR="0022321B">
        <w:t xml:space="preserve">gadu.  </w:t>
      </w:r>
    </w:p>
    <w:p w14:paraId="7411F4C6" w14:textId="704AD6EA" w:rsidR="0080510F" w:rsidRDefault="0080510F" w:rsidP="0080510F">
      <w:r>
        <w:t xml:space="preserve">Deklarācija paredz attīstīt tiesībaizsardzības iestāžu sistēmu un investēt tās cilvēkresursos un izglītībā, radot tiesiski drošu dzīves un investīciju vidi, kā arī priekšnoteikumus efektīvākai kriminālprocesu virzībai, tiesas spriešanai un cīņai pret korupciju. Izpildot šo uzdevumu, paredzēts </w:t>
      </w:r>
      <w:proofErr w:type="spellStart"/>
      <w:r w:rsidR="004D6CE1" w:rsidRPr="004D6CE1">
        <w:t>Iekšlietu</w:t>
      </w:r>
      <w:proofErr w:type="spellEnd"/>
      <w:r w:rsidR="004D6CE1" w:rsidRPr="004D6CE1">
        <w:t xml:space="preserve"> ministrijas sistēmas iestāžu un Ieslodzījuma vietu pārvaldes amatpersonām ar speciālajām dienesta pakāpēm</w:t>
      </w:r>
      <w:r w:rsidR="004D6CE1">
        <w:t xml:space="preserve"> nodrošināt </w:t>
      </w:r>
      <w:r>
        <w:t xml:space="preserve">veselības aprūpes pakalpojumu pieejamības uzlabošanu un paaugstināt veselības aprūpes pakalpojumu kompensāciju limitus - ambulatorajiem maksas medicīniskajiem pakalpojumiem no šobrīd esošajiem 250 </w:t>
      </w:r>
      <w:proofErr w:type="spellStart"/>
      <w:r w:rsidRPr="00165095">
        <w:rPr>
          <w:i/>
          <w:iCs/>
        </w:rPr>
        <w:t>euro</w:t>
      </w:r>
      <w:proofErr w:type="spellEnd"/>
      <w:r>
        <w:t xml:space="preserve"> gadā līdz 500 </w:t>
      </w:r>
      <w:proofErr w:type="spellStart"/>
      <w:r w:rsidRPr="00165095">
        <w:rPr>
          <w:i/>
          <w:iCs/>
        </w:rPr>
        <w:t>euro</w:t>
      </w:r>
      <w:proofErr w:type="spellEnd"/>
      <w:r>
        <w:t xml:space="preserve"> gadā; zobārstniecības pakalpojumiem no 200 </w:t>
      </w:r>
      <w:proofErr w:type="spellStart"/>
      <w:r w:rsidRPr="00165095">
        <w:rPr>
          <w:i/>
          <w:iCs/>
        </w:rPr>
        <w:t>euro</w:t>
      </w:r>
      <w:proofErr w:type="spellEnd"/>
      <w:r>
        <w:t xml:space="preserve"> līdz 400 </w:t>
      </w:r>
      <w:proofErr w:type="spellStart"/>
      <w:r w:rsidRPr="00165095">
        <w:rPr>
          <w:i/>
          <w:iCs/>
        </w:rPr>
        <w:t>euro</w:t>
      </w:r>
      <w:proofErr w:type="spellEnd"/>
      <w:r>
        <w:t xml:space="preserve"> gadā un medikamentu iegādei no 75 </w:t>
      </w:r>
      <w:proofErr w:type="spellStart"/>
      <w:r w:rsidRPr="00165095">
        <w:rPr>
          <w:i/>
          <w:iCs/>
        </w:rPr>
        <w:t>euro</w:t>
      </w:r>
      <w:proofErr w:type="spellEnd"/>
      <w:r>
        <w:t xml:space="preserve"> līdz 100 </w:t>
      </w:r>
      <w:proofErr w:type="spellStart"/>
      <w:r w:rsidRPr="00165095">
        <w:rPr>
          <w:i/>
          <w:iCs/>
        </w:rPr>
        <w:t>euro</w:t>
      </w:r>
      <w:proofErr w:type="spellEnd"/>
      <w:r>
        <w:t xml:space="preserve"> gadā</w:t>
      </w:r>
      <w:r w:rsidR="004D6CE1">
        <w:t xml:space="preserve">, 2024. – 2026. gadu laikā šim mērķim novirzot finansējumu </w:t>
      </w:r>
      <w:r w:rsidR="004D6CE1" w:rsidRPr="004D6CE1">
        <w:t xml:space="preserve">7,7 milj. </w:t>
      </w:r>
      <w:proofErr w:type="spellStart"/>
      <w:r w:rsidR="004D6CE1" w:rsidRPr="004D6CE1">
        <w:rPr>
          <w:i/>
          <w:iCs/>
        </w:rPr>
        <w:t>euro</w:t>
      </w:r>
      <w:proofErr w:type="spellEnd"/>
      <w:r w:rsidR="004D6CE1">
        <w:rPr>
          <w:i/>
          <w:iCs/>
        </w:rPr>
        <w:t xml:space="preserve"> </w:t>
      </w:r>
      <w:r w:rsidR="004D6CE1">
        <w:t xml:space="preserve">apmērā. </w:t>
      </w:r>
      <w:r w:rsidR="00165095">
        <w:t xml:space="preserve">Jāatzīmē, ka </w:t>
      </w:r>
      <w:r w:rsidR="00165095" w:rsidRPr="00165095">
        <w:t>2021. gada 16. novembrī  pieņemti</w:t>
      </w:r>
      <w:r w:rsidR="00165095">
        <w:t>e</w:t>
      </w:r>
      <w:r w:rsidR="00165095" w:rsidRPr="00165095">
        <w:t xml:space="preserve"> grozījumi Valsts un pašvaldību institūciju amatpersonu un darbinieku atlīdzības likumā no 2023.</w:t>
      </w:r>
      <w:r w:rsidR="00A9085D">
        <w:t xml:space="preserve"> </w:t>
      </w:r>
      <w:r w:rsidR="00165095" w:rsidRPr="00165095">
        <w:t>gada 1.</w:t>
      </w:r>
      <w:r w:rsidR="00A9085D">
        <w:t xml:space="preserve"> </w:t>
      </w:r>
      <w:r w:rsidR="00165095" w:rsidRPr="00165095">
        <w:t xml:space="preserve">jūlija palielināja pieļaujamo veselības apdrošināšanas polišu prēmijas apmēru no 213,43 </w:t>
      </w:r>
      <w:proofErr w:type="spellStart"/>
      <w:r w:rsidR="00165095" w:rsidRPr="00165095">
        <w:rPr>
          <w:i/>
          <w:iCs/>
        </w:rPr>
        <w:t>euro</w:t>
      </w:r>
      <w:proofErr w:type="spellEnd"/>
      <w:r w:rsidR="00165095" w:rsidRPr="00165095">
        <w:t xml:space="preserve"> līdz  426,86 </w:t>
      </w:r>
      <w:proofErr w:type="spellStart"/>
      <w:r w:rsidR="00165095" w:rsidRPr="00165095">
        <w:rPr>
          <w:i/>
          <w:iCs/>
        </w:rPr>
        <w:t>euro</w:t>
      </w:r>
      <w:proofErr w:type="spellEnd"/>
      <w:r w:rsidR="00165095" w:rsidRPr="00165095">
        <w:t xml:space="preserve"> gadā valsts iestāžu darbiniekiem, kuru darba pienākumi nav saistīti ar īpašu risku, tādējādi būtiski uzlabojot to veselības apdrošināšanas polišu segumu. </w:t>
      </w:r>
      <w:r w:rsidR="00165095">
        <w:t xml:space="preserve">Attiecīgi atbalstītais prioritārais pasākums ne tikai </w:t>
      </w:r>
      <w:r w:rsidR="00165095" w:rsidRPr="00165095">
        <w:t>uzlabo veselības aprūpes pakalpojumu pieejamību</w:t>
      </w:r>
      <w:r w:rsidR="00165095">
        <w:t>, bet</w:t>
      </w:r>
      <w:r w:rsidR="00165095" w:rsidRPr="00165095">
        <w:t xml:space="preserve"> novēr</w:t>
      </w:r>
      <w:r w:rsidR="00165095">
        <w:t>š</w:t>
      </w:r>
      <w:r w:rsidR="00165095" w:rsidRPr="00165095">
        <w:t xml:space="preserve"> nevienlīdzīgu attieksmi pret amatpersonām, kuru dienesta pienākumi ikdienā saistīti ar paaugstinātu risku viņu veselībai un dzīvībai</w:t>
      </w:r>
      <w:r w:rsidR="00165095">
        <w:t>.</w:t>
      </w:r>
    </w:p>
    <w:p w14:paraId="37F1BA5C" w14:textId="732EC2E9" w:rsidR="00A32C0F" w:rsidRPr="008C16DD" w:rsidRDefault="00A32C0F" w:rsidP="00A32C0F">
      <w:pPr>
        <w:shd w:val="clear" w:color="auto" w:fill="FFFFFF"/>
        <w:tabs>
          <w:tab w:val="left" w:pos="709"/>
        </w:tabs>
        <w:ind w:firstLine="0"/>
      </w:pPr>
      <w:r>
        <w:tab/>
        <w:t xml:space="preserve">2024. – 2026. gados </w:t>
      </w:r>
      <w:r w:rsidRPr="008C16DD">
        <w:t xml:space="preserve">7,7 milj. </w:t>
      </w:r>
      <w:proofErr w:type="spellStart"/>
      <w:r w:rsidRPr="00A32C0F">
        <w:rPr>
          <w:i/>
        </w:rPr>
        <w:t>euro</w:t>
      </w:r>
      <w:proofErr w:type="spellEnd"/>
      <w:r w:rsidRPr="008C16DD">
        <w:t xml:space="preserve"> </w:t>
      </w:r>
      <w:r>
        <w:t xml:space="preserve">plānots novirzīt </w:t>
      </w:r>
      <w:r w:rsidRPr="008C16DD">
        <w:t>Valsts ugunsdzēsības un glābšanas dienesta struktūrvienību dzīvības glābšanas spēju stiprināšanas nodrošināšana</w:t>
      </w:r>
      <w:r>
        <w:t xml:space="preserve">i. </w:t>
      </w:r>
      <w:r w:rsidRPr="00A32C0F">
        <w:t xml:space="preserve">Atbalstītā risinājuma ieviešanai Valsts ugunsdzēsības un glābšanas dienestā no 2024. gada nepieciešams izveidot 105 pastāvīgas amata vietas. Amata vietas tiks ieviestas, nepalielinot </w:t>
      </w:r>
      <w:proofErr w:type="spellStart"/>
      <w:r w:rsidRPr="00A32C0F">
        <w:t>Iekšlietu</w:t>
      </w:r>
      <w:proofErr w:type="spellEnd"/>
      <w:r w:rsidRPr="00A32C0F">
        <w:t xml:space="preserve"> ministrijai noteikto kopējo amata vietu skaitu (samazinot par 105</w:t>
      </w:r>
      <w:r>
        <w:t xml:space="preserve"> </w:t>
      </w:r>
      <w:r w:rsidRPr="00A32C0F">
        <w:t>amata vietām</w:t>
      </w:r>
      <w:r>
        <w:t xml:space="preserve"> Valsts policijas </w:t>
      </w:r>
      <w:r w:rsidRPr="00A32C0F">
        <w:t>plānoto amata vietu skaitu). Gadījumā, ja papildu amata vietas nebūs iespējams aizpildīt, tiks veikta samaksa par virsstundu darbu un papildu darbu, lai nodrošinātu prioritārā pasākuma mērķa sasniegšanu.</w:t>
      </w:r>
    </w:p>
    <w:p w14:paraId="69377532" w14:textId="66FB4F9A" w:rsidR="006A553C" w:rsidRDefault="00A32C0F" w:rsidP="00723270">
      <w:pPr>
        <w:shd w:val="clear" w:color="auto" w:fill="FFFFFF"/>
        <w:tabs>
          <w:tab w:val="left" w:pos="1276"/>
        </w:tabs>
        <w:ind w:firstLine="709"/>
      </w:pPr>
      <w:r>
        <w:rPr>
          <w:rFonts w:eastAsia="Times New Roman" w:cs="Times New Roman"/>
          <w:szCs w:val="24"/>
        </w:rPr>
        <w:t xml:space="preserve">Prioritārais </w:t>
      </w:r>
      <w:r w:rsidRPr="002F1C35">
        <w:rPr>
          <w:rFonts w:eastAsia="Times New Roman" w:cs="Times New Roman"/>
          <w:szCs w:val="24"/>
        </w:rPr>
        <w:t>virziens “Drošība” iekļauj</w:t>
      </w:r>
      <w:r>
        <w:rPr>
          <w:rFonts w:eastAsia="Times New Roman" w:cs="Times New Roman"/>
          <w:szCs w:val="24"/>
        </w:rPr>
        <w:t xml:space="preserve"> arī šādas </w:t>
      </w:r>
      <w:r w:rsidR="00723270" w:rsidRPr="00723270">
        <w:rPr>
          <w:rFonts w:eastAsia="Times New Roman" w:cs="Times New Roman"/>
          <w:szCs w:val="24"/>
        </w:rPr>
        <w:t>papildu izdevumu pozīcij</w:t>
      </w:r>
      <w:r>
        <w:rPr>
          <w:rFonts w:eastAsia="Times New Roman" w:cs="Times New Roman"/>
          <w:szCs w:val="24"/>
        </w:rPr>
        <w:t>as</w:t>
      </w:r>
      <w:r w:rsidR="00723270" w:rsidRPr="00723270">
        <w:rPr>
          <w:rFonts w:eastAsia="Times New Roman" w:cs="Times New Roman"/>
          <w:szCs w:val="24"/>
        </w:rPr>
        <w:t xml:space="preserve"> </w:t>
      </w:r>
      <w:r w:rsidR="00723270" w:rsidRPr="00F474D6">
        <w:t>202</w:t>
      </w:r>
      <w:r w:rsidR="00723270">
        <w:t>4</w:t>
      </w:r>
      <w:r w:rsidR="00723270" w:rsidRPr="00F474D6">
        <w:t>. – 202</w:t>
      </w:r>
      <w:r w:rsidR="00723270">
        <w:t>6</w:t>
      </w:r>
      <w:r w:rsidR="00723270" w:rsidRPr="00F474D6">
        <w:t>. gadiem</w:t>
      </w:r>
      <w:r w:rsidR="006A553C">
        <w:t>:</w:t>
      </w:r>
    </w:p>
    <w:p w14:paraId="36000267" w14:textId="3979AA50" w:rsidR="008C16DD" w:rsidRDefault="006A553C" w:rsidP="00E263FB">
      <w:pPr>
        <w:pStyle w:val="ListParagraph"/>
        <w:numPr>
          <w:ilvl w:val="0"/>
          <w:numId w:val="38"/>
        </w:numPr>
        <w:shd w:val="clear" w:color="auto" w:fill="FFFFFF"/>
        <w:tabs>
          <w:tab w:val="left" w:pos="993"/>
        </w:tabs>
        <w:ind w:left="142" w:firstLine="567"/>
      </w:pPr>
      <w:r w:rsidRPr="008C16DD">
        <w:lastRenderedPageBreak/>
        <w:t xml:space="preserve">32,4 milj. </w:t>
      </w:r>
      <w:proofErr w:type="spellStart"/>
      <w:r w:rsidRPr="006A553C">
        <w:rPr>
          <w:i/>
          <w:iCs/>
        </w:rPr>
        <w:t>euro</w:t>
      </w:r>
      <w:proofErr w:type="spellEnd"/>
      <w:r w:rsidRPr="008C16DD">
        <w:t xml:space="preserve"> </w:t>
      </w:r>
      <w:r>
        <w:t xml:space="preserve">paredzēti </w:t>
      </w:r>
      <w:r w:rsidR="008C16DD" w:rsidRPr="008C16DD">
        <w:t>Ukrainas atbalstam un globālas drošības veicināšanai (atbalsts Ukrainas rekonstrukcijai un iemaksām Ukrainas atbalstam)</w:t>
      </w:r>
      <w:r>
        <w:t xml:space="preserve">, </w:t>
      </w:r>
    </w:p>
    <w:p w14:paraId="1DE23F22" w14:textId="5C8A41A4" w:rsidR="00E263FB" w:rsidRDefault="006A553C" w:rsidP="00E263FB">
      <w:pPr>
        <w:pStyle w:val="ListParagraph"/>
        <w:numPr>
          <w:ilvl w:val="0"/>
          <w:numId w:val="38"/>
        </w:numPr>
        <w:shd w:val="clear" w:color="auto" w:fill="FFFFFF"/>
        <w:tabs>
          <w:tab w:val="left" w:pos="993"/>
        </w:tabs>
        <w:ind w:left="142" w:firstLine="567"/>
      </w:pPr>
      <w:r w:rsidRPr="0094607A">
        <w:t xml:space="preserve">6,7 milj. </w:t>
      </w:r>
      <w:proofErr w:type="spellStart"/>
      <w:r w:rsidRPr="00E263FB">
        <w:rPr>
          <w:i/>
          <w:iCs/>
        </w:rPr>
        <w:t>euro</w:t>
      </w:r>
      <w:proofErr w:type="spellEnd"/>
      <w:r w:rsidR="00A820B5">
        <w:t xml:space="preserve"> ieplānoti </w:t>
      </w:r>
      <w:proofErr w:type="spellStart"/>
      <w:r w:rsidR="00245CA6" w:rsidRPr="0094607A">
        <w:t>kiberdrošības</w:t>
      </w:r>
      <w:proofErr w:type="spellEnd"/>
      <w:r w:rsidR="00245CA6" w:rsidRPr="0094607A">
        <w:t xml:space="preserve"> stiprināšanai</w:t>
      </w:r>
      <w:r w:rsidR="00E263FB">
        <w:t>;</w:t>
      </w:r>
    </w:p>
    <w:p w14:paraId="31F20FB0" w14:textId="13CAB566" w:rsidR="00F6548E" w:rsidRPr="005273F0" w:rsidRDefault="006A553C" w:rsidP="005273F0">
      <w:pPr>
        <w:pStyle w:val="ListParagraph"/>
        <w:numPr>
          <w:ilvl w:val="0"/>
          <w:numId w:val="38"/>
        </w:numPr>
        <w:shd w:val="clear" w:color="auto" w:fill="FFFFFF"/>
        <w:tabs>
          <w:tab w:val="left" w:pos="993"/>
        </w:tabs>
        <w:ind w:left="142" w:firstLine="567"/>
      </w:pPr>
      <w:r w:rsidRPr="0094607A">
        <w:t xml:space="preserve">7,6 milj. </w:t>
      </w:r>
      <w:proofErr w:type="spellStart"/>
      <w:r w:rsidRPr="00E263FB">
        <w:rPr>
          <w:i/>
          <w:iCs/>
        </w:rPr>
        <w:t>euro</w:t>
      </w:r>
      <w:proofErr w:type="spellEnd"/>
      <w:r w:rsidRPr="0094607A">
        <w:t xml:space="preserve"> </w:t>
      </w:r>
      <w:r w:rsidR="00A32C0F">
        <w:t>ie</w:t>
      </w:r>
      <w:r w:rsidR="00A820B5">
        <w:t>zīmēti</w:t>
      </w:r>
      <w:r w:rsidR="00A32C0F">
        <w:t xml:space="preserve"> </w:t>
      </w:r>
      <w:r>
        <w:t>c</w:t>
      </w:r>
      <w:r w:rsidR="0094607A" w:rsidRPr="0094607A">
        <w:t>itiem p</w:t>
      </w:r>
      <w:r w:rsidR="00E9072A" w:rsidRPr="0094607A">
        <w:t xml:space="preserve">rioritāriem pasākumiem </w:t>
      </w:r>
      <w:r w:rsidR="0094607A" w:rsidRPr="0094607A">
        <w:t>drošības</w:t>
      </w:r>
      <w:r w:rsidR="00E9072A" w:rsidRPr="0094607A">
        <w:t xml:space="preserve"> jomā</w:t>
      </w:r>
      <w:r>
        <w:t xml:space="preserve">. </w:t>
      </w:r>
      <w:r w:rsidR="00E9072A" w:rsidRPr="0094607A">
        <w:t xml:space="preserve">  </w:t>
      </w:r>
    </w:p>
    <w:p w14:paraId="0D89221B" w14:textId="28B2E336" w:rsidR="00E9072A" w:rsidRPr="00FF132B" w:rsidRDefault="00BF08F2" w:rsidP="006F1373">
      <w:pPr>
        <w:pStyle w:val="H5"/>
      </w:pPr>
      <w:r w:rsidRPr="00FF132B">
        <w:t>Izglītība</w:t>
      </w:r>
    </w:p>
    <w:bookmarkEnd w:id="74"/>
    <w:p w14:paraId="3E9DD7D1" w14:textId="77777777" w:rsidR="00FF132B" w:rsidRDefault="00FF132B" w:rsidP="00FF132B">
      <w:pPr>
        <w:shd w:val="clear" w:color="auto" w:fill="FFFFFF"/>
        <w:rPr>
          <w:rFonts w:cs="Times New Roman"/>
          <w:color w:val="000000" w:themeColor="text1"/>
          <w:szCs w:val="24"/>
        </w:rPr>
      </w:pPr>
      <w:r w:rsidRPr="00E616C9">
        <w:rPr>
          <w:rFonts w:cs="Times New Roman"/>
          <w:color w:val="000000" w:themeColor="text1"/>
          <w:szCs w:val="24"/>
        </w:rPr>
        <w:t xml:space="preserve">Līdzīgi kā </w:t>
      </w:r>
      <w:r>
        <w:rPr>
          <w:rFonts w:cs="Times New Roman"/>
          <w:color w:val="000000" w:themeColor="text1"/>
          <w:szCs w:val="24"/>
        </w:rPr>
        <w:t>drošība arī izglītība ir izvirzīta par vienu no valdības prioritātēm. Kvalitatīva izglītība veicina augstāku konkurētspēju, kas ir viens no ekonomikas transformācijas pamatelementiem. Izglītības līmeņa korelācija ar ienākumu līmeni ir neapstrīdama. Tieši tāpēc ir svarīgi nodrošināt kvalitatīvu izglītību, kas veicinās ne tikai ilgtspējīgu ekonomikas izaugsmi, bet arī nodrošinās iedzīvotājiem augstāku labklājības līmeni un iespējas sasniegt savus mērķus.</w:t>
      </w:r>
    </w:p>
    <w:p w14:paraId="21B52D76" w14:textId="746A1949" w:rsidR="00FF132B" w:rsidRPr="00FF132B" w:rsidRDefault="00FF132B" w:rsidP="00FF132B">
      <w:pPr>
        <w:shd w:val="clear" w:color="auto" w:fill="FFFFFF"/>
        <w:rPr>
          <w:rFonts w:cs="Times New Roman"/>
          <w:color w:val="000000" w:themeColor="text1"/>
          <w:szCs w:val="24"/>
        </w:rPr>
      </w:pPr>
      <w:r>
        <w:rPr>
          <w:rFonts w:cs="Times New Roman"/>
          <w:color w:val="000000" w:themeColor="text1"/>
          <w:szCs w:val="24"/>
        </w:rPr>
        <w:t>Valdības Deklarācijā ir noteikts, ka valdība nodrošinās augstāku finansējumu izglītībai un zinātnei, ceļot izglītības un zinātnes kvalitāti, un zinātnes universitāšu konkurētspēju. Tiks veikta pāreja uz institucionālo finansējuma modeli zinātnes universitātēs. Nodrošināta profesionālās izglītības atbilstība darba tirgus prasībām, mūžizglītības un darba vidē balstītas mācību pieejas īstenošana. Atsevišķa uzmanība tiek pievērsta STEM (</w:t>
      </w:r>
      <w:proofErr w:type="spellStart"/>
      <w:r w:rsidRPr="006E6260">
        <w:rPr>
          <w:rFonts w:cs="Times New Roman"/>
          <w:i/>
          <w:iCs/>
          <w:color w:val="000000" w:themeColor="text1"/>
          <w:szCs w:val="24"/>
        </w:rPr>
        <w:t>Science</w:t>
      </w:r>
      <w:proofErr w:type="spellEnd"/>
      <w:r w:rsidRPr="006E6260">
        <w:rPr>
          <w:rFonts w:cs="Times New Roman"/>
          <w:i/>
          <w:iCs/>
          <w:color w:val="000000" w:themeColor="text1"/>
          <w:szCs w:val="24"/>
        </w:rPr>
        <w:t xml:space="preserve">, </w:t>
      </w:r>
      <w:proofErr w:type="spellStart"/>
      <w:r w:rsidRPr="006E6260">
        <w:rPr>
          <w:rFonts w:cs="Times New Roman"/>
          <w:i/>
          <w:iCs/>
          <w:color w:val="000000" w:themeColor="text1"/>
          <w:szCs w:val="24"/>
        </w:rPr>
        <w:t>Tehnology</w:t>
      </w:r>
      <w:proofErr w:type="spellEnd"/>
      <w:r w:rsidRPr="006E6260">
        <w:rPr>
          <w:rFonts w:cs="Times New Roman"/>
          <w:i/>
          <w:iCs/>
          <w:color w:val="000000" w:themeColor="text1"/>
          <w:szCs w:val="24"/>
        </w:rPr>
        <w:t xml:space="preserve">, Engineering </w:t>
      </w:r>
      <w:proofErr w:type="spellStart"/>
      <w:r w:rsidRPr="006E6260">
        <w:rPr>
          <w:rFonts w:cs="Times New Roman"/>
          <w:i/>
          <w:iCs/>
          <w:color w:val="000000" w:themeColor="text1"/>
          <w:szCs w:val="24"/>
        </w:rPr>
        <w:t>and</w:t>
      </w:r>
      <w:proofErr w:type="spellEnd"/>
      <w:r w:rsidRPr="006E6260">
        <w:rPr>
          <w:rFonts w:cs="Times New Roman"/>
          <w:i/>
          <w:iCs/>
          <w:color w:val="000000" w:themeColor="text1"/>
          <w:szCs w:val="24"/>
        </w:rPr>
        <w:t xml:space="preserve"> </w:t>
      </w:r>
      <w:proofErr w:type="spellStart"/>
      <w:r w:rsidRPr="006E6260">
        <w:rPr>
          <w:rFonts w:cs="Times New Roman"/>
          <w:i/>
          <w:iCs/>
          <w:color w:val="000000" w:themeColor="text1"/>
          <w:szCs w:val="24"/>
        </w:rPr>
        <w:t>Mathematics</w:t>
      </w:r>
      <w:proofErr w:type="spellEnd"/>
      <w:r>
        <w:rPr>
          <w:rFonts w:cs="Times New Roman"/>
          <w:color w:val="000000" w:themeColor="text1"/>
          <w:szCs w:val="24"/>
        </w:rPr>
        <w:t xml:space="preserve"> – zinātne, tehnoloģijas, inženierzinātnes un matemātika) jomai. Tiek plānots izglītībā plašāk integrēt digitālās un STEM kompetences ar mērķi panākt, ka vidējā termiņā Latvija dubulto augstākās izglītības absolventu īpatsvaru STEM jomās.</w:t>
      </w:r>
    </w:p>
    <w:p w14:paraId="29D5ACFC" w14:textId="5C11D2D2" w:rsidR="00C030DA" w:rsidRPr="00FF132B" w:rsidRDefault="00FF132B" w:rsidP="00FF132B">
      <w:pPr>
        <w:widowControl w:val="0"/>
        <w:rPr>
          <w:rFonts w:eastAsia="Times New Roman" w:cs="Times New Roman"/>
          <w:color w:val="000000" w:themeColor="text1"/>
          <w:szCs w:val="24"/>
        </w:rPr>
      </w:pPr>
      <w:r w:rsidRPr="004E5C4C">
        <w:rPr>
          <w:rFonts w:eastAsia="Times New Roman" w:cs="Times New Roman"/>
          <w:color w:val="000000" w:themeColor="text1"/>
          <w:szCs w:val="24"/>
        </w:rPr>
        <w:t xml:space="preserve">Atbilstoši </w:t>
      </w:r>
      <w:proofErr w:type="spellStart"/>
      <w:r w:rsidRPr="004E5C4C">
        <w:rPr>
          <w:rFonts w:eastAsia="Times New Roman" w:cs="Times New Roman"/>
          <w:i/>
          <w:color w:val="000000" w:themeColor="text1"/>
          <w:szCs w:val="24"/>
        </w:rPr>
        <w:t>Eurostat</w:t>
      </w:r>
      <w:proofErr w:type="spellEnd"/>
      <w:r w:rsidRPr="004E5C4C">
        <w:rPr>
          <w:rFonts w:eastAsia="Times New Roman" w:cs="Times New Roman"/>
          <w:i/>
          <w:color w:val="000000" w:themeColor="text1"/>
          <w:szCs w:val="24"/>
        </w:rPr>
        <w:t xml:space="preserve"> </w:t>
      </w:r>
      <w:r w:rsidRPr="004E5C4C">
        <w:rPr>
          <w:rFonts w:eastAsia="Times New Roman" w:cs="Times New Roman"/>
          <w:color w:val="000000" w:themeColor="text1"/>
          <w:szCs w:val="24"/>
        </w:rPr>
        <w:t>publicētajiem</w:t>
      </w:r>
      <w:r w:rsidRPr="004E5C4C">
        <w:rPr>
          <w:rFonts w:eastAsia="Times New Roman" w:cs="Times New Roman"/>
          <w:i/>
          <w:color w:val="000000" w:themeColor="text1"/>
          <w:szCs w:val="24"/>
        </w:rPr>
        <w:t xml:space="preserve"> </w:t>
      </w:r>
      <w:r w:rsidRPr="004E5C4C">
        <w:rPr>
          <w:rFonts w:eastAsia="Times New Roman" w:cs="Times New Roman"/>
          <w:color w:val="000000" w:themeColor="text1"/>
          <w:szCs w:val="24"/>
        </w:rPr>
        <w:t>COFOG</w:t>
      </w:r>
      <w:r w:rsidRPr="004E5C4C">
        <w:rPr>
          <w:rStyle w:val="FootnoteReference"/>
          <w:rFonts w:eastAsia="Times New Roman" w:cs="Times New Roman"/>
          <w:szCs w:val="24"/>
        </w:rPr>
        <w:footnoteReference w:id="28"/>
      </w:r>
      <w:r w:rsidRPr="004E5C4C">
        <w:rPr>
          <w:rFonts w:eastAsia="Times New Roman" w:cs="Times New Roman"/>
          <w:color w:val="000000" w:themeColor="text1"/>
          <w:szCs w:val="24"/>
        </w:rPr>
        <w:t xml:space="preserve"> vispārējās valdības sektora izdevumu klasifikācijas datiem</w:t>
      </w:r>
      <w:r>
        <w:rPr>
          <w:rFonts w:eastAsia="Times New Roman" w:cs="Times New Roman"/>
          <w:color w:val="000000" w:themeColor="text1"/>
          <w:szCs w:val="24"/>
        </w:rPr>
        <w:t xml:space="preserve"> (</w:t>
      </w:r>
      <w:r w:rsidRPr="005273F0">
        <w:rPr>
          <w:rFonts w:eastAsia="Times New Roman" w:cs="Times New Roman"/>
          <w:color w:val="000000" w:themeColor="text1"/>
          <w:szCs w:val="24"/>
        </w:rPr>
        <w:t>sk. 2.</w:t>
      </w:r>
      <w:r w:rsidR="005273F0" w:rsidRPr="005273F0">
        <w:rPr>
          <w:rFonts w:eastAsia="Times New Roman" w:cs="Times New Roman"/>
          <w:color w:val="000000" w:themeColor="text1"/>
          <w:szCs w:val="24"/>
        </w:rPr>
        <w:t>7</w:t>
      </w:r>
      <w:r w:rsidRPr="005273F0">
        <w:rPr>
          <w:rFonts w:eastAsia="Times New Roman" w:cs="Times New Roman"/>
          <w:color w:val="000000" w:themeColor="text1"/>
          <w:szCs w:val="24"/>
        </w:rPr>
        <w:t>. attēlu),</w:t>
      </w:r>
      <w:r w:rsidRPr="004E5C4C">
        <w:rPr>
          <w:rFonts w:eastAsia="Times New Roman" w:cs="Times New Roman"/>
          <w:color w:val="000000" w:themeColor="text1"/>
          <w:szCs w:val="24"/>
        </w:rPr>
        <w:t xml:space="preserve"> finansējums izglītības jomā Latvijā 2021. gadā (5,6% no IKP) ir septītais augstākais </w:t>
      </w:r>
      <w:r w:rsidR="00776830">
        <w:rPr>
          <w:rFonts w:eastAsia="Times New Roman" w:cs="Times New Roman"/>
          <w:color w:val="000000" w:themeColor="text1"/>
          <w:szCs w:val="24"/>
        </w:rPr>
        <w:t>ES</w:t>
      </w:r>
      <w:r w:rsidRPr="004E5C4C">
        <w:rPr>
          <w:rFonts w:eastAsia="Times New Roman" w:cs="Times New Roman"/>
          <w:color w:val="000000" w:themeColor="text1"/>
          <w:szCs w:val="24"/>
        </w:rPr>
        <w:t xml:space="preserve">, pārsniedzot gan </w:t>
      </w:r>
      <w:r>
        <w:rPr>
          <w:rFonts w:eastAsia="Times New Roman" w:cs="Times New Roman"/>
          <w:color w:val="000000" w:themeColor="text1"/>
          <w:szCs w:val="24"/>
        </w:rPr>
        <w:t>ES</w:t>
      </w:r>
      <w:r w:rsidRPr="004E5C4C">
        <w:rPr>
          <w:rFonts w:eastAsia="Times New Roman" w:cs="Times New Roman"/>
          <w:color w:val="000000" w:themeColor="text1"/>
          <w:szCs w:val="24"/>
        </w:rPr>
        <w:t xml:space="preserve"> vidējo rādītāju (4,8% no IKP), gan arī apsteidzot Lietuvu (4,8% no IKP), bet vienlaikus atpaliekot no Igaunijas (5,9% no IKP). Tas norāda uz to, ka finansējums izglītībai Latvijā ir adekvātā līmenī, bet, ir nepieciešams risināt pedagogu atalgojuma un noslodzes jautājumus, kā arī, ņemot vērā izmaksu</w:t>
      </w:r>
      <w:r>
        <w:rPr>
          <w:rFonts w:eastAsia="Times New Roman" w:cs="Times New Roman"/>
          <w:color w:val="000000" w:themeColor="text1"/>
          <w:szCs w:val="24"/>
        </w:rPr>
        <w:t xml:space="preserve"> </w:t>
      </w:r>
      <w:r w:rsidRPr="004E5C4C">
        <w:rPr>
          <w:rFonts w:eastAsia="Times New Roman" w:cs="Times New Roman"/>
          <w:color w:val="000000" w:themeColor="text1"/>
          <w:szCs w:val="24"/>
        </w:rPr>
        <w:t>un sekojošo inflācijas pieaugumu, ir nepieciešamība saglabāt izglītības jomā sniegtā atbalsta</w:t>
      </w:r>
      <w:r>
        <w:rPr>
          <w:rFonts w:eastAsia="Times New Roman" w:cs="Times New Roman"/>
          <w:color w:val="000000" w:themeColor="text1"/>
          <w:szCs w:val="24"/>
        </w:rPr>
        <w:t xml:space="preserve"> </w:t>
      </w:r>
      <w:r w:rsidRPr="004E5C4C">
        <w:rPr>
          <w:rFonts w:eastAsia="Times New Roman" w:cs="Times New Roman"/>
          <w:color w:val="000000" w:themeColor="text1"/>
          <w:szCs w:val="24"/>
        </w:rPr>
        <w:t>nodrošināšanu un kvalitāti.</w:t>
      </w:r>
    </w:p>
    <w:p w14:paraId="055A156B" w14:textId="32841FF1" w:rsidR="00C030DA" w:rsidRPr="00FF132B" w:rsidRDefault="00FF132B" w:rsidP="00D870B5">
      <w:pPr>
        <w:spacing w:after="0"/>
        <w:ind w:firstLine="0"/>
        <w:jc w:val="center"/>
        <w:rPr>
          <w:rFonts w:cs="Times New Roman"/>
          <w:b/>
          <w:bCs/>
          <w:i/>
          <w:iCs/>
          <w:szCs w:val="24"/>
        </w:rPr>
      </w:pPr>
      <w:r w:rsidRPr="005273F0">
        <w:rPr>
          <w:rFonts w:eastAsia="Times New Roman" w:cs="Times New Roman"/>
          <w:noProof/>
          <w:color w:val="000000" w:themeColor="text1"/>
          <w:szCs w:val="24"/>
        </w:rPr>
        <w:drawing>
          <wp:anchor distT="0" distB="0" distL="114300" distR="114300" simplePos="0" relativeHeight="251659264" behindDoc="1" locked="0" layoutInCell="1" allowOverlap="1" wp14:anchorId="61B4862F" wp14:editId="74897FCB">
            <wp:simplePos x="0" y="0"/>
            <wp:positionH relativeFrom="margin">
              <wp:posOffset>310515</wp:posOffset>
            </wp:positionH>
            <wp:positionV relativeFrom="paragraph">
              <wp:posOffset>0</wp:posOffset>
            </wp:positionV>
            <wp:extent cx="5295900" cy="2886075"/>
            <wp:effectExtent l="0" t="0" r="0" b="9525"/>
            <wp:wrapTopAndBottom/>
            <wp:docPr id="1511266025" name="Picture 2" descr="A graph of different countries/reg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66025" name="Picture 2" descr="A graph of different countries/regions&#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95900" cy="288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67E7" w:rsidRPr="005273F0">
        <w:rPr>
          <w:rFonts w:cs="Times New Roman"/>
          <w:b/>
          <w:bCs/>
          <w:i/>
          <w:iCs/>
          <w:szCs w:val="24"/>
        </w:rPr>
        <w:t>2</w:t>
      </w:r>
      <w:r w:rsidR="00652E2F" w:rsidRPr="005273F0">
        <w:rPr>
          <w:rFonts w:cs="Times New Roman"/>
          <w:b/>
          <w:bCs/>
          <w:i/>
          <w:iCs/>
          <w:szCs w:val="24"/>
        </w:rPr>
        <w:t>.</w:t>
      </w:r>
      <w:r w:rsidR="005273F0" w:rsidRPr="005273F0">
        <w:rPr>
          <w:rFonts w:cs="Times New Roman"/>
          <w:b/>
          <w:bCs/>
          <w:i/>
          <w:iCs/>
          <w:szCs w:val="24"/>
        </w:rPr>
        <w:t>7</w:t>
      </w:r>
      <w:r w:rsidR="00C030DA" w:rsidRPr="005273F0">
        <w:rPr>
          <w:rFonts w:cs="Times New Roman"/>
          <w:b/>
          <w:bCs/>
          <w:i/>
          <w:iCs/>
          <w:szCs w:val="24"/>
        </w:rPr>
        <w:t xml:space="preserve">. </w:t>
      </w:r>
      <w:r w:rsidR="00145904" w:rsidRPr="005273F0">
        <w:rPr>
          <w:rFonts w:cs="Times New Roman"/>
          <w:b/>
          <w:bCs/>
          <w:i/>
          <w:iCs/>
          <w:szCs w:val="24"/>
        </w:rPr>
        <w:t>att.</w:t>
      </w:r>
      <w:r w:rsidR="00145904" w:rsidRPr="00FF132B">
        <w:rPr>
          <w:rFonts w:cs="Times New Roman"/>
          <w:b/>
          <w:bCs/>
          <w:i/>
          <w:iCs/>
          <w:szCs w:val="24"/>
        </w:rPr>
        <w:t xml:space="preserve"> </w:t>
      </w:r>
      <w:r w:rsidR="00C030DA" w:rsidRPr="00FF132B">
        <w:rPr>
          <w:rFonts w:cs="Times New Roman"/>
          <w:b/>
          <w:bCs/>
          <w:i/>
          <w:iCs/>
          <w:szCs w:val="24"/>
        </w:rPr>
        <w:t>Vispārējās valdības sektora izdevumi izglītības funkciju nodrošināšanai 202</w:t>
      </w:r>
      <w:r w:rsidRPr="00FF132B">
        <w:rPr>
          <w:rFonts w:cs="Times New Roman"/>
          <w:b/>
          <w:bCs/>
          <w:i/>
          <w:iCs/>
          <w:szCs w:val="24"/>
        </w:rPr>
        <w:t>1</w:t>
      </w:r>
      <w:r w:rsidR="00C030DA" w:rsidRPr="00FF132B">
        <w:rPr>
          <w:rFonts w:cs="Times New Roman"/>
          <w:b/>
          <w:bCs/>
          <w:i/>
          <w:iCs/>
          <w:szCs w:val="24"/>
        </w:rPr>
        <w:t>.gadā ES dalībvalstīs (% no IKP)</w:t>
      </w:r>
      <w:r w:rsidR="00D870B5" w:rsidRPr="00FF132B">
        <w:rPr>
          <w:rFonts w:cs="Times New Roman"/>
          <w:b/>
          <w:bCs/>
          <w:i/>
          <w:iCs/>
          <w:szCs w:val="24"/>
        </w:rPr>
        <w:t xml:space="preserve">, avots: </w:t>
      </w:r>
      <w:proofErr w:type="spellStart"/>
      <w:r w:rsidR="00D870B5" w:rsidRPr="00FF132B">
        <w:rPr>
          <w:rFonts w:cs="Times New Roman"/>
          <w:b/>
          <w:bCs/>
          <w:i/>
          <w:iCs/>
          <w:szCs w:val="24"/>
        </w:rPr>
        <w:t>Eurostat</w:t>
      </w:r>
      <w:proofErr w:type="spellEnd"/>
    </w:p>
    <w:p w14:paraId="7C7603DA" w14:textId="77777777" w:rsidR="00D870B5" w:rsidRPr="0038459F" w:rsidRDefault="00D870B5" w:rsidP="00D870B5">
      <w:pPr>
        <w:ind w:firstLine="0"/>
        <w:rPr>
          <w:rFonts w:cs="Times New Roman"/>
          <w:b/>
          <w:bCs/>
          <w:i/>
          <w:iCs/>
          <w:szCs w:val="24"/>
          <w:highlight w:val="lightGray"/>
        </w:rPr>
      </w:pPr>
    </w:p>
    <w:p w14:paraId="55318E41" w14:textId="77777777" w:rsidR="00FF132B" w:rsidRDefault="00FF132B" w:rsidP="00FF132B">
      <w:pPr>
        <w:shd w:val="clear" w:color="auto" w:fill="FFFFFF"/>
        <w:tabs>
          <w:tab w:val="num" w:pos="720"/>
        </w:tabs>
      </w:pPr>
      <w:r w:rsidRPr="004E5C4C">
        <w:t xml:space="preserve">Prioritārajam virzienam </w:t>
      </w:r>
      <w:r w:rsidRPr="004E5C4C">
        <w:rPr>
          <w:b/>
          <w:bCs/>
          <w:i/>
          <w:iCs/>
        </w:rPr>
        <w:t>Izglītība</w:t>
      </w:r>
      <w:r w:rsidRPr="004E5C4C">
        <w:t xml:space="preserve"> vidējā termiņā tiek novirzīts finansējums vairāk kā 376,7 milj. </w:t>
      </w:r>
      <w:proofErr w:type="spellStart"/>
      <w:r w:rsidRPr="004E5C4C">
        <w:rPr>
          <w:i/>
          <w:iCs/>
        </w:rPr>
        <w:t>euro</w:t>
      </w:r>
      <w:proofErr w:type="spellEnd"/>
      <w:r w:rsidRPr="004E5C4C">
        <w:t xml:space="preserve"> apmērā (119,7 milj. </w:t>
      </w:r>
      <w:proofErr w:type="spellStart"/>
      <w:r w:rsidRPr="004E5C4C">
        <w:rPr>
          <w:i/>
          <w:iCs/>
        </w:rPr>
        <w:t>euro</w:t>
      </w:r>
      <w:proofErr w:type="spellEnd"/>
      <w:r w:rsidRPr="004E5C4C">
        <w:rPr>
          <w:i/>
          <w:iCs/>
        </w:rPr>
        <w:t xml:space="preserve"> </w:t>
      </w:r>
      <w:r w:rsidRPr="004E5C4C">
        <w:t xml:space="preserve">2024. gadam, 127,9 milj. </w:t>
      </w:r>
      <w:proofErr w:type="spellStart"/>
      <w:r w:rsidRPr="004E5C4C">
        <w:rPr>
          <w:i/>
          <w:iCs/>
        </w:rPr>
        <w:t>euro</w:t>
      </w:r>
      <w:proofErr w:type="spellEnd"/>
      <w:r w:rsidRPr="004E5C4C">
        <w:rPr>
          <w:i/>
          <w:iCs/>
        </w:rPr>
        <w:t xml:space="preserve"> </w:t>
      </w:r>
      <w:r w:rsidRPr="004E5C4C">
        <w:t xml:space="preserve">2025. gadam un 129,1 milj. </w:t>
      </w:r>
      <w:proofErr w:type="spellStart"/>
      <w:r w:rsidRPr="004E5C4C">
        <w:rPr>
          <w:i/>
          <w:iCs/>
        </w:rPr>
        <w:t>euro</w:t>
      </w:r>
      <w:proofErr w:type="spellEnd"/>
      <w:r w:rsidRPr="004E5C4C">
        <w:rPr>
          <w:i/>
          <w:iCs/>
        </w:rPr>
        <w:t xml:space="preserve"> </w:t>
      </w:r>
      <w:r w:rsidRPr="004E5C4C">
        <w:t xml:space="preserve">2026. gadam). </w:t>
      </w:r>
    </w:p>
    <w:p w14:paraId="692B2EB9" w14:textId="77777777" w:rsidR="00FF132B" w:rsidRPr="004E5C4C" w:rsidRDefault="00FF132B" w:rsidP="00FF132B">
      <w:pPr>
        <w:widowControl w:val="0"/>
        <w:rPr>
          <w:rFonts w:eastAsia="Times New Roman" w:cs="Times New Roman"/>
          <w:color w:val="000000" w:themeColor="text1"/>
          <w:szCs w:val="24"/>
        </w:rPr>
      </w:pPr>
      <w:r w:rsidRPr="004E5C4C">
        <w:rPr>
          <w:rFonts w:eastAsia="Times New Roman" w:cs="Times New Roman"/>
          <w:color w:val="000000" w:themeColor="text1"/>
          <w:szCs w:val="24"/>
        </w:rPr>
        <w:t xml:space="preserve">Pedagogu atalgojuma līmenis ir ilgstošs izglītības sistēmas izaicinājums, kura risināšanai </w:t>
      </w:r>
      <w:r>
        <w:rPr>
          <w:rFonts w:eastAsia="Times New Roman" w:cs="Times New Roman"/>
          <w:color w:val="000000" w:themeColor="text1"/>
          <w:szCs w:val="24"/>
        </w:rPr>
        <w:t>MK</w:t>
      </w:r>
      <w:r w:rsidRPr="004E5C4C">
        <w:rPr>
          <w:rFonts w:eastAsia="Times New Roman" w:cs="Times New Roman"/>
          <w:color w:val="000000" w:themeColor="text1"/>
          <w:szCs w:val="24"/>
        </w:rPr>
        <w:t xml:space="preserve"> iepriekšējos trijos vidēja termiņa budžeta ietvaros ir piešķīris papildu finansējumu. Arī šajā vidēja termiņa budžeta ietvara periodā pedagogu </w:t>
      </w:r>
      <w:r w:rsidRPr="004E5C4C">
        <w:rPr>
          <w:rFonts w:eastAsia="Times New Roman" w:cs="Times New Roman"/>
          <w:bCs/>
          <w:color w:val="000000" w:themeColor="text1"/>
          <w:szCs w:val="24"/>
        </w:rPr>
        <w:t xml:space="preserve">atalgojuma un slodzes līdzsvarošana ir atzīta par vienu no prioritātēm, lai tai novirzītu papildu finanšu resursus. Atbilstoši </w:t>
      </w:r>
      <w:r w:rsidRPr="00F92160">
        <w:rPr>
          <w:bCs/>
        </w:rPr>
        <w:t>informatīvajam ziņojumam “Par pri</w:t>
      </w:r>
      <w:r w:rsidRPr="0061085F">
        <w:t xml:space="preserve">ekšlikumiem valsts budžeta prioritārajiem pasākumiem 2024. gadam un budžeta ietvaram 2024.-2026. gadam”, 2024.-2026. gadā MK ir piešķīris papildus finansējumu 91,3 milj. </w:t>
      </w:r>
      <w:proofErr w:type="spellStart"/>
      <w:r w:rsidRPr="004E5C4C">
        <w:rPr>
          <w:i/>
          <w:iCs/>
        </w:rPr>
        <w:t>euro</w:t>
      </w:r>
      <w:proofErr w:type="spellEnd"/>
      <w:r w:rsidRPr="0061085F">
        <w:t xml:space="preserve"> apmērā katru gadu, lai īstenotu pedagogu darba samaksas pieaugumu. </w:t>
      </w:r>
    </w:p>
    <w:p w14:paraId="38AC6A9D" w14:textId="7674A76B" w:rsidR="00FF132B" w:rsidRPr="004E5C4C" w:rsidRDefault="00FF132B" w:rsidP="00FF132B">
      <w:pPr>
        <w:rPr>
          <w:rStyle w:val="normaltextrun"/>
          <w:rFonts w:cs="Times New Roman"/>
          <w:szCs w:val="24"/>
          <w:shd w:val="clear" w:color="auto" w:fill="FFFFFF"/>
        </w:rPr>
      </w:pPr>
      <w:r w:rsidRPr="004E5C4C">
        <w:rPr>
          <w:rFonts w:cs="Times New Roman"/>
          <w:color w:val="000000" w:themeColor="text1"/>
          <w:szCs w:val="24"/>
        </w:rPr>
        <w:t xml:space="preserve">2022. gada maija izglītības uzņēmuma </w:t>
      </w:r>
      <w:r w:rsidR="00776830">
        <w:rPr>
          <w:rFonts w:cs="Times New Roman"/>
          <w:color w:val="000000" w:themeColor="text1"/>
          <w:szCs w:val="24"/>
        </w:rPr>
        <w:t>“</w:t>
      </w:r>
      <w:proofErr w:type="spellStart"/>
      <w:r w:rsidRPr="004E5C4C">
        <w:rPr>
          <w:rFonts w:cs="Times New Roman"/>
          <w:color w:val="000000" w:themeColor="text1"/>
          <w:szCs w:val="24"/>
        </w:rPr>
        <w:t>Lielvārds</w:t>
      </w:r>
      <w:proofErr w:type="spellEnd"/>
      <w:r w:rsidR="00776830">
        <w:rPr>
          <w:rFonts w:cs="Times New Roman"/>
          <w:color w:val="000000" w:themeColor="text1"/>
          <w:szCs w:val="24"/>
        </w:rPr>
        <w:t>”</w:t>
      </w:r>
      <w:r w:rsidRPr="004E5C4C">
        <w:rPr>
          <w:rFonts w:cs="Times New Roman"/>
          <w:color w:val="000000" w:themeColor="text1"/>
          <w:szCs w:val="24"/>
        </w:rPr>
        <w:t xml:space="preserve"> pētījums </w:t>
      </w:r>
      <w:r w:rsidR="00776830">
        <w:rPr>
          <w:rFonts w:cs="Times New Roman"/>
          <w:color w:val="000000" w:themeColor="text1"/>
          <w:szCs w:val="24"/>
        </w:rPr>
        <w:t>“</w:t>
      </w:r>
      <w:r w:rsidRPr="004E5C4C">
        <w:rPr>
          <w:rFonts w:cs="Times New Roman"/>
          <w:color w:val="000000" w:themeColor="text1"/>
          <w:szCs w:val="24"/>
        </w:rPr>
        <w:t xml:space="preserve">Skolotāju </w:t>
      </w:r>
      <w:proofErr w:type="spellStart"/>
      <w:r w:rsidRPr="004E5C4C">
        <w:rPr>
          <w:rFonts w:cs="Times New Roman"/>
          <w:color w:val="000000" w:themeColor="text1"/>
          <w:szCs w:val="24"/>
        </w:rPr>
        <w:t>bals</w:t>
      </w:r>
      <w:proofErr w:type="spellEnd"/>
      <w:r w:rsidR="00776830">
        <w:rPr>
          <w:rFonts w:cs="Times New Roman"/>
          <w:color w:val="000000" w:themeColor="text1"/>
          <w:szCs w:val="24"/>
        </w:rPr>
        <w:t>”</w:t>
      </w:r>
      <w:r w:rsidRPr="004E5C4C">
        <w:rPr>
          <w:rStyle w:val="FootnoteReference"/>
          <w:rFonts w:cs="Times New Roman"/>
          <w:szCs w:val="24"/>
        </w:rPr>
        <w:footnoteReference w:id="29"/>
      </w:r>
      <w:r w:rsidRPr="004E5C4C">
        <w:rPr>
          <w:rFonts w:cs="Times New Roman"/>
          <w:color w:val="000000" w:themeColor="text1"/>
          <w:szCs w:val="24"/>
        </w:rPr>
        <w:t xml:space="preserve"> apliecina, ka 48% skolotāju ir regulāri pārstrādājušies, tiek norādīts, ka tikai 17% strādā normālu slodzi jeb 33-40 stundas nedēļā, bet katrs desmitais skolotājs (12%) ik nedēļu strādā 57 un vairāk stundas. </w:t>
      </w:r>
      <w:r w:rsidRPr="004E5C4C">
        <w:rPr>
          <w:rFonts w:cs="Times New Roman"/>
          <w:szCs w:val="24"/>
          <w:shd w:val="clear" w:color="auto" w:fill="FFFFFF"/>
        </w:rPr>
        <w:t xml:space="preserve">Vienlaikus 60% </w:t>
      </w:r>
      <w:r w:rsidR="00776830" w:rsidRPr="004E5C4C">
        <w:rPr>
          <w:rFonts w:cs="Times New Roman"/>
          <w:szCs w:val="24"/>
          <w:shd w:val="clear" w:color="auto" w:fill="FFFFFF"/>
        </w:rPr>
        <w:t>skolotāju</w:t>
      </w:r>
      <w:r w:rsidRPr="004E5C4C">
        <w:rPr>
          <w:rFonts w:cs="Times New Roman"/>
          <w:szCs w:val="24"/>
          <w:shd w:val="clear" w:color="auto" w:fill="FFFFFF"/>
        </w:rPr>
        <w:t xml:space="preserve"> </w:t>
      </w:r>
      <w:r w:rsidR="00776830" w:rsidRPr="004E5C4C">
        <w:rPr>
          <w:rFonts w:cs="Times New Roman"/>
          <w:szCs w:val="24"/>
          <w:shd w:val="clear" w:color="auto" w:fill="FFFFFF"/>
        </w:rPr>
        <w:t>norāda</w:t>
      </w:r>
      <w:r w:rsidRPr="004E5C4C">
        <w:rPr>
          <w:rFonts w:cs="Times New Roman"/>
          <w:szCs w:val="24"/>
          <w:shd w:val="clear" w:color="auto" w:fill="FFFFFF"/>
        </w:rPr>
        <w:t xml:space="preserve">, ka </w:t>
      </w:r>
      <w:r w:rsidR="00776830" w:rsidRPr="004E5C4C">
        <w:rPr>
          <w:rFonts w:cs="Times New Roman"/>
          <w:szCs w:val="24"/>
          <w:shd w:val="clear" w:color="auto" w:fill="FFFFFF"/>
        </w:rPr>
        <w:t>viņiem</w:t>
      </w:r>
      <w:r w:rsidRPr="004E5C4C">
        <w:rPr>
          <w:rFonts w:cs="Times New Roman"/>
          <w:szCs w:val="24"/>
          <w:shd w:val="clear" w:color="auto" w:fill="FFFFFF"/>
        </w:rPr>
        <w:t xml:space="preserve"> </w:t>
      </w:r>
      <w:r w:rsidR="00776830" w:rsidRPr="004E5C4C">
        <w:rPr>
          <w:rFonts w:cs="Times New Roman"/>
          <w:szCs w:val="24"/>
          <w:shd w:val="clear" w:color="auto" w:fill="FFFFFF"/>
        </w:rPr>
        <w:t>pietrūkst</w:t>
      </w:r>
      <w:r w:rsidRPr="004E5C4C">
        <w:rPr>
          <w:rFonts w:cs="Times New Roman"/>
          <w:szCs w:val="24"/>
          <w:shd w:val="clear" w:color="auto" w:fill="FFFFFF"/>
        </w:rPr>
        <w:t xml:space="preserve"> laika, lai paveiktu darba </w:t>
      </w:r>
      <w:r w:rsidR="00776830" w:rsidRPr="004E5C4C">
        <w:rPr>
          <w:rFonts w:cs="Times New Roman"/>
          <w:szCs w:val="24"/>
          <w:shd w:val="clear" w:color="auto" w:fill="FFFFFF"/>
        </w:rPr>
        <w:t>pienākumus</w:t>
      </w:r>
      <w:r w:rsidRPr="004E5C4C">
        <w:rPr>
          <w:rFonts w:cs="Times New Roman"/>
          <w:szCs w:val="24"/>
          <w:shd w:val="clear" w:color="auto" w:fill="FFFFFF"/>
        </w:rPr>
        <w:t xml:space="preserve"> </w:t>
      </w:r>
      <w:r w:rsidR="00776830" w:rsidRPr="004E5C4C">
        <w:rPr>
          <w:rFonts w:cs="Times New Roman"/>
          <w:szCs w:val="24"/>
          <w:shd w:val="clear" w:color="auto" w:fill="FFFFFF"/>
        </w:rPr>
        <w:t>vēlamajā</w:t>
      </w:r>
      <w:r w:rsidRPr="004E5C4C">
        <w:rPr>
          <w:rFonts w:cs="Times New Roman"/>
          <w:szCs w:val="24"/>
          <w:shd w:val="clear" w:color="auto" w:fill="FFFFFF"/>
        </w:rPr>
        <w:t xml:space="preserve"> </w:t>
      </w:r>
      <w:r w:rsidR="00776830" w:rsidRPr="004E5C4C">
        <w:rPr>
          <w:rFonts w:cs="Times New Roman"/>
          <w:szCs w:val="24"/>
          <w:shd w:val="clear" w:color="auto" w:fill="FFFFFF"/>
        </w:rPr>
        <w:t>kvalitātē</w:t>
      </w:r>
      <w:r w:rsidRPr="004E5C4C">
        <w:rPr>
          <w:rFonts w:cs="Times New Roman"/>
          <w:szCs w:val="24"/>
          <w:shd w:val="clear" w:color="auto" w:fill="FFFFFF"/>
        </w:rPr>
        <w:t xml:space="preserve">, trešdaļa aptaujāto jūtas </w:t>
      </w:r>
      <w:proofErr w:type="spellStart"/>
      <w:r w:rsidRPr="004E5C4C">
        <w:rPr>
          <w:rFonts w:cs="Times New Roman"/>
          <w:szCs w:val="24"/>
          <w:shd w:val="clear" w:color="auto" w:fill="FFFFFF"/>
        </w:rPr>
        <w:t>demotivēti</w:t>
      </w:r>
      <w:proofErr w:type="spellEnd"/>
      <w:r w:rsidRPr="004E5C4C">
        <w:rPr>
          <w:rFonts w:cs="Times New Roman"/>
          <w:szCs w:val="24"/>
          <w:shd w:val="clear" w:color="auto" w:fill="FFFFFF"/>
        </w:rPr>
        <w:t xml:space="preserve"> un skeptiski raugās uz savu turpmāko karjeru šajā profesijā.</w:t>
      </w:r>
    </w:p>
    <w:p w14:paraId="4982E918" w14:textId="1271AB12" w:rsidR="00FF132B" w:rsidRPr="004E5C4C" w:rsidRDefault="00FF132B" w:rsidP="00FF132B">
      <w:pPr>
        <w:spacing w:after="160" w:line="259" w:lineRule="auto"/>
        <w:rPr>
          <w:rStyle w:val="normaltextrun"/>
          <w:rFonts w:cs="Times New Roman"/>
          <w:szCs w:val="24"/>
          <w:shd w:val="clear" w:color="auto" w:fill="FFFFFF"/>
        </w:rPr>
      </w:pPr>
      <w:r w:rsidRPr="004E5C4C">
        <w:rPr>
          <w:rStyle w:val="normaltextrun"/>
          <w:rFonts w:cs="Times New Roman"/>
          <w:szCs w:val="24"/>
          <w:shd w:val="clear" w:color="auto" w:fill="FFFFFF"/>
        </w:rPr>
        <w:t xml:space="preserve">Veicot starptautisko salīdzinājumu skolotāju mācību stundu noslodzē vispārējā izglītībā </w:t>
      </w:r>
      <w:r w:rsidRPr="005273F0">
        <w:rPr>
          <w:rStyle w:val="normaltextrun"/>
          <w:rFonts w:cs="Times New Roman"/>
          <w:szCs w:val="24"/>
          <w:shd w:val="clear" w:color="auto" w:fill="FFFFFF"/>
        </w:rPr>
        <w:t>(sk. 2.</w:t>
      </w:r>
      <w:r w:rsidR="005273F0" w:rsidRPr="005273F0">
        <w:rPr>
          <w:rStyle w:val="normaltextrun"/>
          <w:rFonts w:cs="Times New Roman"/>
          <w:szCs w:val="24"/>
          <w:shd w:val="clear" w:color="auto" w:fill="FFFFFF"/>
        </w:rPr>
        <w:t>8</w:t>
      </w:r>
      <w:r w:rsidRPr="005273F0">
        <w:rPr>
          <w:rStyle w:val="normaltextrun"/>
          <w:rFonts w:cs="Times New Roman"/>
          <w:szCs w:val="24"/>
          <w:shd w:val="clear" w:color="auto" w:fill="FFFFFF"/>
        </w:rPr>
        <w:t>. attēlu),</w:t>
      </w:r>
      <w:r w:rsidRPr="004E5C4C">
        <w:rPr>
          <w:rStyle w:val="normaltextrun"/>
          <w:rFonts w:cs="Times New Roman"/>
          <w:szCs w:val="24"/>
          <w:shd w:val="clear" w:color="auto" w:fill="FFFFFF"/>
        </w:rPr>
        <w:t xml:space="preserve"> Latvija ir otrajā vietā aiz Lietuvas, savukārt Igaunijas attiecīgais rādītājs ir krietni zemāks. Vidēji OECD valstīs šis laiks vidusskolā ir 685 stundas gadā (Latvijai 726), pamatskolā – 723 stundas (Latvijai 768 stundas), sākumskolā – 791 stunda (Latvijai 640) un pirmsskolā – 989 stundas (Latvijai 1 368, izņēmums, jo norādītas normatīvi noteiktās stundas). </w:t>
      </w:r>
    </w:p>
    <w:p w14:paraId="1F9F0FA2" w14:textId="4036D1FC" w:rsidR="0084690A" w:rsidRPr="0038459F" w:rsidRDefault="0084690A" w:rsidP="0084690A">
      <w:pPr>
        <w:ind w:firstLine="0"/>
        <w:jc w:val="center"/>
        <w:rPr>
          <w:rStyle w:val="eop"/>
          <w:rFonts w:cs="Times New Roman"/>
          <w:szCs w:val="24"/>
          <w:highlight w:val="lightGray"/>
        </w:rPr>
      </w:pPr>
      <w:r w:rsidRPr="00FF132B">
        <w:rPr>
          <w:rStyle w:val="eop"/>
          <w:rFonts w:cs="Times New Roman"/>
          <w:noProof/>
          <w:szCs w:val="24"/>
        </w:rPr>
        <w:drawing>
          <wp:inline distT="0" distB="0" distL="0" distR="0" wp14:anchorId="0877B6EA" wp14:editId="2CF8A2ED">
            <wp:extent cx="5136023" cy="2467317"/>
            <wp:effectExtent l="0" t="0" r="762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41752" cy="2470069"/>
                    </a:xfrm>
                    <a:prstGeom prst="rect">
                      <a:avLst/>
                    </a:prstGeom>
                    <a:noFill/>
                  </pic:spPr>
                </pic:pic>
              </a:graphicData>
            </a:graphic>
          </wp:inline>
        </w:drawing>
      </w:r>
    </w:p>
    <w:p w14:paraId="62962C8B" w14:textId="32E62C08" w:rsidR="00811382" w:rsidRPr="0038459F" w:rsidRDefault="009967E7" w:rsidP="00CB7E29">
      <w:pPr>
        <w:spacing w:after="0"/>
        <w:ind w:firstLine="0"/>
        <w:jc w:val="center"/>
        <w:rPr>
          <w:rFonts w:cs="Times New Roman"/>
          <w:b/>
          <w:bCs/>
          <w:i/>
          <w:iCs/>
          <w:color w:val="000000" w:themeColor="text1"/>
          <w:szCs w:val="24"/>
          <w:highlight w:val="lightGray"/>
        </w:rPr>
      </w:pPr>
      <w:r w:rsidRPr="005273F0">
        <w:rPr>
          <w:rFonts w:cs="Times New Roman"/>
          <w:b/>
          <w:bCs/>
          <w:i/>
          <w:iCs/>
          <w:color w:val="000000" w:themeColor="text1"/>
          <w:szCs w:val="24"/>
        </w:rPr>
        <w:t>2</w:t>
      </w:r>
      <w:r w:rsidR="00F75774" w:rsidRPr="005273F0">
        <w:rPr>
          <w:rFonts w:cs="Times New Roman"/>
          <w:b/>
          <w:bCs/>
          <w:i/>
          <w:iCs/>
          <w:color w:val="000000" w:themeColor="text1"/>
          <w:szCs w:val="24"/>
        </w:rPr>
        <w:t>.</w:t>
      </w:r>
      <w:r w:rsidR="005273F0" w:rsidRPr="005273F0">
        <w:rPr>
          <w:rFonts w:cs="Times New Roman"/>
          <w:b/>
          <w:bCs/>
          <w:i/>
          <w:iCs/>
          <w:color w:val="000000" w:themeColor="text1"/>
          <w:szCs w:val="24"/>
        </w:rPr>
        <w:t>8</w:t>
      </w:r>
      <w:r w:rsidR="00C030DA" w:rsidRPr="005273F0">
        <w:rPr>
          <w:rFonts w:cs="Times New Roman"/>
          <w:b/>
          <w:bCs/>
          <w:i/>
          <w:iCs/>
          <w:color w:val="000000" w:themeColor="text1"/>
          <w:szCs w:val="24"/>
        </w:rPr>
        <w:t>. </w:t>
      </w:r>
      <w:r w:rsidR="00C030DA" w:rsidRPr="00FF132B">
        <w:rPr>
          <w:rFonts w:cs="Times New Roman"/>
          <w:b/>
          <w:bCs/>
          <w:i/>
          <w:iCs/>
          <w:color w:val="000000" w:themeColor="text1"/>
          <w:szCs w:val="24"/>
        </w:rPr>
        <w:t>att. Skolotāju mācību stundu laiks, 2020. gads</w:t>
      </w:r>
      <w:r w:rsidR="00D870B5" w:rsidRPr="00FF132B">
        <w:rPr>
          <w:rFonts w:cs="Times New Roman"/>
          <w:b/>
          <w:bCs/>
          <w:i/>
          <w:iCs/>
          <w:color w:val="000000" w:themeColor="text1"/>
          <w:szCs w:val="24"/>
        </w:rPr>
        <w:t>; avots: OECD</w:t>
      </w:r>
      <w:r w:rsidR="00C030DA" w:rsidRPr="00FF132B">
        <w:rPr>
          <w:rFonts w:cs="Times New Roman"/>
          <w:b/>
          <w:bCs/>
          <w:i/>
          <w:iCs/>
          <w:color w:val="000000" w:themeColor="text1"/>
          <w:szCs w:val="24"/>
        </w:rPr>
        <w:t xml:space="preserve"> </w:t>
      </w:r>
    </w:p>
    <w:p w14:paraId="400F3A26" w14:textId="77777777" w:rsidR="00CB7E29" w:rsidRPr="0038459F" w:rsidRDefault="00CB7E29" w:rsidP="00CB7E29">
      <w:pPr>
        <w:spacing w:after="0"/>
        <w:ind w:firstLine="0"/>
        <w:jc w:val="center"/>
        <w:rPr>
          <w:rStyle w:val="eop"/>
          <w:rFonts w:cs="Times New Roman"/>
          <w:b/>
          <w:bCs/>
          <w:i/>
          <w:iCs/>
          <w:color w:val="000000" w:themeColor="text1"/>
          <w:szCs w:val="24"/>
          <w:highlight w:val="lightGray"/>
        </w:rPr>
      </w:pPr>
    </w:p>
    <w:p w14:paraId="452016B2" w14:textId="62D03625" w:rsidR="00FF132B" w:rsidRPr="004E5C4C" w:rsidRDefault="00FF132B" w:rsidP="00FF132B">
      <w:pPr>
        <w:pStyle w:val="paragraph"/>
        <w:spacing w:before="0" w:beforeAutospacing="0" w:after="120" w:afterAutospacing="0"/>
        <w:ind w:firstLine="720"/>
        <w:jc w:val="both"/>
        <w:textAlignment w:val="baseline"/>
        <w:rPr>
          <w:rStyle w:val="eop"/>
        </w:rPr>
      </w:pPr>
      <w:r w:rsidRPr="004E5C4C">
        <w:rPr>
          <w:rStyle w:val="eop"/>
        </w:rPr>
        <w:t>Pedagogu darba samaksas palielināšana ļaus piesaistīt izglītības sistēmai jaunus pedagogus, motivēs palikt strādāt izglītības sistēmā augsti kvalificētus pedagogus, tādējādi novērsīs speciālistu trūkumu. Būtiski i</w:t>
      </w:r>
      <w:r>
        <w:rPr>
          <w:rStyle w:val="eop"/>
        </w:rPr>
        <w:t>r</w:t>
      </w:r>
      <w:r w:rsidRPr="004E5C4C">
        <w:rPr>
          <w:rStyle w:val="eop"/>
        </w:rPr>
        <w:t xml:space="preserve"> tuvināt darba samaksu citu Latvijas nozaru darbinieku ar augstāko izglītību un </w:t>
      </w:r>
      <w:r w:rsidR="00776830">
        <w:rPr>
          <w:rStyle w:val="eop"/>
        </w:rPr>
        <w:t>ES</w:t>
      </w:r>
      <w:r w:rsidRPr="004E5C4C">
        <w:rPr>
          <w:rStyle w:val="eop"/>
        </w:rPr>
        <w:t xml:space="preserve"> dalībvalstu vidējai pedagogu darba samaksai.</w:t>
      </w:r>
    </w:p>
    <w:p w14:paraId="7B13827A" w14:textId="77777777" w:rsidR="00FF132B" w:rsidRDefault="00FF132B" w:rsidP="00FF132B">
      <w:pPr>
        <w:pStyle w:val="paragraph"/>
        <w:spacing w:before="0" w:beforeAutospacing="0" w:after="120" w:afterAutospacing="0"/>
        <w:ind w:firstLine="720"/>
        <w:jc w:val="both"/>
        <w:textAlignment w:val="baseline"/>
      </w:pPr>
      <w:r w:rsidRPr="00B002C0">
        <w:rPr>
          <w:rStyle w:val="eop"/>
        </w:rPr>
        <w:lastRenderedPageBreak/>
        <w:t>2022. gada 29. septembrī Saeima pieņēma grozījumus Izglītības likumā un Vispārējās izglītības likumā</w:t>
      </w:r>
      <w:r>
        <w:rPr>
          <w:rStyle w:val="FootnoteReference"/>
        </w:rPr>
        <w:footnoteReference w:id="30"/>
      </w:r>
      <w:r w:rsidRPr="00B002C0">
        <w:rPr>
          <w:rStyle w:val="eop"/>
        </w:rPr>
        <w:t>, kas paredz pakāpenisku pāreju uz mācībām valsts valodā pirmsskolas izglītības un pamatizglītības pakāpē</w:t>
      </w:r>
      <w:r>
        <w:rPr>
          <w:rStyle w:val="eop"/>
        </w:rPr>
        <w:t xml:space="preserve">. </w:t>
      </w:r>
      <w:r>
        <w:t xml:space="preserve">Lai, īstenojot pakāpenisku pāreju uz mācībām valsts valodā, novērstu iespējamos riskus, uz kuriem IZM veiktajās aptaujās norāda izglītības iestādes un pašvaldību izglītības pārvaldes, ka nepietiekama latviešu valodas prasmes līmeņa dēļ varētu būt apdraudēts izglītojamā sniegums konkrētu mācību jomu apguvē, ir nepieciešams sniegt papildu atbalstu izglītojamiem, stiprinot viņu </w:t>
      </w:r>
      <w:proofErr w:type="spellStart"/>
      <w:r>
        <w:t>valodpratību</w:t>
      </w:r>
      <w:proofErr w:type="spellEnd"/>
      <w:r>
        <w:t xml:space="preserve">, vienlaikus arī sniedzot izglītojamiem nepieciešamo emocionālo un psiholoģisko atbalstu. Lai nodrošinātu pakāpenisku pāreju mācībām uz valsts valodu, 2024. gadā tika piešķirts papildus finansējums 5 milj. </w:t>
      </w:r>
      <w:proofErr w:type="spellStart"/>
      <w:r w:rsidRPr="004E5C4C">
        <w:rPr>
          <w:i/>
          <w:iCs/>
        </w:rPr>
        <w:t>euro</w:t>
      </w:r>
      <w:proofErr w:type="spellEnd"/>
      <w:r>
        <w:t xml:space="preserve"> apmērā, 2025. gadā 3 milj. </w:t>
      </w:r>
      <w:proofErr w:type="spellStart"/>
      <w:r w:rsidRPr="004E5C4C">
        <w:rPr>
          <w:i/>
          <w:iCs/>
        </w:rPr>
        <w:t>euro</w:t>
      </w:r>
      <w:proofErr w:type="spellEnd"/>
      <w:r>
        <w:t xml:space="preserve"> apmērā un 2026. gadā 1,3 milj. </w:t>
      </w:r>
      <w:proofErr w:type="spellStart"/>
      <w:r w:rsidRPr="004E5C4C">
        <w:rPr>
          <w:i/>
          <w:iCs/>
        </w:rPr>
        <w:t>euro</w:t>
      </w:r>
      <w:proofErr w:type="spellEnd"/>
      <w:r>
        <w:t xml:space="preserve"> apmērā. </w:t>
      </w:r>
    </w:p>
    <w:p w14:paraId="36817E07" w14:textId="51FB5C2E" w:rsidR="00FF132B" w:rsidRPr="0061085F" w:rsidRDefault="00FF132B" w:rsidP="00FF132B">
      <w:r>
        <w:t xml:space="preserve">Papildu finansējums nodrošinās iespēju papildus piesaistīt pedagoga palīgus, logopēdus, kā arī pagarinātās dienas grupas skolotājus, lai sniegtu izglītojamiem nepieciešamo atbalstu mācību stundās/ rotaļnodarbībās,  individuālajās un pagarinātās dienas grupas nodarbībās, nodrošinot </w:t>
      </w:r>
      <w:r w:rsidRPr="0061085F">
        <w:t>Izglītības likumā un Vispārējās izglītības likumā noteikto, ka pirmsskolas izglītībā un pamatizglītībā izglītojamiem ir tiesības saņemt individualizētu un personalizētu atbalstu valsts valodas prasmes apguvei, ja tas nepieciešams.</w:t>
      </w:r>
    </w:p>
    <w:p w14:paraId="20CCA830" w14:textId="7377740D" w:rsidR="00FF132B" w:rsidRPr="0061085F" w:rsidRDefault="00FF132B" w:rsidP="00FF132B">
      <w:pPr>
        <w:widowControl w:val="0"/>
      </w:pPr>
      <w:r w:rsidRPr="004E5C4C">
        <w:rPr>
          <w:rFonts w:eastAsia="Times New Roman" w:cs="Times New Roman"/>
          <w:color w:val="000000" w:themeColor="text1"/>
          <w:szCs w:val="24"/>
        </w:rPr>
        <w:t xml:space="preserve">Atbilstoši </w:t>
      </w:r>
      <w:r w:rsidRPr="0061085F">
        <w:t>informatīvajam ziņojumam “Par priekšlikumiem valsts budžeta prioritārajiem pasākumiem 2024. gadam un budžeta ietvaram 2024.-2026. gadam”, papildus finansējums tiek piešķirts pilotprojektam augstākās izglītības institucionālā finansējuma ieviešanai no 2024.</w:t>
      </w:r>
      <w:r w:rsidR="0040115A">
        <w:t xml:space="preserve"> </w:t>
      </w:r>
      <w:r w:rsidRPr="0061085F">
        <w:t>gada 1.</w:t>
      </w:r>
      <w:r w:rsidR="0040115A">
        <w:t xml:space="preserve"> </w:t>
      </w:r>
      <w:r w:rsidRPr="0061085F">
        <w:t xml:space="preserve">septembra  un valsts augstskolu padomju darbības nodrošināšanai. </w:t>
      </w:r>
    </w:p>
    <w:p w14:paraId="665D0483" w14:textId="77777777" w:rsidR="00FF132B" w:rsidRPr="004E5C4C" w:rsidRDefault="00FF132B" w:rsidP="00FF132B">
      <w:pPr>
        <w:widowControl w:val="0"/>
        <w:rPr>
          <w:rFonts w:eastAsia="Times New Roman" w:cs="Times New Roman"/>
          <w:color w:val="000000" w:themeColor="text1"/>
          <w:szCs w:val="24"/>
        </w:rPr>
      </w:pPr>
      <w:r w:rsidRPr="0061085F">
        <w:t xml:space="preserve">Pilotprojekts augstākās izglītības institucionālā finansējuma ieviešanai sākotnēji tiks ieviests vienā zinātņu universitātē – </w:t>
      </w:r>
      <w:r>
        <w:t>RTU</w:t>
      </w:r>
      <w:r w:rsidRPr="0061085F">
        <w:t xml:space="preserve"> un turpmāk visās valsts augstākās izglītības iestādēs, lai pilnveidotu esošo valsts augstākās izglītības iestāžu finansēšanas modeli, stiprinātu atbilstību tautsaimniecības pieprasījumam un modernizētu augstākās izglītības finansēšanas principus. </w:t>
      </w:r>
    </w:p>
    <w:p w14:paraId="198315F2" w14:textId="77777777" w:rsidR="00FF132B" w:rsidRPr="0061085F" w:rsidRDefault="00FF132B" w:rsidP="00FF132B">
      <w:r w:rsidRPr="0061085F">
        <w:t xml:space="preserve">Pilotprojekta veidā plānots ieviest augstskolu institucionālās finansēšanas modeli </w:t>
      </w:r>
      <w:r>
        <w:t>RTU</w:t>
      </w:r>
      <w:r w:rsidRPr="0061085F">
        <w:t>, atsakoties no tā, ka ministrija un Augstākās izglītības padome mikro līmenī nosaka valsts budžeta finansēto vietu skaitu RTU sadalījumā pa studiju programmām, tai vietā piešķirot tiesības pašai RTU noteikt studiju vietu skaitu un to finansēšanas principus. RTU padome varēs kopējā finansējuma ietvaros pieņemt racionālākus lēmumus par to, cik studējošo tiek uzņemti un pēc kādiem kritērijiem, koncentrējot resursu uz studējošiem, kam sekmes ir pietiekošas studiju pabeigšanai. Kā arī šīs pārmaiņas novērsīs finansiālo stimulu kavēties ar nesekmīgo studējošo atskaitīšanu, tai vietā koncentrējot resursus, gan finanšu līdzekļus, gan akadēmiskā personāla darbu, uz studijās progresējošo studējošo izglītošanu.</w:t>
      </w:r>
    </w:p>
    <w:p w14:paraId="54ED9E29" w14:textId="77777777" w:rsidR="00FF132B" w:rsidRPr="0061085F" w:rsidRDefault="00FF132B" w:rsidP="00FF132B">
      <w:r w:rsidRPr="0061085F">
        <w:t>Izmaiņas nodrošinās RTU elastīgākas iespējas noteikt samaksas principus, kuri studējošie var studēt bez maksas, kuri par daļēju samaksu jeb līdzmaksājumu, kuri, sedzot pilnas studiju izmaksas. Šie lēmumi var būt atšķirīgi, atkarībā no dažādu studiju programmu izmēra, pašizmaksām un pieprasījuma. Augstskolām ir jāspēj iekšēji veikt studiju izmaksu aprēķinus un kopējā pieejamā finansējuma ietvaros pieņemt racionālus lēmumus par uzņemšanas un studiju samaksas nosacījumiem.</w:t>
      </w:r>
    </w:p>
    <w:p w14:paraId="3AD95C0B" w14:textId="77777777" w:rsidR="00FF132B" w:rsidRPr="0061085F" w:rsidRDefault="00FF132B" w:rsidP="00FF132B">
      <w:r w:rsidRPr="0061085F">
        <w:t xml:space="preserve">Tā vietā, lai noteiktu budžeta vietas, </w:t>
      </w:r>
      <w:r>
        <w:t>IZM</w:t>
      </w:r>
      <w:r w:rsidRPr="0061085F">
        <w:t xml:space="preserve"> slēgs vienošanos ar RTU par sagatavojamo speciālistu skaitu, it īpaši par tiem, kas ir svarīgi tautsaimniecības attīstībai, liekot uzsvaru uz rezultātu (absolvents), nevis procesu (budžeta vieta), kā arī paredzot citus uzdevumus un nosacījumus augstskolām.</w:t>
      </w:r>
    </w:p>
    <w:p w14:paraId="3FACE0F9" w14:textId="77777777" w:rsidR="00FF132B" w:rsidRPr="0061085F" w:rsidRDefault="00FF132B" w:rsidP="00FF132B">
      <w:pPr>
        <w:pStyle w:val="paragraph"/>
        <w:spacing w:before="0" w:beforeAutospacing="0" w:after="120" w:afterAutospacing="0"/>
        <w:ind w:firstLine="720"/>
        <w:jc w:val="both"/>
        <w:textAlignment w:val="baseline"/>
      </w:pPr>
      <w:r w:rsidRPr="0061085F">
        <w:lastRenderedPageBreak/>
        <w:t xml:space="preserve">Plānots arī noteikt mazāku valsts augstskolu padomes locekļu skaitu, lai </w:t>
      </w:r>
      <w:proofErr w:type="spellStart"/>
      <w:r w:rsidRPr="0061085F">
        <w:t>efektivizētu</w:t>
      </w:r>
      <w:proofErr w:type="spellEnd"/>
      <w:r w:rsidRPr="0061085F">
        <w:t xml:space="preserve"> padomju darbību. Abiem pasākumiem 2024. gadā tika piešķirts finansējums 5,1 milj. </w:t>
      </w:r>
      <w:proofErr w:type="spellStart"/>
      <w:r w:rsidRPr="004E5C4C">
        <w:rPr>
          <w:i/>
          <w:iCs/>
        </w:rPr>
        <w:t>euro</w:t>
      </w:r>
      <w:proofErr w:type="spellEnd"/>
      <w:r w:rsidRPr="0061085F">
        <w:t xml:space="preserve"> apmērā, 2025. gadā 11,7 milj. </w:t>
      </w:r>
      <w:proofErr w:type="spellStart"/>
      <w:r w:rsidRPr="004E5C4C">
        <w:rPr>
          <w:i/>
          <w:iCs/>
        </w:rPr>
        <w:t>euro</w:t>
      </w:r>
      <w:proofErr w:type="spellEnd"/>
      <w:r w:rsidRPr="0061085F">
        <w:t xml:space="preserve"> apmērā un 2026. gadā 11,4 milj. </w:t>
      </w:r>
      <w:proofErr w:type="spellStart"/>
      <w:r w:rsidRPr="004E5C4C">
        <w:rPr>
          <w:i/>
          <w:iCs/>
        </w:rPr>
        <w:t>euro</w:t>
      </w:r>
      <w:proofErr w:type="spellEnd"/>
      <w:r w:rsidRPr="0061085F">
        <w:t xml:space="preserve"> apmērā.</w:t>
      </w:r>
    </w:p>
    <w:p w14:paraId="62E9BC9D" w14:textId="520637A7" w:rsidR="0040115A" w:rsidRPr="003A0247" w:rsidRDefault="00FF132B" w:rsidP="003A0247">
      <w:pPr>
        <w:pStyle w:val="paragraph"/>
        <w:spacing w:before="0" w:beforeAutospacing="0" w:after="120" w:afterAutospacing="0"/>
        <w:ind w:firstLine="720"/>
        <w:jc w:val="both"/>
        <w:textAlignment w:val="baseline"/>
      </w:pPr>
      <w:r w:rsidRPr="0061085F">
        <w:t>Papildus finansējums izglītības jomā atbilstoši MK prioritātēm tika piešķirts tādiem pasākumiem kā mācību līdzekļu un digitālo mācību līdzekļu un platformu izstrāde un uzturēšana, snieguma finansējuma augstākās izglītības un zinātnes īpatsvara pakāpeniska palielināšana u.c</w:t>
      </w:r>
      <w:r>
        <w:t xml:space="preserve">. </w:t>
      </w:r>
    </w:p>
    <w:p w14:paraId="5E2B361F" w14:textId="77BB2E3C" w:rsidR="00492F25" w:rsidRPr="00FB2F05" w:rsidRDefault="00083B46" w:rsidP="006F1373">
      <w:pPr>
        <w:pStyle w:val="H5"/>
      </w:pPr>
      <w:r w:rsidRPr="00FB2F05">
        <w:t>V</w:t>
      </w:r>
      <w:r w:rsidR="00184BA0" w:rsidRPr="00FB2F05">
        <w:t>eselība</w:t>
      </w:r>
    </w:p>
    <w:p w14:paraId="330C7D36" w14:textId="58850BB2" w:rsidR="006D5008" w:rsidRDefault="00653876" w:rsidP="009C0807">
      <w:pPr>
        <w:shd w:val="clear" w:color="auto" w:fill="FFFFFF"/>
        <w:rPr>
          <w:rFonts w:eastAsia="Times New Roman" w:cs="Times New Roman"/>
          <w:szCs w:val="24"/>
        </w:rPr>
      </w:pPr>
      <w:r w:rsidRPr="00653876">
        <w:rPr>
          <w:rFonts w:eastAsia="Times New Roman" w:cs="Times New Roman"/>
          <w:szCs w:val="24"/>
        </w:rPr>
        <w:t>Veselības aprūpes pakalpojumu pieejamības un kvalitātes uzlabošana</w:t>
      </w:r>
      <w:r>
        <w:rPr>
          <w:rFonts w:eastAsia="Times New Roman" w:cs="Times New Roman"/>
          <w:szCs w:val="24"/>
        </w:rPr>
        <w:t xml:space="preserve">i </w:t>
      </w:r>
      <w:r w:rsidR="009C0807" w:rsidRPr="0031038E">
        <w:rPr>
          <w:rFonts w:eastAsia="Times New Roman" w:cs="Times New Roman"/>
          <w:szCs w:val="24"/>
        </w:rPr>
        <w:t>2024. – 2026. gados</w:t>
      </w:r>
      <w:r w:rsidR="00492F25" w:rsidRPr="0031038E">
        <w:rPr>
          <w:rFonts w:eastAsia="Times New Roman" w:cs="Times New Roman"/>
          <w:szCs w:val="24"/>
        </w:rPr>
        <w:t xml:space="preserve"> tiek novirzīts </w:t>
      </w:r>
      <w:r w:rsidR="003F1E12" w:rsidRPr="0031038E">
        <w:rPr>
          <w:rFonts w:eastAsia="Times New Roman" w:cs="Times New Roman"/>
          <w:szCs w:val="24"/>
        </w:rPr>
        <w:t xml:space="preserve">papildus </w:t>
      </w:r>
      <w:r w:rsidR="00492F25" w:rsidRPr="0031038E">
        <w:rPr>
          <w:rFonts w:eastAsia="Times New Roman" w:cs="Times New Roman"/>
          <w:szCs w:val="24"/>
        </w:rPr>
        <w:t xml:space="preserve">finansējums </w:t>
      </w:r>
      <w:r w:rsidR="009C0807" w:rsidRPr="0031038E">
        <w:rPr>
          <w:rFonts w:eastAsia="Times New Roman" w:cs="Times New Roman"/>
          <w:szCs w:val="24"/>
        </w:rPr>
        <w:t>825</w:t>
      </w:r>
      <w:r w:rsidR="00492F25" w:rsidRPr="0031038E">
        <w:rPr>
          <w:rFonts w:eastAsia="Times New Roman" w:cs="Times New Roman"/>
          <w:szCs w:val="24"/>
        </w:rPr>
        <w:t xml:space="preserve"> milj. </w:t>
      </w:r>
      <w:proofErr w:type="spellStart"/>
      <w:r w:rsidR="00492F25" w:rsidRPr="0031038E">
        <w:rPr>
          <w:rFonts w:eastAsia="Times New Roman" w:cs="Times New Roman"/>
          <w:i/>
          <w:iCs/>
          <w:szCs w:val="24"/>
        </w:rPr>
        <w:t>euro</w:t>
      </w:r>
      <w:proofErr w:type="spellEnd"/>
      <w:r w:rsidR="00492F25" w:rsidRPr="0031038E">
        <w:rPr>
          <w:rFonts w:eastAsia="Times New Roman" w:cs="Times New Roman"/>
          <w:szCs w:val="24"/>
        </w:rPr>
        <w:t xml:space="preserve"> apmērā (</w:t>
      </w:r>
      <w:r w:rsidR="009C0807" w:rsidRPr="0031038E">
        <w:rPr>
          <w:rFonts w:eastAsia="Times New Roman" w:cs="Times New Roman"/>
          <w:szCs w:val="24"/>
        </w:rPr>
        <w:t>275</w:t>
      </w:r>
      <w:r w:rsidR="00492F25" w:rsidRPr="0031038E">
        <w:rPr>
          <w:rFonts w:eastAsia="Times New Roman" w:cs="Times New Roman"/>
          <w:szCs w:val="24"/>
        </w:rPr>
        <w:t xml:space="preserve"> milj. </w:t>
      </w:r>
      <w:proofErr w:type="spellStart"/>
      <w:r w:rsidR="00492F25" w:rsidRPr="0031038E">
        <w:rPr>
          <w:rFonts w:eastAsia="Times New Roman" w:cs="Times New Roman"/>
          <w:i/>
          <w:iCs/>
          <w:szCs w:val="24"/>
        </w:rPr>
        <w:t>euro</w:t>
      </w:r>
      <w:proofErr w:type="spellEnd"/>
      <w:r w:rsidR="009C0807" w:rsidRPr="0031038E">
        <w:rPr>
          <w:rFonts w:eastAsia="Times New Roman" w:cs="Times New Roman"/>
          <w:szCs w:val="24"/>
        </w:rPr>
        <w:t xml:space="preserve"> ik gadu)</w:t>
      </w:r>
      <w:r w:rsidR="006D5008">
        <w:rPr>
          <w:rFonts w:eastAsia="Times New Roman" w:cs="Times New Roman"/>
          <w:szCs w:val="24"/>
        </w:rPr>
        <w:t>, šajā brīdī neiezīmējot konkrētas izdevumu pozīcijas un t</w:t>
      </w:r>
      <w:r w:rsidR="00A708D3">
        <w:rPr>
          <w:rFonts w:eastAsia="Times New Roman" w:cs="Times New Roman"/>
          <w:szCs w:val="24"/>
        </w:rPr>
        <w:t>ā</w:t>
      </w:r>
      <w:r w:rsidR="006D5008">
        <w:rPr>
          <w:rFonts w:eastAsia="Times New Roman" w:cs="Times New Roman"/>
          <w:szCs w:val="24"/>
        </w:rPr>
        <w:t xml:space="preserve">m nepieciešamo finansējuma apmēru. </w:t>
      </w:r>
    </w:p>
    <w:p w14:paraId="5A89208A" w14:textId="4D69B11A" w:rsidR="009C0807" w:rsidRPr="0031038E" w:rsidRDefault="006D5008" w:rsidP="009C0807">
      <w:pPr>
        <w:shd w:val="clear" w:color="auto" w:fill="FFFFFF"/>
        <w:rPr>
          <w:rFonts w:cs="Times New Roman"/>
          <w:szCs w:val="24"/>
        </w:rPr>
      </w:pPr>
      <w:r>
        <w:rPr>
          <w:rFonts w:eastAsia="Times New Roman" w:cs="Times New Roman"/>
          <w:szCs w:val="24"/>
        </w:rPr>
        <w:t>Ar piešķirto</w:t>
      </w:r>
      <w:r w:rsidR="009C0807" w:rsidRPr="0031038E">
        <w:rPr>
          <w:rFonts w:cs="Times New Roman"/>
          <w:szCs w:val="24"/>
        </w:rPr>
        <w:t xml:space="preserve"> finansējum</w:t>
      </w:r>
      <w:r w:rsidR="00A708D3">
        <w:rPr>
          <w:rFonts w:cs="Times New Roman"/>
          <w:szCs w:val="24"/>
        </w:rPr>
        <w:t>u</w:t>
      </w:r>
      <w:r w:rsidR="009C0807" w:rsidRPr="0031038E">
        <w:rPr>
          <w:rFonts w:cs="Times New Roman"/>
          <w:szCs w:val="24"/>
        </w:rPr>
        <w:t xml:space="preserve"> </w:t>
      </w:r>
      <w:proofErr w:type="spellStart"/>
      <w:r w:rsidR="009C0807" w:rsidRPr="0031038E">
        <w:rPr>
          <w:rFonts w:cs="Times New Roman"/>
          <w:szCs w:val="24"/>
        </w:rPr>
        <w:t>Evikas</w:t>
      </w:r>
      <w:proofErr w:type="spellEnd"/>
      <w:r w:rsidR="009C0807" w:rsidRPr="0031038E">
        <w:rPr>
          <w:rFonts w:cs="Times New Roman"/>
          <w:szCs w:val="24"/>
        </w:rPr>
        <w:t xml:space="preserve"> Siliņas vadītais MK ir iecerējis risināt </w:t>
      </w:r>
      <w:r w:rsidR="00C16735">
        <w:rPr>
          <w:rFonts w:cs="Times New Roman"/>
          <w:szCs w:val="24"/>
        </w:rPr>
        <w:t>ieilgušās</w:t>
      </w:r>
      <w:r w:rsidR="009C0807" w:rsidRPr="0031038E">
        <w:rPr>
          <w:rFonts w:cs="Times New Roman"/>
          <w:szCs w:val="24"/>
        </w:rPr>
        <w:t xml:space="preserve"> problēmas, proti, izveidot uz pacientiem orientētu veselības aprūpes pakalpojumu sistēmu, nodrošinot primārās veselības aprūpes plašāku pieejamību, kas būtiski uzlabo</w:t>
      </w:r>
      <w:r w:rsidR="00653876">
        <w:rPr>
          <w:rFonts w:cs="Times New Roman"/>
          <w:szCs w:val="24"/>
        </w:rPr>
        <w:t>s</w:t>
      </w:r>
      <w:r w:rsidR="009C0807" w:rsidRPr="0031038E">
        <w:rPr>
          <w:rFonts w:cs="Times New Roman"/>
          <w:szCs w:val="24"/>
        </w:rPr>
        <w:t xml:space="preserve"> agrīnu diagnostiku un spēju efektīvi ārstēt pacientus no slimībām ar augstiem mirstības rādītājiem,  ieviest ilgtspējīgu, visus Latvijas iedzīvotājus aptverošu veselības finansēšanas modeli vienlīdz ar efektīviem e-pārvaldes datu risinājumiem, nodrošināt veselības nozares publisko finansējumu vismaz 12% apmērā no Latvijas valsts budžeta pamatfunkciju izdevumiem (neskaitot ārpus fiskālās telpas finansētas investīcijas), kā arī panākt veselīgi nodzīvoto mūža dzīves gadu pieaugumu Latvijas sabiedrībā, tajā skaitā sekmējot aktīvu dzīvesveidu. </w:t>
      </w:r>
    </w:p>
    <w:p w14:paraId="229849C9" w14:textId="03983135" w:rsidR="00492F25" w:rsidRPr="00653876" w:rsidRDefault="006D5008" w:rsidP="00653876">
      <w:pPr>
        <w:ind w:right="-1"/>
        <w:rPr>
          <w:rFonts w:cs="Times New Roman"/>
          <w:szCs w:val="24"/>
        </w:rPr>
      </w:pPr>
      <w:r>
        <w:rPr>
          <w:rFonts w:cs="Times New Roman"/>
          <w:szCs w:val="24"/>
        </w:rPr>
        <w:t xml:space="preserve">Šīs problēmas risināšana ilgstošu laiku nezaudē aktualitāti, jo </w:t>
      </w:r>
      <w:r w:rsidR="00492F25" w:rsidRPr="00BB5F3F">
        <w:rPr>
          <w:rFonts w:cs="Times New Roman"/>
          <w:szCs w:val="24"/>
        </w:rPr>
        <w:t xml:space="preserve">Latvijas iedzīvotāju veselība, salīdzinot ar ES vidējiem rādītājiem joprojām ir daudz sliktāka, neskatoties uz to, ka situācija </w:t>
      </w:r>
      <w:r w:rsidR="00C16735" w:rsidRPr="00BB5F3F">
        <w:rPr>
          <w:rFonts w:cs="Times New Roman"/>
          <w:szCs w:val="24"/>
        </w:rPr>
        <w:t>pakāpeniski</w:t>
      </w:r>
      <w:r w:rsidR="00C16735">
        <w:rPr>
          <w:rFonts w:cs="Times New Roman"/>
          <w:szCs w:val="24"/>
        </w:rPr>
        <w:t>, samērā lēnā tempā</w:t>
      </w:r>
      <w:r w:rsidR="00492F25" w:rsidRPr="00BB5F3F">
        <w:rPr>
          <w:rFonts w:cs="Times New Roman"/>
          <w:szCs w:val="24"/>
        </w:rPr>
        <w:t xml:space="preserve"> </w:t>
      </w:r>
      <w:r w:rsidR="008548F1" w:rsidRPr="00BB5F3F">
        <w:rPr>
          <w:rFonts w:cs="Times New Roman"/>
          <w:szCs w:val="24"/>
        </w:rPr>
        <w:t xml:space="preserve">gadu no gada </w:t>
      </w:r>
      <w:r w:rsidR="00492F25" w:rsidRPr="00BB5F3F">
        <w:rPr>
          <w:rFonts w:cs="Times New Roman"/>
          <w:szCs w:val="24"/>
        </w:rPr>
        <w:t>uzlabojas. Piemēram, jaundzimušo vidējais paredzamais mūža ilgums no 70,2 gadiem 2000. gadā pieauga līdz 7</w:t>
      </w:r>
      <w:r w:rsidR="00BB5F3F" w:rsidRPr="00BB5F3F">
        <w:rPr>
          <w:rFonts w:cs="Times New Roman"/>
          <w:szCs w:val="24"/>
        </w:rPr>
        <w:t>4,4</w:t>
      </w:r>
      <w:r w:rsidR="00492F25" w:rsidRPr="00BB5F3F">
        <w:rPr>
          <w:rFonts w:cs="Times New Roman"/>
          <w:szCs w:val="24"/>
        </w:rPr>
        <w:t xml:space="preserve"> gadam 20</w:t>
      </w:r>
      <w:r w:rsidR="00BB5F3F" w:rsidRPr="00BB5F3F">
        <w:rPr>
          <w:rFonts w:cs="Times New Roman"/>
          <w:szCs w:val="24"/>
        </w:rPr>
        <w:t>22</w:t>
      </w:r>
      <w:r w:rsidR="00492F25" w:rsidRPr="00BB5F3F">
        <w:rPr>
          <w:rFonts w:cs="Times New Roman"/>
          <w:szCs w:val="24"/>
        </w:rPr>
        <w:t>. gadā</w:t>
      </w:r>
      <w:r w:rsidR="00492F25" w:rsidRPr="00BB5F3F">
        <w:rPr>
          <w:rStyle w:val="FootnoteReference"/>
          <w:rFonts w:cs="Times New Roman"/>
          <w:szCs w:val="24"/>
        </w:rPr>
        <w:footnoteReference w:id="31"/>
      </w:r>
      <w:r w:rsidR="00492F25" w:rsidRPr="00BB5F3F">
        <w:rPr>
          <w:rFonts w:cs="Times New Roman"/>
          <w:szCs w:val="24"/>
        </w:rPr>
        <w:t xml:space="preserve">, </w:t>
      </w:r>
      <w:r w:rsidR="00492F25" w:rsidRPr="00653876">
        <w:rPr>
          <w:rFonts w:cs="Times New Roman"/>
          <w:szCs w:val="24"/>
        </w:rPr>
        <w:t>bet veselīgi nodzīvoto gadu skaits joprojām ir zemākais visā ES</w:t>
      </w:r>
      <w:r w:rsidR="00C16735">
        <w:rPr>
          <w:rFonts w:cs="Times New Roman"/>
          <w:szCs w:val="24"/>
        </w:rPr>
        <w:t>:</w:t>
      </w:r>
      <w:r w:rsidR="00492F25" w:rsidRPr="00653876">
        <w:rPr>
          <w:rFonts w:cs="Times New Roman"/>
          <w:szCs w:val="24"/>
        </w:rPr>
        <w:t xml:space="preserve"> 202</w:t>
      </w:r>
      <w:r w:rsidR="00653876" w:rsidRPr="00653876">
        <w:rPr>
          <w:rFonts w:cs="Times New Roman"/>
          <w:szCs w:val="24"/>
        </w:rPr>
        <w:t>1</w:t>
      </w:r>
      <w:r w:rsidR="00492F25" w:rsidRPr="00653876">
        <w:rPr>
          <w:rFonts w:cs="Times New Roman"/>
          <w:szCs w:val="24"/>
        </w:rPr>
        <w:t xml:space="preserve">. gadā </w:t>
      </w:r>
      <w:r w:rsidR="00653876" w:rsidRPr="00653876">
        <w:rPr>
          <w:rFonts w:cs="Times New Roman"/>
          <w:szCs w:val="24"/>
        </w:rPr>
        <w:t xml:space="preserve">vīriešiem – 52,2 gadi un otrais zemākais </w:t>
      </w:r>
      <w:r w:rsidR="00492F25" w:rsidRPr="00653876">
        <w:rPr>
          <w:rFonts w:cs="Times New Roman"/>
          <w:szCs w:val="24"/>
        </w:rPr>
        <w:t xml:space="preserve">sievietēm </w:t>
      </w:r>
      <w:r w:rsidR="00C16735">
        <w:rPr>
          <w:rFonts w:cs="Times New Roman"/>
          <w:szCs w:val="24"/>
        </w:rPr>
        <w:t>–</w:t>
      </w:r>
      <w:r w:rsidR="00492F25" w:rsidRPr="00653876">
        <w:rPr>
          <w:rFonts w:cs="Times New Roman"/>
          <w:szCs w:val="24"/>
        </w:rPr>
        <w:t xml:space="preserve"> 5</w:t>
      </w:r>
      <w:r w:rsidR="00653876" w:rsidRPr="00653876">
        <w:rPr>
          <w:rFonts w:cs="Times New Roman"/>
          <w:szCs w:val="24"/>
        </w:rPr>
        <w:t>5,4</w:t>
      </w:r>
      <w:r w:rsidR="00492F25" w:rsidRPr="00653876">
        <w:rPr>
          <w:rFonts w:cs="Times New Roman"/>
          <w:szCs w:val="24"/>
        </w:rPr>
        <w:t xml:space="preserve"> gadi</w:t>
      </w:r>
      <w:r w:rsidR="00653876" w:rsidRPr="00653876">
        <w:rPr>
          <w:rFonts w:cs="Times New Roman"/>
          <w:szCs w:val="24"/>
        </w:rPr>
        <w:t xml:space="preserve"> (aiz Dānijas)</w:t>
      </w:r>
      <w:r w:rsidR="00492F25" w:rsidRPr="00653876">
        <w:rPr>
          <w:rStyle w:val="FootnoteReference"/>
          <w:rFonts w:cs="Times New Roman"/>
          <w:szCs w:val="24"/>
        </w:rPr>
        <w:footnoteReference w:id="32"/>
      </w:r>
      <w:r w:rsidR="00492F25" w:rsidRPr="00653876">
        <w:rPr>
          <w:rFonts w:cs="Times New Roman"/>
          <w:szCs w:val="24"/>
        </w:rPr>
        <w:t xml:space="preserve">. </w:t>
      </w:r>
    </w:p>
    <w:p w14:paraId="19808E3A" w14:textId="3DAA1E3E" w:rsidR="008439BD" w:rsidRPr="007B7FA1" w:rsidRDefault="00492F25" w:rsidP="008439BD">
      <w:pPr>
        <w:shd w:val="clear" w:color="auto" w:fill="FFFFFF"/>
        <w:tabs>
          <w:tab w:val="num" w:pos="720"/>
        </w:tabs>
        <w:rPr>
          <w:rFonts w:cs="Times New Roman"/>
          <w:szCs w:val="24"/>
        </w:rPr>
      </w:pPr>
      <w:r w:rsidRPr="007B7FA1">
        <w:rPr>
          <w:rFonts w:cs="Times New Roman"/>
          <w:szCs w:val="24"/>
        </w:rPr>
        <w:t>Latvijā 2020.</w:t>
      </w:r>
      <w:r w:rsidR="00686268" w:rsidRPr="007B7FA1">
        <w:rPr>
          <w:rFonts w:cs="Times New Roman"/>
          <w:szCs w:val="24"/>
        </w:rPr>
        <w:t xml:space="preserve"> </w:t>
      </w:r>
      <w:r w:rsidRPr="007B7FA1">
        <w:rPr>
          <w:rFonts w:cs="Times New Roman"/>
          <w:szCs w:val="24"/>
        </w:rPr>
        <w:t>gadā 5.</w:t>
      </w:r>
      <w:r w:rsidR="00686268" w:rsidRPr="007B7FA1">
        <w:rPr>
          <w:rFonts w:cs="Times New Roman"/>
          <w:szCs w:val="24"/>
        </w:rPr>
        <w:t xml:space="preserve"> </w:t>
      </w:r>
      <w:r w:rsidRPr="007B7FA1">
        <w:rPr>
          <w:rFonts w:cs="Times New Roman"/>
          <w:szCs w:val="24"/>
        </w:rPr>
        <w:t>zemākie  kopējie veselības aprūpes izdevumi uz vienu iedzīvotāju (PPS) 47% no ES vidējā</w:t>
      </w:r>
      <w:r w:rsidRPr="007B7FA1">
        <w:rPr>
          <w:rStyle w:val="FootnoteReference"/>
          <w:rFonts w:cs="Times New Roman"/>
          <w:szCs w:val="24"/>
        </w:rPr>
        <w:footnoteReference w:id="33"/>
      </w:r>
      <w:r w:rsidRPr="007B7FA1">
        <w:rPr>
          <w:rFonts w:cs="Times New Roman"/>
          <w:szCs w:val="24"/>
        </w:rPr>
        <w:t xml:space="preserve">, tie korelē ar rādītāju - IKP uz </w:t>
      </w:r>
      <w:r w:rsidRPr="005273F0">
        <w:rPr>
          <w:rFonts w:cs="Times New Roman"/>
          <w:szCs w:val="24"/>
        </w:rPr>
        <w:t>vienu iedzīvotāju (PPS), kas Latvijā 2020.</w:t>
      </w:r>
      <w:r w:rsidR="00686268" w:rsidRPr="005273F0">
        <w:rPr>
          <w:rFonts w:cs="Times New Roman"/>
          <w:szCs w:val="24"/>
        </w:rPr>
        <w:t xml:space="preserve"> </w:t>
      </w:r>
      <w:r w:rsidRPr="005273F0">
        <w:rPr>
          <w:rFonts w:cs="Times New Roman"/>
          <w:szCs w:val="24"/>
        </w:rPr>
        <w:t>gadā arī ir 5.</w:t>
      </w:r>
      <w:r w:rsidR="00686268" w:rsidRPr="005273F0">
        <w:rPr>
          <w:rFonts w:cs="Times New Roman"/>
          <w:szCs w:val="24"/>
        </w:rPr>
        <w:t xml:space="preserve"> </w:t>
      </w:r>
      <w:r w:rsidRPr="005273F0">
        <w:rPr>
          <w:rFonts w:cs="Times New Roman"/>
          <w:szCs w:val="24"/>
        </w:rPr>
        <w:t xml:space="preserve">zemākais – 72% no ES vidējā (skat. </w:t>
      </w:r>
      <w:r w:rsidR="009967E7" w:rsidRPr="005273F0">
        <w:rPr>
          <w:rFonts w:cs="Times New Roman"/>
          <w:szCs w:val="24"/>
        </w:rPr>
        <w:t>2.</w:t>
      </w:r>
      <w:r w:rsidR="005273F0" w:rsidRPr="005273F0">
        <w:rPr>
          <w:rFonts w:cs="Times New Roman"/>
          <w:szCs w:val="24"/>
        </w:rPr>
        <w:t>9</w:t>
      </w:r>
      <w:r w:rsidRPr="007B7FA1">
        <w:rPr>
          <w:rFonts w:cs="Times New Roman"/>
          <w:szCs w:val="24"/>
        </w:rPr>
        <w:t xml:space="preserve">. attēlu). </w:t>
      </w:r>
    </w:p>
    <w:p w14:paraId="64954631" w14:textId="5FACA0BE" w:rsidR="00492F25" w:rsidRPr="0038459F" w:rsidRDefault="007B7FA1" w:rsidP="00421A3B">
      <w:pPr>
        <w:shd w:val="clear" w:color="auto" w:fill="FFFFFF"/>
        <w:tabs>
          <w:tab w:val="num" w:pos="720"/>
        </w:tabs>
        <w:ind w:firstLine="0"/>
        <w:jc w:val="center"/>
        <w:rPr>
          <w:rFonts w:cs="Times New Roman"/>
          <w:szCs w:val="24"/>
          <w:highlight w:val="lightGray"/>
        </w:rPr>
      </w:pPr>
      <w:r>
        <w:rPr>
          <w:rFonts w:cs="Times New Roman"/>
          <w:noProof/>
          <w:szCs w:val="24"/>
          <w:highlight w:val="lightGray"/>
        </w:rPr>
        <w:lastRenderedPageBreak/>
        <w:drawing>
          <wp:inline distT="0" distB="0" distL="0" distR="0" wp14:anchorId="3A24652D" wp14:editId="446B2D57">
            <wp:extent cx="5686468" cy="2840528"/>
            <wp:effectExtent l="19050" t="19050" r="9525" b="17145"/>
            <wp:docPr id="20578674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93287" cy="2843934"/>
                    </a:xfrm>
                    <a:prstGeom prst="rect">
                      <a:avLst/>
                    </a:prstGeom>
                    <a:noFill/>
                    <a:ln>
                      <a:solidFill>
                        <a:schemeClr val="tx2"/>
                      </a:solidFill>
                    </a:ln>
                  </pic:spPr>
                </pic:pic>
              </a:graphicData>
            </a:graphic>
          </wp:inline>
        </w:drawing>
      </w:r>
    </w:p>
    <w:p w14:paraId="4DB2C03C" w14:textId="548A7F42" w:rsidR="00492F25" w:rsidRPr="0038459F" w:rsidRDefault="009967E7" w:rsidP="00421A3B">
      <w:pPr>
        <w:spacing w:after="0"/>
        <w:ind w:firstLine="0"/>
        <w:jc w:val="center"/>
        <w:rPr>
          <w:rFonts w:cs="Times New Roman"/>
          <w:b/>
          <w:bCs/>
          <w:i/>
          <w:iCs/>
          <w:szCs w:val="24"/>
          <w:highlight w:val="lightGray"/>
        </w:rPr>
      </w:pPr>
      <w:r w:rsidRPr="005273F0">
        <w:rPr>
          <w:rFonts w:cs="Times New Roman"/>
          <w:b/>
          <w:bCs/>
          <w:i/>
          <w:iCs/>
          <w:szCs w:val="24"/>
        </w:rPr>
        <w:t>2.</w:t>
      </w:r>
      <w:r w:rsidR="005273F0" w:rsidRPr="005273F0">
        <w:rPr>
          <w:rFonts w:cs="Times New Roman"/>
          <w:b/>
          <w:bCs/>
          <w:i/>
          <w:iCs/>
          <w:szCs w:val="24"/>
        </w:rPr>
        <w:t>9</w:t>
      </w:r>
      <w:r w:rsidR="00956C7C" w:rsidRPr="005273F0">
        <w:rPr>
          <w:rFonts w:cs="Times New Roman"/>
          <w:b/>
          <w:bCs/>
          <w:i/>
          <w:iCs/>
          <w:szCs w:val="24"/>
        </w:rPr>
        <w:t>.</w:t>
      </w:r>
      <w:r w:rsidR="00956C7C" w:rsidRPr="007B7FA1">
        <w:rPr>
          <w:rFonts w:cs="Times New Roman"/>
          <w:b/>
          <w:bCs/>
          <w:i/>
          <w:iCs/>
          <w:szCs w:val="24"/>
        </w:rPr>
        <w:t xml:space="preserve"> att.</w:t>
      </w:r>
      <w:r w:rsidR="00492F25" w:rsidRPr="007B7FA1">
        <w:rPr>
          <w:rFonts w:cs="Times New Roman"/>
          <w:b/>
          <w:bCs/>
          <w:i/>
          <w:iCs/>
          <w:szCs w:val="24"/>
        </w:rPr>
        <w:t xml:space="preserve"> </w:t>
      </w:r>
      <w:r w:rsidR="00492F25" w:rsidRPr="007B7FA1">
        <w:rPr>
          <w:b/>
          <w:bCs/>
          <w:i/>
          <w:iCs/>
        </w:rPr>
        <w:t>Kopējie izdevumi veselības jomā uz 1 iedzīvotāju un IKP uz 1 iedzīvotāju 2020.</w:t>
      </w:r>
      <w:r w:rsidR="00C16735">
        <w:rPr>
          <w:b/>
          <w:bCs/>
          <w:i/>
          <w:iCs/>
        </w:rPr>
        <w:t xml:space="preserve"> </w:t>
      </w:r>
      <w:r w:rsidR="00492F25" w:rsidRPr="007B7FA1">
        <w:rPr>
          <w:b/>
          <w:bCs/>
          <w:i/>
          <w:iCs/>
        </w:rPr>
        <w:t xml:space="preserve">gadā </w:t>
      </w:r>
      <w:r w:rsidR="00492F25" w:rsidRPr="007B7FA1">
        <w:rPr>
          <w:rFonts w:cs="Times New Roman"/>
          <w:b/>
          <w:bCs/>
          <w:i/>
          <w:iCs/>
          <w:szCs w:val="24"/>
        </w:rPr>
        <w:t>(pēc pirktspējas paritātes, % no ES vidējā)</w:t>
      </w:r>
    </w:p>
    <w:p w14:paraId="427A6350" w14:textId="77777777" w:rsidR="00CB7E29" w:rsidRPr="0038459F" w:rsidRDefault="00CB7E29" w:rsidP="00CB7E29">
      <w:pPr>
        <w:spacing w:after="0"/>
        <w:jc w:val="center"/>
        <w:rPr>
          <w:rFonts w:cs="Times New Roman"/>
          <w:b/>
          <w:bCs/>
          <w:i/>
          <w:iCs/>
          <w:szCs w:val="24"/>
          <w:highlight w:val="lightGray"/>
        </w:rPr>
      </w:pPr>
    </w:p>
    <w:p w14:paraId="1077EAC9" w14:textId="6040E469" w:rsidR="00FB2F05" w:rsidRDefault="00864581" w:rsidP="00BF08F2">
      <w:pPr>
        <w:ind w:firstLine="0"/>
        <w:rPr>
          <w:rFonts w:cs="Times New Roman"/>
          <w:szCs w:val="24"/>
        </w:rPr>
      </w:pPr>
      <w:r w:rsidRPr="00A708D3">
        <w:rPr>
          <w:rFonts w:cs="Times New Roman"/>
          <w:szCs w:val="24"/>
        </w:rPr>
        <w:tab/>
      </w:r>
      <w:r w:rsidR="008548F1" w:rsidRPr="00A708D3">
        <w:rPr>
          <w:rFonts w:cs="Times New Roman"/>
          <w:szCs w:val="24"/>
        </w:rPr>
        <w:t>Ņemot vērā novēroto korelāciju starp valsts relatīvo labklājības līmeni un veselības jomai novirzītā finansējuma līmeni</w:t>
      </w:r>
      <w:r w:rsidR="00A708D3">
        <w:rPr>
          <w:rFonts w:cs="Times New Roman"/>
          <w:szCs w:val="24"/>
        </w:rPr>
        <w:t xml:space="preserve"> un attiecīgi sociālās un ekonomikas politikas dimensiju sasaisti,</w:t>
      </w:r>
      <w:r w:rsidR="008548F1" w:rsidRPr="00A708D3">
        <w:rPr>
          <w:rFonts w:cs="Times New Roman"/>
          <w:szCs w:val="24"/>
        </w:rPr>
        <w:t xml:space="preserve"> ir pamats sagaidīt, ka veicinot Latvijas ilgtspējīgo attīstību, </w:t>
      </w:r>
      <w:r w:rsidR="00A708D3" w:rsidRPr="00A708D3">
        <w:rPr>
          <w:rFonts w:cs="Times New Roman"/>
          <w:szCs w:val="24"/>
        </w:rPr>
        <w:t xml:space="preserve">tiks sasniegts tāds IKP pieaugums, kas ļaus sasniegt Deklarācijā izvirzītos mērķus </w:t>
      </w:r>
      <w:r w:rsidR="00A708D3">
        <w:rPr>
          <w:rFonts w:cs="Times New Roman"/>
          <w:szCs w:val="24"/>
        </w:rPr>
        <w:t xml:space="preserve">arī </w:t>
      </w:r>
      <w:r w:rsidR="00A708D3" w:rsidRPr="00A708D3">
        <w:rPr>
          <w:rFonts w:cs="Times New Roman"/>
          <w:szCs w:val="24"/>
        </w:rPr>
        <w:t xml:space="preserve">attiecībā uz </w:t>
      </w:r>
      <w:proofErr w:type="spellStart"/>
      <w:r w:rsidR="00A708D3" w:rsidRPr="00A708D3">
        <w:rPr>
          <w:rFonts w:cs="Times New Roman"/>
          <w:szCs w:val="24"/>
        </w:rPr>
        <w:t>labklājīgu</w:t>
      </w:r>
      <w:proofErr w:type="spellEnd"/>
      <w:r w:rsidR="00A708D3" w:rsidRPr="00A708D3">
        <w:rPr>
          <w:rFonts w:cs="Times New Roman"/>
          <w:szCs w:val="24"/>
        </w:rPr>
        <w:t xml:space="preserve"> un kvalitatīvu dzīves vidi.  </w:t>
      </w:r>
    </w:p>
    <w:p w14:paraId="05D6CF1E" w14:textId="37319077" w:rsidR="00FB2F05" w:rsidRPr="00FB2F05" w:rsidRDefault="00FB2F05" w:rsidP="006F1373">
      <w:pPr>
        <w:pStyle w:val="H5"/>
      </w:pPr>
      <w:r w:rsidRPr="00FB2F05">
        <w:t>Nozaru ministriju prioritārie pasākumi</w:t>
      </w:r>
    </w:p>
    <w:p w14:paraId="194DC03B" w14:textId="65C9D86F" w:rsidR="00FB2F05" w:rsidRDefault="00FB2F05" w:rsidP="00FB2F05">
      <w:pPr>
        <w:rPr>
          <w:rFonts w:cs="Times New Roman"/>
          <w:szCs w:val="24"/>
        </w:rPr>
      </w:pPr>
      <w:r w:rsidRPr="00FB2F05">
        <w:rPr>
          <w:rFonts w:cs="Times New Roman"/>
          <w:szCs w:val="24"/>
        </w:rPr>
        <w:t>Pēc valdības koalīcijas diskusijām par nozaru ministriju iesniegtajiem prioritāro pasākumu priekšlikumiem, piedāvāts īstenot tādus prioritāros pasākumus</w:t>
      </w:r>
      <w:r>
        <w:rPr>
          <w:rFonts w:cs="Times New Roman"/>
          <w:szCs w:val="24"/>
        </w:rPr>
        <w:t xml:space="preserve">, iezīmējot to īstenošanai vairāk kā 426 milj. </w:t>
      </w:r>
      <w:proofErr w:type="spellStart"/>
      <w:r w:rsidRPr="00FB2F05">
        <w:rPr>
          <w:rFonts w:cs="Times New Roman"/>
          <w:i/>
          <w:iCs/>
          <w:szCs w:val="24"/>
        </w:rPr>
        <w:t>euro</w:t>
      </w:r>
      <w:proofErr w:type="spellEnd"/>
      <w:r>
        <w:rPr>
          <w:rFonts w:cs="Times New Roman"/>
          <w:szCs w:val="24"/>
        </w:rPr>
        <w:t xml:space="preserve"> (175</w:t>
      </w:r>
      <w:r w:rsidR="0084019B">
        <w:rPr>
          <w:rFonts w:cs="Times New Roman"/>
          <w:szCs w:val="24"/>
        </w:rPr>
        <w:t>,7</w:t>
      </w:r>
      <w:r>
        <w:rPr>
          <w:rFonts w:cs="Times New Roman"/>
          <w:szCs w:val="24"/>
        </w:rPr>
        <w:t xml:space="preserve"> </w:t>
      </w:r>
      <w:proofErr w:type="spellStart"/>
      <w:r>
        <w:rPr>
          <w:rFonts w:cs="Times New Roman"/>
          <w:szCs w:val="24"/>
        </w:rPr>
        <w:t>milj</w:t>
      </w:r>
      <w:proofErr w:type="spellEnd"/>
      <w:r>
        <w:rPr>
          <w:rFonts w:cs="Times New Roman"/>
          <w:szCs w:val="24"/>
        </w:rPr>
        <w:t xml:space="preserve">, </w:t>
      </w:r>
      <w:proofErr w:type="spellStart"/>
      <w:r w:rsidRPr="00FB2F05">
        <w:rPr>
          <w:rFonts w:cs="Times New Roman"/>
          <w:i/>
          <w:iCs/>
          <w:szCs w:val="24"/>
        </w:rPr>
        <w:t>euro</w:t>
      </w:r>
      <w:proofErr w:type="spellEnd"/>
      <w:r>
        <w:rPr>
          <w:rFonts w:cs="Times New Roman"/>
          <w:i/>
          <w:iCs/>
          <w:szCs w:val="24"/>
        </w:rPr>
        <w:t xml:space="preserve"> </w:t>
      </w:r>
      <w:r w:rsidR="0084019B">
        <w:rPr>
          <w:rFonts w:cs="Times New Roman"/>
          <w:szCs w:val="24"/>
        </w:rPr>
        <w:t xml:space="preserve">2024.gadam, 114,3 milj. </w:t>
      </w:r>
      <w:proofErr w:type="spellStart"/>
      <w:r w:rsidR="0084019B" w:rsidRPr="0084019B">
        <w:rPr>
          <w:rFonts w:cs="Times New Roman"/>
          <w:i/>
          <w:iCs/>
          <w:szCs w:val="24"/>
        </w:rPr>
        <w:t>euro</w:t>
      </w:r>
      <w:proofErr w:type="spellEnd"/>
      <w:r w:rsidR="0084019B">
        <w:rPr>
          <w:rFonts w:cs="Times New Roman"/>
          <w:szCs w:val="24"/>
        </w:rPr>
        <w:t xml:space="preserve"> 2025. gadam un 136,2 milj. </w:t>
      </w:r>
      <w:proofErr w:type="spellStart"/>
      <w:r w:rsidR="0084019B" w:rsidRPr="0084019B">
        <w:rPr>
          <w:rFonts w:cs="Times New Roman"/>
          <w:i/>
          <w:iCs/>
          <w:szCs w:val="24"/>
        </w:rPr>
        <w:t>euro</w:t>
      </w:r>
      <w:proofErr w:type="spellEnd"/>
      <w:r w:rsidR="0084019B">
        <w:rPr>
          <w:rFonts w:cs="Times New Roman"/>
          <w:szCs w:val="24"/>
        </w:rPr>
        <w:t xml:space="preserve"> 2026. gadam)</w:t>
      </w:r>
      <w:r w:rsidRPr="00FB2F05">
        <w:rPr>
          <w:rFonts w:cs="Times New Roman"/>
          <w:szCs w:val="24"/>
        </w:rPr>
        <w:t>, kas nodrošinās sabalansētu valdības deklarācijā iekļauto mērķu sasniegšanu.</w:t>
      </w:r>
    </w:p>
    <w:p w14:paraId="49293C9D" w14:textId="57795F76" w:rsidR="004369CD" w:rsidRDefault="004369CD" w:rsidP="0084019B">
      <w:pPr>
        <w:rPr>
          <w:rFonts w:cs="Times New Roman"/>
          <w:szCs w:val="24"/>
        </w:rPr>
      </w:pPr>
      <w:r>
        <w:rPr>
          <w:rFonts w:cs="Times New Roman"/>
          <w:szCs w:val="24"/>
        </w:rPr>
        <w:t>Deklarācija paredz</w:t>
      </w:r>
      <w:r w:rsidRPr="004369CD">
        <w:rPr>
          <w:rFonts w:cs="Times New Roman"/>
          <w:szCs w:val="24"/>
        </w:rPr>
        <w:t xml:space="preserve"> valsts demogrāfisko pārmaiņu izaicinājumu</w:t>
      </w:r>
      <w:r>
        <w:rPr>
          <w:rFonts w:cs="Times New Roman"/>
          <w:szCs w:val="24"/>
        </w:rPr>
        <w:t xml:space="preserve"> risināšanu</w:t>
      </w:r>
      <w:r w:rsidRPr="004369CD">
        <w:rPr>
          <w:rFonts w:cs="Times New Roman"/>
          <w:szCs w:val="24"/>
        </w:rPr>
        <w:t>, paplašinot atbalstu ģimenēm ar bērniem, nodrošinot bērniem pieejamus izglītības, sociālos un veselības aprūpes pakalpojumus</w:t>
      </w:r>
      <w:r w:rsidR="00A36046">
        <w:rPr>
          <w:rFonts w:cs="Times New Roman"/>
          <w:szCs w:val="24"/>
        </w:rPr>
        <w:t xml:space="preserve">, kā arī </w:t>
      </w:r>
      <w:r w:rsidR="00A36046" w:rsidRPr="00A36046">
        <w:rPr>
          <w:rFonts w:cs="Times New Roman"/>
          <w:szCs w:val="24"/>
        </w:rPr>
        <w:t xml:space="preserve">ģimeniskas vides un </w:t>
      </w:r>
      <w:proofErr w:type="spellStart"/>
      <w:r w:rsidR="00A36046" w:rsidRPr="00A36046">
        <w:rPr>
          <w:rFonts w:cs="Times New Roman"/>
          <w:szCs w:val="24"/>
        </w:rPr>
        <w:t>ārpusģimenes</w:t>
      </w:r>
      <w:proofErr w:type="spellEnd"/>
      <w:r w:rsidR="00A36046" w:rsidRPr="00A36046">
        <w:rPr>
          <w:rFonts w:cs="Times New Roman"/>
          <w:szCs w:val="24"/>
        </w:rPr>
        <w:t xml:space="preserve"> aprūpes sistēm</w:t>
      </w:r>
      <w:r w:rsidR="00A36046">
        <w:rPr>
          <w:rFonts w:cs="Times New Roman"/>
          <w:szCs w:val="24"/>
        </w:rPr>
        <w:t>as stiprināšanu</w:t>
      </w:r>
      <w:r w:rsidR="00A36046" w:rsidRPr="00A36046">
        <w:rPr>
          <w:rFonts w:cs="Times New Roman"/>
          <w:szCs w:val="24"/>
        </w:rPr>
        <w:t xml:space="preserve"> un dzīves autonomijas cilvēkiem ar īpašām vajadzībām palielināšan</w:t>
      </w:r>
      <w:r w:rsidR="00A36046">
        <w:rPr>
          <w:rFonts w:cs="Times New Roman"/>
          <w:szCs w:val="24"/>
        </w:rPr>
        <w:t>ā</w:t>
      </w:r>
      <w:r w:rsidR="00A36046" w:rsidRPr="00A36046">
        <w:rPr>
          <w:rFonts w:cs="Times New Roman"/>
          <w:szCs w:val="24"/>
        </w:rPr>
        <w:t>s veicinā</w:t>
      </w:r>
      <w:r w:rsidR="00A36046">
        <w:rPr>
          <w:rFonts w:cs="Times New Roman"/>
          <w:szCs w:val="24"/>
        </w:rPr>
        <w:t>šanu</w:t>
      </w:r>
      <w:r w:rsidR="00A36046" w:rsidRPr="00A36046">
        <w:rPr>
          <w:rFonts w:cs="Times New Roman"/>
          <w:szCs w:val="24"/>
        </w:rPr>
        <w:t>.</w:t>
      </w:r>
      <w:r>
        <w:rPr>
          <w:rFonts w:cs="Times New Roman"/>
          <w:szCs w:val="24"/>
        </w:rPr>
        <w:t xml:space="preserve"> </w:t>
      </w:r>
      <w:r w:rsidR="00A36046">
        <w:rPr>
          <w:rFonts w:cs="Times New Roman"/>
          <w:szCs w:val="24"/>
        </w:rPr>
        <w:t>Deklarācijā nostiprināta apņemšanās p</w:t>
      </w:r>
      <w:r w:rsidR="00A36046" w:rsidRPr="0084019B">
        <w:rPr>
          <w:rFonts w:cs="Times New Roman"/>
          <w:szCs w:val="24"/>
        </w:rPr>
        <w:t>anāk</w:t>
      </w:r>
      <w:r w:rsidR="00A36046">
        <w:rPr>
          <w:rFonts w:cs="Times New Roman"/>
          <w:szCs w:val="24"/>
        </w:rPr>
        <w:t>t</w:t>
      </w:r>
      <w:r w:rsidR="00A36046" w:rsidRPr="0084019B">
        <w:rPr>
          <w:rFonts w:cs="Times New Roman"/>
          <w:szCs w:val="24"/>
        </w:rPr>
        <w:t xml:space="preserve"> sociālā budžeta ilgtspēju un nodrošinājumu cienīgām vecumdienām</w:t>
      </w:r>
      <w:r w:rsidR="00A36046">
        <w:rPr>
          <w:rFonts w:cs="Times New Roman"/>
          <w:szCs w:val="24"/>
        </w:rPr>
        <w:t>, i</w:t>
      </w:r>
      <w:r w:rsidR="00A36046" w:rsidRPr="0084019B">
        <w:rPr>
          <w:rFonts w:cs="Times New Roman"/>
          <w:szCs w:val="24"/>
        </w:rPr>
        <w:t>evies</w:t>
      </w:r>
      <w:r w:rsidR="00A36046">
        <w:rPr>
          <w:rFonts w:cs="Times New Roman"/>
          <w:szCs w:val="24"/>
        </w:rPr>
        <w:t>t</w:t>
      </w:r>
      <w:r w:rsidR="00A36046" w:rsidRPr="0084019B">
        <w:rPr>
          <w:rFonts w:cs="Times New Roman"/>
          <w:szCs w:val="24"/>
        </w:rPr>
        <w:t xml:space="preserve"> sociālo pakalpojumu minimālo grozu un mazinā</w:t>
      </w:r>
      <w:r w:rsidR="00A36046">
        <w:rPr>
          <w:rFonts w:cs="Times New Roman"/>
          <w:szCs w:val="24"/>
        </w:rPr>
        <w:t>t</w:t>
      </w:r>
      <w:r w:rsidR="00A36046" w:rsidRPr="0084019B">
        <w:rPr>
          <w:rFonts w:cs="Times New Roman"/>
          <w:szCs w:val="24"/>
        </w:rPr>
        <w:t xml:space="preserve"> nabadzības riskus ar mērķētu sociālo atbalstu.</w:t>
      </w:r>
      <w:r w:rsidR="00A36046">
        <w:rPr>
          <w:rFonts w:cs="Times New Roman"/>
          <w:szCs w:val="24"/>
        </w:rPr>
        <w:t xml:space="preserve"> </w:t>
      </w:r>
      <w:r w:rsidR="0084019B">
        <w:rPr>
          <w:rFonts w:cs="Times New Roman"/>
          <w:szCs w:val="24"/>
        </w:rPr>
        <w:t>Šī</w:t>
      </w:r>
      <w:r w:rsidR="00A36046">
        <w:rPr>
          <w:rFonts w:cs="Times New Roman"/>
          <w:szCs w:val="24"/>
        </w:rPr>
        <w:t>s</w:t>
      </w:r>
      <w:r w:rsidR="0084019B">
        <w:rPr>
          <w:rFonts w:cs="Times New Roman"/>
          <w:szCs w:val="24"/>
        </w:rPr>
        <w:t xml:space="preserve"> apņemšanās veido arī loģisku un ilgtspējīgu turpinājumu </w:t>
      </w:r>
      <w:r w:rsidR="0084019B" w:rsidRPr="0084019B">
        <w:rPr>
          <w:rFonts w:cs="Times New Roman"/>
          <w:szCs w:val="24"/>
        </w:rPr>
        <w:t>likumā “Par valsts budžetu 2023. gadam un budžeta ietvaru 2023., 2024. un 2025. gadam” noteiktajam vidēja termiņa budžeta politikas prioritārajam attīstības virzienam: dzīves kvalitāte, cilvēka un sabiedrības veselība.</w:t>
      </w:r>
      <w:r w:rsidR="0084019B">
        <w:rPr>
          <w:rFonts w:cs="Times New Roman"/>
          <w:szCs w:val="24"/>
        </w:rPr>
        <w:t xml:space="preserve"> </w:t>
      </w:r>
      <w:r>
        <w:rPr>
          <w:rFonts w:cs="Times New Roman"/>
          <w:szCs w:val="24"/>
        </w:rPr>
        <w:t xml:space="preserve"> </w:t>
      </w:r>
    </w:p>
    <w:p w14:paraId="63002C33" w14:textId="1A83B0FB" w:rsidR="004369CD" w:rsidRDefault="004369CD" w:rsidP="0084019B">
      <w:pPr>
        <w:rPr>
          <w:rFonts w:cs="Times New Roman"/>
          <w:szCs w:val="24"/>
        </w:rPr>
      </w:pPr>
      <w:r>
        <w:rPr>
          <w:rFonts w:cs="Times New Roman"/>
          <w:szCs w:val="24"/>
        </w:rPr>
        <w:t>Ar mērķi pa</w:t>
      </w:r>
      <w:r w:rsidRPr="004369CD">
        <w:rPr>
          <w:rFonts w:cs="Times New Roman"/>
          <w:szCs w:val="24"/>
        </w:rPr>
        <w:t>lielināt materiāl</w:t>
      </w:r>
      <w:r>
        <w:rPr>
          <w:rFonts w:cs="Times New Roman"/>
          <w:szCs w:val="24"/>
        </w:rPr>
        <w:t>o</w:t>
      </w:r>
      <w:r w:rsidRPr="004369CD">
        <w:rPr>
          <w:rFonts w:cs="Times New Roman"/>
          <w:szCs w:val="24"/>
        </w:rPr>
        <w:t xml:space="preserve"> atbalst</w:t>
      </w:r>
      <w:r>
        <w:rPr>
          <w:rFonts w:cs="Times New Roman"/>
          <w:szCs w:val="24"/>
        </w:rPr>
        <w:t>u</w:t>
      </w:r>
      <w:r w:rsidRPr="004369CD">
        <w:rPr>
          <w:rFonts w:cs="Times New Roman"/>
          <w:szCs w:val="24"/>
        </w:rPr>
        <w:t>, mazinā</w:t>
      </w:r>
      <w:r>
        <w:rPr>
          <w:rFonts w:cs="Times New Roman"/>
          <w:szCs w:val="24"/>
        </w:rPr>
        <w:t>t</w:t>
      </w:r>
      <w:r w:rsidRPr="004369CD">
        <w:rPr>
          <w:rFonts w:cs="Times New Roman"/>
          <w:szCs w:val="24"/>
        </w:rPr>
        <w:t xml:space="preserve"> nabadzības un sociālās atstumtības riskam visvairāk pakļauto iedzīvotāju grupu (pensionāri, personas ar invaliditāti) pakļautību </w:t>
      </w:r>
      <w:r>
        <w:rPr>
          <w:rFonts w:cs="Times New Roman"/>
          <w:szCs w:val="24"/>
        </w:rPr>
        <w:t>šim</w:t>
      </w:r>
      <w:r w:rsidRPr="004369CD">
        <w:rPr>
          <w:rFonts w:cs="Times New Roman"/>
          <w:szCs w:val="24"/>
        </w:rPr>
        <w:t xml:space="preserve"> riskam</w:t>
      </w:r>
      <w:r>
        <w:rPr>
          <w:rFonts w:cs="Times New Roman"/>
          <w:szCs w:val="24"/>
        </w:rPr>
        <w:t xml:space="preserve">, panākta vienošanās 2024. - 2026. gados 96 milj. </w:t>
      </w:r>
      <w:proofErr w:type="spellStart"/>
      <w:r w:rsidRPr="004369CD">
        <w:rPr>
          <w:rFonts w:cs="Times New Roman"/>
          <w:i/>
          <w:iCs/>
          <w:szCs w:val="24"/>
        </w:rPr>
        <w:t>euro</w:t>
      </w:r>
      <w:proofErr w:type="spellEnd"/>
      <w:r>
        <w:rPr>
          <w:rFonts w:cs="Times New Roman"/>
          <w:szCs w:val="24"/>
        </w:rPr>
        <w:t xml:space="preserve"> piešķirt p</w:t>
      </w:r>
      <w:r w:rsidRPr="004369CD">
        <w:rPr>
          <w:rFonts w:cs="Times New Roman"/>
          <w:szCs w:val="24"/>
        </w:rPr>
        <w:t>iemaks</w:t>
      </w:r>
      <w:r>
        <w:rPr>
          <w:rFonts w:cs="Times New Roman"/>
          <w:szCs w:val="24"/>
        </w:rPr>
        <w:t>u</w:t>
      </w:r>
      <w:r w:rsidRPr="004369CD">
        <w:rPr>
          <w:rFonts w:cs="Times New Roman"/>
          <w:szCs w:val="24"/>
        </w:rPr>
        <w:t xml:space="preserve"> pie vecuma un invaliditātes pensijas saņēmēju loka un apmēra paplašināšana</w:t>
      </w:r>
      <w:r>
        <w:rPr>
          <w:rFonts w:cs="Times New Roman"/>
          <w:szCs w:val="24"/>
        </w:rPr>
        <w:t>i. Pasākums</w:t>
      </w:r>
      <w:r w:rsidRPr="004369CD">
        <w:rPr>
          <w:rFonts w:cs="Times New Roman"/>
          <w:szCs w:val="24"/>
        </w:rPr>
        <w:t xml:space="preserve"> paredz pakāpenisku (pa 3 gadiem) piemaksu  piešķiršanu laikā no 2024. līdz 2029.gadam pie tām vecuma un invaliditātes pensijām, kas piešķirtas laikā no 2012. līdz 2028.gadam, bet sākot ar 2029.gadu - visiem vecuma un invaliditātes pensijas saņēmējiem par apdrošināšanas stāžu, kas uzkrāts līdz 1995.gada 31.decembrim.</w:t>
      </w:r>
    </w:p>
    <w:p w14:paraId="6F03CB54" w14:textId="4141236F" w:rsidR="0084019B" w:rsidRPr="00FB2F05" w:rsidRDefault="00CF2577" w:rsidP="0084019B">
      <w:pPr>
        <w:rPr>
          <w:rFonts w:cs="Times New Roman"/>
          <w:szCs w:val="24"/>
        </w:rPr>
      </w:pPr>
      <w:r>
        <w:rPr>
          <w:rFonts w:cs="Times New Roman"/>
          <w:szCs w:val="24"/>
        </w:rPr>
        <w:lastRenderedPageBreak/>
        <w:t>M</w:t>
      </w:r>
      <w:r w:rsidR="007A2134">
        <w:rPr>
          <w:rFonts w:cs="Times New Roman"/>
          <w:szCs w:val="24"/>
        </w:rPr>
        <w:t>K</w:t>
      </w:r>
      <w:r>
        <w:rPr>
          <w:rFonts w:cs="Times New Roman"/>
          <w:szCs w:val="24"/>
        </w:rPr>
        <w:t xml:space="preserve"> ir atbalstījis pr</w:t>
      </w:r>
      <w:r w:rsidRPr="00CF2577">
        <w:rPr>
          <w:rFonts w:cs="Times New Roman"/>
          <w:szCs w:val="24"/>
        </w:rPr>
        <w:t>iekšlikum</w:t>
      </w:r>
      <w:r>
        <w:rPr>
          <w:rFonts w:cs="Times New Roman"/>
          <w:szCs w:val="24"/>
        </w:rPr>
        <w:t>u, kas</w:t>
      </w:r>
      <w:r w:rsidRPr="00CF2577">
        <w:rPr>
          <w:rFonts w:cs="Times New Roman"/>
          <w:szCs w:val="24"/>
        </w:rPr>
        <w:t xml:space="preserve"> paredz </w:t>
      </w:r>
      <w:r>
        <w:rPr>
          <w:rFonts w:cs="Times New Roman"/>
          <w:szCs w:val="24"/>
        </w:rPr>
        <w:t xml:space="preserve">paaugstināt piemaksu </w:t>
      </w:r>
      <w:r w:rsidRPr="00CF2577">
        <w:rPr>
          <w:rFonts w:cs="Times New Roman"/>
          <w:szCs w:val="24"/>
        </w:rPr>
        <w:t xml:space="preserve">pie ģimenes valsts pabalsta par bērnu ar invaliditāti piemaksas paaugstināšanu no 2024.gada 1.janvāra par 53,28 </w:t>
      </w:r>
      <w:proofErr w:type="spellStart"/>
      <w:r w:rsidRPr="00CF2577">
        <w:rPr>
          <w:rFonts w:cs="Times New Roman"/>
          <w:i/>
          <w:iCs/>
          <w:szCs w:val="24"/>
        </w:rPr>
        <w:t>euro</w:t>
      </w:r>
      <w:proofErr w:type="spellEnd"/>
      <w:r>
        <w:rPr>
          <w:rFonts w:cs="Times New Roman"/>
          <w:szCs w:val="24"/>
        </w:rPr>
        <w:t xml:space="preserve"> līdz</w:t>
      </w:r>
      <w:r w:rsidRPr="00CF2577">
        <w:rPr>
          <w:rFonts w:cs="Times New Roman"/>
          <w:szCs w:val="24"/>
        </w:rPr>
        <w:t xml:space="preserve"> 160 </w:t>
      </w:r>
      <w:proofErr w:type="spellStart"/>
      <w:r w:rsidRPr="00CF2577">
        <w:rPr>
          <w:rFonts w:cs="Times New Roman"/>
          <w:i/>
          <w:iCs/>
          <w:szCs w:val="24"/>
        </w:rPr>
        <w:t>euro</w:t>
      </w:r>
      <w:proofErr w:type="spellEnd"/>
      <w:r>
        <w:rPr>
          <w:rFonts w:cs="Times New Roman"/>
          <w:i/>
          <w:iCs/>
          <w:szCs w:val="24"/>
        </w:rPr>
        <w:t xml:space="preserve"> </w:t>
      </w:r>
      <w:r w:rsidRPr="00CF2577">
        <w:rPr>
          <w:rFonts w:cs="Times New Roman"/>
          <w:szCs w:val="24"/>
        </w:rPr>
        <w:t xml:space="preserve">un paaugstināt valsts atbalsta ar </w:t>
      </w:r>
      <w:proofErr w:type="spellStart"/>
      <w:r w:rsidRPr="00CF2577">
        <w:rPr>
          <w:rFonts w:cs="Times New Roman"/>
          <w:szCs w:val="24"/>
        </w:rPr>
        <w:t>celiakiju</w:t>
      </w:r>
      <w:proofErr w:type="spellEnd"/>
      <w:r w:rsidRPr="00CF2577">
        <w:rPr>
          <w:rFonts w:cs="Times New Roman"/>
          <w:szCs w:val="24"/>
        </w:rPr>
        <w:t xml:space="preserve"> slimiem bērniem atbalsta apmēru līdz tādam, kāds noteikts piemaksai pie ģimenes valsts pabalsta par bērnu ar invaliditāti - 160 </w:t>
      </w:r>
      <w:proofErr w:type="spellStart"/>
      <w:r w:rsidRPr="00CF2577">
        <w:rPr>
          <w:rFonts w:cs="Times New Roman"/>
          <w:i/>
          <w:iCs/>
          <w:szCs w:val="24"/>
        </w:rPr>
        <w:t>euro</w:t>
      </w:r>
      <w:proofErr w:type="spellEnd"/>
      <w:r>
        <w:rPr>
          <w:rFonts w:cs="Times New Roman"/>
          <w:i/>
          <w:iCs/>
          <w:szCs w:val="24"/>
        </w:rPr>
        <w:t xml:space="preserve">. </w:t>
      </w:r>
      <w:r w:rsidRPr="00CF2577">
        <w:rPr>
          <w:rFonts w:cs="Times New Roman"/>
          <w:szCs w:val="24"/>
        </w:rPr>
        <w:t xml:space="preserve"> </w:t>
      </w:r>
      <w:r>
        <w:rPr>
          <w:rFonts w:cs="Times New Roman"/>
          <w:szCs w:val="24"/>
        </w:rPr>
        <w:t>P</w:t>
      </w:r>
      <w:r w:rsidRPr="00CF2577">
        <w:rPr>
          <w:rFonts w:cs="Times New Roman"/>
          <w:szCs w:val="24"/>
        </w:rPr>
        <w:t xml:space="preserve">iemaksas un </w:t>
      </w:r>
      <w:proofErr w:type="spellStart"/>
      <w:r w:rsidRPr="00CF2577">
        <w:rPr>
          <w:rFonts w:cs="Times New Roman"/>
          <w:szCs w:val="24"/>
        </w:rPr>
        <w:t>celiakijas</w:t>
      </w:r>
      <w:proofErr w:type="spellEnd"/>
      <w:r w:rsidRPr="00CF2577">
        <w:rPr>
          <w:rFonts w:cs="Times New Roman"/>
          <w:szCs w:val="24"/>
        </w:rPr>
        <w:t xml:space="preserve"> atbalsta paaugstināšana radīs tiešu, pozitīvu  ietekmi  uz nabadzības un sociālās atstumtības riskam  pakļauto iedzīvotāju grupu (ģimenes, kurās aug bērns ar invaliditāti vai bērns ar </w:t>
      </w:r>
      <w:proofErr w:type="spellStart"/>
      <w:r w:rsidRPr="00CF2577">
        <w:rPr>
          <w:rFonts w:cs="Times New Roman"/>
          <w:szCs w:val="24"/>
        </w:rPr>
        <w:t>celiakiju</w:t>
      </w:r>
      <w:proofErr w:type="spellEnd"/>
      <w:r w:rsidRPr="00CF2577">
        <w:rPr>
          <w:rFonts w:cs="Times New Roman"/>
          <w:szCs w:val="24"/>
        </w:rPr>
        <w:t xml:space="preserve">) situāciju. Piemaksas un </w:t>
      </w:r>
      <w:proofErr w:type="spellStart"/>
      <w:r w:rsidRPr="00CF2577">
        <w:rPr>
          <w:rFonts w:cs="Times New Roman"/>
          <w:szCs w:val="24"/>
        </w:rPr>
        <w:t>celiakijas</w:t>
      </w:r>
      <w:proofErr w:type="spellEnd"/>
      <w:r w:rsidRPr="00CF2577">
        <w:rPr>
          <w:rFonts w:cs="Times New Roman"/>
          <w:szCs w:val="24"/>
        </w:rPr>
        <w:t xml:space="preserve"> atbalsta apmēra celšana pozitīvi ietekmēs bērnu ar invaliditāti labāko interešu nodrošināšanu, stiprinot ģimeņu finansiālo kapacitāti un emocionālo </w:t>
      </w:r>
      <w:proofErr w:type="spellStart"/>
      <w:r w:rsidRPr="00CF2577">
        <w:rPr>
          <w:rFonts w:cs="Times New Roman"/>
          <w:szCs w:val="24"/>
        </w:rPr>
        <w:t>labbūtību</w:t>
      </w:r>
      <w:proofErr w:type="spellEnd"/>
      <w:r w:rsidRPr="00CF2577">
        <w:rPr>
          <w:rFonts w:cs="Times New Roman"/>
          <w:szCs w:val="24"/>
        </w:rPr>
        <w:t xml:space="preserve">.  </w:t>
      </w:r>
      <w:r w:rsidR="0084019B" w:rsidRPr="0084019B">
        <w:rPr>
          <w:rFonts w:cs="Times New Roman"/>
          <w:szCs w:val="24"/>
        </w:rPr>
        <w:tab/>
      </w:r>
      <w:r w:rsidR="0084019B" w:rsidRPr="0084019B">
        <w:rPr>
          <w:rFonts w:cs="Times New Roman"/>
          <w:szCs w:val="24"/>
        </w:rPr>
        <w:tab/>
      </w:r>
    </w:p>
    <w:p w14:paraId="4A62717E" w14:textId="26BC73FF" w:rsidR="00FB2F05" w:rsidRPr="00FB2F05" w:rsidRDefault="00A36046" w:rsidP="00F46617">
      <w:pPr>
        <w:rPr>
          <w:rFonts w:cs="Times New Roman"/>
          <w:szCs w:val="24"/>
        </w:rPr>
      </w:pPr>
      <w:r w:rsidRPr="00A36046">
        <w:rPr>
          <w:rFonts w:cs="Times New Roman"/>
          <w:szCs w:val="24"/>
        </w:rPr>
        <w:t xml:space="preserve">Lai saglabātu </w:t>
      </w:r>
      <w:r>
        <w:rPr>
          <w:rFonts w:cs="Times New Roman"/>
          <w:szCs w:val="24"/>
        </w:rPr>
        <w:t xml:space="preserve">asistenta </w:t>
      </w:r>
      <w:r w:rsidRPr="00A36046">
        <w:rPr>
          <w:rFonts w:cs="Times New Roman"/>
          <w:szCs w:val="24"/>
        </w:rPr>
        <w:t xml:space="preserve">profesijas konkurētspēju un nepasliktinātu personu ar invaliditāti iespējas piesaistīt savām vajadzībām atbilstošu asistentu vai pavadoni, </w:t>
      </w:r>
      <w:r w:rsidR="00F46617">
        <w:rPr>
          <w:rFonts w:cs="Times New Roman"/>
          <w:szCs w:val="24"/>
        </w:rPr>
        <w:t xml:space="preserve">atbalstītais </w:t>
      </w:r>
      <w:proofErr w:type="spellStart"/>
      <w:r w:rsidR="00F46617">
        <w:rPr>
          <w:rFonts w:cs="Times New Roman"/>
          <w:szCs w:val="24"/>
        </w:rPr>
        <w:t>prioritātrais</w:t>
      </w:r>
      <w:proofErr w:type="spellEnd"/>
      <w:r w:rsidR="00F46617">
        <w:rPr>
          <w:rFonts w:cs="Times New Roman"/>
          <w:szCs w:val="24"/>
        </w:rPr>
        <w:t xml:space="preserve"> pasākums</w:t>
      </w:r>
      <w:r w:rsidRPr="00A36046">
        <w:rPr>
          <w:rFonts w:cs="Times New Roman"/>
          <w:szCs w:val="24"/>
        </w:rPr>
        <w:t xml:space="preserve"> paredz asistenta atlīdzības pieaugumu </w:t>
      </w:r>
      <w:r w:rsidR="00F46617">
        <w:rPr>
          <w:rFonts w:cs="Times New Roman"/>
          <w:szCs w:val="24"/>
        </w:rPr>
        <w:t xml:space="preserve">par 6% </w:t>
      </w:r>
      <w:r w:rsidRPr="00A36046">
        <w:rPr>
          <w:rFonts w:cs="Times New Roman"/>
          <w:szCs w:val="24"/>
        </w:rPr>
        <w:t>proporcionāli mēnešalgu skalas pieaugumam valsts un pašvaldību  institūcijās nodarbinātajiem ierēdņiem un darbiniekiem</w:t>
      </w:r>
      <w:r w:rsidR="00F46617">
        <w:rPr>
          <w:rFonts w:cs="Times New Roman"/>
          <w:szCs w:val="24"/>
        </w:rPr>
        <w:t>. L</w:t>
      </w:r>
      <w:r w:rsidRPr="00A36046">
        <w:rPr>
          <w:rFonts w:cs="Times New Roman"/>
          <w:szCs w:val="24"/>
        </w:rPr>
        <w:t>īdzvērtīgā apjomā ir paredzēts paaugstināt arī atlīdzības apmēru asistenta pakalpojuma izglītībā sniedzējiem.</w:t>
      </w:r>
      <w:r w:rsidR="00F46617">
        <w:rPr>
          <w:rFonts w:cs="Times New Roman"/>
          <w:szCs w:val="24"/>
        </w:rPr>
        <w:t xml:space="preserve"> Šī pasākuma īstenošanai 2024. – 2026. gados paredzēts finansējums 14,8 milj. </w:t>
      </w:r>
      <w:proofErr w:type="spellStart"/>
      <w:r w:rsidR="00F46617" w:rsidRPr="00F46617">
        <w:rPr>
          <w:rFonts w:cs="Times New Roman"/>
          <w:i/>
          <w:iCs/>
          <w:szCs w:val="24"/>
        </w:rPr>
        <w:t>euro</w:t>
      </w:r>
      <w:proofErr w:type="spellEnd"/>
      <w:r w:rsidR="00F46617">
        <w:rPr>
          <w:rFonts w:cs="Times New Roman"/>
          <w:szCs w:val="24"/>
        </w:rPr>
        <w:t xml:space="preserve"> apmērā (ik gadu 4,9 milj. </w:t>
      </w:r>
      <w:proofErr w:type="spellStart"/>
      <w:r w:rsidR="00F46617" w:rsidRPr="00F46617">
        <w:rPr>
          <w:rFonts w:cs="Times New Roman"/>
          <w:i/>
          <w:iCs/>
          <w:szCs w:val="24"/>
        </w:rPr>
        <w:t>euro</w:t>
      </w:r>
      <w:proofErr w:type="spellEnd"/>
      <w:r w:rsidR="00F46617">
        <w:rPr>
          <w:rFonts w:cs="Times New Roman"/>
          <w:szCs w:val="24"/>
        </w:rPr>
        <w:t xml:space="preserve">). </w:t>
      </w:r>
    </w:p>
    <w:p w14:paraId="113986DD" w14:textId="0BF67FFF" w:rsidR="00CB7E29" w:rsidRPr="007C7CDE" w:rsidRDefault="000548A5" w:rsidP="00235B5D">
      <w:pPr>
        <w:pStyle w:val="H3"/>
      </w:pPr>
      <w:bookmarkStart w:id="76" w:name="_Toc126236656"/>
      <w:r w:rsidRPr="007C7CDE">
        <w:t>2.3.2. Finanšu resursi vidēja termiņa budžeta prioritāro attīstības virzienu īstenošanā</w:t>
      </w:r>
      <w:bookmarkEnd w:id="76"/>
    </w:p>
    <w:p w14:paraId="66F77CFD" w14:textId="2FA95363" w:rsidR="00CB7E29" w:rsidRPr="00875B51" w:rsidRDefault="00CB7E29" w:rsidP="00CB7E29">
      <w:pPr>
        <w:widowControl w:val="0"/>
        <w:ind w:firstLine="709"/>
        <w:rPr>
          <w:rFonts w:eastAsia="Times New Roman" w:cs="Times New Roman"/>
          <w:color w:val="000000"/>
          <w:szCs w:val="28"/>
        </w:rPr>
      </w:pPr>
      <w:r w:rsidRPr="00875B51">
        <w:rPr>
          <w:rFonts w:eastAsia="Times New Roman" w:cs="Times New Roman"/>
          <w:color w:val="000000"/>
          <w:szCs w:val="28"/>
        </w:rPr>
        <w:t>Valdības noteikto prioritāšu finansēšanai papildus bāzes finansējumam izmantota fiskālā telpa un budžeta izpildes procesā pārdalāmie finanšu līdzekļi</w:t>
      </w:r>
      <w:r w:rsidR="00875B51" w:rsidRPr="00875B51">
        <w:rPr>
          <w:rFonts w:eastAsia="Times New Roman" w:cs="Times New Roman"/>
          <w:color w:val="000000"/>
          <w:szCs w:val="28"/>
        </w:rPr>
        <w:t xml:space="preserve"> (t.sk. arī</w:t>
      </w:r>
      <w:r w:rsidRPr="00875B51">
        <w:rPr>
          <w:rFonts w:eastAsia="Times New Roman" w:cs="Times New Roman"/>
          <w:color w:val="000000"/>
          <w:szCs w:val="28"/>
        </w:rPr>
        <w:t xml:space="preserve"> papildu iemaksas valsts budžetā no valsts kapitālsabiedrībām</w:t>
      </w:r>
      <w:r w:rsidR="00875B51" w:rsidRPr="00875B51">
        <w:rPr>
          <w:rFonts w:eastAsia="Times New Roman" w:cs="Times New Roman"/>
          <w:color w:val="000000"/>
          <w:szCs w:val="28"/>
        </w:rPr>
        <w:t>)</w:t>
      </w:r>
      <w:r w:rsidRPr="00875B51">
        <w:rPr>
          <w:rFonts w:eastAsia="Times New Roman" w:cs="Times New Roman"/>
          <w:color w:val="000000"/>
          <w:szCs w:val="28"/>
        </w:rPr>
        <w:t>. Vienlaikus valdība arī pieņēma lēmumus</w:t>
      </w:r>
      <w:r w:rsidR="00875B51" w:rsidRPr="00875B51">
        <w:rPr>
          <w:rFonts w:eastAsia="Times New Roman" w:cs="Times New Roman"/>
          <w:color w:val="000000"/>
          <w:szCs w:val="28"/>
        </w:rPr>
        <w:t xml:space="preserve"> par atsevišķu vienreizēju pasākumu (galvenokārt drošības jomā) finansēšanu</w:t>
      </w:r>
      <w:r w:rsidRPr="00875B51">
        <w:rPr>
          <w:rFonts w:eastAsia="Times New Roman" w:cs="Times New Roman"/>
          <w:color w:val="000000"/>
          <w:szCs w:val="28"/>
        </w:rPr>
        <w:t xml:space="preserve"> ārpus fiskālās telpas</w:t>
      </w:r>
      <w:r w:rsidR="00875B51" w:rsidRPr="00875B51">
        <w:rPr>
          <w:rFonts w:eastAsia="Times New Roman" w:cs="Times New Roman"/>
          <w:color w:val="000000"/>
          <w:szCs w:val="28"/>
        </w:rPr>
        <w:t xml:space="preserve">. </w:t>
      </w:r>
    </w:p>
    <w:p w14:paraId="3F82D24C" w14:textId="7C616B17" w:rsidR="00CB7E29" w:rsidRPr="005273F0" w:rsidRDefault="00CB7E29" w:rsidP="00CB7E29">
      <w:pPr>
        <w:widowControl w:val="0"/>
        <w:ind w:firstLine="709"/>
        <w:rPr>
          <w:rFonts w:eastAsia="Times New Roman" w:cs="Times New Roman"/>
          <w:color w:val="000000"/>
          <w:szCs w:val="28"/>
        </w:rPr>
      </w:pPr>
      <w:r w:rsidRPr="005273F0">
        <w:rPr>
          <w:rFonts w:eastAsia="Times New Roman" w:cs="Times New Roman"/>
          <w:color w:val="000000"/>
          <w:szCs w:val="28"/>
        </w:rPr>
        <w:t>2.1</w:t>
      </w:r>
      <w:r w:rsidR="00B7070D">
        <w:rPr>
          <w:rFonts w:eastAsia="Times New Roman" w:cs="Times New Roman"/>
          <w:color w:val="000000"/>
          <w:szCs w:val="28"/>
        </w:rPr>
        <w:t>3</w:t>
      </w:r>
      <w:r w:rsidRPr="005273F0">
        <w:rPr>
          <w:rFonts w:eastAsia="Times New Roman" w:cs="Times New Roman"/>
          <w:color w:val="000000"/>
          <w:szCs w:val="28"/>
        </w:rPr>
        <w:t xml:space="preserve">. tabulā ir atspoguļoti būtiskākie vispārējās valdības ieņēmumu pasākumi, par kuriem lēma </w:t>
      </w:r>
      <w:r w:rsidR="007C7CDE" w:rsidRPr="005273F0">
        <w:rPr>
          <w:rFonts w:eastAsia="Times New Roman" w:cs="Times New Roman"/>
          <w:color w:val="000000"/>
          <w:szCs w:val="28"/>
        </w:rPr>
        <w:t>MK</w:t>
      </w:r>
      <w:r w:rsidRPr="005273F0">
        <w:rPr>
          <w:rFonts w:eastAsia="Times New Roman" w:cs="Times New Roman"/>
          <w:color w:val="000000"/>
          <w:szCs w:val="28"/>
        </w:rPr>
        <w:t xml:space="preserve"> budžeta sagatavošanas procesā.</w:t>
      </w:r>
    </w:p>
    <w:p w14:paraId="18CA8607" w14:textId="40564CEA" w:rsidR="00CB7E29" w:rsidRPr="0038459F" w:rsidRDefault="00CB7E29" w:rsidP="00CB7E29">
      <w:pPr>
        <w:widowControl w:val="0"/>
        <w:spacing w:before="120"/>
        <w:jc w:val="right"/>
        <w:rPr>
          <w:rFonts w:eastAsia="Times New Roman" w:cs="Times New Roman"/>
          <w:b/>
          <w:i/>
          <w:color w:val="000000"/>
          <w:highlight w:val="lightGray"/>
        </w:rPr>
      </w:pPr>
      <w:r w:rsidRPr="005273F0">
        <w:rPr>
          <w:rFonts w:eastAsia="Times New Roman" w:cs="Times New Roman"/>
          <w:b/>
          <w:i/>
          <w:color w:val="000000"/>
        </w:rPr>
        <w:t>2.1</w:t>
      </w:r>
      <w:r w:rsidR="00B7070D">
        <w:rPr>
          <w:rFonts w:eastAsia="Times New Roman" w:cs="Times New Roman"/>
          <w:b/>
          <w:i/>
          <w:color w:val="000000"/>
        </w:rPr>
        <w:t>3</w:t>
      </w:r>
      <w:r w:rsidRPr="005273F0">
        <w:rPr>
          <w:rFonts w:eastAsia="Times New Roman" w:cs="Times New Roman"/>
          <w:b/>
          <w:i/>
          <w:color w:val="000000"/>
        </w:rPr>
        <w:t xml:space="preserve">. </w:t>
      </w:r>
      <w:r w:rsidRPr="003B49DF">
        <w:rPr>
          <w:rFonts w:eastAsia="Times New Roman" w:cs="Times New Roman"/>
          <w:b/>
          <w:i/>
          <w:color w:val="000000"/>
        </w:rPr>
        <w:t xml:space="preserve">tabula. Ieņēmumu pasākumi, milj. </w:t>
      </w:r>
      <w:proofErr w:type="spellStart"/>
      <w:r w:rsidRPr="003B49DF">
        <w:rPr>
          <w:rFonts w:eastAsia="Times New Roman" w:cs="Times New Roman"/>
          <w:b/>
          <w:i/>
          <w:color w:val="000000"/>
        </w:rPr>
        <w:t>euro</w:t>
      </w:r>
      <w:proofErr w:type="spellEnd"/>
    </w:p>
    <w:tbl>
      <w:tblPr>
        <w:tblW w:w="8971" w:type="dxa"/>
        <w:tblLook w:val="04A0" w:firstRow="1" w:lastRow="0" w:firstColumn="1" w:lastColumn="0" w:noHBand="0" w:noVBand="1"/>
      </w:tblPr>
      <w:tblGrid>
        <w:gridCol w:w="1605"/>
        <w:gridCol w:w="3352"/>
        <w:gridCol w:w="1134"/>
        <w:gridCol w:w="960"/>
        <w:gridCol w:w="960"/>
        <w:gridCol w:w="960"/>
      </w:tblGrid>
      <w:tr w:rsidR="00FD73AA" w:rsidRPr="00FD73AA" w14:paraId="6A70E66F" w14:textId="77777777" w:rsidTr="00915CB6">
        <w:trPr>
          <w:trHeight w:val="312"/>
          <w:tblHeader/>
        </w:trPr>
        <w:tc>
          <w:tcPr>
            <w:tcW w:w="16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DE633"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Pasākums</w:t>
            </w:r>
          </w:p>
        </w:tc>
        <w:tc>
          <w:tcPr>
            <w:tcW w:w="3352" w:type="dxa"/>
            <w:tcBorders>
              <w:top w:val="single" w:sz="4" w:space="0" w:color="auto"/>
              <w:left w:val="nil"/>
              <w:bottom w:val="nil"/>
              <w:right w:val="single" w:sz="4" w:space="0" w:color="auto"/>
            </w:tcBorders>
            <w:shd w:val="clear" w:color="auto" w:fill="auto"/>
            <w:noWrap/>
            <w:vAlign w:val="center"/>
            <w:hideMark/>
          </w:tcPr>
          <w:p w14:paraId="541524DE"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Detalizēts apraksts</w:t>
            </w:r>
          </w:p>
        </w:tc>
        <w:tc>
          <w:tcPr>
            <w:tcW w:w="1134" w:type="dxa"/>
            <w:tcBorders>
              <w:top w:val="single" w:sz="4" w:space="0" w:color="auto"/>
              <w:left w:val="nil"/>
              <w:bottom w:val="nil"/>
              <w:right w:val="single" w:sz="4" w:space="0" w:color="auto"/>
            </w:tcBorders>
            <w:shd w:val="clear" w:color="auto" w:fill="auto"/>
            <w:noWrap/>
            <w:vAlign w:val="center"/>
            <w:hideMark/>
          </w:tcPr>
          <w:p w14:paraId="4A343988"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Ieņēmumu veids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08FEAED"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2024</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C345BBE"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2025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FB0531A"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2026</w:t>
            </w:r>
          </w:p>
        </w:tc>
      </w:tr>
      <w:tr w:rsidR="00FD73AA" w:rsidRPr="00FD73AA" w14:paraId="57E2F250" w14:textId="77777777" w:rsidTr="00FD73AA">
        <w:trPr>
          <w:trHeight w:val="288"/>
        </w:trPr>
        <w:tc>
          <w:tcPr>
            <w:tcW w:w="1605" w:type="dxa"/>
            <w:vMerge w:val="restart"/>
            <w:tcBorders>
              <w:top w:val="nil"/>
              <w:left w:val="single" w:sz="4" w:space="0" w:color="auto"/>
              <w:bottom w:val="single" w:sz="4" w:space="0" w:color="000000"/>
              <w:right w:val="single" w:sz="4" w:space="0" w:color="auto"/>
            </w:tcBorders>
            <w:shd w:val="clear" w:color="auto" w:fill="auto"/>
            <w:hideMark/>
          </w:tcPr>
          <w:p w14:paraId="08450FF0"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Grozījumi likumā "Par iedzīvotāju ienākuma nodokli"</w:t>
            </w:r>
          </w:p>
        </w:tc>
        <w:tc>
          <w:tcPr>
            <w:tcW w:w="3352"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C8114F8"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xml:space="preserve">Darba devēja kompensācijas par darbinieka izdevumiem saistībā ar attālināto darbu paaugstināšana; IIN atbrīvojuma sliekšņa pārskatīšana dzīvības (bez līdzekļu uzkrāšanas), veselības un nelaimes gadījumu apdrošināšanas prēmiju summām; IIN atvieglojumu un neapliekamā minimuma piemērošana arī </w:t>
            </w:r>
            <w:proofErr w:type="spellStart"/>
            <w:r w:rsidRPr="00FD73AA">
              <w:rPr>
                <w:rFonts w:eastAsia="Times New Roman" w:cs="Times New Roman"/>
                <w:color w:val="000000"/>
                <w:sz w:val="18"/>
                <w:szCs w:val="18"/>
              </w:rPr>
              <w:t>mikrouzņēmumu</w:t>
            </w:r>
            <w:proofErr w:type="spellEnd"/>
            <w:r w:rsidRPr="00FD73AA">
              <w:rPr>
                <w:rFonts w:eastAsia="Times New Roman" w:cs="Times New Roman"/>
                <w:color w:val="000000"/>
                <w:sz w:val="18"/>
                <w:szCs w:val="18"/>
              </w:rPr>
              <w:t xml:space="preserve"> nodokļa maksātājiem, ja tie gūst ar IIN apliekamus ienākumus</w:t>
            </w:r>
          </w:p>
        </w:tc>
        <w:tc>
          <w:tcPr>
            <w:tcW w:w="1134"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5F0E636E" w14:textId="77777777" w:rsidR="00FD73AA" w:rsidRPr="00FD73AA" w:rsidRDefault="00FD73AA" w:rsidP="00FD73AA">
            <w:pPr>
              <w:spacing w:after="0"/>
              <w:ind w:firstLine="0"/>
              <w:jc w:val="left"/>
              <w:rPr>
                <w:rFonts w:eastAsia="Times New Roman" w:cs="Times New Roman"/>
                <w:b/>
                <w:bCs/>
                <w:color w:val="000000"/>
                <w:sz w:val="18"/>
                <w:szCs w:val="18"/>
              </w:rPr>
            </w:pPr>
            <w:r w:rsidRPr="00FD73AA">
              <w:rPr>
                <w:rFonts w:eastAsia="Times New Roman" w:cs="Times New Roman"/>
                <w:b/>
                <w:bCs/>
                <w:color w:val="000000"/>
                <w:sz w:val="18"/>
                <w:szCs w:val="18"/>
              </w:rPr>
              <w:t>Kopā, t.sk:</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46095E09"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-3,6</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70694866"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-3,8</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120B55B0"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-3,9</w:t>
            </w:r>
          </w:p>
        </w:tc>
      </w:tr>
      <w:tr w:rsidR="00FD73AA" w:rsidRPr="00FD73AA" w14:paraId="008A7026" w14:textId="77777777" w:rsidTr="00A264AA">
        <w:trPr>
          <w:trHeight w:val="469"/>
        </w:trPr>
        <w:tc>
          <w:tcPr>
            <w:tcW w:w="1605" w:type="dxa"/>
            <w:vMerge/>
            <w:tcBorders>
              <w:top w:val="nil"/>
              <w:left w:val="single" w:sz="4" w:space="0" w:color="auto"/>
              <w:bottom w:val="single" w:sz="4" w:space="0" w:color="000000"/>
              <w:right w:val="single" w:sz="4" w:space="0" w:color="auto"/>
            </w:tcBorders>
            <w:hideMark/>
          </w:tcPr>
          <w:p w14:paraId="3876DBCD"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single" w:sz="4" w:space="0" w:color="auto"/>
              <w:left w:val="single" w:sz="4" w:space="0" w:color="auto"/>
              <w:bottom w:val="single" w:sz="4" w:space="0" w:color="000000"/>
              <w:right w:val="single" w:sz="4" w:space="0" w:color="auto"/>
            </w:tcBorders>
            <w:hideMark/>
          </w:tcPr>
          <w:p w14:paraId="42DB2129"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6B940BFE" w14:textId="77777777" w:rsidR="00FD73AA" w:rsidRPr="00FD73AA" w:rsidRDefault="00FD73AA" w:rsidP="00FD73AA">
            <w:pPr>
              <w:spacing w:after="0"/>
              <w:ind w:firstLine="0"/>
              <w:jc w:val="left"/>
              <w:rPr>
                <w:rFonts w:eastAsia="Times New Roman" w:cs="Times New Roman"/>
                <w:i/>
                <w:iCs/>
                <w:color w:val="000000"/>
                <w:sz w:val="18"/>
                <w:szCs w:val="18"/>
              </w:rPr>
            </w:pPr>
            <w:r w:rsidRPr="00FD73AA">
              <w:rPr>
                <w:rFonts w:eastAsia="Times New Roman" w:cs="Times New Roman"/>
                <w:i/>
                <w:iCs/>
                <w:color w:val="000000"/>
                <w:sz w:val="18"/>
                <w:szCs w:val="18"/>
              </w:rPr>
              <w:t>IIN</w:t>
            </w:r>
          </w:p>
        </w:tc>
        <w:tc>
          <w:tcPr>
            <w:tcW w:w="960" w:type="dxa"/>
            <w:tcBorders>
              <w:top w:val="nil"/>
              <w:left w:val="nil"/>
              <w:bottom w:val="single" w:sz="4" w:space="0" w:color="auto"/>
              <w:right w:val="single" w:sz="4" w:space="0" w:color="auto"/>
            </w:tcBorders>
            <w:shd w:val="clear" w:color="auto" w:fill="auto"/>
            <w:noWrap/>
            <w:vAlign w:val="center"/>
            <w:hideMark/>
          </w:tcPr>
          <w:p w14:paraId="299CF0E8"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-2,2</w:t>
            </w:r>
          </w:p>
        </w:tc>
        <w:tc>
          <w:tcPr>
            <w:tcW w:w="960" w:type="dxa"/>
            <w:tcBorders>
              <w:top w:val="nil"/>
              <w:left w:val="nil"/>
              <w:bottom w:val="single" w:sz="4" w:space="0" w:color="auto"/>
              <w:right w:val="single" w:sz="4" w:space="0" w:color="auto"/>
            </w:tcBorders>
            <w:shd w:val="clear" w:color="auto" w:fill="auto"/>
            <w:noWrap/>
            <w:vAlign w:val="center"/>
            <w:hideMark/>
          </w:tcPr>
          <w:p w14:paraId="04D2C1D6"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-2,4</w:t>
            </w:r>
          </w:p>
        </w:tc>
        <w:tc>
          <w:tcPr>
            <w:tcW w:w="960" w:type="dxa"/>
            <w:tcBorders>
              <w:top w:val="nil"/>
              <w:left w:val="nil"/>
              <w:bottom w:val="single" w:sz="4" w:space="0" w:color="auto"/>
              <w:right w:val="single" w:sz="4" w:space="0" w:color="auto"/>
            </w:tcBorders>
            <w:shd w:val="clear" w:color="auto" w:fill="auto"/>
            <w:noWrap/>
            <w:vAlign w:val="center"/>
            <w:hideMark/>
          </w:tcPr>
          <w:p w14:paraId="2462E225"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-2,4</w:t>
            </w:r>
          </w:p>
        </w:tc>
      </w:tr>
      <w:tr w:rsidR="00FD73AA" w:rsidRPr="00FD73AA" w14:paraId="0A561B4E" w14:textId="77777777" w:rsidTr="00A264AA">
        <w:trPr>
          <w:trHeight w:val="492"/>
        </w:trPr>
        <w:tc>
          <w:tcPr>
            <w:tcW w:w="1605" w:type="dxa"/>
            <w:vMerge/>
            <w:tcBorders>
              <w:top w:val="nil"/>
              <w:left w:val="single" w:sz="4" w:space="0" w:color="auto"/>
              <w:bottom w:val="single" w:sz="4" w:space="0" w:color="000000"/>
              <w:right w:val="single" w:sz="4" w:space="0" w:color="auto"/>
            </w:tcBorders>
            <w:hideMark/>
          </w:tcPr>
          <w:p w14:paraId="59FD18F3"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single" w:sz="4" w:space="0" w:color="auto"/>
              <w:left w:val="single" w:sz="4" w:space="0" w:color="auto"/>
              <w:bottom w:val="single" w:sz="4" w:space="0" w:color="000000"/>
              <w:right w:val="single" w:sz="4" w:space="0" w:color="auto"/>
            </w:tcBorders>
            <w:hideMark/>
          </w:tcPr>
          <w:p w14:paraId="5DB3167E"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3A72BA83" w14:textId="77777777" w:rsidR="00FD73AA" w:rsidRPr="00FD73AA" w:rsidRDefault="00FD73AA" w:rsidP="00FD73AA">
            <w:pPr>
              <w:spacing w:after="0"/>
              <w:ind w:firstLine="0"/>
              <w:jc w:val="left"/>
              <w:rPr>
                <w:rFonts w:eastAsia="Times New Roman" w:cs="Times New Roman"/>
                <w:i/>
                <w:iCs/>
                <w:color w:val="000000"/>
                <w:sz w:val="18"/>
                <w:szCs w:val="18"/>
              </w:rPr>
            </w:pPr>
            <w:r w:rsidRPr="00FD73AA">
              <w:rPr>
                <w:rFonts w:eastAsia="Times New Roman" w:cs="Times New Roman"/>
                <w:i/>
                <w:iCs/>
                <w:color w:val="000000"/>
                <w:sz w:val="18"/>
                <w:szCs w:val="18"/>
              </w:rPr>
              <w:t>VSAOI</w:t>
            </w:r>
          </w:p>
        </w:tc>
        <w:tc>
          <w:tcPr>
            <w:tcW w:w="960" w:type="dxa"/>
            <w:tcBorders>
              <w:top w:val="nil"/>
              <w:left w:val="nil"/>
              <w:bottom w:val="single" w:sz="4" w:space="0" w:color="auto"/>
              <w:right w:val="single" w:sz="4" w:space="0" w:color="auto"/>
            </w:tcBorders>
            <w:shd w:val="clear" w:color="auto" w:fill="auto"/>
            <w:noWrap/>
            <w:vAlign w:val="center"/>
            <w:hideMark/>
          </w:tcPr>
          <w:p w14:paraId="5E6A0C27"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-1,5</w:t>
            </w:r>
          </w:p>
        </w:tc>
        <w:tc>
          <w:tcPr>
            <w:tcW w:w="960" w:type="dxa"/>
            <w:tcBorders>
              <w:top w:val="nil"/>
              <w:left w:val="nil"/>
              <w:bottom w:val="single" w:sz="4" w:space="0" w:color="auto"/>
              <w:right w:val="single" w:sz="4" w:space="0" w:color="auto"/>
            </w:tcBorders>
            <w:shd w:val="clear" w:color="auto" w:fill="auto"/>
            <w:noWrap/>
            <w:vAlign w:val="center"/>
            <w:hideMark/>
          </w:tcPr>
          <w:p w14:paraId="256128D5"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-1,6</w:t>
            </w:r>
          </w:p>
        </w:tc>
        <w:tc>
          <w:tcPr>
            <w:tcW w:w="960" w:type="dxa"/>
            <w:tcBorders>
              <w:top w:val="nil"/>
              <w:left w:val="nil"/>
              <w:bottom w:val="single" w:sz="4" w:space="0" w:color="auto"/>
              <w:right w:val="single" w:sz="4" w:space="0" w:color="auto"/>
            </w:tcBorders>
            <w:shd w:val="clear" w:color="auto" w:fill="auto"/>
            <w:noWrap/>
            <w:vAlign w:val="center"/>
            <w:hideMark/>
          </w:tcPr>
          <w:p w14:paraId="1B68461A"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-1,6</w:t>
            </w:r>
          </w:p>
        </w:tc>
      </w:tr>
      <w:tr w:rsidR="00FD73AA" w:rsidRPr="00FD73AA" w14:paraId="41C94DD9" w14:textId="77777777" w:rsidTr="003B49DF">
        <w:trPr>
          <w:trHeight w:val="509"/>
        </w:trPr>
        <w:tc>
          <w:tcPr>
            <w:tcW w:w="1605" w:type="dxa"/>
            <w:vMerge/>
            <w:tcBorders>
              <w:top w:val="nil"/>
              <w:left w:val="single" w:sz="4" w:space="0" w:color="auto"/>
              <w:bottom w:val="single" w:sz="4" w:space="0" w:color="000000"/>
              <w:right w:val="single" w:sz="4" w:space="0" w:color="auto"/>
            </w:tcBorders>
            <w:hideMark/>
          </w:tcPr>
          <w:p w14:paraId="24623A3B"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single" w:sz="4" w:space="0" w:color="auto"/>
              <w:left w:val="single" w:sz="4" w:space="0" w:color="auto"/>
              <w:bottom w:val="single" w:sz="4" w:space="0" w:color="000000"/>
              <w:right w:val="single" w:sz="4" w:space="0" w:color="auto"/>
            </w:tcBorders>
            <w:hideMark/>
          </w:tcPr>
          <w:p w14:paraId="6760BA6E"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04DCF55E" w14:textId="77777777" w:rsidR="00FD73AA" w:rsidRPr="00FD73AA" w:rsidRDefault="00FD73AA" w:rsidP="00FD73AA">
            <w:pPr>
              <w:spacing w:after="0"/>
              <w:ind w:firstLine="0"/>
              <w:jc w:val="left"/>
              <w:rPr>
                <w:rFonts w:eastAsia="Times New Roman" w:cs="Times New Roman"/>
                <w:i/>
                <w:iCs/>
                <w:color w:val="000000"/>
                <w:sz w:val="18"/>
                <w:szCs w:val="18"/>
              </w:rPr>
            </w:pPr>
            <w:r w:rsidRPr="00FD73AA">
              <w:rPr>
                <w:rFonts w:eastAsia="Times New Roman" w:cs="Times New Roman"/>
                <w:i/>
                <w:iCs/>
                <w:color w:val="000000"/>
                <w:sz w:val="18"/>
                <w:szCs w:val="18"/>
              </w:rPr>
              <w:t>VSAOI (veselībai)</w:t>
            </w:r>
          </w:p>
        </w:tc>
        <w:tc>
          <w:tcPr>
            <w:tcW w:w="960" w:type="dxa"/>
            <w:tcBorders>
              <w:top w:val="nil"/>
              <w:left w:val="nil"/>
              <w:bottom w:val="single" w:sz="4" w:space="0" w:color="auto"/>
              <w:right w:val="single" w:sz="4" w:space="0" w:color="auto"/>
            </w:tcBorders>
            <w:shd w:val="clear" w:color="auto" w:fill="auto"/>
            <w:noWrap/>
            <w:vAlign w:val="center"/>
            <w:hideMark/>
          </w:tcPr>
          <w:p w14:paraId="2BBDBDBD"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-0,1</w:t>
            </w:r>
          </w:p>
        </w:tc>
        <w:tc>
          <w:tcPr>
            <w:tcW w:w="960" w:type="dxa"/>
            <w:tcBorders>
              <w:top w:val="nil"/>
              <w:left w:val="nil"/>
              <w:bottom w:val="single" w:sz="4" w:space="0" w:color="auto"/>
              <w:right w:val="single" w:sz="4" w:space="0" w:color="auto"/>
            </w:tcBorders>
            <w:shd w:val="clear" w:color="auto" w:fill="auto"/>
            <w:noWrap/>
            <w:vAlign w:val="center"/>
            <w:hideMark/>
          </w:tcPr>
          <w:p w14:paraId="2924C40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-0,1</w:t>
            </w:r>
          </w:p>
        </w:tc>
        <w:tc>
          <w:tcPr>
            <w:tcW w:w="960" w:type="dxa"/>
            <w:tcBorders>
              <w:top w:val="nil"/>
              <w:left w:val="nil"/>
              <w:bottom w:val="single" w:sz="4" w:space="0" w:color="auto"/>
              <w:right w:val="single" w:sz="4" w:space="0" w:color="auto"/>
            </w:tcBorders>
            <w:shd w:val="clear" w:color="auto" w:fill="auto"/>
            <w:noWrap/>
            <w:vAlign w:val="center"/>
            <w:hideMark/>
          </w:tcPr>
          <w:p w14:paraId="02819F4F"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-0,1</w:t>
            </w:r>
          </w:p>
        </w:tc>
      </w:tr>
      <w:tr w:rsidR="00FD73AA" w:rsidRPr="00FD73AA" w14:paraId="1FF3B5C2" w14:textId="77777777" w:rsidTr="00A264AA">
        <w:trPr>
          <w:trHeight w:val="295"/>
        </w:trPr>
        <w:tc>
          <w:tcPr>
            <w:tcW w:w="1605" w:type="dxa"/>
            <w:vMerge/>
            <w:tcBorders>
              <w:top w:val="nil"/>
              <w:left w:val="single" w:sz="4" w:space="0" w:color="auto"/>
              <w:bottom w:val="single" w:sz="4" w:space="0" w:color="000000"/>
              <w:right w:val="single" w:sz="4" w:space="0" w:color="auto"/>
            </w:tcBorders>
            <w:hideMark/>
          </w:tcPr>
          <w:p w14:paraId="62BC67DB"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single" w:sz="4" w:space="0" w:color="auto"/>
              <w:left w:val="single" w:sz="4" w:space="0" w:color="auto"/>
              <w:bottom w:val="single" w:sz="4" w:space="0" w:color="000000"/>
              <w:right w:val="single" w:sz="4" w:space="0" w:color="auto"/>
            </w:tcBorders>
            <w:hideMark/>
          </w:tcPr>
          <w:p w14:paraId="70E92E39"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3C9F2F9A" w14:textId="77777777" w:rsidR="00FD73AA" w:rsidRPr="00FD73AA" w:rsidRDefault="00FD73AA" w:rsidP="00FD73AA">
            <w:pPr>
              <w:spacing w:after="0"/>
              <w:ind w:firstLine="0"/>
              <w:jc w:val="left"/>
              <w:rPr>
                <w:rFonts w:eastAsia="Times New Roman" w:cs="Times New Roman"/>
                <w:i/>
                <w:iCs/>
                <w:color w:val="000000"/>
                <w:sz w:val="18"/>
                <w:szCs w:val="18"/>
              </w:rPr>
            </w:pPr>
            <w:r w:rsidRPr="00FD73AA">
              <w:rPr>
                <w:rFonts w:eastAsia="Times New Roman" w:cs="Times New Roman"/>
                <w:i/>
                <w:iCs/>
                <w:color w:val="000000"/>
                <w:sz w:val="18"/>
                <w:szCs w:val="18"/>
              </w:rPr>
              <w:t>PVN</w:t>
            </w:r>
          </w:p>
        </w:tc>
        <w:tc>
          <w:tcPr>
            <w:tcW w:w="960" w:type="dxa"/>
            <w:tcBorders>
              <w:top w:val="nil"/>
              <w:left w:val="nil"/>
              <w:bottom w:val="single" w:sz="4" w:space="0" w:color="auto"/>
              <w:right w:val="single" w:sz="4" w:space="0" w:color="auto"/>
            </w:tcBorders>
            <w:shd w:val="clear" w:color="auto" w:fill="auto"/>
            <w:noWrap/>
            <w:vAlign w:val="center"/>
            <w:hideMark/>
          </w:tcPr>
          <w:p w14:paraId="41F1FA31"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0,2</w:t>
            </w:r>
          </w:p>
        </w:tc>
        <w:tc>
          <w:tcPr>
            <w:tcW w:w="960" w:type="dxa"/>
            <w:tcBorders>
              <w:top w:val="nil"/>
              <w:left w:val="nil"/>
              <w:bottom w:val="single" w:sz="4" w:space="0" w:color="auto"/>
              <w:right w:val="single" w:sz="4" w:space="0" w:color="auto"/>
            </w:tcBorders>
            <w:shd w:val="clear" w:color="auto" w:fill="auto"/>
            <w:noWrap/>
            <w:vAlign w:val="center"/>
            <w:hideMark/>
          </w:tcPr>
          <w:p w14:paraId="7B17FC12"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0,2</w:t>
            </w:r>
          </w:p>
        </w:tc>
        <w:tc>
          <w:tcPr>
            <w:tcW w:w="960" w:type="dxa"/>
            <w:tcBorders>
              <w:top w:val="nil"/>
              <w:left w:val="nil"/>
              <w:bottom w:val="single" w:sz="4" w:space="0" w:color="auto"/>
              <w:right w:val="single" w:sz="4" w:space="0" w:color="auto"/>
            </w:tcBorders>
            <w:shd w:val="clear" w:color="auto" w:fill="auto"/>
            <w:noWrap/>
            <w:vAlign w:val="center"/>
            <w:hideMark/>
          </w:tcPr>
          <w:p w14:paraId="622E294F"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0,2</w:t>
            </w:r>
          </w:p>
        </w:tc>
      </w:tr>
      <w:tr w:rsidR="00FD73AA" w:rsidRPr="00FD73AA" w14:paraId="17657CAA" w14:textId="77777777" w:rsidTr="00FD73AA">
        <w:trPr>
          <w:trHeight w:val="288"/>
        </w:trPr>
        <w:tc>
          <w:tcPr>
            <w:tcW w:w="1605" w:type="dxa"/>
            <w:vMerge w:val="restart"/>
            <w:tcBorders>
              <w:top w:val="nil"/>
              <w:left w:val="single" w:sz="4" w:space="0" w:color="auto"/>
              <w:bottom w:val="single" w:sz="4" w:space="0" w:color="000000"/>
              <w:right w:val="single" w:sz="4" w:space="0" w:color="auto"/>
            </w:tcBorders>
            <w:shd w:val="clear" w:color="auto" w:fill="auto"/>
            <w:hideMark/>
          </w:tcPr>
          <w:p w14:paraId="6390A931"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Grozījumi likumā "Par iedzīvotāju ienākuma nodokli"</w:t>
            </w:r>
          </w:p>
        </w:tc>
        <w:tc>
          <w:tcPr>
            <w:tcW w:w="3352" w:type="dxa"/>
            <w:vMerge w:val="restart"/>
            <w:tcBorders>
              <w:top w:val="nil"/>
              <w:left w:val="single" w:sz="4" w:space="0" w:color="auto"/>
              <w:bottom w:val="single" w:sz="4" w:space="0" w:color="000000"/>
              <w:right w:val="single" w:sz="4" w:space="0" w:color="auto"/>
            </w:tcBorders>
            <w:shd w:val="clear" w:color="auto" w:fill="auto"/>
            <w:hideMark/>
          </w:tcPr>
          <w:p w14:paraId="3FB7B536"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Autoratlīdzības nodokļa likmes vienādošana 25% apmērā</w:t>
            </w:r>
          </w:p>
        </w:tc>
        <w:tc>
          <w:tcPr>
            <w:tcW w:w="1134" w:type="dxa"/>
            <w:tcBorders>
              <w:top w:val="nil"/>
              <w:left w:val="nil"/>
              <w:bottom w:val="single" w:sz="4" w:space="0" w:color="auto"/>
              <w:right w:val="single" w:sz="4" w:space="0" w:color="auto"/>
            </w:tcBorders>
            <w:shd w:val="clear" w:color="auto" w:fill="BDD6EE" w:themeFill="accent1" w:themeFillTint="66"/>
            <w:noWrap/>
            <w:vAlign w:val="center"/>
            <w:hideMark/>
          </w:tcPr>
          <w:p w14:paraId="05AFAE7D" w14:textId="77777777" w:rsidR="00FD73AA" w:rsidRPr="00FD73AA" w:rsidRDefault="00FD73AA" w:rsidP="00FD73AA">
            <w:pPr>
              <w:spacing w:after="0"/>
              <w:ind w:firstLine="0"/>
              <w:jc w:val="left"/>
              <w:rPr>
                <w:rFonts w:eastAsia="Times New Roman" w:cs="Times New Roman"/>
                <w:b/>
                <w:bCs/>
                <w:color w:val="000000"/>
                <w:sz w:val="18"/>
                <w:szCs w:val="18"/>
              </w:rPr>
            </w:pPr>
            <w:r w:rsidRPr="00FD73AA">
              <w:rPr>
                <w:rFonts w:eastAsia="Times New Roman" w:cs="Times New Roman"/>
                <w:b/>
                <w:bCs/>
                <w:color w:val="000000"/>
                <w:sz w:val="18"/>
                <w:szCs w:val="18"/>
              </w:rPr>
              <w:t>Kopā, t.sk:</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3FC5AB08"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-0,4</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1D3F1F89"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-0,4</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19A98524"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-0,4</w:t>
            </w:r>
          </w:p>
        </w:tc>
      </w:tr>
      <w:tr w:rsidR="00FD73AA" w:rsidRPr="00FD73AA" w14:paraId="4C04A18A" w14:textId="77777777" w:rsidTr="00FD73AA">
        <w:trPr>
          <w:trHeight w:val="288"/>
        </w:trPr>
        <w:tc>
          <w:tcPr>
            <w:tcW w:w="1605" w:type="dxa"/>
            <w:vMerge/>
            <w:tcBorders>
              <w:top w:val="nil"/>
              <w:left w:val="single" w:sz="4" w:space="0" w:color="auto"/>
              <w:bottom w:val="single" w:sz="4" w:space="0" w:color="000000"/>
              <w:right w:val="single" w:sz="4" w:space="0" w:color="auto"/>
            </w:tcBorders>
            <w:hideMark/>
          </w:tcPr>
          <w:p w14:paraId="2B6C3D48"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nil"/>
              <w:left w:val="single" w:sz="4" w:space="0" w:color="auto"/>
              <w:bottom w:val="single" w:sz="4" w:space="0" w:color="000000"/>
              <w:right w:val="single" w:sz="4" w:space="0" w:color="auto"/>
            </w:tcBorders>
            <w:hideMark/>
          </w:tcPr>
          <w:p w14:paraId="7277BD7B"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76AD1F13" w14:textId="77777777" w:rsidR="00FD73AA" w:rsidRPr="00FD73AA" w:rsidRDefault="00FD73AA" w:rsidP="00FD73AA">
            <w:pPr>
              <w:spacing w:after="0"/>
              <w:ind w:firstLine="0"/>
              <w:jc w:val="left"/>
              <w:rPr>
                <w:rFonts w:eastAsia="Times New Roman" w:cs="Times New Roman"/>
                <w:i/>
                <w:iCs/>
                <w:color w:val="000000"/>
                <w:sz w:val="18"/>
                <w:szCs w:val="18"/>
              </w:rPr>
            </w:pPr>
            <w:r w:rsidRPr="00FD73AA">
              <w:rPr>
                <w:rFonts w:eastAsia="Times New Roman" w:cs="Times New Roman"/>
                <w:i/>
                <w:iCs/>
                <w:color w:val="000000"/>
                <w:sz w:val="18"/>
                <w:szCs w:val="18"/>
              </w:rPr>
              <w:t>IIN</w:t>
            </w:r>
          </w:p>
        </w:tc>
        <w:tc>
          <w:tcPr>
            <w:tcW w:w="960" w:type="dxa"/>
            <w:tcBorders>
              <w:top w:val="nil"/>
              <w:left w:val="nil"/>
              <w:bottom w:val="single" w:sz="4" w:space="0" w:color="auto"/>
              <w:right w:val="single" w:sz="4" w:space="0" w:color="auto"/>
            </w:tcBorders>
            <w:shd w:val="clear" w:color="auto" w:fill="auto"/>
            <w:noWrap/>
            <w:vAlign w:val="center"/>
            <w:hideMark/>
          </w:tcPr>
          <w:p w14:paraId="6A8E24C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-0,1</w:t>
            </w:r>
          </w:p>
        </w:tc>
        <w:tc>
          <w:tcPr>
            <w:tcW w:w="960" w:type="dxa"/>
            <w:tcBorders>
              <w:top w:val="nil"/>
              <w:left w:val="nil"/>
              <w:bottom w:val="single" w:sz="4" w:space="0" w:color="auto"/>
              <w:right w:val="single" w:sz="4" w:space="0" w:color="auto"/>
            </w:tcBorders>
            <w:shd w:val="clear" w:color="auto" w:fill="auto"/>
            <w:noWrap/>
            <w:vAlign w:val="center"/>
            <w:hideMark/>
          </w:tcPr>
          <w:p w14:paraId="6A267A8D"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-0,1</w:t>
            </w:r>
          </w:p>
        </w:tc>
        <w:tc>
          <w:tcPr>
            <w:tcW w:w="960" w:type="dxa"/>
            <w:tcBorders>
              <w:top w:val="nil"/>
              <w:left w:val="nil"/>
              <w:bottom w:val="single" w:sz="4" w:space="0" w:color="auto"/>
              <w:right w:val="single" w:sz="4" w:space="0" w:color="auto"/>
            </w:tcBorders>
            <w:shd w:val="clear" w:color="auto" w:fill="auto"/>
            <w:noWrap/>
            <w:vAlign w:val="center"/>
            <w:hideMark/>
          </w:tcPr>
          <w:p w14:paraId="61386842"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-0,1</w:t>
            </w:r>
          </w:p>
        </w:tc>
      </w:tr>
      <w:tr w:rsidR="00FD73AA" w:rsidRPr="00FD73AA" w14:paraId="59C29419" w14:textId="77777777" w:rsidTr="00FD73AA">
        <w:trPr>
          <w:trHeight w:val="288"/>
        </w:trPr>
        <w:tc>
          <w:tcPr>
            <w:tcW w:w="1605" w:type="dxa"/>
            <w:vMerge/>
            <w:tcBorders>
              <w:top w:val="nil"/>
              <w:left w:val="single" w:sz="4" w:space="0" w:color="auto"/>
              <w:bottom w:val="single" w:sz="4" w:space="0" w:color="000000"/>
              <w:right w:val="single" w:sz="4" w:space="0" w:color="auto"/>
            </w:tcBorders>
            <w:hideMark/>
          </w:tcPr>
          <w:p w14:paraId="68B604BF"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nil"/>
              <w:left w:val="single" w:sz="4" w:space="0" w:color="auto"/>
              <w:bottom w:val="single" w:sz="4" w:space="0" w:color="000000"/>
              <w:right w:val="single" w:sz="4" w:space="0" w:color="auto"/>
            </w:tcBorders>
            <w:hideMark/>
          </w:tcPr>
          <w:p w14:paraId="29E0F685"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365E0BB5" w14:textId="77777777" w:rsidR="00FD73AA" w:rsidRPr="00FD73AA" w:rsidRDefault="00FD73AA" w:rsidP="00FD73AA">
            <w:pPr>
              <w:spacing w:after="0"/>
              <w:ind w:firstLine="0"/>
              <w:jc w:val="left"/>
              <w:rPr>
                <w:rFonts w:eastAsia="Times New Roman" w:cs="Times New Roman"/>
                <w:i/>
                <w:iCs/>
                <w:color w:val="000000"/>
                <w:sz w:val="18"/>
                <w:szCs w:val="18"/>
              </w:rPr>
            </w:pPr>
            <w:r w:rsidRPr="00FD73AA">
              <w:rPr>
                <w:rFonts w:eastAsia="Times New Roman" w:cs="Times New Roman"/>
                <w:i/>
                <w:iCs/>
                <w:color w:val="000000"/>
                <w:sz w:val="18"/>
                <w:szCs w:val="18"/>
              </w:rPr>
              <w:t>VSAOI</w:t>
            </w:r>
          </w:p>
        </w:tc>
        <w:tc>
          <w:tcPr>
            <w:tcW w:w="960" w:type="dxa"/>
            <w:tcBorders>
              <w:top w:val="nil"/>
              <w:left w:val="nil"/>
              <w:bottom w:val="single" w:sz="4" w:space="0" w:color="auto"/>
              <w:right w:val="single" w:sz="4" w:space="0" w:color="auto"/>
            </w:tcBorders>
            <w:shd w:val="clear" w:color="auto" w:fill="auto"/>
            <w:noWrap/>
            <w:vAlign w:val="center"/>
            <w:hideMark/>
          </w:tcPr>
          <w:p w14:paraId="50F3EBD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-0,3</w:t>
            </w:r>
          </w:p>
        </w:tc>
        <w:tc>
          <w:tcPr>
            <w:tcW w:w="960" w:type="dxa"/>
            <w:tcBorders>
              <w:top w:val="nil"/>
              <w:left w:val="nil"/>
              <w:bottom w:val="single" w:sz="4" w:space="0" w:color="auto"/>
              <w:right w:val="single" w:sz="4" w:space="0" w:color="auto"/>
            </w:tcBorders>
            <w:shd w:val="clear" w:color="auto" w:fill="auto"/>
            <w:noWrap/>
            <w:vAlign w:val="center"/>
            <w:hideMark/>
          </w:tcPr>
          <w:p w14:paraId="38AC06E0"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-0,3</w:t>
            </w:r>
          </w:p>
        </w:tc>
        <w:tc>
          <w:tcPr>
            <w:tcW w:w="960" w:type="dxa"/>
            <w:tcBorders>
              <w:top w:val="nil"/>
              <w:left w:val="nil"/>
              <w:bottom w:val="single" w:sz="4" w:space="0" w:color="auto"/>
              <w:right w:val="single" w:sz="4" w:space="0" w:color="auto"/>
            </w:tcBorders>
            <w:shd w:val="clear" w:color="auto" w:fill="auto"/>
            <w:noWrap/>
            <w:vAlign w:val="center"/>
            <w:hideMark/>
          </w:tcPr>
          <w:p w14:paraId="3A90A2CE"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-0,3</w:t>
            </w:r>
          </w:p>
        </w:tc>
      </w:tr>
      <w:tr w:rsidR="00FD73AA" w:rsidRPr="00FD73AA" w14:paraId="631FBE56" w14:textId="77777777" w:rsidTr="00FD73AA">
        <w:trPr>
          <w:trHeight w:val="300"/>
        </w:trPr>
        <w:tc>
          <w:tcPr>
            <w:tcW w:w="1605" w:type="dxa"/>
            <w:vMerge w:val="restart"/>
            <w:tcBorders>
              <w:top w:val="nil"/>
              <w:left w:val="single" w:sz="4" w:space="0" w:color="auto"/>
              <w:bottom w:val="single" w:sz="4" w:space="0" w:color="000000"/>
              <w:right w:val="single" w:sz="4" w:space="0" w:color="auto"/>
            </w:tcBorders>
            <w:shd w:val="clear" w:color="auto" w:fill="auto"/>
            <w:noWrap/>
            <w:hideMark/>
          </w:tcPr>
          <w:p w14:paraId="18B86611"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xml:space="preserve">Grozījumi </w:t>
            </w:r>
            <w:proofErr w:type="spellStart"/>
            <w:r w:rsidRPr="00FD73AA">
              <w:rPr>
                <w:rFonts w:eastAsia="Times New Roman" w:cs="Times New Roman"/>
                <w:color w:val="000000"/>
                <w:sz w:val="18"/>
                <w:szCs w:val="18"/>
              </w:rPr>
              <w:t>Mikrouzņēmumu</w:t>
            </w:r>
            <w:proofErr w:type="spellEnd"/>
            <w:r w:rsidRPr="00FD73AA">
              <w:rPr>
                <w:rFonts w:eastAsia="Times New Roman" w:cs="Times New Roman"/>
                <w:color w:val="000000"/>
                <w:sz w:val="18"/>
                <w:szCs w:val="18"/>
              </w:rPr>
              <w:t xml:space="preserve"> nodokļa likumā</w:t>
            </w:r>
          </w:p>
        </w:tc>
        <w:tc>
          <w:tcPr>
            <w:tcW w:w="3352" w:type="dxa"/>
            <w:vMerge w:val="restart"/>
            <w:tcBorders>
              <w:top w:val="nil"/>
              <w:left w:val="single" w:sz="4" w:space="0" w:color="auto"/>
              <w:bottom w:val="single" w:sz="4" w:space="0" w:color="000000"/>
              <w:right w:val="single" w:sz="4" w:space="0" w:color="auto"/>
            </w:tcBorders>
            <w:shd w:val="clear" w:color="auto" w:fill="auto"/>
            <w:noWrap/>
            <w:hideMark/>
          </w:tcPr>
          <w:p w14:paraId="75304BA0"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Likmes vienādošana 25% apmērā</w:t>
            </w:r>
          </w:p>
        </w:tc>
        <w:tc>
          <w:tcPr>
            <w:tcW w:w="1134" w:type="dxa"/>
            <w:tcBorders>
              <w:top w:val="nil"/>
              <w:left w:val="nil"/>
              <w:bottom w:val="single" w:sz="4" w:space="0" w:color="auto"/>
              <w:right w:val="single" w:sz="4" w:space="0" w:color="auto"/>
            </w:tcBorders>
            <w:shd w:val="clear" w:color="auto" w:fill="BDD6EE" w:themeFill="accent1" w:themeFillTint="66"/>
            <w:noWrap/>
            <w:vAlign w:val="center"/>
            <w:hideMark/>
          </w:tcPr>
          <w:p w14:paraId="58D234D5" w14:textId="77777777" w:rsidR="00FD73AA" w:rsidRPr="00FD73AA" w:rsidRDefault="00FD73AA" w:rsidP="00FD73AA">
            <w:pPr>
              <w:spacing w:after="0"/>
              <w:ind w:firstLine="0"/>
              <w:jc w:val="left"/>
              <w:rPr>
                <w:rFonts w:eastAsia="Times New Roman" w:cs="Times New Roman"/>
                <w:b/>
                <w:bCs/>
                <w:color w:val="000000"/>
                <w:sz w:val="18"/>
                <w:szCs w:val="18"/>
              </w:rPr>
            </w:pPr>
            <w:r w:rsidRPr="00FD73AA">
              <w:rPr>
                <w:rFonts w:eastAsia="Times New Roman" w:cs="Times New Roman"/>
                <w:b/>
                <w:bCs/>
                <w:color w:val="000000"/>
                <w:sz w:val="18"/>
                <w:szCs w:val="18"/>
              </w:rPr>
              <w:t>Kopā, t.sk:</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1341A506"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-0,3</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5864A242"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-0,3</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27B197F8"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-0,3</w:t>
            </w:r>
          </w:p>
        </w:tc>
      </w:tr>
      <w:tr w:rsidR="00FD73AA" w:rsidRPr="00FD73AA" w14:paraId="04366277" w14:textId="77777777" w:rsidTr="00FD73AA">
        <w:trPr>
          <w:trHeight w:val="288"/>
        </w:trPr>
        <w:tc>
          <w:tcPr>
            <w:tcW w:w="1605" w:type="dxa"/>
            <w:vMerge/>
            <w:tcBorders>
              <w:top w:val="nil"/>
              <w:left w:val="single" w:sz="4" w:space="0" w:color="auto"/>
              <w:bottom w:val="single" w:sz="4" w:space="0" w:color="000000"/>
              <w:right w:val="single" w:sz="4" w:space="0" w:color="auto"/>
            </w:tcBorders>
            <w:hideMark/>
          </w:tcPr>
          <w:p w14:paraId="53D5E0C0"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nil"/>
              <w:left w:val="single" w:sz="4" w:space="0" w:color="auto"/>
              <w:bottom w:val="single" w:sz="4" w:space="0" w:color="000000"/>
              <w:right w:val="single" w:sz="4" w:space="0" w:color="auto"/>
            </w:tcBorders>
            <w:hideMark/>
          </w:tcPr>
          <w:p w14:paraId="4F1C1B16"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14:paraId="04480612"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IIN</w:t>
            </w:r>
          </w:p>
        </w:tc>
        <w:tc>
          <w:tcPr>
            <w:tcW w:w="960" w:type="dxa"/>
            <w:tcBorders>
              <w:top w:val="nil"/>
              <w:left w:val="nil"/>
              <w:bottom w:val="single" w:sz="4" w:space="0" w:color="auto"/>
              <w:right w:val="single" w:sz="4" w:space="0" w:color="auto"/>
            </w:tcBorders>
            <w:shd w:val="clear" w:color="auto" w:fill="auto"/>
            <w:noWrap/>
            <w:vAlign w:val="center"/>
            <w:hideMark/>
          </w:tcPr>
          <w:p w14:paraId="5A1D834E"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-0,1</w:t>
            </w:r>
          </w:p>
        </w:tc>
        <w:tc>
          <w:tcPr>
            <w:tcW w:w="960" w:type="dxa"/>
            <w:tcBorders>
              <w:top w:val="nil"/>
              <w:left w:val="nil"/>
              <w:bottom w:val="single" w:sz="4" w:space="0" w:color="auto"/>
              <w:right w:val="single" w:sz="4" w:space="0" w:color="auto"/>
            </w:tcBorders>
            <w:shd w:val="clear" w:color="auto" w:fill="auto"/>
            <w:noWrap/>
            <w:vAlign w:val="center"/>
            <w:hideMark/>
          </w:tcPr>
          <w:p w14:paraId="39432BF7"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-0,1</w:t>
            </w:r>
          </w:p>
        </w:tc>
        <w:tc>
          <w:tcPr>
            <w:tcW w:w="960" w:type="dxa"/>
            <w:tcBorders>
              <w:top w:val="nil"/>
              <w:left w:val="nil"/>
              <w:bottom w:val="single" w:sz="4" w:space="0" w:color="auto"/>
              <w:right w:val="single" w:sz="4" w:space="0" w:color="auto"/>
            </w:tcBorders>
            <w:shd w:val="clear" w:color="auto" w:fill="auto"/>
            <w:noWrap/>
            <w:vAlign w:val="center"/>
            <w:hideMark/>
          </w:tcPr>
          <w:p w14:paraId="60FA7A65"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-0,1</w:t>
            </w:r>
          </w:p>
        </w:tc>
      </w:tr>
      <w:tr w:rsidR="00FD73AA" w:rsidRPr="00FD73AA" w14:paraId="7EEA441B" w14:textId="77777777" w:rsidTr="00FD73AA">
        <w:trPr>
          <w:trHeight w:val="288"/>
        </w:trPr>
        <w:tc>
          <w:tcPr>
            <w:tcW w:w="1605" w:type="dxa"/>
            <w:vMerge/>
            <w:tcBorders>
              <w:top w:val="nil"/>
              <w:left w:val="single" w:sz="4" w:space="0" w:color="auto"/>
              <w:bottom w:val="single" w:sz="4" w:space="0" w:color="000000"/>
              <w:right w:val="single" w:sz="4" w:space="0" w:color="auto"/>
            </w:tcBorders>
            <w:hideMark/>
          </w:tcPr>
          <w:p w14:paraId="356C26AE"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nil"/>
              <w:left w:val="single" w:sz="4" w:space="0" w:color="auto"/>
              <w:bottom w:val="single" w:sz="4" w:space="0" w:color="000000"/>
              <w:right w:val="single" w:sz="4" w:space="0" w:color="auto"/>
            </w:tcBorders>
            <w:hideMark/>
          </w:tcPr>
          <w:p w14:paraId="1114A493"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5FFA5A31"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VSAOI</w:t>
            </w:r>
          </w:p>
        </w:tc>
        <w:tc>
          <w:tcPr>
            <w:tcW w:w="960" w:type="dxa"/>
            <w:tcBorders>
              <w:top w:val="nil"/>
              <w:left w:val="nil"/>
              <w:bottom w:val="single" w:sz="4" w:space="0" w:color="auto"/>
              <w:right w:val="single" w:sz="4" w:space="0" w:color="auto"/>
            </w:tcBorders>
            <w:shd w:val="clear" w:color="auto" w:fill="auto"/>
            <w:noWrap/>
            <w:vAlign w:val="center"/>
            <w:hideMark/>
          </w:tcPr>
          <w:p w14:paraId="2262EBE2"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-0,3</w:t>
            </w:r>
          </w:p>
        </w:tc>
        <w:tc>
          <w:tcPr>
            <w:tcW w:w="960" w:type="dxa"/>
            <w:tcBorders>
              <w:top w:val="nil"/>
              <w:left w:val="nil"/>
              <w:bottom w:val="single" w:sz="4" w:space="0" w:color="auto"/>
              <w:right w:val="single" w:sz="4" w:space="0" w:color="auto"/>
            </w:tcBorders>
            <w:shd w:val="clear" w:color="auto" w:fill="auto"/>
            <w:noWrap/>
            <w:vAlign w:val="center"/>
            <w:hideMark/>
          </w:tcPr>
          <w:p w14:paraId="48000E06"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-0,3</w:t>
            </w:r>
          </w:p>
        </w:tc>
        <w:tc>
          <w:tcPr>
            <w:tcW w:w="960" w:type="dxa"/>
            <w:tcBorders>
              <w:top w:val="nil"/>
              <w:left w:val="nil"/>
              <w:bottom w:val="single" w:sz="4" w:space="0" w:color="auto"/>
              <w:right w:val="single" w:sz="4" w:space="0" w:color="auto"/>
            </w:tcBorders>
            <w:shd w:val="clear" w:color="auto" w:fill="auto"/>
            <w:noWrap/>
            <w:vAlign w:val="center"/>
            <w:hideMark/>
          </w:tcPr>
          <w:p w14:paraId="4526DC9D"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-0,3</w:t>
            </w:r>
          </w:p>
        </w:tc>
      </w:tr>
      <w:tr w:rsidR="00FD73AA" w:rsidRPr="00FD73AA" w14:paraId="61C18DEC" w14:textId="77777777" w:rsidTr="00FD73AA">
        <w:trPr>
          <w:trHeight w:val="528"/>
        </w:trPr>
        <w:tc>
          <w:tcPr>
            <w:tcW w:w="1605" w:type="dxa"/>
            <w:tcBorders>
              <w:top w:val="nil"/>
              <w:left w:val="single" w:sz="4" w:space="0" w:color="auto"/>
              <w:bottom w:val="single" w:sz="4" w:space="0" w:color="auto"/>
              <w:right w:val="single" w:sz="4" w:space="0" w:color="auto"/>
            </w:tcBorders>
            <w:shd w:val="clear" w:color="auto" w:fill="auto"/>
            <w:hideMark/>
          </w:tcPr>
          <w:p w14:paraId="7C43AE2D"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Grozījumi Uzņēmumu ienākuma nodokļa likumā</w:t>
            </w:r>
          </w:p>
        </w:tc>
        <w:tc>
          <w:tcPr>
            <w:tcW w:w="3352" w:type="dxa"/>
            <w:tcBorders>
              <w:top w:val="nil"/>
              <w:left w:val="nil"/>
              <w:bottom w:val="single" w:sz="4" w:space="0" w:color="auto"/>
              <w:right w:val="single" w:sz="4" w:space="0" w:color="auto"/>
            </w:tcBorders>
            <w:shd w:val="clear" w:color="auto" w:fill="auto"/>
            <w:hideMark/>
          </w:tcPr>
          <w:p w14:paraId="4B7DE39E"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Pienākums kredītiestādēm un patērētāju kreditēšanas pakalpojumu sniedzējiem ik gadu veikt UIN maksājumu 20% apmērā par attiecīgajā gadā gūto peļņu)</w:t>
            </w:r>
          </w:p>
        </w:tc>
        <w:tc>
          <w:tcPr>
            <w:tcW w:w="1134" w:type="dxa"/>
            <w:tcBorders>
              <w:top w:val="nil"/>
              <w:left w:val="nil"/>
              <w:bottom w:val="single" w:sz="4" w:space="0" w:color="auto"/>
              <w:right w:val="single" w:sz="4" w:space="0" w:color="auto"/>
            </w:tcBorders>
            <w:shd w:val="clear" w:color="auto" w:fill="auto"/>
            <w:vAlign w:val="center"/>
            <w:hideMark/>
          </w:tcPr>
          <w:p w14:paraId="3791F433"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UIN</w:t>
            </w:r>
          </w:p>
        </w:tc>
        <w:tc>
          <w:tcPr>
            <w:tcW w:w="960" w:type="dxa"/>
            <w:tcBorders>
              <w:top w:val="nil"/>
              <w:left w:val="nil"/>
              <w:bottom w:val="single" w:sz="4" w:space="0" w:color="auto"/>
              <w:right w:val="single" w:sz="4" w:space="0" w:color="auto"/>
            </w:tcBorders>
            <w:shd w:val="clear" w:color="auto" w:fill="auto"/>
            <w:noWrap/>
            <w:vAlign w:val="center"/>
            <w:hideMark/>
          </w:tcPr>
          <w:p w14:paraId="75520D29"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140,0</w:t>
            </w:r>
          </w:p>
        </w:tc>
        <w:tc>
          <w:tcPr>
            <w:tcW w:w="960" w:type="dxa"/>
            <w:tcBorders>
              <w:top w:val="nil"/>
              <w:left w:val="nil"/>
              <w:bottom w:val="single" w:sz="4" w:space="0" w:color="auto"/>
              <w:right w:val="single" w:sz="4" w:space="0" w:color="auto"/>
            </w:tcBorders>
            <w:shd w:val="clear" w:color="auto" w:fill="auto"/>
            <w:noWrap/>
            <w:vAlign w:val="center"/>
            <w:hideMark/>
          </w:tcPr>
          <w:p w14:paraId="67CFC66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70,0</w:t>
            </w:r>
          </w:p>
        </w:tc>
        <w:tc>
          <w:tcPr>
            <w:tcW w:w="960" w:type="dxa"/>
            <w:tcBorders>
              <w:top w:val="nil"/>
              <w:left w:val="nil"/>
              <w:bottom w:val="single" w:sz="4" w:space="0" w:color="auto"/>
              <w:right w:val="single" w:sz="4" w:space="0" w:color="auto"/>
            </w:tcBorders>
            <w:shd w:val="clear" w:color="auto" w:fill="auto"/>
            <w:noWrap/>
            <w:vAlign w:val="center"/>
            <w:hideMark/>
          </w:tcPr>
          <w:p w14:paraId="28FBDFB3"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30,0</w:t>
            </w:r>
          </w:p>
        </w:tc>
      </w:tr>
      <w:tr w:rsidR="00FD73AA" w:rsidRPr="00FD73AA" w14:paraId="51A86EA7" w14:textId="77777777" w:rsidTr="00FD73AA">
        <w:trPr>
          <w:trHeight w:val="528"/>
        </w:trPr>
        <w:tc>
          <w:tcPr>
            <w:tcW w:w="1605" w:type="dxa"/>
            <w:tcBorders>
              <w:top w:val="nil"/>
              <w:left w:val="single" w:sz="4" w:space="0" w:color="auto"/>
              <w:bottom w:val="single" w:sz="4" w:space="0" w:color="auto"/>
              <w:right w:val="single" w:sz="4" w:space="0" w:color="auto"/>
            </w:tcBorders>
            <w:shd w:val="clear" w:color="auto" w:fill="auto"/>
            <w:hideMark/>
          </w:tcPr>
          <w:p w14:paraId="596E83E7"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Grozījumi Pievienotās vērtības nodokļa likumā</w:t>
            </w:r>
          </w:p>
        </w:tc>
        <w:tc>
          <w:tcPr>
            <w:tcW w:w="3352" w:type="dxa"/>
            <w:tcBorders>
              <w:top w:val="nil"/>
              <w:left w:val="nil"/>
              <w:bottom w:val="single" w:sz="4" w:space="0" w:color="auto"/>
              <w:right w:val="single" w:sz="4" w:space="0" w:color="auto"/>
            </w:tcBorders>
            <w:shd w:val="clear" w:color="auto" w:fill="auto"/>
            <w:hideMark/>
          </w:tcPr>
          <w:p w14:paraId="7FC727B4"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xml:space="preserve">PVN reģistrācijas slieksnis uz 50 000 </w:t>
            </w:r>
            <w:proofErr w:type="spellStart"/>
            <w:r w:rsidRPr="00280666">
              <w:rPr>
                <w:rFonts w:eastAsia="Times New Roman" w:cs="Times New Roman"/>
                <w:i/>
                <w:iCs/>
                <w:color w:val="000000"/>
                <w:sz w:val="18"/>
                <w:szCs w:val="18"/>
              </w:rPr>
              <w:t>euro</w:t>
            </w:r>
            <w:proofErr w:type="spellEnd"/>
            <w:r w:rsidRPr="00FD73AA">
              <w:rPr>
                <w:rFonts w:eastAsia="Times New Roman" w:cs="Times New Roman"/>
                <w:color w:val="000000"/>
                <w:sz w:val="18"/>
                <w:szCs w:val="18"/>
              </w:rPr>
              <w:t xml:space="preserve">, zaudēto parādu darījuma vērtības slieksnis uz 1 000 </w:t>
            </w:r>
            <w:proofErr w:type="spellStart"/>
            <w:r w:rsidRPr="00280666">
              <w:rPr>
                <w:rFonts w:eastAsia="Times New Roman" w:cs="Times New Roman"/>
                <w:i/>
                <w:iCs/>
                <w:color w:val="000000"/>
                <w:sz w:val="18"/>
                <w:szCs w:val="18"/>
              </w:rPr>
              <w:t>euro</w:t>
            </w:r>
            <w:proofErr w:type="spellEnd"/>
            <w:r w:rsidRPr="00FD73AA">
              <w:rPr>
                <w:rFonts w:eastAsia="Times New Roman" w:cs="Times New Roman"/>
                <w:color w:val="000000"/>
                <w:sz w:val="18"/>
                <w:szCs w:val="18"/>
              </w:rPr>
              <w:t>, atbrīvojuma piemērošana sporta nodarbībām</w:t>
            </w:r>
          </w:p>
        </w:tc>
        <w:tc>
          <w:tcPr>
            <w:tcW w:w="1134" w:type="dxa"/>
            <w:tcBorders>
              <w:top w:val="nil"/>
              <w:left w:val="nil"/>
              <w:bottom w:val="single" w:sz="4" w:space="0" w:color="auto"/>
              <w:right w:val="single" w:sz="4" w:space="0" w:color="auto"/>
            </w:tcBorders>
            <w:shd w:val="clear" w:color="auto" w:fill="auto"/>
            <w:vAlign w:val="center"/>
            <w:hideMark/>
          </w:tcPr>
          <w:p w14:paraId="164B2F16"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PVN</w:t>
            </w:r>
          </w:p>
        </w:tc>
        <w:tc>
          <w:tcPr>
            <w:tcW w:w="960" w:type="dxa"/>
            <w:tcBorders>
              <w:top w:val="nil"/>
              <w:left w:val="nil"/>
              <w:bottom w:val="single" w:sz="4" w:space="0" w:color="auto"/>
              <w:right w:val="single" w:sz="4" w:space="0" w:color="auto"/>
            </w:tcBorders>
            <w:shd w:val="clear" w:color="auto" w:fill="auto"/>
            <w:noWrap/>
            <w:vAlign w:val="center"/>
            <w:hideMark/>
          </w:tcPr>
          <w:p w14:paraId="5D5A1ADC"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-5,0</w:t>
            </w:r>
          </w:p>
        </w:tc>
        <w:tc>
          <w:tcPr>
            <w:tcW w:w="960" w:type="dxa"/>
            <w:tcBorders>
              <w:top w:val="nil"/>
              <w:left w:val="nil"/>
              <w:bottom w:val="single" w:sz="4" w:space="0" w:color="auto"/>
              <w:right w:val="single" w:sz="4" w:space="0" w:color="auto"/>
            </w:tcBorders>
            <w:shd w:val="clear" w:color="auto" w:fill="auto"/>
            <w:noWrap/>
            <w:vAlign w:val="center"/>
            <w:hideMark/>
          </w:tcPr>
          <w:p w14:paraId="64C548C7"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-5,0</w:t>
            </w:r>
          </w:p>
        </w:tc>
        <w:tc>
          <w:tcPr>
            <w:tcW w:w="960" w:type="dxa"/>
            <w:tcBorders>
              <w:top w:val="nil"/>
              <w:left w:val="nil"/>
              <w:bottom w:val="single" w:sz="4" w:space="0" w:color="auto"/>
              <w:right w:val="single" w:sz="4" w:space="0" w:color="auto"/>
            </w:tcBorders>
            <w:shd w:val="clear" w:color="auto" w:fill="auto"/>
            <w:noWrap/>
            <w:vAlign w:val="center"/>
            <w:hideMark/>
          </w:tcPr>
          <w:p w14:paraId="7F85F8D8"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-5,0</w:t>
            </w:r>
          </w:p>
        </w:tc>
      </w:tr>
      <w:tr w:rsidR="00FD73AA" w:rsidRPr="00FD73AA" w14:paraId="0BD3B6BF" w14:textId="77777777" w:rsidTr="00FD73AA">
        <w:trPr>
          <w:trHeight w:val="288"/>
        </w:trPr>
        <w:tc>
          <w:tcPr>
            <w:tcW w:w="1605" w:type="dxa"/>
            <w:vMerge w:val="restart"/>
            <w:tcBorders>
              <w:top w:val="nil"/>
              <w:left w:val="single" w:sz="4" w:space="0" w:color="auto"/>
              <w:bottom w:val="nil"/>
              <w:right w:val="single" w:sz="4" w:space="0" w:color="auto"/>
            </w:tcBorders>
            <w:shd w:val="clear" w:color="auto" w:fill="auto"/>
            <w:hideMark/>
          </w:tcPr>
          <w:p w14:paraId="45A9E3FE"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lastRenderedPageBreak/>
              <w:t>Grozījumi likumā "Par akcīzes nodokli"</w:t>
            </w:r>
          </w:p>
        </w:tc>
        <w:tc>
          <w:tcPr>
            <w:tcW w:w="3352" w:type="dxa"/>
            <w:tcBorders>
              <w:top w:val="nil"/>
              <w:left w:val="nil"/>
              <w:bottom w:val="single" w:sz="4" w:space="0" w:color="auto"/>
              <w:right w:val="single" w:sz="4" w:space="0" w:color="auto"/>
            </w:tcBorders>
            <w:shd w:val="clear" w:color="auto" w:fill="auto"/>
            <w:hideMark/>
          </w:tcPr>
          <w:p w14:paraId="219C739F"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w:t>
            </w:r>
          </w:p>
        </w:tc>
        <w:tc>
          <w:tcPr>
            <w:tcW w:w="1134" w:type="dxa"/>
            <w:tcBorders>
              <w:top w:val="nil"/>
              <w:left w:val="nil"/>
              <w:bottom w:val="single" w:sz="4" w:space="0" w:color="auto"/>
              <w:right w:val="single" w:sz="4" w:space="0" w:color="auto"/>
            </w:tcBorders>
            <w:shd w:val="clear" w:color="auto" w:fill="BDD6EE" w:themeFill="accent1" w:themeFillTint="66"/>
            <w:noWrap/>
            <w:vAlign w:val="center"/>
            <w:hideMark/>
          </w:tcPr>
          <w:p w14:paraId="0A0C6744" w14:textId="77777777" w:rsidR="00FD73AA" w:rsidRPr="00FD73AA" w:rsidRDefault="00FD73AA" w:rsidP="00FD73AA">
            <w:pPr>
              <w:spacing w:after="0"/>
              <w:ind w:firstLine="0"/>
              <w:jc w:val="left"/>
              <w:rPr>
                <w:rFonts w:eastAsia="Times New Roman" w:cs="Times New Roman"/>
                <w:b/>
                <w:bCs/>
                <w:color w:val="000000"/>
                <w:sz w:val="18"/>
                <w:szCs w:val="18"/>
              </w:rPr>
            </w:pPr>
            <w:r w:rsidRPr="00FD73AA">
              <w:rPr>
                <w:rFonts w:eastAsia="Times New Roman" w:cs="Times New Roman"/>
                <w:b/>
                <w:bCs/>
                <w:color w:val="000000"/>
                <w:sz w:val="18"/>
                <w:szCs w:val="18"/>
              </w:rPr>
              <w:t>Kopā, t.sk:</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18E260A4"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20,1</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3FA22B40"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53,8</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4B620E84"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87,5</w:t>
            </w:r>
          </w:p>
        </w:tc>
      </w:tr>
      <w:tr w:rsidR="00FD73AA" w:rsidRPr="00FD73AA" w14:paraId="7C431D00" w14:textId="77777777" w:rsidTr="00FD73AA">
        <w:trPr>
          <w:trHeight w:val="804"/>
        </w:trPr>
        <w:tc>
          <w:tcPr>
            <w:tcW w:w="1605" w:type="dxa"/>
            <w:vMerge/>
            <w:tcBorders>
              <w:top w:val="nil"/>
              <w:left w:val="single" w:sz="4" w:space="0" w:color="auto"/>
              <w:bottom w:val="nil"/>
              <w:right w:val="single" w:sz="4" w:space="0" w:color="auto"/>
            </w:tcBorders>
            <w:hideMark/>
          </w:tcPr>
          <w:p w14:paraId="54167A3A"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tcBorders>
              <w:top w:val="nil"/>
              <w:left w:val="nil"/>
              <w:bottom w:val="single" w:sz="4" w:space="0" w:color="auto"/>
              <w:right w:val="single" w:sz="4" w:space="0" w:color="auto"/>
            </w:tcBorders>
            <w:shd w:val="clear" w:color="auto" w:fill="auto"/>
            <w:hideMark/>
          </w:tcPr>
          <w:p w14:paraId="7D5BEFCA"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Akcīzes nodokļa likmju paaugstināšana tabakas izstrādājumiem, e-šķidrumiem, tabakas aizstājējproduktiem, alkoholiskajiem dzērieniem un dīzeļdegvielai un petrolejai, ko izmanto SEZ un brīvostās</w:t>
            </w:r>
          </w:p>
        </w:tc>
        <w:tc>
          <w:tcPr>
            <w:tcW w:w="1134" w:type="dxa"/>
            <w:tcBorders>
              <w:top w:val="nil"/>
              <w:left w:val="nil"/>
              <w:bottom w:val="single" w:sz="4" w:space="0" w:color="auto"/>
              <w:right w:val="single" w:sz="4" w:space="0" w:color="auto"/>
            </w:tcBorders>
            <w:shd w:val="clear" w:color="auto" w:fill="auto"/>
            <w:vAlign w:val="center"/>
            <w:hideMark/>
          </w:tcPr>
          <w:p w14:paraId="4B0B07BA"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PVN</w:t>
            </w:r>
          </w:p>
        </w:tc>
        <w:tc>
          <w:tcPr>
            <w:tcW w:w="960" w:type="dxa"/>
            <w:tcBorders>
              <w:top w:val="nil"/>
              <w:left w:val="nil"/>
              <w:bottom w:val="single" w:sz="4" w:space="0" w:color="auto"/>
              <w:right w:val="single" w:sz="4" w:space="0" w:color="auto"/>
            </w:tcBorders>
            <w:shd w:val="clear" w:color="auto" w:fill="auto"/>
            <w:noWrap/>
            <w:vAlign w:val="center"/>
            <w:hideMark/>
          </w:tcPr>
          <w:p w14:paraId="0134416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3,5</w:t>
            </w:r>
          </w:p>
        </w:tc>
        <w:tc>
          <w:tcPr>
            <w:tcW w:w="960" w:type="dxa"/>
            <w:tcBorders>
              <w:top w:val="nil"/>
              <w:left w:val="nil"/>
              <w:bottom w:val="single" w:sz="4" w:space="0" w:color="auto"/>
              <w:right w:val="single" w:sz="4" w:space="0" w:color="auto"/>
            </w:tcBorders>
            <w:shd w:val="clear" w:color="auto" w:fill="auto"/>
            <w:noWrap/>
            <w:vAlign w:val="center"/>
            <w:hideMark/>
          </w:tcPr>
          <w:p w14:paraId="4CBE46FD"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9,4</w:t>
            </w:r>
          </w:p>
        </w:tc>
        <w:tc>
          <w:tcPr>
            <w:tcW w:w="960" w:type="dxa"/>
            <w:tcBorders>
              <w:top w:val="nil"/>
              <w:left w:val="nil"/>
              <w:bottom w:val="single" w:sz="4" w:space="0" w:color="auto"/>
              <w:right w:val="single" w:sz="4" w:space="0" w:color="auto"/>
            </w:tcBorders>
            <w:shd w:val="clear" w:color="auto" w:fill="auto"/>
            <w:noWrap/>
            <w:vAlign w:val="center"/>
            <w:hideMark/>
          </w:tcPr>
          <w:p w14:paraId="3AB63CB1"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15,2</w:t>
            </w:r>
          </w:p>
        </w:tc>
      </w:tr>
      <w:tr w:rsidR="00FD73AA" w:rsidRPr="00FD73AA" w14:paraId="61B375E4" w14:textId="77777777" w:rsidTr="00FD73AA">
        <w:trPr>
          <w:trHeight w:val="804"/>
        </w:trPr>
        <w:tc>
          <w:tcPr>
            <w:tcW w:w="1605" w:type="dxa"/>
            <w:vMerge/>
            <w:tcBorders>
              <w:top w:val="nil"/>
              <w:left w:val="single" w:sz="4" w:space="0" w:color="auto"/>
              <w:bottom w:val="nil"/>
              <w:right w:val="single" w:sz="4" w:space="0" w:color="auto"/>
            </w:tcBorders>
            <w:hideMark/>
          </w:tcPr>
          <w:p w14:paraId="35BC8CE0"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tcBorders>
              <w:top w:val="nil"/>
              <w:left w:val="nil"/>
              <w:bottom w:val="nil"/>
              <w:right w:val="nil"/>
            </w:tcBorders>
            <w:shd w:val="clear" w:color="auto" w:fill="auto"/>
            <w:hideMark/>
          </w:tcPr>
          <w:p w14:paraId="1D753B3A"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Akcīzes nodokļa likmju paaugstināšana tabakas izstrādājumiem, e-šķidrumiem, tabakas aizstājējproduktiem, alkoholiskajiem dzērieniem un dīzeļdegvielai un petrolejai, ko izmanto SEZ un brīvostās</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56DEF58"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AN</w:t>
            </w:r>
          </w:p>
        </w:tc>
        <w:tc>
          <w:tcPr>
            <w:tcW w:w="960" w:type="dxa"/>
            <w:tcBorders>
              <w:top w:val="nil"/>
              <w:left w:val="nil"/>
              <w:bottom w:val="single" w:sz="4" w:space="0" w:color="auto"/>
              <w:right w:val="single" w:sz="4" w:space="0" w:color="auto"/>
            </w:tcBorders>
            <w:shd w:val="clear" w:color="auto" w:fill="auto"/>
            <w:noWrap/>
            <w:vAlign w:val="center"/>
            <w:hideMark/>
          </w:tcPr>
          <w:p w14:paraId="5583E38D"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16,6</w:t>
            </w:r>
          </w:p>
        </w:tc>
        <w:tc>
          <w:tcPr>
            <w:tcW w:w="960" w:type="dxa"/>
            <w:tcBorders>
              <w:top w:val="nil"/>
              <w:left w:val="nil"/>
              <w:bottom w:val="single" w:sz="4" w:space="0" w:color="auto"/>
              <w:right w:val="single" w:sz="4" w:space="0" w:color="auto"/>
            </w:tcBorders>
            <w:shd w:val="clear" w:color="auto" w:fill="auto"/>
            <w:noWrap/>
            <w:vAlign w:val="center"/>
            <w:hideMark/>
          </w:tcPr>
          <w:p w14:paraId="3FBD773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44,5</w:t>
            </w:r>
          </w:p>
        </w:tc>
        <w:tc>
          <w:tcPr>
            <w:tcW w:w="960" w:type="dxa"/>
            <w:tcBorders>
              <w:top w:val="nil"/>
              <w:left w:val="nil"/>
              <w:bottom w:val="single" w:sz="4" w:space="0" w:color="auto"/>
              <w:right w:val="single" w:sz="4" w:space="0" w:color="auto"/>
            </w:tcBorders>
            <w:shd w:val="clear" w:color="auto" w:fill="auto"/>
            <w:noWrap/>
            <w:vAlign w:val="center"/>
            <w:hideMark/>
          </w:tcPr>
          <w:p w14:paraId="6293F88F"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72,3</w:t>
            </w:r>
          </w:p>
        </w:tc>
      </w:tr>
      <w:tr w:rsidR="00FD73AA" w:rsidRPr="00FD73AA" w14:paraId="7992FEF5" w14:textId="77777777" w:rsidTr="00FD73AA">
        <w:trPr>
          <w:trHeight w:val="528"/>
        </w:trPr>
        <w:tc>
          <w:tcPr>
            <w:tcW w:w="1605" w:type="dxa"/>
            <w:tcBorders>
              <w:top w:val="single" w:sz="4" w:space="0" w:color="auto"/>
              <w:left w:val="single" w:sz="4" w:space="0" w:color="auto"/>
              <w:bottom w:val="single" w:sz="4" w:space="0" w:color="auto"/>
              <w:right w:val="single" w:sz="4" w:space="0" w:color="auto"/>
            </w:tcBorders>
            <w:shd w:val="clear" w:color="auto" w:fill="auto"/>
            <w:hideMark/>
          </w:tcPr>
          <w:p w14:paraId="3CBE93E7"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Likumprojekts "Grozījumi Dabas resursu nodokļa likumā"</w:t>
            </w:r>
          </w:p>
        </w:tc>
        <w:tc>
          <w:tcPr>
            <w:tcW w:w="3352" w:type="dxa"/>
            <w:tcBorders>
              <w:top w:val="single" w:sz="4" w:space="0" w:color="auto"/>
              <w:left w:val="nil"/>
              <w:bottom w:val="single" w:sz="4" w:space="0" w:color="auto"/>
              <w:right w:val="single" w:sz="4" w:space="0" w:color="auto"/>
            </w:tcBorders>
            <w:shd w:val="clear" w:color="auto" w:fill="auto"/>
            <w:hideMark/>
          </w:tcPr>
          <w:p w14:paraId="763CEA38"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Izmaiņas likmēs, jaunie objekti, atvieglojuma atcelšana un sadalījumu maiņa starp valsts un pašvaldību budžetiem</w:t>
            </w:r>
          </w:p>
        </w:tc>
        <w:tc>
          <w:tcPr>
            <w:tcW w:w="1134" w:type="dxa"/>
            <w:tcBorders>
              <w:top w:val="nil"/>
              <w:left w:val="nil"/>
              <w:bottom w:val="single" w:sz="4" w:space="0" w:color="auto"/>
              <w:right w:val="single" w:sz="4" w:space="0" w:color="auto"/>
            </w:tcBorders>
            <w:shd w:val="clear" w:color="auto" w:fill="auto"/>
            <w:vAlign w:val="center"/>
            <w:hideMark/>
          </w:tcPr>
          <w:p w14:paraId="19F2565D"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DRN</w:t>
            </w:r>
          </w:p>
        </w:tc>
        <w:tc>
          <w:tcPr>
            <w:tcW w:w="960" w:type="dxa"/>
            <w:tcBorders>
              <w:top w:val="nil"/>
              <w:left w:val="nil"/>
              <w:bottom w:val="single" w:sz="4" w:space="0" w:color="auto"/>
              <w:right w:val="single" w:sz="4" w:space="0" w:color="auto"/>
            </w:tcBorders>
            <w:shd w:val="clear" w:color="auto" w:fill="auto"/>
            <w:noWrap/>
            <w:vAlign w:val="center"/>
            <w:hideMark/>
          </w:tcPr>
          <w:p w14:paraId="00E7F68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6,7</w:t>
            </w:r>
          </w:p>
        </w:tc>
        <w:tc>
          <w:tcPr>
            <w:tcW w:w="960" w:type="dxa"/>
            <w:tcBorders>
              <w:top w:val="nil"/>
              <w:left w:val="nil"/>
              <w:bottom w:val="single" w:sz="4" w:space="0" w:color="auto"/>
              <w:right w:val="single" w:sz="4" w:space="0" w:color="auto"/>
            </w:tcBorders>
            <w:shd w:val="clear" w:color="auto" w:fill="auto"/>
            <w:noWrap/>
            <w:vAlign w:val="center"/>
            <w:hideMark/>
          </w:tcPr>
          <w:p w14:paraId="5DE9F448"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18,7</w:t>
            </w:r>
          </w:p>
        </w:tc>
        <w:tc>
          <w:tcPr>
            <w:tcW w:w="960" w:type="dxa"/>
            <w:tcBorders>
              <w:top w:val="nil"/>
              <w:left w:val="nil"/>
              <w:bottom w:val="single" w:sz="4" w:space="0" w:color="auto"/>
              <w:right w:val="single" w:sz="4" w:space="0" w:color="auto"/>
            </w:tcBorders>
            <w:shd w:val="clear" w:color="auto" w:fill="auto"/>
            <w:noWrap/>
            <w:vAlign w:val="center"/>
            <w:hideMark/>
          </w:tcPr>
          <w:p w14:paraId="734D5A6D"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28,3</w:t>
            </w:r>
          </w:p>
        </w:tc>
      </w:tr>
      <w:tr w:rsidR="00FD73AA" w:rsidRPr="00FD73AA" w14:paraId="1829625C" w14:textId="77777777" w:rsidTr="00FD73AA">
        <w:trPr>
          <w:trHeight w:val="540"/>
        </w:trPr>
        <w:tc>
          <w:tcPr>
            <w:tcW w:w="1605" w:type="dxa"/>
            <w:tcBorders>
              <w:top w:val="nil"/>
              <w:left w:val="single" w:sz="4" w:space="0" w:color="auto"/>
              <w:bottom w:val="single" w:sz="4" w:space="0" w:color="auto"/>
              <w:right w:val="single" w:sz="4" w:space="0" w:color="auto"/>
            </w:tcBorders>
            <w:shd w:val="clear" w:color="auto" w:fill="auto"/>
            <w:hideMark/>
          </w:tcPr>
          <w:p w14:paraId="174BE47C"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Likumprojekts "Grozījumi likumā "Par izložu un azartspēļu nodevu un nodokli""</w:t>
            </w:r>
          </w:p>
        </w:tc>
        <w:tc>
          <w:tcPr>
            <w:tcW w:w="3352" w:type="dxa"/>
            <w:tcBorders>
              <w:top w:val="nil"/>
              <w:left w:val="nil"/>
              <w:bottom w:val="single" w:sz="4" w:space="0" w:color="auto"/>
              <w:right w:val="single" w:sz="4" w:space="0" w:color="auto"/>
            </w:tcBorders>
            <w:shd w:val="clear" w:color="auto" w:fill="auto"/>
            <w:vAlign w:val="center"/>
            <w:hideMark/>
          </w:tcPr>
          <w:p w14:paraId="558916AD" w14:textId="5B808A0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Li</w:t>
            </w:r>
            <w:r w:rsidR="00A264AA">
              <w:rPr>
                <w:rFonts w:eastAsia="Times New Roman" w:cs="Times New Roman"/>
                <w:color w:val="000000"/>
                <w:sz w:val="18"/>
                <w:szCs w:val="18"/>
              </w:rPr>
              <w:t>k</w:t>
            </w:r>
            <w:r w:rsidRPr="00FD73AA">
              <w:rPr>
                <w:rFonts w:eastAsia="Times New Roman" w:cs="Times New Roman"/>
                <w:color w:val="000000"/>
                <w:sz w:val="18"/>
                <w:szCs w:val="18"/>
              </w:rPr>
              <w:t>mju paaugstināšana</w:t>
            </w:r>
          </w:p>
        </w:tc>
        <w:tc>
          <w:tcPr>
            <w:tcW w:w="1134" w:type="dxa"/>
            <w:tcBorders>
              <w:top w:val="nil"/>
              <w:left w:val="nil"/>
              <w:bottom w:val="single" w:sz="4" w:space="0" w:color="auto"/>
              <w:right w:val="single" w:sz="4" w:space="0" w:color="auto"/>
            </w:tcBorders>
            <w:shd w:val="clear" w:color="auto" w:fill="auto"/>
            <w:vAlign w:val="center"/>
            <w:hideMark/>
          </w:tcPr>
          <w:p w14:paraId="0737DC71"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IAN</w:t>
            </w:r>
          </w:p>
        </w:tc>
        <w:tc>
          <w:tcPr>
            <w:tcW w:w="960" w:type="dxa"/>
            <w:tcBorders>
              <w:top w:val="nil"/>
              <w:left w:val="nil"/>
              <w:bottom w:val="single" w:sz="4" w:space="0" w:color="auto"/>
              <w:right w:val="single" w:sz="4" w:space="0" w:color="auto"/>
            </w:tcBorders>
            <w:shd w:val="clear" w:color="auto" w:fill="auto"/>
            <w:noWrap/>
            <w:vAlign w:val="center"/>
            <w:hideMark/>
          </w:tcPr>
          <w:p w14:paraId="05109C9E"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5,2</w:t>
            </w:r>
          </w:p>
        </w:tc>
        <w:tc>
          <w:tcPr>
            <w:tcW w:w="960" w:type="dxa"/>
            <w:tcBorders>
              <w:top w:val="nil"/>
              <w:left w:val="nil"/>
              <w:bottom w:val="single" w:sz="4" w:space="0" w:color="auto"/>
              <w:right w:val="single" w:sz="4" w:space="0" w:color="auto"/>
            </w:tcBorders>
            <w:shd w:val="clear" w:color="auto" w:fill="auto"/>
            <w:noWrap/>
            <w:vAlign w:val="center"/>
            <w:hideMark/>
          </w:tcPr>
          <w:p w14:paraId="69550A66"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5,5</w:t>
            </w:r>
          </w:p>
        </w:tc>
        <w:tc>
          <w:tcPr>
            <w:tcW w:w="960" w:type="dxa"/>
            <w:tcBorders>
              <w:top w:val="nil"/>
              <w:left w:val="nil"/>
              <w:bottom w:val="single" w:sz="4" w:space="0" w:color="auto"/>
              <w:right w:val="single" w:sz="4" w:space="0" w:color="auto"/>
            </w:tcBorders>
            <w:shd w:val="clear" w:color="auto" w:fill="auto"/>
            <w:noWrap/>
            <w:vAlign w:val="center"/>
            <w:hideMark/>
          </w:tcPr>
          <w:p w14:paraId="7E7CE350"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5,9</w:t>
            </w:r>
          </w:p>
        </w:tc>
      </w:tr>
      <w:tr w:rsidR="00FD73AA" w:rsidRPr="00FD73AA" w14:paraId="1295425E" w14:textId="77777777" w:rsidTr="00FD73AA">
        <w:trPr>
          <w:trHeight w:val="300"/>
        </w:trPr>
        <w:tc>
          <w:tcPr>
            <w:tcW w:w="1605" w:type="dxa"/>
            <w:tcBorders>
              <w:top w:val="nil"/>
              <w:left w:val="single" w:sz="4" w:space="0" w:color="auto"/>
              <w:bottom w:val="single" w:sz="4" w:space="0" w:color="auto"/>
              <w:right w:val="single" w:sz="4" w:space="0" w:color="auto"/>
            </w:tcBorders>
            <w:shd w:val="clear" w:color="auto" w:fill="auto"/>
            <w:hideMark/>
          </w:tcPr>
          <w:p w14:paraId="06AF254A"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UIN no dividendēm</w:t>
            </w:r>
          </w:p>
        </w:tc>
        <w:tc>
          <w:tcPr>
            <w:tcW w:w="3352" w:type="dxa"/>
            <w:tcBorders>
              <w:top w:val="nil"/>
              <w:left w:val="nil"/>
              <w:bottom w:val="single" w:sz="4" w:space="0" w:color="auto"/>
              <w:right w:val="single" w:sz="4" w:space="0" w:color="auto"/>
            </w:tcBorders>
            <w:shd w:val="clear" w:color="auto" w:fill="auto"/>
            <w:hideMark/>
          </w:tcPr>
          <w:p w14:paraId="08362E66"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219EC078"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UIN</w:t>
            </w:r>
          </w:p>
        </w:tc>
        <w:tc>
          <w:tcPr>
            <w:tcW w:w="960" w:type="dxa"/>
            <w:tcBorders>
              <w:top w:val="nil"/>
              <w:left w:val="nil"/>
              <w:bottom w:val="single" w:sz="4" w:space="0" w:color="auto"/>
              <w:right w:val="single" w:sz="4" w:space="0" w:color="auto"/>
            </w:tcBorders>
            <w:shd w:val="clear" w:color="auto" w:fill="auto"/>
            <w:noWrap/>
            <w:vAlign w:val="center"/>
            <w:hideMark/>
          </w:tcPr>
          <w:p w14:paraId="624A8506"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10,7</w:t>
            </w:r>
          </w:p>
        </w:tc>
        <w:tc>
          <w:tcPr>
            <w:tcW w:w="960" w:type="dxa"/>
            <w:tcBorders>
              <w:top w:val="nil"/>
              <w:left w:val="nil"/>
              <w:bottom w:val="single" w:sz="4" w:space="0" w:color="auto"/>
              <w:right w:val="single" w:sz="4" w:space="0" w:color="auto"/>
            </w:tcBorders>
            <w:shd w:val="clear" w:color="auto" w:fill="auto"/>
            <w:noWrap/>
            <w:vAlign w:val="center"/>
            <w:hideMark/>
          </w:tcPr>
          <w:p w14:paraId="5FDE1151"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0,0</w:t>
            </w:r>
          </w:p>
        </w:tc>
        <w:tc>
          <w:tcPr>
            <w:tcW w:w="960" w:type="dxa"/>
            <w:tcBorders>
              <w:top w:val="nil"/>
              <w:left w:val="nil"/>
              <w:bottom w:val="single" w:sz="4" w:space="0" w:color="auto"/>
              <w:right w:val="single" w:sz="4" w:space="0" w:color="auto"/>
            </w:tcBorders>
            <w:shd w:val="clear" w:color="auto" w:fill="auto"/>
            <w:noWrap/>
            <w:vAlign w:val="center"/>
            <w:hideMark/>
          </w:tcPr>
          <w:p w14:paraId="654B3DF8"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0,0</w:t>
            </w:r>
          </w:p>
        </w:tc>
      </w:tr>
      <w:tr w:rsidR="00FD73AA" w:rsidRPr="00FD73AA" w14:paraId="7ADE4C78" w14:textId="77777777" w:rsidTr="00FD73AA">
        <w:trPr>
          <w:trHeight w:val="300"/>
        </w:trPr>
        <w:tc>
          <w:tcPr>
            <w:tcW w:w="1605" w:type="dxa"/>
            <w:vMerge w:val="restart"/>
            <w:tcBorders>
              <w:top w:val="nil"/>
              <w:left w:val="single" w:sz="4" w:space="0" w:color="auto"/>
              <w:bottom w:val="single" w:sz="4" w:space="0" w:color="000000"/>
              <w:right w:val="single" w:sz="4" w:space="0" w:color="auto"/>
            </w:tcBorders>
            <w:shd w:val="clear" w:color="auto" w:fill="auto"/>
            <w:hideMark/>
          </w:tcPr>
          <w:p w14:paraId="031FB983"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Ieņēmumu palielinājums no atalgojuma palielināšanas prioritārajām nozarēm</w:t>
            </w:r>
          </w:p>
        </w:tc>
        <w:tc>
          <w:tcPr>
            <w:tcW w:w="3352" w:type="dxa"/>
            <w:vMerge w:val="restart"/>
            <w:tcBorders>
              <w:top w:val="nil"/>
              <w:left w:val="single" w:sz="4" w:space="0" w:color="auto"/>
              <w:bottom w:val="single" w:sz="4" w:space="0" w:color="000000"/>
              <w:right w:val="single" w:sz="4" w:space="0" w:color="auto"/>
            </w:tcBorders>
            <w:shd w:val="clear" w:color="auto" w:fill="auto"/>
            <w:hideMark/>
          </w:tcPr>
          <w:p w14:paraId="731C9441"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Atalgojuma palielinājums prioritārajām nozarēm</w:t>
            </w:r>
          </w:p>
        </w:tc>
        <w:tc>
          <w:tcPr>
            <w:tcW w:w="1134" w:type="dxa"/>
            <w:tcBorders>
              <w:top w:val="nil"/>
              <w:left w:val="nil"/>
              <w:bottom w:val="single" w:sz="4" w:space="0" w:color="auto"/>
              <w:right w:val="single" w:sz="4" w:space="0" w:color="auto"/>
            </w:tcBorders>
            <w:shd w:val="clear" w:color="auto" w:fill="BDD6EE" w:themeFill="accent1" w:themeFillTint="66"/>
            <w:noWrap/>
            <w:vAlign w:val="center"/>
            <w:hideMark/>
          </w:tcPr>
          <w:p w14:paraId="2A706E43" w14:textId="77777777" w:rsidR="00FD73AA" w:rsidRPr="00FD73AA" w:rsidRDefault="00FD73AA" w:rsidP="00FD73AA">
            <w:pPr>
              <w:spacing w:after="0"/>
              <w:ind w:firstLine="0"/>
              <w:jc w:val="left"/>
              <w:rPr>
                <w:rFonts w:eastAsia="Times New Roman" w:cs="Times New Roman"/>
                <w:b/>
                <w:bCs/>
                <w:color w:val="000000"/>
                <w:sz w:val="18"/>
                <w:szCs w:val="18"/>
              </w:rPr>
            </w:pPr>
            <w:r w:rsidRPr="00FD73AA">
              <w:rPr>
                <w:rFonts w:eastAsia="Times New Roman" w:cs="Times New Roman"/>
                <w:b/>
                <w:bCs/>
                <w:color w:val="000000"/>
                <w:sz w:val="18"/>
                <w:szCs w:val="18"/>
              </w:rPr>
              <w:t>Kopā, t.sk:</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3642D96E"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91,6</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3D9C29AD"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89,7</w:t>
            </w:r>
          </w:p>
        </w:tc>
        <w:tc>
          <w:tcPr>
            <w:tcW w:w="960" w:type="dxa"/>
            <w:tcBorders>
              <w:top w:val="nil"/>
              <w:left w:val="nil"/>
              <w:bottom w:val="single" w:sz="4" w:space="0" w:color="auto"/>
              <w:right w:val="single" w:sz="4" w:space="0" w:color="auto"/>
            </w:tcBorders>
            <w:shd w:val="clear" w:color="auto" w:fill="BDD6EE" w:themeFill="accent1" w:themeFillTint="66"/>
            <w:noWrap/>
            <w:hideMark/>
          </w:tcPr>
          <w:p w14:paraId="2AF7AE16"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92,5</w:t>
            </w:r>
          </w:p>
        </w:tc>
      </w:tr>
      <w:tr w:rsidR="00FD73AA" w:rsidRPr="00FD73AA" w14:paraId="2F23A497" w14:textId="77777777" w:rsidTr="00FD73AA">
        <w:trPr>
          <w:trHeight w:val="300"/>
        </w:trPr>
        <w:tc>
          <w:tcPr>
            <w:tcW w:w="1605" w:type="dxa"/>
            <w:vMerge/>
            <w:tcBorders>
              <w:top w:val="nil"/>
              <w:left w:val="single" w:sz="4" w:space="0" w:color="auto"/>
              <w:bottom w:val="single" w:sz="4" w:space="0" w:color="000000"/>
              <w:right w:val="single" w:sz="4" w:space="0" w:color="auto"/>
            </w:tcBorders>
            <w:hideMark/>
          </w:tcPr>
          <w:p w14:paraId="3D288690"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nil"/>
              <w:left w:val="single" w:sz="4" w:space="0" w:color="auto"/>
              <w:bottom w:val="single" w:sz="4" w:space="0" w:color="000000"/>
              <w:right w:val="single" w:sz="4" w:space="0" w:color="auto"/>
            </w:tcBorders>
            <w:hideMark/>
          </w:tcPr>
          <w:p w14:paraId="56BF1C9A"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7CB9150F"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PVN</w:t>
            </w:r>
          </w:p>
        </w:tc>
        <w:tc>
          <w:tcPr>
            <w:tcW w:w="960" w:type="dxa"/>
            <w:tcBorders>
              <w:top w:val="nil"/>
              <w:left w:val="nil"/>
              <w:bottom w:val="single" w:sz="4" w:space="0" w:color="auto"/>
              <w:right w:val="single" w:sz="4" w:space="0" w:color="auto"/>
            </w:tcBorders>
            <w:shd w:val="clear" w:color="auto" w:fill="auto"/>
            <w:noWrap/>
            <w:vAlign w:val="center"/>
            <w:hideMark/>
          </w:tcPr>
          <w:p w14:paraId="6369EDD6"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10,6</w:t>
            </w:r>
          </w:p>
        </w:tc>
        <w:tc>
          <w:tcPr>
            <w:tcW w:w="960" w:type="dxa"/>
            <w:tcBorders>
              <w:top w:val="nil"/>
              <w:left w:val="nil"/>
              <w:bottom w:val="single" w:sz="4" w:space="0" w:color="auto"/>
              <w:right w:val="single" w:sz="4" w:space="0" w:color="auto"/>
            </w:tcBorders>
            <w:shd w:val="clear" w:color="auto" w:fill="auto"/>
            <w:noWrap/>
            <w:vAlign w:val="center"/>
            <w:hideMark/>
          </w:tcPr>
          <w:p w14:paraId="71D621A7"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10,4</w:t>
            </w:r>
          </w:p>
        </w:tc>
        <w:tc>
          <w:tcPr>
            <w:tcW w:w="960" w:type="dxa"/>
            <w:tcBorders>
              <w:top w:val="nil"/>
              <w:left w:val="nil"/>
              <w:bottom w:val="single" w:sz="4" w:space="0" w:color="auto"/>
              <w:right w:val="single" w:sz="4" w:space="0" w:color="auto"/>
            </w:tcBorders>
            <w:shd w:val="clear" w:color="auto" w:fill="auto"/>
            <w:noWrap/>
            <w:vAlign w:val="center"/>
            <w:hideMark/>
          </w:tcPr>
          <w:p w14:paraId="3ED5E79F"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10,7</w:t>
            </w:r>
          </w:p>
        </w:tc>
      </w:tr>
      <w:tr w:rsidR="00FD73AA" w:rsidRPr="00FD73AA" w14:paraId="14BF4BBD" w14:textId="77777777" w:rsidTr="00FD73AA">
        <w:trPr>
          <w:trHeight w:val="288"/>
        </w:trPr>
        <w:tc>
          <w:tcPr>
            <w:tcW w:w="1605" w:type="dxa"/>
            <w:vMerge/>
            <w:tcBorders>
              <w:top w:val="nil"/>
              <w:left w:val="single" w:sz="4" w:space="0" w:color="auto"/>
              <w:bottom w:val="single" w:sz="4" w:space="0" w:color="000000"/>
              <w:right w:val="single" w:sz="4" w:space="0" w:color="auto"/>
            </w:tcBorders>
            <w:hideMark/>
          </w:tcPr>
          <w:p w14:paraId="056E08EE"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nil"/>
              <w:left w:val="single" w:sz="4" w:space="0" w:color="auto"/>
              <w:bottom w:val="single" w:sz="4" w:space="0" w:color="000000"/>
              <w:right w:val="single" w:sz="4" w:space="0" w:color="auto"/>
            </w:tcBorders>
            <w:hideMark/>
          </w:tcPr>
          <w:p w14:paraId="69593E4B"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1FB7A70E"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IIN</w:t>
            </w:r>
          </w:p>
        </w:tc>
        <w:tc>
          <w:tcPr>
            <w:tcW w:w="960" w:type="dxa"/>
            <w:tcBorders>
              <w:top w:val="nil"/>
              <w:left w:val="nil"/>
              <w:bottom w:val="single" w:sz="4" w:space="0" w:color="auto"/>
              <w:right w:val="single" w:sz="4" w:space="0" w:color="auto"/>
            </w:tcBorders>
            <w:shd w:val="clear" w:color="auto" w:fill="auto"/>
            <w:noWrap/>
            <w:vAlign w:val="center"/>
            <w:hideMark/>
          </w:tcPr>
          <w:p w14:paraId="63907576"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31,1</w:t>
            </w:r>
          </w:p>
        </w:tc>
        <w:tc>
          <w:tcPr>
            <w:tcW w:w="960" w:type="dxa"/>
            <w:tcBorders>
              <w:top w:val="nil"/>
              <w:left w:val="nil"/>
              <w:bottom w:val="single" w:sz="4" w:space="0" w:color="auto"/>
              <w:right w:val="single" w:sz="4" w:space="0" w:color="auto"/>
            </w:tcBorders>
            <w:shd w:val="clear" w:color="auto" w:fill="auto"/>
            <w:noWrap/>
            <w:vAlign w:val="center"/>
            <w:hideMark/>
          </w:tcPr>
          <w:p w14:paraId="37F7249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30,5</w:t>
            </w:r>
          </w:p>
        </w:tc>
        <w:tc>
          <w:tcPr>
            <w:tcW w:w="960" w:type="dxa"/>
            <w:tcBorders>
              <w:top w:val="nil"/>
              <w:left w:val="nil"/>
              <w:bottom w:val="single" w:sz="4" w:space="0" w:color="auto"/>
              <w:right w:val="single" w:sz="4" w:space="0" w:color="auto"/>
            </w:tcBorders>
            <w:shd w:val="clear" w:color="auto" w:fill="auto"/>
            <w:noWrap/>
            <w:vAlign w:val="center"/>
            <w:hideMark/>
          </w:tcPr>
          <w:p w14:paraId="1F442800"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31,4</w:t>
            </w:r>
          </w:p>
        </w:tc>
      </w:tr>
      <w:tr w:rsidR="00FD73AA" w:rsidRPr="00FD73AA" w14:paraId="784448B9" w14:textId="77777777" w:rsidTr="00FD73AA">
        <w:trPr>
          <w:trHeight w:val="288"/>
        </w:trPr>
        <w:tc>
          <w:tcPr>
            <w:tcW w:w="1605" w:type="dxa"/>
            <w:vMerge/>
            <w:tcBorders>
              <w:top w:val="nil"/>
              <w:left w:val="single" w:sz="4" w:space="0" w:color="auto"/>
              <w:bottom w:val="single" w:sz="4" w:space="0" w:color="000000"/>
              <w:right w:val="single" w:sz="4" w:space="0" w:color="auto"/>
            </w:tcBorders>
            <w:hideMark/>
          </w:tcPr>
          <w:p w14:paraId="09C94CEF"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nil"/>
              <w:left w:val="single" w:sz="4" w:space="0" w:color="auto"/>
              <w:bottom w:val="single" w:sz="4" w:space="0" w:color="000000"/>
              <w:right w:val="single" w:sz="4" w:space="0" w:color="auto"/>
            </w:tcBorders>
            <w:hideMark/>
          </w:tcPr>
          <w:p w14:paraId="0A9913F1"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2D9EB0FC"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VSAOI</w:t>
            </w:r>
          </w:p>
        </w:tc>
        <w:tc>
          <w:tcPr>
            <w:tcW w:w="960" w:type="dxa"/>
            <w:tcBorders>
              <w:top w:val="nil"/>
              <w:left w:val="nil"/>
              <w:bottom w:val="single" w:sz="4" w:space="0" w:color="auto"/>
              <w:right w:val="single" w:sz="4" w:space="0" w:color="auto"/>
            </w:tcBorders>
            <w:shd w:val="clear" w:color="auto" w:fill="auto"/>
            <w:noWrap/>
            <w:vAlign w:val="center"/>
            <w:hideMark/>
          </w:tcPr>
          <w:p w14:paraId="3BF8825F"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48,1</w:t>
            </w:r>
          </w:p>
        </w:tc>
        <w:tc>
          <w:tcPr>
            <w:tcW w:w="960" w:type="dxa"/>
            <w:tcBorders>
              <w:top w:val="nil"/>
              <w:left w:val="nil"/>
              <w:bottom w:val="single" w:sz="4" w:space="0" w:color="auto"/>
              <w:right w:val="single" w:sz="4" w:space="0" w:color="auto"/>
            </w:tcBorders>
            <w:shd w:val="clear" w:color="auto" w:fill="auto"/>
            <w:noWrap/>
            <w:vAlign w:val="center"/>
            <w:hideMark/>
          </w:tcPr>
          <w:p w14:paraId="47AE53A6"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47,2</w:t>
            </w:r>
          </w:p>
        </w:tc>
        <w:tc>
          <w:tcPr>
            <w:tcW w:w="960" w:type="dxa"/>
            <w:tcBorders>
              <w:top w:val="nil"/>
              <w:left w:val="nil"/>
              <w:bottom w:val="single" w:sz="4" w:space="0" w:color="auto"/>
              <w:right w:val="single" w:sz="4" w:space="0" w:color="auto"/>
            </w:tcBorders>
            <w:shd w:val="clear" w:color="auto" w:fill="auto"/>
            <w:noWrap/>
            <w:vAlign w:val="center"/>
            <w:hideMark/>
          </w:tcPr>
          <w:p w14:paraId="05CBD8AE"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48,6</w:t>
            </w:r>
          </w:p>
        </w:tc>
      </w:tr>
      <w:tr w:rsidR="00FD73AA" w:rsidRPr="00FD73AA" w14:paraId="1FB9DCDB" w14:textId="77777777" w:rsidTr="00FD73AA">
        <w:trPr>
          <w:trHeight w:val="510"/>
        </w:trPr>
        <w:tc>
          <w:tcPr>
            <w:tcW w:w="1605" w:type="dxa"/>
            <w:vMerge/>
            <w:tcBorders>
              <w:top w:val="nil"/>
              <w:left w:val="single" w:sz="4" w:space="0" w:color="auto"/>
              <w:bottom w:val="single" w:sz="4" w:space="0" w:color="000000"/>
              <w:right w:val="single" w:sz="4" w:space="0" w:color="auto"/>
            </w:tcBorders>
            <w:hideMark/>
          </w:tcPr>
          <w:p w14:paraId="6EA6E647"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vMerge/>
            <w:tcBorders>
              <w:top w:val="nil"/>
              <w:left w:val="single" w:sz="4" w:space="0" w:color="auto"/>
              <w:bottom w:val="single" w:sz="4" w:space="0" w:color="000000"/>
              <w:right w:val="single" w:sz="4" w:space="0" w:color="auto"/>
            </w:tcBorders>
            <w:hideMark/>
          </w:tcPr>
          <w:p w14:paraId="13DD226A" w14:textId="77777777" w:rsidR="00FD73AA" w:rsidRPr="00FD73AA" w:rsidRDefault="00FD73AA" w:rsidP="00FD73AA">
            <w:pPr>
              <w:spacing w:after="0"/>
              <w:ind w:firstLine="0"/>
              <w:jc w:val="left"/>
              <w:rPr>
                <w:rFonts w:eastAsia="Times New Roman" w:cs="Times New Roman"/>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257DF049"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VSAOI</w:t>
            </w:r>
          </w:p>
        </w:tc>
        <w:tc>
          <w:tcPr>
            <w:tcW w:w="960" w:type="dxa"/>
            <w:tcBorders>
              <w:top w:val="nil"/>
              <w:left w:val="nil"/>
              <w:bottom w:val="single" w:sz="4" w:space="0" w:color="auto"/>
              <w:right w:val="single" w:sz="4" w:space="0" w:color="auto"/>
            </w:tcBorders>
            <w:shd w:val="clear" w:color="auto" w:fill="auto"/>
            <w:noWrap/>
            <w:vAlign w:val="center"/>
            <w:hideMark/>
          </w:tcPr>
          <w:p w14:paraId="6B77E7B3"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1,7</w:t>
            </w:r>
          </w:p>
        </w:tc>
        <w:tc>
          <w:tcPr>
            <w:tcW w:w="960" w:type="dxa"/>
            <w:tcBorders>
              <w:top w:val="nil"/>
              <w:left w:val="nil"/>
              <w:bottom w:val="single" w:sz="4" w:space="0" w:color="auto"/>
              <w:right w:val="single" w:sz="4" w:space="0" w:color="auto"/>
            </w:tcBorders>
            <w:shd w:val="clear" w:color="auto" w:fill="auto"/>
            <w:noWrap/>
            <w:vAlign w:val="center"/>
            <w:hideMark/>
          </w:tcPr>
          <w:p w14:paraId="7200AD4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1,7</w:t>
            </w:r>
          </w:p>
        </w:tc>
        <w:tc>
          <w:tcPr>
            <w:tcW w:w="960" w:type="dxa"/>
            <w:tcBorders>
              <w:top w:val="nil"/>
              <w:left w:val="nil"/>
              <w:bottom w:val="single" w:sz="4" w:space="0" w:color="auto"/>
              <w:right w:val="single" w:sz="4" w:space="0" w:color="auto"/>
            </w:tcBorders>
            <w:shd w:val="clear" w:color="auto" w:fill="auto"/>
            <w:noWrap/>
            <w:vAlign w:val="center"/>
            <w:hideMark/>
          </w:tcPr>
          <w:p w14:paraId="1F050C69"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1,8</w:t>
            </w:r>
          </w:p>
        </w:tc>
      </w:tr>
      <w:tr w:rsidR="00FD73AA" w:rsidRPr="00FD73AA" w14:paraId="00994ED7" w14:textId="77777777" w:rsidTr="00FD73AA">
        <w:trPr>
          <w:trHeight w:val="645"/>
        </w:trPr>
        <w:tc>
          <w:tcPr>
            <w:tcW w:w="1605" w:type="dxa"/>
            <w:vMerge w:val="restart"/>
            <w:tcBorders>
              <w:top w:val="nil"/>
              <w:left w:val="single" w:sz="4" w:space="0" w:color="auto"/>
              <w:bottom w:val="single" w:sz="4" w:space="0" w:color="000000"/>
              <w:right w:val="single" w:sz="4" w:space="0" w:color="auto"/>
            </w:tcBorders>
            <w:shd w:val="clear" w:color="auto" w:fill="auto"/>
            <w:hideMark/>
          </w:tcPr>
          <w:p w14:paraId="385A86B0"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Papildus ieņēmumi no valsts akciju sabiedrību dividendēs izmaksājamās peļņas daļas</w:t>
            </w:r>
          </w:p>
        </w:tc>
        <w:tc>
          <w:tcPr>
            <w:tcW w:w="3352" w:type="dxa"/>
            <w:tcBorders>
              <w:top w:val="nil"/>
              <w:left w:val="nil"/>
              <w:bottom w:val="single" w:sz="4" w:space="0" w:color="auto"/>
              <w:right w:val="single" w:sz="4" w:space="0" w:color="auto"/>
            </w:tcBorders>
            <w:shd w:val="clear" w:color="auto" w:fill="auto"/>
            <w:noWrap/>
            <w:vAlign w:val="center"/>
            <w:hideMark/>
          </w:tcPr>
          <w:p w14:paraId="03EDF292"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AS "Latvenergo" dividendes</w:t>
            </w:r>
          </w:p>
        </w:tc>
        <w:tc>
          <w:tcPr>
            <w:tcW w:w="1134" w:type="dxa"/>
            <w:tcBorders>
              <w:top w:val="nil"/>
              <w:left w:val="nil"/>
              <w:bottom w:val="single" w:sz="4" w:space="0" w:color="auto"/>
              <w:right w:val="single" w:sz="4" w:space="0" w:color="auto"/>
            </w:tcBorders>
            <w:shd w:val="clear" w:color="auto" w:fill="auto"/>
            <w:noWrap/>
            <w:vAlign w:val="center"/>
            <w:hideMark/>
          </w:tcPr>
          <w:p w14:paraId="5A7F7C57"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w:t>
            </w:r>
          </w:p>
        </w:tc>
        <w:tc>
          <w:tcPr>
            <w:tcW w:w="960" w:type="dxa"/>
            <w:tcBorders>
              <w:top w:val="nil"/>
              <w:left w:val="nil"/>
              <w:bottom w:val="single" w:sz="4" w:space="0" w:color="auto"/>
              <w:right w:val="single" w:sz="4" w:space="0" w:color="auto"/>
            </w:tcBorders>
            <w:shd w:val="clear" w:color="auto" w:fill="auto"/>
            <w:noWrap/>
            <w:vAlign w:val="center"/>
            <w:hideMark/>
          </w:tcPr>
          <w:p w14:paraId="67D20360"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99,8</w:t>
            </w:r>
          </w:p>
        </w:tc>
        <w:tc>
          <w:tcPr>
            <w:tcW w:w="960" w:type="dxa"/>
            <w:tcBorders>
              <w:top w:val="nil"/>
              <w:left w:val="nil"/>
              <w:bottom w:val="single" w:sz="4" w:space="0" w:color="auto"/>
              <w:right w:val="single" w:sz="4" w:space="0" w:color="auto"/>
            </w:tcBorders>
            <w:shd w:val="clear" w:color="auto" w:fill="auto"/>
            <w:noWrap/>
            <w:vAlign w:val="center"/>
            <w:hideMark/>
          </w:tcPr>
          <w:p w14:paraId="7ED857AF"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30,9</w:t>
            </w:r>
          </w:p>
        </w:tc>
        <w:tc>
          <w:tcPr>
            <w:tcW w:w="960" w:type="dxa"/>
            <w:tcBorders>
              <w:top w:val="nil"/>
              <w:left w:val="nil"/>
              <w:bottom w:val="single" w:sz="4" w:space="0" w:color="auto"/>
              <w:right w:val="single" w:sz="4" w:space="0" w:color="auto"/>
            </w:tcBorders>
            <w:shd w:val="clear" w:color="auto" w:fill="auto"/>
            <w:noWrap/>
            <w:vAlign w:val="center"/>
            <w:hideMark/>
          </w:tcPr>
          <w:p w14:paraId="4CA8BE4C"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119,4</w:t>
            </w:r>
          </w:p>
        </w:tc>
      </w:tr>
      <w:tr w:rsidR="00FD73AA" w:rsidRPr="00FD73AA" w14:paraId="00CB8083" w14:textId="77777777" w:rsidTr="00FD73AA">
        <w:trPr>
          <w:trHeight w:val="288"/>
        </w:trPr>
        <w:tc>
          <w:tcPr>
            <w:tcW w:w="1605" w:type="dxa"/>
            <w:vMerge/>
            <w:tcBorders>
              <w:top w:val="nil"/>
              <w:left w:val="single" w:sz="4" w:space="0" w:color="auto"/>
              <w:bottom w:val="single" w:sz="4" w:space="0" w:color="000000"/>
              <w:right w:val="single" w:sz="4" w:space="0" w:color="auto"/>
            </w:tcBorders>
            <w:hideMark/>
          </w:tcPr>
          <w:p w14:paraId="147250CB"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tcBorders>
              <w:top w:val="nil"/>
              <w:left w:val="nil"/>
              <w:bottom w:val="single" w:sz="4" w:space="0" w:color="auto"/>
              <w:right w:val="single" w:sz="4" w:space="0" w:color="auto"/>
            </w:tcBorders>
            <w:shd w:val="clear" w:color="auto" w:fill="auto"/>
            <w:vAlign w:val="center"/>
            <w:hideMark/>
          </w:tcPr>
          <w:p w14:paraId="0092488E"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AS "Latvijas valsts meži" dividendes</w:t>
            </w:r>
          </w:p>
        </w:tc>
        <w:tc>
          <w:tcPr>
            <w:tcW w:w="1134" w:type="dxa"/>
            <w:tcBorders>
              <w:top w:val="nil"/>
              <w:left w:val="nil"/>
              <w:bottom w:val="single" w:sz="4" w:space="0" w:color="auto"/>
              <w:right w:val="single" w:sz="4" w:space="0" w:color="auto"/>
            </w:tcBorders>
            <w:shd w:val="clear" w:color="auto" w:fill="auto"/>
            <w:vAlign w:val="center"/>
            <w:hideMark/>
          </w:tcPr>
          <w:p w14:paraId="06F60F2C"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w:t>
            </w:r>
          </w:p>
        </w:tc>
        <w:tc>
          <w:tcPr>
            <w:tcW w:w="960" w:type="dxa"/>
            <w:tcBorders>
              <w:top w:val="nil"/>
              <w:left w:val="nil"/>
              <w:bottom w:val="single" w:sz="4" w:space="0" w:color="auto"/>
              <w:right w:val="single" w:sz="4" w:space="0" w:color="auto"/>
            </w:tcBorders>
            <w:shd w:val="clear" w:color="auto" w:fill="auto"/>
            <w:noWrap/>
            <w:vAlign w:val="center"/>
            <w:hideMark/>
          </w:tcPr>
          <w:p w14:paraId="28B0C0D3"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27,6</w:t>
            </w:r>
          </w:p>
        </w:tc>
        <w:tc>
          <w:tcPr>
            <w:tcW w:w="960" w:type="dxa"/>
            <w:tcBorders>
              <w:top w:val="nil"/>
              <w:left w:val="nil"/>
              <w:bottom w:val="single" w:sz="4" w:space="0" w:color="auto"/>
              <w:right w:val="single" w:sz="4" w:space="0" w:color="auto"/>
            </w:tcBorders>
            <w:shd w:val="clear" w:color="auto" w:fill="auto"/>
            <w:noWrap/>
            <w:vAlign w:val="center"/>
            <w:hideMark/>
          </w:tcPr>
          <w:p w14:paraId="1FE21DF8"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 </w:t>
            </w:r>
          </w:p>
        </w:tc>
        <w:tc>
          <w:tcPr>
            <w:tcW w:w="960" w:type="dxa"/>
            <w:tcBorders>
              <w:top w:val="nil"/>
              <w:left w:val="nil"/>
              <w:bottom w:val="single" w:sz="4" w:space="0" w:color="auto"/>
              <w:right w:val="single" w:sz="4" w:space="0" w:color="auto"/>
            </w:tcBorders>
            <w:shd w:val="clear" w:color="auto" w:fill="auto"/>
            <w:noWrap/>
            <w:vAlign w:val="center"/>
            <w:hideMark/>
          </w:tcPr>
          <w:p w14:paraId="40A4793A"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 </w:t>
            </w:r>
          </w:p>
        </w:tc>
      </w:tr>
      <w:tr w:rsidR="00FD73AA" w:rsidRPr="00FD73AA" w14:paraId="05AC51FE" w14:textId="77777777" w:rsidTr="00FD73AA">
        <w:trPr>
          <w:trHeight w:val="528"/>
        </w:trPr>
        <w:tc>
          <w:tcPr>
            <w:tcW w:w="1605" w:type="dxa"/>
            <w:vMerge w:val="restart"/>
            <w:tcBorders>
              <w:top w:val="nil"/>
              <w:left w:val="single" w:sz="4" w:space="0" w:color="auto"/>
              <w:bottom w:val="single" w:sz="4" w:space="0" w:color="000000"/>
              <w:right w:val="single" w:sz="4" w:space="0" w:color="auto"/>
            </w:tcBorders>
            <w:shd w:val="clear" w:color="auto" w:fill="auto"/>
            <w:hideMark/>
          </w:tcPr>
          <w:p w14:paraId="1A0DDE49"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xml:space="preserve">Papildus </w:t>
            </w:r>
            <w:proofErr w:type="spellStart"/>
            <w:r w:rsidRPr="00FD73AA">
              <w:rPr>
                <w:rFonts w:eastAsia="Times New Roman" w:cs="Times New Roman"/>
                <w:color w:val="000000"/>
                <w:sz w:val="18"/>
                <w:szCs w:val="18"/>
              </w:rPr>
              <w:t>nenodokļu</w:t>
            </w:r>
            <w:proofErr w:type="spellEnd"/>
            <w:r w:rsidRPr="00FD73AA">
              <w:rPr>
                <w:rFonts w:eastAsia="Times New Roman" w:cs="Times New Roman"/>
                <w:color w:val="000000"/>
                <w:sz w:val="18"/>
                <w:szCs w:val="18"/>
              </w:rPr>
              <w:t xml:space="preserve"> ieņēmumi</w:t>
            </w:r>
          </w:p>
        </w:tc>
        <w:tc>
          <w:tcPr>
            <w:tcW w:w="3352" w:type="dxa"/>
            <w:tcBorders>
              <w:top w:val="nil"/>
              <w:left w:val="nil"/>
              <w:bottom w:val="single" w:sz="4" w:space="0" w:color="auto"/>
              <w:right w:val="single" w:sz="4" w:space="0" w:color="auto"/>
            </w:tcBorders>
            <w:shd w:val="clear" w:color="auto" w:fill="auto"/>
            <w:hideMark/>
          </w:tcPr>
          <w:p w14:paraId="21154EF2" w14:textId="77777777" w:rsidR="00FD73AA" w:rsidRPr="00FD73AA" w:rsidRDefault="00FD73AA" w:rsidP="00FD73AA">
            <w:pPr>
              <w:spacing w:after="0"/>
              <w:ind w:firstLine="0"/>
              <w:jc w:val="left"/>
              <w:rPr>
                <w:rFonts w:eastAsia="Times New Roman" w:cs="Times New Roman"/>
                <w:color w:val="000000"/>
                <w:sz w:val="18"/>
                <w:szCs w:val="18"/>
              </w:rPr>
            </w:pPr>
            <w:proofErr w:type="spellStart"/>
            <w:r w:rsidRPr="00FD73AA">
              <w:rPr>
                <w:rFonts w:eastAsia="Times New Roman" w:cs="Times New Roman"/>
                <w:color w:val="000000"/>
                <w:sz w:val="18"/>
                <w:szCs w:val="18"/>
              </w:rPr>
              <w:t>Nenodokļu</w:t>
            </w:r>
            <w:proofErr w:type="spellEnd"/>
            <w:r w:rsidRPr="00FD73AA">
              <w:rPr>
                <w:rFonts w:eastAsia="Times New Roman" w:cs="Times New Roman"/>
                <w:color w:val="000000"/>
                <w:sz w:val="18"/>
                <w:szCs w:val="18"/>
              </w:rPr>
              <w:t xml:space="preserve"> ieņēmumu palielinājums no budžeta iestāžu saņemto un iepriekšējos gados neizlietoto budžeta līdzekļu atmaksāšanas (kods 12340)</w:t>
            </w:r>
          </w:p>
        </w:tc>
        <w:tc>
          <w:tcPr>
            <w:tcW w:w="1134" w:type="dxa"/>
            <w:tcBorders>
              <w:top w:val="nil"/>
              <w:left w:val="nil"/>
              <w:bottom w:val="single" w:sz="4" w:space="0" w:color="auto"/>
              <w:right w:val="single" w:sz="4" w:space="0" w:color="auto"/>
            </w:tcBorders>
            <w:shd w:val="clear" w:color="auto" w:fill="auto"/>
            <w:vAlign w:val="center"/>
            <w:hideMark/>
          </w:tcPr>
          <w:p w14:paraId="49825046"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w:t>
            </w:r>
          </w:p>
        </w:tc>
        <w:tc>
          <w:tcPr>
            <w:tcW w:w="960" w:type="dxa"/>
            <w:tcBorders>
              <w:top w:val="nil"/>
              <w:left w:val="nil"/>
              <w:bottom w:val="single" w:sz="4" w:space="0" w:color="auto"/>
              <w:right w:val="single" w:sz="4" w:space="0" w:color="auto"/>
            </w:tcBorders>
            <w:shd w:val="clear" w:color="auto" w:fill="auto"/>
            <w:noWrap/>
            <w:vAlign w:val="center"/>
            <w:hideMark/>
          </w:tcPr>
          <w:p w14:paraId="274E7206"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10,0</w:t>
            </w:r>
          </w:p>
        </w:tc>
        <w:tc>
          <w:tcPr>
            <w:tcW w:w="960" w:type="dxa"/>
            <w:tcBorders>
              <w:top w:val="nil"/>
              <w:left w:val="nil"/>
              <w:bottom w:val="single" w:sz="4" w:space="0" w:color="auto"/>
              <w:right w:val="single" w:sz="4" w:space="0" w:color="auto"/>
            </w:tcBorders>
            <w:shd w:val="clear" w:color="auto" w:fill="auto"/>
            <w:noWrap/>
            <w:vAlign w:val="center"/>
            <w:hideMark/>
          </w:tcPr>
          <w:p w14:paraId="07791139"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 </w:t>
            </w:r>
          </w:p>
        </w:tc>
        <w:tc>
          <w:tcPr>
            <w:tcW w:w="960" w:type="dxa"/>
            <w:tcBorders>
              <w:top w:val="nil"/>
              <w:left w:val="nil"/>
              <w:bottom w:val="single" w:sz="4" w:space="0" w:color="auto"/>
              <w:right w:val="single" w:sz="4" w:space="0" w:color="auto"/>
            </w:tcBorders>
            <w:shd w:val="clear" w:color="auto" w:fill="auto"/>
            <w:noWrap/>
            <w:vAlign w:val="center"/>
            <w:hideMark/>
          </w:tcPr>
          <w:p w14:paraId="4A965E4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 </w:t>
            </w:r>
          </w:p>
        </w:tc>
      </w:tr>
      <w:tr w:rsidR="00FD73AA" w:rsidRPr="00FD73AA" w14:paraId="338D438A" w14:textId="77777777" w:rsidTr="00915CB6">
        <w:trPr>
          <w:trHeight w:val="528"/>
        </w:trPr>
        <w:tc>
          <w:tcPr>
            <w:tcW w:w="1605" w:type="dxa"/>
            <w:vMerge/>
            <w:tcBorders>
              <w:top w:val="nil"/>
              <w:left w:val="single" w:sz="4" w:space="0" w:color="auto"/>
              <w:bottom w:val="single" w:sz="4" w:space="0" w:color="auto"/>
              <w:right w:val="single" w:sz="4" w:space="0" w:color="auto"/>
            </w:tcBorders>
            <w:hideMark/>
          </w:tcPr>
          <w:p w14:paraId="3ED24295" w14:textId="77777777" w:rsidR="00FD73AA" w:rsidRPr="00FD73AA" w:rsidRDefault="00FD73AA" w:rsidP="00FD73AA">
            <w:pPr>
              <w:spacing w:after="0"/>
              <w:ind w:firstLine="0"/>
              <w:jc w:val="left"/>
              <w:rPr>
                <w:rFonts w:eastAsia="Times New Roman" w:cs="Times New Roman"/>
                <w:color w:val="000000"/>
                <w:sz w:val="18"/>
                <w:szCs w:val="18"/>
              </w:rPr>
            </w:pPr>
          </w:p>
        </w:tc>
        <w:tc>
          <w:tcPr>
            <w:tcW w:w="3352" w:type="dxa"/>
            <w:tcBorders>
              <w:top w:val="nil"/>
              <w:left w:val="nil"/>
              <w:bottom w:val="single" w:sz="4" w:space="0" w:color="auto"/>
              <w:right w:val="single" w:sz="4" w:space="0" w:color="auto"/>
            </w:tcBorders>
            <w:shd w:val="clear" w:color="auto" w:fill="auto"/>
            <w:noWrap/>
            <w:hideMark/>
          </w:tcPr>
          <w:p w14:paraId="235128A5"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Ieņēmumu palielināšana no konfiscēto noziedzīgi iegūto līdzekļu un papildsoda – mantas konfiskācija – realizācijas (</w:t>
            </w:r>
            <w:proofErr w:type="spellStart"/>
            <w:r w:rsidRPr="00FD73AA">
              <w:rPr>
                <w:rFonts w:eastAsia="Times New Roman" w:cs="Times New Roman"/>
                <w:color w:val="000000"/>
                <w:sz w:val="18"/>
                <w:szCs w:val="18"/>
              </w:rPr>
              <w:t>ieņ</w:t>
            </w:r>
            <w:proofErr w:type="spellEnd"/>
            <w:r w:rsidRPr="00FD73AA">
              <w:rPr>
                <w:rFonts w:eastAsia="Times New Roman" w:cs="Times New Roman"/>
                <w:color w:val="000000"/>
                <w:sz w:val="18"/>
                <w:szCs w:val="18"/>
              </w:rPr>
              <w:t xml:space="preserve">. </w:t>
            </w:r>
            <w:proofErr w:type="spellStart"/>
            <w:r w:rsidRPr="00FD73AA">
              <w:rPr>
                <w:rFonts w:eastAsia="Times New Roman" w:cs="Times New Roman"/>
                <w:color w:val="000000"/>
                <w:sz w:val="18"/>
                <w:szCs w:val="18"/>
              </w:rPr>
              <w:t>klasif</w:t>
            </w:r>
            <w:proofErr w:type="spellEnd"/>
            <w:r w:rsidRPr="00FD73AA">
              <w:rPr>
                <w:rFonts w:eastAsia="Times New Roman" w:cs="Times New Roman"/>
                <w:color w:val="000000"/>
                <w:sz w:val="18"/>
                <w:szCs w:val="18"/>
              </w:rPr>
              <w:t xml:space="preserve">. kods 12160) </w:t>
            </w:r>
          </w:p>
        </w:tc>
        <w:tc>
          <w:tcPr>
            <w:tcW w:w="1134" w:type="dxa"/>
            <w:tcBorders>
              <w:top w:val="nil"/>
              <w:left w:val="nil"/>
              <w:bottom w:val="single" w:sz="4" w:space="0" w:color="auto"/>
              <w:right w:val="single" w:sz="4" w:space="0" w:color="auto"/>
            </w:tcBorders>
            <w:shd w:val="clear" w:color="auto" w:fill="auto"/>
            <w:noWrap/>
            <w:vAlign w:val="center"/>
            <w:hideMark/>
          </w:tcPr>
          <w:p w14:paraId="7B910599" w14:textId="77777777" w:rsidR="00FD73AA" w:rsidRPr="00FD73AA" w:rsidRDefault="00FD73AA" w:rsidP="00FD73AA">
            <w:pPr>
              <w:spacing w:after="0"/>
              <w:ind w:firstLine="0"/>
              <w:jc w:val="left"/>
              <w:rPr>
                <w:rFonts w:eastAsia="Times New Roman" w:cs="Times New Roman"/>
                <w:color w:val="000000"/>
                <w:sz w:val="18"/>
                <w:szCs w:val="18"/>
              </w:rPr>
            </w:pPr>
            <w:r w:rsidRPr="00FD73AA">
              <w:rPr>
                <w:rFonts w:eastAsia="Times New Roman" w:cs="Times New Roman"/>
                <w:color w:val="000000"/>
                <w:sz w:val="18"/>
                <w:szCs w:val="18"/>
              </w:rPr>
              <w:t> </w:t>
            </w:r>
          </w:p>
        </w:tc>
        <w:tc>
          <w:tcPr>
            <w:tcW w:w="960" w:type="dxa"/>
            <w:tcBorders>
              <w:top w:val="nil"/>
              <w:left w:val="nil"/>
              <w:bottom w:val="single" w:sz="4" w:space="0" w:color="auto"/>
              <w:right w:val="single" w:sz="4" w:space="0" w:color="auto"/>
            </w:tcBorders>
            <w:shd w:val="clear" w:color="auto" w:fill="auto"/>
            <w:noWrap/>
            <w:vAlign w:val="center"/>
            <w:hideMark/>
          </w:tcPr>
          <w:p w14:paraId="0590BF9D"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40,0</w:t>
            </w:r>
          </w:p>
        </w:tc>
        <w:tc>
          <w:tcPr>
            <w:tcW w:w="960" w:type="dxa"/>
            <w:tcBorders>
              <w:top w:val="nil"/>
              <w:left w:val="nil"/>
              <w:bottom w:val="single" w:sz="4" w:space="0" w:color="auto"/>
              <w:right w:val="single" w:sz="4" w:space="0" w:color="auto"/>
            </w:tcBorders>
            <w:shd w:val="clear" w:color="auto" w:fill="auto"/>
            <w:noWrap/>
            <w:vAlign w:val="center"/>
            <w:hideMark/>
          </w:tcPr>
          <w:p w14:paraId="1D13956C"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 </w:t>
            </w:r>
          </w:p>
        </w:tc>
        <w:tc>
          <w:tcPr>
            <w:tcW w:w="960" w:type="dxa"/>
            <w:tcBorders>
              <w:top w:val="nil"/>
              <w:left w:val="nil"/>
              <w:bottom w:val="single" w:sz="4" w:space="0" w:color="auto"/>
              <w:right w:val="single" w:sz="4" w:space="0" w:color="auto"/>
            </w:tcBorders>
            <w:shd w:val="clear" w:color="auto" w:fill="auto"/>
            <w:noWrap/>
            <w:vAlign w:val="center"/>
            <w:hideMark/>
          </w:tcPr>
          <w:p w14:paraId="13580A3B" w14:textId="77777777" w:rsidR="00FD73AA" w:rsidRPr="00FD73AA" w:rsidRDefault="00FD73AA" w:rsidP="00FD73AA">
            <w:pPr>
              <w:spacing w:after="0"/>
              <w:ind w:firstLine="0"/>
              <w:jc w:val="center"/>
              <w:rPr>
                <w:rFonts w:eastAsia="Times New Roman" w:cs="Times New Roman"/>
                <w:color w:val="000000"/>
                <w:sz w:val="18"/>
                <w:szCs w:val="18"/>
              </w:rPr>
            </w:pPr>
            <w:r w:rsidRPr="00FD73AA">
              <w:rPr>
                <w:rFonts w:eastAsia="Times New Roman" w:cs="Times New Roman"/>
                <w:color w:val="000000"/>
                <w:sz w:val="18"/>
                <w:szCs w:val="18"/>
              </w:rPr>
              <w:t> </w:t>
            </w:r>
          </w:p>
        </w:tc>
      </w:tr>
      <w:tr w:rsidR="00FD73AA" w:rsidRPr="00FD73AA" w14:paraId="65A52C2F" w14:textId="77777777" w:rsidTr="00915CB6">
        <w:trPr>
          <w:trHeight w:val="288"/>
        </w:trPr>
        <w:tc>
          <w:tcPr>
            <w:tcW w:w="16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64D142" w14:textId="77777777" w:rsidR="00FD73AA" w:rsidRPr="00FD73AA" w:rsidRDefault="00FD73AA" w:rsidP="00FD73AA">
            <w:pPr>
              <w:spacing w:after="0"/>
              <w:ind w:firstLine="0"/>
              <w:jc w:val="right"/>
              <w:rPr>
                <w:rFonts w:eastAsia="Times New Roman" w:cs="Times New Roman"/>
                <w:b/>
                <w:bCs/>
                <w:color w:val="000000"/>
                <w:sz w:val="18"/>
                <w:szCs w:val="18"/>
              </w:rPr>
            </w:pPr>
            <w:r w:rsidRPr="00FD73AA">
              <w:rPr>
                <w:rFonts w:eastAsia="Times New Roman" w:cs="Times New Roman"/>
                <w:b/>
                <w:bCs/>
                <w:color w:val="000000"/>
                <w:sz w:val="18"/>
                <w:szCs w:val="18"/>
              </w:rPr>
              <w:t>KOPĀ</w:t>
            </w:r>
          </w:p>
        </w:tc>
        <w:tc>
          <w:tcPr>
            <w:tcW w:w="3352" w:type="dxa"/>
            <w:tcBorders>
              <w:top w:val="single" w:sz="4" w:space="0" w:color="auto"/>
              <w:left w:val="nil"/>
              <w:bottom w:val="single" w:sz="4" w:space="0" w:color="auto"/>
              <w:right w:val="single" w:sz="4" w:space="0" w:color="auto"/>
            </w:tcBorders>
            <w:shd w:val="clear" w:color="auto" w:fill="auto"/>
            <w:noWrap/>
            <w:vAlign w:val="center"/>
            <w:hideMark/>
          </w:tcPr>
          <w:p w14:paraId="2FBCBFCC" w14:textId="77777777" w:rsidR="00FD73AA" w:rsidRPr="00FD73AA" w:rsidRDefault="00FD73AA" w:rsidP="00FD73AA">
            <w:pPr>
              <w:spacing w:after="0"/>
              <w:ind w:firstLine="0"/>
              <w:jc w:val="right"/>
              <w:rPr>
                <w:rFonts w:eastAsia="Times New Roman" w:cs="Times New Roman"/>
                <w:b/>
                <w:bCs/>
                <w:color w:val="000000"/>
                <w:sz w:val="18"/>
                <w:szCs w:val="18"/>
              </w:rPr>
            </w:pPr>
            <w:r w:rsidRPr="00FD73AA">
              <w:rPr>
                <w:rFonts w:eastAsia="Times New Roman" w:cs="Times New Roman"/>
                <w:b/>
                <w:bCs/>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716C162" w14:textId="77777777" w:rsidR="00FD73AA" w:rsidRPr="00FD73AA" w:rsidRDefault="00FD73AA" w:rsidP="00FD73AA">
            <w:pPr>
              <w:spacing w:after="0"/>
              <w:ind w:firstLine="0"/>
              <w:jc w:val="left"/>
              <w:rPr>
                <w:rFonts w:eastAsia="Times New Roman" w:cs="Times New Roman"/>
                <w:b/>
                <w:bCs/>
                <w:color w:val="000000"/>
                <w:sz w:val="18"/>
                <w:szCs w:val="18"/>
              </w:rPr>
            </w:pPr>
            <w:r w:rsidRPr="00FD73AA">
              <w:rPr>
                <w:rFonts w:eastAsia="Times New Roman" w:cs="Times New Roman"/>
                <w:b/>
                <w:bCs/>
                <w:color w:val="000000"/>
                <w:sz w:val="18"/>
                <w:szCs w:val="18"/>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F05C95C"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442,4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C0A9288"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259,1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CA44985" w14:textId="77777777" w:rsidR="00FD73AA" w:rsidRPr="00FD73AA" w:rsidRDefault="00FD73AA" w:rsidP="00FD73AA">
            <w:pPr>
              <w:spacing w:after="0"/>
              <w:ind w:firstLine="0"/>
              <w:jc w:val="center"/>
              <w:rPr>
                <w:rFonts w:eastAsia="Times New Roman" w:cs="Times New Roman"/>
                <w:b/>
                <w:bCs/>
                <w:color w:val="000000"/>
                <w:sz w:val="18"/>
                <w:szCs w:val="18"/>
              </w:rPr>
            </w:pPr>
            <w:r w:rsidRPr="00FD73AA">
              <w:rPr>
                <w:rFonts w:eastAsia="Times New Roman" w:cs="Times New Roman"/>
                <w:b/>
                <w:bCs/>
                <w:color w:val="000000"/>
                <w:sz w:val="18"/>
                <w:szCs w:val="18"/>
              </w:rPr>
              <w:t>353,9</w:t>
            </w:r>
          </w:p>
        </w:tc>
      </w:tr>
    </w:tbl>
    <w:p w14:paraId="7353A53D" w14:textId="77777777" w:rsidR="00CB7E29" w:rsidRPr="0038459F" w:rsidRDefault="00CB7E29" w:rsidP="0048510B">
      <w:pPr>
        <w:widowControl w:val="0"/>
        <w:spacing w:after="0"/>
        <w:rPr>
          <w:rFonts w:eastAsia="Times New Roman" w:cs="Times New Roman"/>
          <w:color w:val="000000"/>
          <w:highlight w:val="lightGray"/>
        </w:rPr>
      </w:pPr>
    </w:p>
    <w:p w14:paraId="6AF7076C" w14:textId="4A5D5ECD" w:rsidR="00CB7E29" w:rsidRPr="005273F0" w:rsidRDefault="00CB7E29" w:rsidP="0048510B">
      <w:pPr>
        <w:widowControl w:val="0"/>
        <w:rPr>
          <w:rFonts w:eastAsia="Times New Roman" w:cs="Times New Roman"/>
          <w:color w:val="000000"/>
        </w:rPr>
      </w:pPr>
      <w:r w:rsidRPr="001A1BE0">
        <w:rPr>
          <w:rFonts w:eastAsia="Times New Roman" w:cs="Times New Roman"/>
          <w:color w:val="000000"/>
        </w:rPr>
        <w:t>M</w:t>
      </w:r>
      <w:r w:rsidR="007A2134">
        <w:rPr>
          <w:rFonts w:eastAsia="Times New Roman" w:cs="Times New Roman"/>
          <w:color w:val="000000"/>
        </w:rPr>
        <w:t>K</w:t>
      </w:r>
      <w:r w:rsidRPr="001A1BE0">
        <w:rPr>
          <w:rFonts w:eastAsia="Times New Roman" w:cs="Times New Roman"/>
          <w:color w:val="000000"/>
        </w:rPr>
        <w:t xml:space="preserve"> lēmumi par finansējuma palielinājumu vidēja termiņa prioritārajiem virzieniem ir </w:t>
      </w:r>
      <w:r w:rsidRPr="005273F0">
        <w:rPr>
          <w:rFonts w:eastAsia="Times New Roman" w:cs="Times New Roman"/>
          <w:color w:val="000000"/>
        </w:rPr>
        <w:t>apkopoti 2.1</w:t>
      </w:r>
      <w:r w:rsidR="00B7070D">
        <w:rPr>
          <w:rFonts w:eastAsia="Times New Roman" w:cs="Times New Roman"/>
          <w:color w:val="000000"/>
        </w:rPr>
        <w:t>4</w:t>
      </w:r>
      <w:r w:rsidRPr="005273F0">
        <w:rPr>
          <w:rFonts w:eastAsia="Times New Roman" w:cs="Times New Roman"/>
          <w:color w:val="000000"/>
        </w:rPr>
        <w:t>. tabulā.</w:t>
      </w:r>
    </w:p>
    <w:p w14:paraId="21E4BA97" w14:textId="7B0AC259" w:rsidR="00CB7E29" w:rsidRPr="0038459F" w:rsidRDefault="00CB7E29" w:rsidP="00CB7E29">
      <w:pPr>
        <w:widowControl w:val="0"/>
        <w:jc w:val="right"/>
        <w:rPr>
          <w:rFonts w:eastAsia="Times New Roman" w:cs="Times New Roman"/>
          <w:b/>
          <w:i/>
          <w:color w:val="000000"/>
          <w:highlight w:val="lightGray"/>
        </w:rPr>
      </w:pPr>
      <w:r w:rsidRPr="005273F0">
        <w:rPr>
          <w:rFonts w:eastAsia="Times New Roman" w:cs="Times New Roman"/>
          <w:b/>
          <w:i/>
          <w:color w:val="000000"/>
        </w:rPr>
        <w:t>2.1</w:t>
      </w:r>
      <w:r w:rsidR="00B7070D">
        <w:rPr>
          <w:rFonts w:eastAsia="Times New Roman" w:cs="Times New Roman"/>
          <w:b/>
          <w:i/>
          <w:color w:val="000000"/>
        </w:rPr>
        <w:t>4</w:t>
      </w:r>
      <w:r w:rsidRPr="005273F0">
        <w:rPr>
          <w:rFonts w:eastAsia="Times New Roman" w:cs="Times New Roman"/>
          <w:b/>
          <w:i/>
          <w:color w:val="000000"/>
        </w:rPr>
        <w:t>.</w:t>
      </w:r>
      <w:r w:rsidRPr="009416F7">
        <w:rPr>
          <w:rFonts w:eastAsia="Times New Roman" w:cs="Times New Roman"/>
          <w:b/>
          <w:i/>
          <w:color w:val="000000"/>
        </w:rPr>
        <w:t xml:space="preserve"> tabula. Izdevumu pasākumi, milj. </w:t>
      </w:r>
      <w:proofErr w:type="spellStart"/>
      <w:r w:rsidRPr="009416F7">
        <w:rPr>
          <w:rFonts w:eastAsia="Times New Roman" w:cs="Times New Roman"/>
          <w:b/>
          <w:i/>
          <w:color w:val="000000"/>
        </w:rPr>
        <w:t>euro</w:t>
      </w:r>
      <w:proofErr w:type="spellEnd"/>
    </w:p>
    <w:tbl>
      <w:tblPr>
        <w:tblW w:w="9052" w:type="dxa"/>
        <w:tblLook w:val="04A0" w:firstRow="1" w:lastRow="0" w:firstColumn="1" w:lastColumn="0" w:noHBand="0" w:noVBand="1"/>
      </w:tblPr>
      <w:tblGrid>
        <w:gridCol w:w="6091"/>
        <w:gridCol w:w="992"/>
        <w:gridCol w:w="850"/>
        <w:gridCol w:w="1119"/>
      </w:tblGrid>
      <w:tr w:rsidR="00614268" w:rsidRPr="00614268" w14:paraId="0A97FF8B" w14:textId="77777777" w:rsidTr="00915CB6">
        <w:trPr>
          <w:trHeight w:val="315"/>
          <w:tblHeader/>
        </w:trPr>
        <w:tc>
          <w:tcPr>
            <w:tcW w:w="6091" w:type="dxa"/>
            <w:tcBorders>
              <w:top w:val="single" w:sz="4" w:space="0" w:color="auto"/>
              <w:left w:val="single" w:sz="4" w:space="0" w:color="auto"/>
              <w:bottom w:val="nil"/>
              <w:right w:val="single" w:sz="4" w:space="0" w:color="auto"/>
            </w:tcBorders>
            <w:shd w:val="clear" w:color="auto" w:fill="9CC2E5" w:themeFill="accent1" w:themeFillTint="99"/>
            <w:noWrap/>
            <w:vAlign w:val="center"/>
            <w:hideMark/>
          </w:tcPr>
          <w:p w14:paraId="44077BC4" w14:textId="77777777" w:rsidR="00614268" w:rsidRPr="00A264AA" w:rsidRDefault="00614268" w:rsidP="00614268">
            <w:pPr>
              <w:spacing w:after="0"/>
              <w:ind w:firstLine="0"/>
              <w:jc w:val="left"/>
              <w:rPr>
                <w:rFonts w:eastAsia="Times New Roman" w:cs="Times New Roman"/>
                <w:b/>
                <w:bCs/>
                <w:color w:val="000000"/>
                <w:sz w:val="18"/>
                <w:szCs w:val="18"/>
              </w:rPr>
            </w:pPr>
            <w:r w:rsidRPr="00A264AA">
              <w:rPr>
                <w:rFonts w:eastAsia="Times New Roman" w:cs="Times New Roman"/>
                <w:b/>
                <w:bCs/>
                <w:color w:val="000000"/>
                <w:sz w:val="18"/>
                <w:szCs w:val="18"/>
              </w:rPr>
              <w:t>Pasākuma nosaukums</w:t>
            </w:r>
          </w:p>
        </w:tc>
        <w:tc>
          <w:tcPr>
            <w:tcW w:w="992"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6E23E963"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2024</w:t>
            </w:r>
          </w:p>
        </w:tc>
        <w:tc>
          <w:tcPr>
            <w:tcW w:w="850"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72BD7D56"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2025</w:t>
            </w:r>
          </w:p>
        </w:tc>
        <w:tc>
          <w:tcPr>
            <w:tcW w:w="1119"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6A7E4E8A"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2026</w:t>
            </w:r>
          </w:p>
        </w:tc>
      </w:tr>
      <w:tr w:rsidR="00614268" w:rsidRPr="00614268" w14:paraId="1656744E" w14:textId="77777777" w:rsidTr="003B49DF">
        <w:trPr>
          <w:trHeight w:val="315"/>
        </w:trPr>
        <w:tc>
          <w:tcPr>
            <w:tcW w:w="60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33132" w14:textId="77777777" w:rsidR="00614268" w:rsidRPr="00A264AA" w:rsidRDefault="00614268" w:rsidP="00614268">
            <w:pPr>
              <w:spacing w:after="0"/>
              <w:ind w:firstLine="0"/>
              <w:jc w:val="left"/>
              <w:rPr>
                <w:rFonts w:eastAsia="Times New Roman" w:cs="Times New Roman"/>
                <w:color w:val="000000"/>
                <w:sz w:val="18"/>
                <w:szCs w:val="18"/>
              </w:rPr>
            </w:pPr>
            <w:r w:rsidRPr="00A264AA">
              <w:rPr>
                <w:rFonts w:eastAsia="Times New Roman" w:cs="Times New Roman"/>
                <w:color w:val="000000"/>
                <w:sz w:val="18"/>
                <w:szCs w:val="18"/>
              </w:rPr>
              <w:t> </w:t>
            </w:r>
          </w:p>
        </w:tc>
        <w:tc>
          <w:tcPr>
            <w:tcW w:w="2961"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AF2F965"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xml:space="preserve">milj. </w:t>
            </w:r>
            <w:proofErr w:type="spellStart"/>
            <w:r w:rsidRPr="00A264AA">
              <w:rPr>
                <w:rFonts w:eastAsia="Times New Roman" w:cs="Times New Roman"/>
                <w:i/>
                <w:iCs/>
                <w:color w:val="000000"/>
                <w:sz w:val="18"/>
                <w:szCs w:val="18"/>
              </w:rPr>
              <w:t>euro</w:t>
            </w:r>
            <w:proofErr w:type="spellEnd"/>
          </w:p>
        </w:tc>
      </w:tr>
      <w:tr w:rsidR="00614268" w:rsidRPr="00614268" w14:paraId="2FFD7B52"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CC2E5"/>
            <w:noWrap/>
            <w:vAlign w:val="center"/>
            <w:hideMark/>
          </w:tcPr>
          <w:p w14:paraId="0DB89B4C" w14:textId="624C6DFA" w:rsidR="00614268" w:rsidRPr="00A264AA" w:rsidRDefault="00614268" w:rsidP="00614268">
            <w:pPr>
              <w:spacing w:after="0"/>
              <w:ind w:firstLine="0"/>
              <w:rPr>
                <w:rFonts w:eastAsia="Times New Roman" w:cs="Times New Roman"/>
                <w:b/>
                <w:bCs/>
                <w:sz w:val="18"/>
                <w:szCs w:val="18"/>
              </w:rPr>
            </w:pPr>
            <w:r w:rsidRPr="00A264AA">
              <w:rPr>
                <w:rFonts w:eastAsia="Times New Roman" w:cs="Times New Roman"/>
                <w:b/>
                <w:bCs/>
                <w:sz w:val="18"/>
                <w:szCs w:val="18"/>
              </w:rPr>
              <w:t xml:space="preserve">Drošība </w:t>
            </w:r>
          </w:p>
        </w:tc>
        <w:tc>
          <w:tcPr>
            <w:tcW w:w="992" w:type="dxa"/>
            <w:tcBorders>
              <w:top w:val="nil"/>
              <w:left w:val="nil"/>
              <w:bottom w:val="single" w:sz="4" w:space="0" w:color="auto"/>
              <w:right w:val="single" w:sz="4" w:space="0" w:color="auto"/>
            </w:tcBorders>
            <w:shd w:val="clear" w:color="000000" w:fill="9CC2E5"/>
            <w:noWrap/>
            <w:vAlign w:val="center"/>
            <w:hideMark/>
          </w:tcPr>
          <w:p w14:paraId="7E2A669B"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54,6</w:t>
            </w:r>
          </w:p>
        </w:tc>
        <w:tc>
          <w:tcPr>
            <w:tcW w:w="850" w:type="dxa"/>
            <w:tcBorders>
              <w:top w:val="nil"/>
              <w:left w:val="nil"/>
              <w:bottom w:val="single" w:sz="4" w:space="0" w:color="auto"/>
              <w:right w:val="single" w:sz="4" w:space="0" w:color="auto"/>
            </w:tcBorders>
            <w:shd w:val="clear" w:color="000000" w:fill="9CC2E5"/>
            <w:noWrap/>
            <w:vAlign w:val="center"/>
            <w:hideMark/>
          </w:tcPr>
          <w:p w14:paraId="3BAF4AC2"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42,8</w:t>
            </w:r>
          </w:p>
        </w:tc>
        <w:tc>
          <w:tcPr>
            <w:tcW w:w="1119" w:type="dxa"/>
            <w:tcBorders>
              <w:top w:val="nil"/>
              <w:left w:val="nil"/>
              <w:bottom w:val="single" w:sz="4" w:space="0" w:color="auto"/>
              <w:right w:val="single" w:sz="4" w:space="0" w:color="auto"/>
            </w:tcBorders>
            <w:shd w:val="clear" w:color="000000" w:fill="9CC2E5"/>
            <w:noWrap/>
            <w:vAlign w:val="center"/>
            <w:hideMark/>
          </w:tcPr>
          <w:p w14:paraId="4ED3D775"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172,5</w:t>
            </w:r>
          </w:p>
        </w:tc>
      </w:tr>
      <w:tr w:rsidR="00614268" w:rsidRPr="00614268" w14:paraId="5A1C9100"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2A70CE22"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Ar valsts drošību saistītie prioritārie pasākumi</w:t>
            </w:r>
          </w:p>
        </w:tc>
        <w:tc>
          <w:tcPr>
            <w:tcW w:w="992" w:type="dxa"/>
            <w:tcBorders>
              <w:top w:val="nil"/>
              <w:left w:val="nil"/>
              <w:bottom w:val="single" w:sz="4" w:space="0" w:color="auto"/>
              <w:right w:val="single" w:sz="4" w:space="0" w:color="auto"/>
            </w:tcBorders>
            <w:shd w:val="clear" w:color="auto" w:fill="auto"/>
            <w:noWrap/>
            <w:vAlign w:val="center"/>
            <w:hideMark/>
          </w:tcPr>
          <w:p w14:paraId="44A0C3E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5,7</w:t>
            </w:r>
          </w:p>
        </w:tc>
        <w:tc>
          <w:tcPr>
            <w:tcW w:w="850" w:type="dxa"/>
            <w:tcBorders>
              <w:top w:val="nil"/>
              <w:left w:val="nil"/>
              <w:bottom w:val="single" w:sz="4" w:space="0" w:color="auto"/>
              <w:right w:val="single" w:sz="4" w:space="0" w:color="auto"/>
            </w:tcBorders>
            <w:shd w:val="clear" w:color="auto" w:fill="auto"/>
            <w:noWrap/>
            <w:vAlign w:val="center"/>
            <w:hideMark/>
          </w:tcPr>
          <w:p w14:paraId="6688F8D8"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4,8</w:t>
            </w:r>
          </w:p>
        </w:tc>
        <w:tc>
          <w:tcPr>
            <w:tcW w:w="1119" w:type="dxa"/>
            <w:tcBorders>
              <w:top w:val="nil"/>
              <w:left w:val="nil"/>
              <w:bottom w:val="single" w:sz="4" w:space="0" w:color="auto"/>
              <w:right w:val="single" w:sz="4" w:space="0" w:color="auto"/>
            </w:tcBorders>
            <w:shd w:val="clear" w:color="auto" w:fill="auto"/>
            <w:noWrap/>
            <w:vAlign w:val="center"/>
            <w:hideMark/>
          </w:tcPr>
          <w:p w14:paraId="2FBF5494"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5,0</w:t>
            </w:r>
          </w:p>
        </w:tc>
      </w:tr>
      <w:tr w:rsidR="00614268" w:rsidRPr="00614268" w14:paraId="5B6BD8C3" w14:textId="77777777" w:rsidTr="003B49DF">
        <w:trPr>
          <w:trHeight w:val="675"/>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14F381AC" w14:textId="6964167E"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Valsts aizsardzības finansēšanas pal</w:t>
            </w:r>
            <w:r w:rsidR="00451719">
              <w:rPr>
                <w:rFonts w:eastAsia="Times New Roman" w:cs="Times New Roman"/>
                <w:color w:val="000000"/>
                <w:sz w:val="18"/>
                <w:szCs w:val="18"/>
              </w:rPr>
              <w:t>i</w:t>
            </w:r>
            <w:r w:rsidRPr="00A264AA">
              <w:rPr>
                <w:rFonts w:eastAsia="Times New Roman" w:cs="Times New Roman"/>
                <w:color w:val="000000"/>
                <w:sz w:val="18"/>
                <w:szCs w:val="18"/>
              </w:rPr>
              <w:t>elinājums līdz 3% no IKP 2027.gadā (2026.- 2,75 % no IKP, 2027. - 3% no IKP) (Ai</w:t>
            </w:r>
            <w:r w:rsidR="00BA029B" w:rsidRPr="00A264AA">
              <w:rPr>
                <w:rFonts w:eastAsia="Times New Roman" w:cs="Times New Roman"/>
                <w:color w:val="000000"/>
                <w:sz w:val="18"/>
                <w:szCs w:val="18"/>
              </w:rPr>
              <w:t>zsardzības ministrijai</w:t>
            </w:r>
            <w:r w:rsidRPr="00A264AA">
              <w:rPr>
                <w:rFonts w:eastAsia="Times New Roman" w:cs="Times New Roman"/>
                <w:color w:val="000000"/>
                <w:sz w:val="18"/>
                <w:szCs w:val="18"/>
              </w:rPr>
              <w:t>)</w:t>
            </w:r>
          </w:p>
        </w:tc>
        <w:tc>
          <w:tcPr>
            <w:tcW w:w="992" w:type="dxa"/>
            <w:tcBorders>
              <w:top w:val="nil"/>
              <w:left w:val="nil"/>
              <w:bottom w:val="single" w:sz="4" w:space="0" w:color="auto"/>
              <w:right w:val="single" w:sz="4" w:space="0" w:color="auto"/>
            </w:tcBorders>
            <w:shd w:val="clear" w:color="auto" w:fill="auto"/>
            <w:noWrap/>
            <w:vAlign w:val="center"/>
            <w:hideMark/>
          </w:tcPr>
          <w:p w14:paraId="5CC260B3"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14:paraId="28049C3A"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53EA37CF"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129,6</w:t>
            </w:r>
          </w:p>
        </w:tc>
      </w:tr>
      <w:tr w:rsidR="00614268" w:rsidRPr="00614268" w14:paraId="2255B6DB"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5367A581"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 xml:space="preserve">Atlīdzība </w:t>
            </w:r>
            <w:proofErr w:type="spellStart"/>
            <w:r w:rsidRPr="00A264AA">
              <w:rPr>
                <w:rFonts w:eastAsia="Times New Roman" w:cs="Times New Roman"/>
                <w:color w:val="000000"/>
                <w:sz w:val="18"/>
                <w:szCs w:val="18"/>
              </w:rPr>
              <w:t>Iekšlietu</w:t>
            </w:r>
            <w:proofErr w:type="spellEnd"/>
            <w:r w:rsidRPr="00A264AA">
              <w:rPr>
                <w:rFonts w:eastAsia="Times New Roman" w:cs="Times New Roman"/>
                <w:color w:val="000000"/>
                <w:sz w:val="18"/>
                <w:szCs w:val="18"/>
              </w:rPr>
              <w:t xml:space="preserve"> ministrijas un Tieslietu ministrijas  institūcijās nodarbinātajiem, tai skaitā Probācijas dienestam</w:t>
            </w:r>
          </w:p>
        </w:tc>
        <w:tc>
          <w:tcPr>
            <w:tcW w:w="992" w:type="dxa"/>
            <w:tcBorders>
              <w:top w:val="nil"/>
              <w:left w:val="nil"/>
              <w:bottom w:val="single" w:sz="4" w:space="0" w:color="auto"/>
              <w:right w:val="single" w:sz="4" w:space="0" w:color="auto"/>
            </w:tcBorders>
            <w:shd w:val="clear" w:color="auto" w:fill="auto"/>
            <w:noWrap/>
            <w:vAlign w:val="center"/>
            <w:hideMark/>
          </w:tcPr>
          <w:p w14:paraId="4A451895"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30,4</w:t>
            </w:r>
          </w:p>
        </w:tc>
        <w:tc>
          <w:tcPr>
            <w:tcW w:w="850" w:type="dxa"/>
            <w:tcBorders>
              <w:top w:val="nil"/>
              <w:left w:val="nil"/>
              <w:bottom w:val="single" w:sz="4" w:space="0" w:color="auto"/>
              <w:right w:val="single" w:sz="4" w:space="0" w:color="auto"/>
            </w:tcBorders>
            <w:shd w:val="clear" w:color="auto" w:fill="auto"/>
            <w:noWrap/>
            <w:vAlign w:val="center"/>
            <w:hideMark/>
          </w:tcPr>
          <w:p w14:paraId="57CCFA59"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30,4</w:t>
            </w:r>
          </w:p>
        </w:tc>
        <w:tc>
          <w:tcPr>
            <w:tcW w:w="1119" w:type="dxa"/>
            <w:tcBorders>
              <w:top w:val="nil"/>
              <w:left w:val="nil"/>
              <w:bottom w:val="single" w:sz="4" w:space="0" w:color="auto"/>
              <w:right w:val="single" w:sz="4" w:space="0" w:color="auto"/>
            </w:tcBorders>
            <w:shd w:val="clear" w:color="auto" w:fill="auto"/>
            <w:noWrap/>
            <w:vAlign w:val="center"/>
            <w:hideMark/>
          </w:tcPr>
          <w:p w14:paraId="6DAD0996"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30,4</w:t>
            </w:r>
          </w:p>
        </w:tc>
      </w:tr>
      <w:tr w:rsidR="00614268" w:rsidRPr="00614268" w14:paraId="43FF2534"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4D54B0AC"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lastRenderedPageBreak/>
              <w:t>Valsts ārējās robežas drošības pasākumu nodrošināšana</w:t>
            </w:r>
          </w:p>
        </w:tc>
        <w:tc>
          <w:tcPr>
            <w:tcW w:w="992" w:type="dxa"/>
            <w:tcBorders>
              <w:top w:val="nil"/>
              <w:left w:val="nil"/>
              <w:bottom w:val="single" w:sz="4" w:space="0" w:color="auto"/>
              <w:right w:val="single" w:sz="4" w:space="0" w:color="auto"/>
            </w:tcBorders>
            <w:shd w:val="clear" w:color="auto" w:fill="auto"/>
            <w:noWrap/>
            <w:vAlign w:val="center"/>
            <w:hideMark/>
          </w:tcPr>
          <w:p w14:paraId="450A8A67"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10,5</w:t>
            </w:r>
          </w:p>
        </w:tc>
        <w:tc>
          <w:tcPr>
            <w:tcW w:w="850" w:type="dxa"/>
            <w:tcBorders>
              <w:top w:val="nil"/>
              <w:left w:val="nil"/>
              <w:bottom w:val="single" w:sz="4" w:space="0" w:color="auto"/>
              <w:right w:val="single" w:sz="4" w:space="0" w:color="auto"/>
            </w:tcBorders>
            <w:shd w:val="clear" w:color="auto" w:fill="auto"/>
            <w:noWrap/>
            <w:vAlign w:val="center"/>
            <w:hideMark/>
          </w:tcPr>
          <w:p w14:paraId="406C7C0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1CDF77AF"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78A5A698"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2E43114F"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Citi pasākumi, kas saistīti ar drošību un ārpolitiku</w:t>
            </w:r>
          </w:p>
        </w:tc>
        <w:tc>
          <w:tcPr>
            <w:tcW w:w="992" w:type="dxa"/>
            <w:tcBorders>
              <w:top w:val="nil"/>
              <w:left w:val="nil"/>
              <w:bottom w:val="single" w:sz="4" w:space="0" w:color="auto"/>
              <w:right w:val="single" w:sz="4" w:space="0" w:color="auto"/>
            </w:tcBorders>
            <w:shd w:val="clear" w:color="auto" w:fill="auto"/>
            <w:noWrap/>
            <w:vAlign w:val="center"/>
            <w:hideMark/>
          </w:tcPr>
          <w:p w14:paraId="5DFBE03C"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8,0</w:t>
            </w:r>
          </w:p>
        </w:tc>
        <w:tc>
          <w:tcPr>
            <w:tcW w:w="850" w:type="dxa"/>
            <w:tcBorders>
              <w:top w:val="nil"/>
              <w:left w:val="nil"/>
              <w:bottom w:val="single" w:sz="4" w:space="0" w:color="auto"/>
              <w:right w:val="single" w:sz="4" w:space="0" w:color="auto"/>
            </w:tcBorders>
            <w:shd w:val="clear" w:color="auto" w:fill="auto"/>
            <w:noWrap/>
            <w:vAlign w:val="center"/>
            <w:hideMark/>
          </w:tcPr>
          <w:p w14:paraId="22D64427"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7,5</w:t>
            </w:r>
          </w:p>
        </w:tc>
        <w:tc>
          <w:tcPr>
            <w:tcW w:w="1119" w:type="dxa"/>
            <w:tcBorders>
              <w:top w:val="nil"/>
              <w:left w:val="nil"/>
              <w:bottom w:val="single" w:sz="4" w:space="0" w:color="auto"/>
              <w:right w:val="single" w:sz="4" w:space="0" w:color="auto"/>
            </w:tcBorders>
            <w:shd w:val="clear" w:color="auto" w:fill="auto"/>
            <w:noWrap/>
            <w:vAlign w:val="center"/>
            <w:hideMark/>
          </w:tcPr>
          <w:p w14:paraId="1101444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7,5</w:t>
            </w:r>
          </w:p>
        </w:tc>
      </w:tr>
      <w:tr w:rsidR="00614268" w:rsidRPr="00614268" w14:paraId="37B42924" w14:textId="77777777" w:rsidTr="003B49DF">
        <w:trPr>
          <w:trHeight w:val="51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5F4FBA6"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Par Eiropas Savienības tiesību aktos atļautajiem izņēmumiem sankciju piemērošanā un Latvijas kompetentajām iestādēm šo izņēmumu piemērošanā</w:t>
            </w:r>
          </w:p>
        </w:tc>
        <w:tc>
          <w:tcPr>
            <w:tcW w:w="992" w:type="dxa"/>
            <w:tcBorders>
              <w:top w:val="nil"/>
              <w:left w:val="nil"/>
              <w:bottom w:val="single" w:sz="4" w:space="0" w:color="auto"/>
              <w:right w:val="single" w:sz="4" w:space="0" w:color="auto"/>
            </w:tcBorders>
            <w:shd w:val="clear" w:color="auto" w:fill="auto"/>
            <w:noWrap/>
            <w:vAlign w:val="center"/>
            <w:hideMark/>
          </w:tcPr>
          <w:p w14:paraId="2266CE79"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1,5</w:t>
            </w:r>
          </w:p>
        </w:tc>
        <w:tc>
          <w:tcPr>
            <w:tcW w:w="850" w:type="dxa"/>
            <w:tcBorders>
              <w:top w:val="nil"/>
              <w:left w:val="nil"/>
              <w:bottom w:val="single" w:sz="4" w:space="0" w:color="auto"/>
              <w:right w:val="single" w:sz="4" w:space="0" w:color="auto"/>
            </w:tcBorders>
            <w:shd w:val="clear" w:color="auto" w:fill="auto"/>
            <w:noWrap/>
            <w:vAlign w:val="center"/>
            <w:hideMark/>
          </w:tcPr>
          <w:p w14:paraId="5D0BB027"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1,4</w:t>
            </w:r>
          </w:p>
        </w:tc>
        <w:tc>
          <w:tcPr>
            <w:tcW w:w="1119" w:type="dxa"/>
            <w:tcBorders>
              <w:top w:val="nil"/>
              <w:left w:val="nil"/>
              <w:bottom w:val="single" w:sz="4" w:space="0" w:color="auto"/>
              <w:right w:val="single" w:sz="4" w:space="0" w:color="auto"/>
            </w:tcBorders>
            <w:shd w:val="clear" w:color="auto" w:fill="auto"/>
            <w:noWrap/>
            <w:vAlign w:val="center"/>
            <w:hideMark/>
          </w:tcPr>
          <w:p w14:paraId="2471AAD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1,4</w:t>
            </w:r>
          </w:p>
        </w:tc>
      </w:tr>
      <w:tr w:rsidR="00614268" w:rsidRPr="00614268" w14:paraId="0D2AEC8A"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159B098C"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Valsts ugunsdzēsības un glābšanas dienesta struktūrvienību dzīvības glābšanas spēju stiprināšanas nodrošināšana</w:t>
            </w:r>
          </w:p>
        </w:tc>
        <w:tc>
          <w:tcPr>
            <w:tcW w:w="992" w:type="dxa"/>
            <w:tcBorders>
              <w:top w:val="nil"/>
              <w:left w:val="nil"/>
              <w:bottom w:val="single" w:sz="4" w:space="0" w:color="auto"/>
              <w:right w:val="single" w:sz="4" w:space="0" w:color="auto"/>
            </w:tcBorders>
            <w:shd w:val="clear" w:color="auto" w:fill="auto"/>
            <w:noWrap/>
            <w:vAlign w:val="center"/>
            <w:hideMark/>
          </w:tcPr>
          <w:p w14:paraId="77C9ED9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2,6</w:t>
            </w:r>
          </w:p>
        </w:tc>
        <w:tc>
          <w:tcPr>
            <w:tcW w:w="850" w:type="dxa"/>
            <w:tcBorders>
              <w:top w:val="nil"/>
              <w:left w:val="nil"/>
              <w:bottom w:val="single" w:sz="4" w:space="0" w:color="auto"/>
              <w:right w:val="single" w:sz="4" w:space="0" w:color="auto"/>
            </w:tcBorders>
            <w:shd w:val="clear" w:color="auto" w:fill="auto"/>
            <w:noWrap/>
            <w:vAlign w:val="center"/>
            <w:hideMark/>
          </w:tcPr>
          <w:p w14:paraId="18ABA5E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2,6</w:t>
            </w:r>
          </w:p>
        </w:tc>
        <w:tc>
          <w:tcPr>
            <w:tcW w:w="1119" w:type="dxa"/>
            <w:tcBorders>
              <w:top w:val="nil"/>
              <w:left w:val="nil"/>
              <w:bottom w:val="single" w:sz="4" w:space="0" w:color="auto"/>
              <w:right w:val="single" w:sz="4" w:space="0" w:color="auto"/>
            </w:tcBorders>
            <w:shd w:val="clear" w:color="auto" w:fill="auto"/>
            <w:noWrap/>
            <w:vAlign w:val="center"/>
            <w:hideMark/>
          </w:tcPr>
          <w:p w14:paraId="0C073FE5"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2,6</w:t>
            </w:r>
          </w:p>
        </w:tc>
      </w:tr>
      <w:tr w:rsidR="00614268" w:rsidRPr="00614268" w14:paraId="5366FF3B" w14:textId="77777777" w:rsidTr="003B49DF">
        <w:trPr>
          <w:trHeight w:val="51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42C13463"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Valsts apmaksātu veselības aprūpes pakalpojumu pieejamības paaugstināšana </w:t>
            </w:r>
            <w:proofErr w:type="spellStart"/>
            <w:r w:rsidRPr="00A264AA">
              <w:rPr>
                <w:rFonts w:eastAsia="Times New Roman" w:cs="Times New Roman"/>
                <w:color w:val="000000"/>
                <w:sz w:val="18"/>
                <w:szCs w:val="18"/>
              </w:rPr>
              <w:t>Iekšlietu</w:t>
            </w:r>
            <w:proofErr w:type="spellEnd"/>
            <w:r w:rsidRPr="00A264AA">
              <w:rPr>
                <w:rFonts w:eastAsia="Times New Roman" w:cs="Times New Roman"/>
                <w:color w:val="000000"/>
                <w:sz w:val="18"/>
                <w:szCs w:val="18"/>
              </w:rPr>
              <w:t xml:space="preserve"> ministrijas sistēmas iestāžu un Ieslodzījuma vietu pārvaldes amatpersonām ar speciālajām dienesta pakāpēm </w:t>
            </w:r>
          </w:p>
        </w:tc>
        <w:tc>
          <w:tcPr>
            <w:tcW w:w="992" w:type="dxa"/>
            <w:tcBorders>
              <w:top w:val="nil"/>
              <w:left w:val="nil"/>
              <w:bottom w:val="single" w:sz="4" w:space="0" w:color="auto"/>
              <w:right w:val="single" w:sz="4" w:space="0" w:color="auto"/>
            </w:tcBorders>
            <w:shd w:val="clear" w:color="auto" w:fill="auto"/>
            <w:noWrap/>
            <w:vAlign w:val="center"/>
            <w:hideMark/>
          </w:tcPr>
          <w:p w14:paraId="0903940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2,6</w:t>
            </w:r>
          </w:p>
        </w:tc>
        <w:tc>
          <w:tcPr>
            <w:tcW w:w="850" w:type="dxa"/>
            <w:tcBorders>
              <w:top w:val="nil"/>
              <w:left w:val="nil"/>
              <w:bottom w:val="single" w:sz="4" w:space="0" w:color="auto"/>
              <w:right w:val="single" w:sz="4" w:space="0" w:color="auto"/>
            </w:tcBorders>
            <w:shd w:val="clear" w:color="auto" w:fill="auto"/>
            <w:noWrap/>
            <w:vAlign w:val="center"/>
            <w:hideMark/>
          </w:tcPr>
          <w:p w14:paraId="6952B71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2,6</w:t>
            </w:r>
          </w:p>
        </w:tc>
        <w:tc>
          <w:tcPr>
            <w:tcW w:w="1119" w:type="dxa"/>
            <w:tcBorders>
              <w:top w:val="nil"/>
              <w:left w:val="nil"/>
              <w:bottom w:val="single" w:sz="4" w:space="0" w:color="auto"/>
              <w:right w:val="single" w:sz="4" w:space="0" w:color="auto"/>
            </w:tcBorders>
            <w:shd w:val="clear" w:color="auto" w:fill="auto"/>
            <w:noWrap/>
            <w:vAlign w:val="center"/>
            <w:hideMark/>
          </w:tcPr>
          <w:p w14:paraId="2547ED4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2,6</w:t>
            </w:r>
          </w:p>
        </w:tc>
      </w:tr>
      <w:tr w:rsidR="00614268" w:rsidRPr="00614268" w14:paraId="3BB53A60"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315A61FC"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Latvijas Republikas kapacitātes un lomas stiprināšana starptautisko tiesību jautājumos, tostarp Ukrainas tiesiskais atbalsts</w:t>
            </w:r>
          </w:p>
        </w:tc>
        <w:tc>
          <w:tcPr>
            <w:tcW w:w="992" w:type="dxa"/>
            <w:tcBorders>
              <w:top w:val="nil"/>
              <w:left w:val="nil"/>
              <w:bottom w:val="single" w:sz="4" w:space="0" w:color="auto"/>
              <w:right w:val="single" w:sz="4" w:space="0" w:color="auto"/>
            </w:tcBorders>
            <w:shd w:val="clear" w:color="auto" w:fill="auto"/>
            <w:noWrap/>
            <w:vAlign w:val="center"/>
            <w:hideMark/>
          </w:tcPr>
          <w:p w14:paraId="736DDB6F"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0,6</w:t>
            </w:r>
          </w:p>
        </w:tc>
        <w:tc>
          <w:tcPr>
            <w:tcW w:w="850" w:type="dxa"/>
            <w:tcBorders>
              <w:top w:val="nil"/>
              <w:left w:val="nil"/>
              <w:bottom w:val="single" w:sz="4" w:space="0" w:color="auto"/>
              <w:right w:val="single" w:sz="4" w:space="0" w:color="auto"/>
            </w:tcBorders>
            <w:shd w:val="clear" w:color="auto" w:fill="auto"/>
            <w:noWrap/>
            <w:vAlign w:val="center"/>
            <w:hideMark/>
          </w:tcPr>
          <w:p w14:paraId="588817D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1119" w:type="dxa"/>
            <w:tcBorders>
              <w:top w:val="nil"/>
              <w:left w:val="nil"/>
              <w:bottom w:val="single" w:sz="4" w:space="0" w:color="auto"/>
              <w:right w:val="single" w:sz="4" w:space="0" w:color="auto"/>
            </w:tcBorders>
            <w:shd w:val="clear" w:color="auto" w:fill="auto"/>
            <w:noWrap/>
            <w:vAlign w:val="center"/>
            <w:hideMark/>
          </w:tcPr>
          <w:p w14:paraId="7806E612"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r>
      <w:tr w:rsidR="00614268" w:rsidRPr="00614268" w14:paraId="0228C478"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328D35D7"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Latvijas tiesību speciālistu ataudzes nodrošināšana un to starptautiskās konkurētspējas veicināšana</w:t>
            </w:r>
          </w:p>
        </w:tc>
        <w:tc>
          <w:tcPr>
            <w:tcW w:w="992" w:type="dxa"/>
            <w:tcBorders>
              <w:top w:val="nil"/>
              <w:left w:val="nil"/>
              <w:bottom w:val="single" w:sz="4" w:space="0" w:color="auto"/>
              <w:right w:val="single" w:sz="4" w:space="0" w:color="auto"/>
            </w:tcBorders>
            <w:shd w:val="clear" w:color="auto" w:fill="auto"/>
            <w:noWrap/>
            <w:vAlign w:val="center"/>
            <w:hideMark/>
          </w:tcPr>
          <w:p w14:paraId="6E573F16"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241C21DC"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1119" w:type="dxa"/>
            <w:tcBorders>
              <w:top w:val="nil"/>
              <w:left w:val="nil"/>
              <w:bottom w:val="single" w:sz="4" w:space="0" w:color="auto"/>
              <w:right w:val="single" w:sz="4" w:space="0" w:color="auto"/>
            </w:tcBorders>
            <w:shd w:val="clear" w:color="auto" w:fill="auto"/>
            <w:noWrap/>
            <w:vAlign w:val="center"/>
            <w:hideMark/>
          </w:tcPr>
          <w:p w14:paraId="664BB9E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r>
      <w:tr w:rsidR="00614268" w:rsidRPr="00614268" w14:paraId="14B664AD"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105DD5F"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Kapacitātes stiprināšanu gatavībai un rīcībai radiācijas avārijās</w:t>
            </w:r>
          </w:p>
        </w:tc>
        <w:tc>
          <w:tcPr>
            <w:tcW w:w="992" w:type="dxa"/>
            <w:tcBorders>
              <w:top w:val="nil"/>
              <w:left w:val="nil"/>
              <w:bottom w:val="single" w:sz="4" w:space="0" w:color="auto"/>
              <w:right w:val="single" w:sz="4" w:space="0" w:color="auto"/>
            </w:tcBorders>
            <w:shd w:val="clear" w:color="auto" w:fill="auto"/>
            <w:noWrap/>
            <w:vAlign w:val="center"/>
            <w:hideMark/>
          </w:tcPr>
          <w:p w14:paraId="090A850C"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c>
          <w:tcPr>
            <w:tcW w:w="850" w:type="dxa"/>
            <w:tcBorders>
              <w:top w:val="nil"/>
              <w:left w:val="nil"/>
              <w:bottom w:val="single" w:sz="4" w:space="0" w:color="auto"/>
              <w:right w:val="single" w:sz="4" w:space="0" w:color="auto"/>
            </w:tcBorders>
            <w:shd w:val="clear" w:color="auto" w:fill="auto"/>
            <w:noWrap/>
            <w:vAlign w:val="center"/>
            <w:hideMark/>
          </w:tcPr>
          <w:p w14:paraId="739EC764"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0,2</w:t>
            </w:r>
          </w:p>
        </w:tc>
        <w:tc>
          <w:tcPr>
            <w:tcW w:w="1119" w:type="dxa"/>
            <w:tcBorders>
              <w:top w:val="nil"/>
              <w:left w:val="nil"/>
              <w:bottom w:val="single" w:sz="4" w:space="0" w:color="auto"/>
              <w:right w:val="single" w:sz="4" w:space="0" w:color="auto"/>
            </w:tcBorders>
            <w:shd w:val="clear" w:color="auto" w:fill="auto"/>
            <w:noWrap/>
            <w:vAlign w:val="center"/>
            <w:hideMark/>
          </w:tcPr>
          <w:p w14:paraId="2D5443B6"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0,2</w:t>
            </w:r>
          </w:p>
        </w:tc>
      </w:tr>
      <w:tr w:rsidR="00614268" w:rsidRPr="00614268" w14:paraId="17B23CA7"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CC2E5"/>
            <w:vAlign w:val="center"/>
            <w:hideMark/>
          </w:tcPr>
          <w:p w14:paraId="3441063B" w14:textId="2DAD0959" w:rsidR="00614268" w:rsidRPr="00A264AA" w:rsidRDefault="00614268" w:rsidP="00614268">
            <w:pPr>
              <w:spacing w:after="0"/>
              <w:ind w:firstLine="0"/>
              <w:rPr>
                <w:rFonts w:eastAsia="Times New Roman" w:cs="Times New Roman"/>
                <w:b/>
                <w:bCs/>
                <w:sz w:val="18"/>
                <w:szCs w:val="18"/>
              </w:rPr>
            </w:pPr>
            <w:r w:rsidRPr="00A264AA">
              <w:rPr>
                <w:rFonts w:eastAsia="Times New Roman" w:cs="Times New Roman"/>
                <w:b/>
                <w:bCs/>
                <w:sz w:val="18"/>
                <w:szCs w:val="18"/>
              </w:rPr>
              <w:t>Drošība u.c. pasākumi ārpus fiskālās telpas</w:t>
            </w:r>
          </w:p>
        </w:tc>
        <w:tc>
          <w:tcPr>
            <w:tcW w:w="992" w:type="dxa"/>
            <w:tcBorders>
              <w:top w:val="nil"/>
              <w:left w:val="nil"/>
              <w:bottom w:val="single" w:sz="4" w:space="0" w:color="auto"/>
              <w:right w:val="single" w:sz="4" w:space="0" w:color="auto"/>
            </w:tcBorders>
            <w:shd w:val="clear" w:color="000000" w:fill="9BC2E6"/>
            <w:noWrap/>
            <w:vAlign w:val="center"/>
            <w:hideMark/>
          </w:tcPr>
          <w:p w14:paraId="3D98E6EA"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114,4</w:t>
            </w:r>
          </w:p>
        </w:tc>
        <w:tc>
          <w:tcPr>
            <w:tcW w:w="850" w:type="dxa"/>
            <w:tcBorders>
              <w:top w:val="nil"/>
              <w:left w:val="nil"/>
              <w:bottom w:val="single" w:sz="4" w:space="0" w:color="auto"/>
              <w:right w:val="single" w:sz="4" w:space="0" w:color="auto"/>
            </w:tcBorders>
            <w:shd w:val="clear" w:color="000000" w:fill="9BC2E6"/>
            <w:noWrap/>
            <w:vAlign w:val="center"/>
            <w:hideMark/>
          </w:tcPr>
          <w:p w14:paraId="2DDF84E9"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102,0</w:t>
            </w:r>
          </w:p>
        </w:tc>
        <w:tc>
          <w:tcPr>
            <w:tcW w:w="1119" w:type="dxa"/>
            <w:tcBorders>
              <w:top w:val="nil"/>
              <w:left w:val="nil"/>
              <w:bottom w:val="single" w:sz="4" w:space="0" w:color="auto"/>
              <w:right w:val="single" w:sz="4" w:space="0" w:color="auto"/>
            </w:tcBorders>
            <w:shd w:val="clear" w:color="000000" w:fill="9BC2E6"/>
            <w:noWrap/>
            <w:vAlign w:val="center"/>
            <w:hideMark/>
          </w:tcPr>
          <w:p w14:paraId="72FAB9AE"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60,8</w:t>
            </w:r>
          </w:p>
        </w:tc>
      </w:tr>
      <w:tr w:rsidR="00614268" w:rsidRPr="00614268" w14:paraId="032D7D91"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2BCD90A3"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Ar valsts drošību saistītie prioritārie pasākumi</w:t>
            </w:r>
          </w:p>
        </w:tc>
        <w:tc>
          <w:tcPr>
            <w:tcW w:w="992" w:type="dxa"/>
            <w:tcBorders>
              <w:top w:val="nil"/>
              <w:left w:val="nil"/>
              <w:bottom w:val="single" w:sz="4" w:space="0" w:color="auto"/>
              <w:right w:val="single" w:sz="4" w:space="0" w:color="auto"/>
            </w:tcBorders>
            <w:shd w:val="clear" w:color="auto" w:fill="auto"/>
            <w:noWrap/>
            <w:vAlign w:val="center"/>
            <w:hideMark/>
          </w:tcPr>
          <w:p w14:paraId="08327903"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1,4</w:t>
            </w:r>
          </w:p>
        </w:tc>
        <w:tc>
          <w:tcPr>
            <w:tcW w:w="850" w:type="dxa"/>
            <w:tcBorders>
              <w:top w:val="nil"/>
              <w:left w:val="nil"/>
              <w:bottom w:val="single" w:sz="4" w:space="0" w:color="auto"/>
              <w:right w:val="single" w:sz="4" w:space="0" w:color="auto"/>
            </w:tcBorders>
            <w:shd w:val="clear" w:color="auto" w:fill="auto"/>
            <w:noWrap/>
            <w:vAlign w:val="center"/>
            <w:hideMark/>
          </w:tcPr>
          <w:p w14:paraId="1359199F"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1,5</w:t>
            </w:r>
          </w:p>
        </w:tc>
        <w:tc>
          <w:tcPr>
            <w:tcW w:w="1119" w:type="dxa"/>
            <w:tcBorders>
              <w:top w:val="nil"/>
              <w:left w:val="nil"/>
              <w:bottom w:val="single" w:sz="4" w:space="0" w:color="auto"/>
              <w:right w:val="single" w:sz="4" w:space="0" w:color="auto"/>
            </w:tcBorders>
            <w:shd w:val="clear" w:color="auto" w:fill="auto"/>
            <w:noWrap/>
            <w:vAlign w:val="center"/>
            <w:hideMark/>
          </w:tcPr>
          <w:p w14:paraId="5C389EB5"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0,2</w:t>
            </w:r>
          </w:p>
        </w:tc>
      </w:tr>
      <w:tr w:rsidR="00614268" w:rsidRPr="00614268" w14:paraId="09388B04" w14:textId="77777777" w:rsidTr="003B49DF">
        <w:trPr>
          <w:trHeight w:val="51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336E82A"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Pasākumi Ukrainas atbalstam un globālās drošības veicināšanai (atbalsts Ukrainas rekonstrukcijai un iemaksas Ukrainas atbalstam)</w:t>
            </w:r>
          </w:p>
        </w:tc>
        <w:tc>
          <w:tcPr>
            <w:tcW w:w="992" w:type="dxa"/>
            <w:tcBorders>
              <w:top w:val="nil"/>
              <w:left w:val="nil"/>
              <w:bottom w:val="single" w:sz="4" w:space="0" w:color="auto"/>
              <w:right w:val="single" w:sz="4" w:space="0" w:color="auto"/>
            </w:tcBorders>
            <w:shd w:val="clear" w:color="auto" w:fill="auto"/>
            <w:noWrap/>
            <w:vAlign w:val="center"/>
            <w:hideMark/>
          </w:tcPr>
          <w:p w14:paraId="6C75477C"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11,4</w:t>
            </w:r>
          </w:p>
        </w:tc>
        <w:tc>
          <w:tcPr>
            <w:tcW w:w="850" w:type="dxa"/>
            <w:tcBorders>
              <w:top w:val="nil"/>
              <w:left w:val="nil"/>
              <w:bottom w:val="single" w:sz="4" w:space="0" w:color="auto"/>
              <w:right w:val="single" w:sz="4" w:space="0" w:color="auto"/>
            </w:tcBorders>
            <w:shd w:val="clear" w:color="auto" w:fill="auto"/>
            <w:noWrap/>
            <w:vAlign w:val="center"/>
            <w:hideMark/>
          </w:tcPr>
          <w:p w14:paraId="6A4441AC"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10,4</w:t>
            </w:r>
          </w:p>
        </w:tc>
        <w:tc>
          <w:tcPr>
            <w:tcW w:w="1119" w:type="dxa"/>
            <w:tcBorders>
              <w:top w:val="nil"/>
              <w:left w:val="nil"/>
              <w:bottom w:val="single" w:sz="4" w:space="0" w:color="auto"/>
              <w:right w:val="single" w:sz="4" w:space="0" w:color="auto"/>
            </w:tcBorders>
            <w:shd w:val="clear" w:color="auto" w:fill="auto"/>
            <w:noWrap/>
            <w:vAlign w:val="center"/>
            <w:hideMark/>
          </w:tcPr>
          <w:p w14:paraId="57984FC1"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10,5</w:t>
            </w:r>
          </w:p>
        </w:tc>
      </w:tr>
      <w:tr w:rsidR="00614268" w:rsidRPr="00614268" w14:paraId="31941B59"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5939BB25" w14:textId="77777777" w:rsidR="00614268" w:rsidRPr="00A264AA" w:rsidRDefault="00614268" w:rsidP="00614268">
            <w:pPr>
              <w:spacing w:after="0"/>
              <w:ind w:firstLine="0"/>
              <w:jc w:val="left"/>
              <w:rPr>
                <w:rFonts w:eastAsia="Times New Roman" w:cs="Times New Roman"/>
                <w:color w:val="000000"/>
                <w:sz w:val="18"/>
                <w:szCs w:val="18"/>
              </w:rPr>
            </w:pPr>
            <w:proofErr w:type="spellStart"/>
            <w:r w:rsidRPr="00A264AA">
              <w:rPr>
                <w:rFonts w:eastAsia="Times New Roman" w:cs="Times New Roman"/>
                <w:color w:val="000000"/>
                <w:sz w:val="18"/>
                <w:szCs w:val="18"/>
              </w:rPr>
              <w:t>Kiberdrošības</w:t>
            </w:r>
            <w:proofErr w:type="spellEnd"/>
            <w:r w:rsidRPr="00A264AA">
              <w:rPr>
                <w:rFonts w:eastAsia="Times New Roman" w:cs="Times New Roman"/>
                <w:color w:val="000000"/>
                <w:sz w:val="18"/>
                <w:szCs w:val="18"/>
              </w:rPr>
              <w:t xml:space="preserve"> stiprināšana</w:t>
            </w:r>
          </w:p>
        </w:tc>
        <w:tc>
          <w:tcPr>
            <w:tcW w:w="992" w:type="dxa"/>
            <w:tcBorders>
              <w:top w:val="nil"/>
              <w:left w:val="nil"/>
              <w:bottom w:val="single" w:sz="4" w:space="0" w:color="auto"/>
              <w:right w:val="single" w:sz="4" w:space="0" w:color="auto"/>
            </w:tcBorders>
            <w:shd w:val="clear" w:color="auto" w:fill="auto"/>
            <w:noWrap/>
            <w:vAlign w:val="center"/>
            <w:hideMark/>
          </w:tcPr>
          <w:p w14:paraId="16CD581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6,7</w:t>
            </w:r>
          </w:p>
        </w:tc>
        <w:tc>
          <w:tcPr>
            <w:tcW w:w="850" w:type="dxa"/>
            <w:tcBorders>
              <w:top w:val="nil"/>
              <w:left w:val="nil"/>
              <w:bottom w:val="single" w:sz="4" w:space="0" w:color="auto"/>
              <w:right w:val="single" w:sz="4" w:space="0" w:color="auto"/>
            </w:tcBorders>
            <w:shd w:val="clear" w:color="auto" w:fill="auto"/>
            <w:noWrap/>
            <w:vAlign w:val="center"/>
            <w:hideMark/>
          </w:tcPr>
          <w:p w14:paraId="5EB9B93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1603F9D5"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63D34D65"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19E9FD4D"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Ārējās robežas tehniskās infrastruktūras izveide</w:t>
            </w:r>
          </w:p>
        </w:tc>
        <w:tc>
          <w:tcPr>
            <w:tcW w:w="992" w:type="dxa"/>
            <w:tcBorders>
              <w:top w:val="nil"/>
              <w:left w:val="nil"/>
              <w:bottom w:val="single" w:sz="4" w:space="0" w:color="auto"/>
              <w:right w:val="single" w:sz="4" w:space="0" w:color="auto"/>
            </w:tcBorders>
            <w:shd w:val="clear" w:color="auto" w:fill="auto"/>
            <w:noWrap/>
            <w:vAlign w:val="center"/>
            <w:hideMark/>
          </w:tcPr>
          <w:p w14:paraId="40A72FE4"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25,0</w:t>
            </w:r>
          </w:p>
        </w:tc>
        <w:tc>
          <w:tcPr>
            <w:tcW w:w="850" w:type="dxa"/>
            <w:tcBorders>
              <w:top w:val="nil"/>
              <w:left w:val="nil"/>
              <w:bottom w:val="single" w:sz="4" w:space="0" w:color="auto"/>
              <w:right w:val="single" w:sz="4" w:space="0" w:color="auto"/>
            </w:tcBorders>
            <w:shd w:val="clear" w:color="auto" w:fill="auto"/>
            <w:noWrap/>
            <w:vAlign w:val="center"/>
            <w:hideMark/>
          </w:tcPr>
          <w:p w14:paraId="68E50B27"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90,0</w:t>
            </w:r>
          </w:p>
        </w:tc>
        <w:tc>
          <w:tcPr>
            <w:tcW w:w="1119" w:type="dxa"/>
            <w:tcBorders>
              <w:top w:val="nil"/>
              <w:left w:val="nil"/>
              <w:bottom w:val="single" w:sz="4" w:space="0" w:color="auto"/>
              <w:right w:val="single" w:sz="4" w:space="0" w:color="auto"/>
            </w:tcBorders>
            <w:shd w:val="clear" w:color="auto" w:fill="auto"/>
            <w:noWrap/>
            <w:vAlign w:val="center"/>
            <w:hideMark/>
          </w:tcPr>
          <w:p w14:paraId="35E9C264"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50,0</w:t>
            </w:r>
          </w:p>
        </w:tc>
      </w:tr>
      <w:tr w:rsidR="00614268" w:rsidRPr="00614268" w14:paraId="6851F538"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3C4CF814"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Ukrainas civiliedzīvotāju atbalstam</w:t>
            </w:r>
          </w:p>
        </w:tc>
        <w:tc>
          <w:tcPr>
            <w:tcW w:w="992" w:type="dxa"/>
            <w:tcBorders>
              <w:top w:val="nil"/>
              <w:left w:val="nil"/>
              <w:bottom w:val="single" w:sz="4" w:space="0" w:color="auto"/>
              <w:right w:val="single" w:sz="4" w:space="0" w:color="auto"/>
            </w:tcBorders>
            <w:shd w:val="clear" w:color="auto" w:fill="auto"/>
            <w:noWrap/>
            <w:vAlign w:val="center"/>
            <w:hideMark/>
          </w:tcPr>
          <w:p w14:paraId="6FD5EFAE"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70,0</w:t>
            </w:r>
          </w:p>
        </w:tc>
        <w:tc>
          <w:tcPr>
            <w:tcW w:w="850" w:type="dxa"/>
            <w:tcBorders>
              <w:top w:val="nil"/>
              <w:left w:val="nil"/>
              <w:bottom w:val="single" w:sz="4" w:space="0" w:color="auto"/>
              <w:right w:val="single" w:sz="4" w:space="0" w:color="auto"/>
            </w:tcBorders>
            <w:shd w:val="clear" w:color="auto" w:fill="auto"/>
            <w:noWrap/>
            <w:vAlign w:val="center"/>
            <w:hideMark/>
          </w:tcPr>
          <w:p w14:paraId="7D58CCEF"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0</w:t>
            </w:r>
          </w:p>
        </w:tc>
        <w:tc>
          <w:tcPr>
            <w:tcW w:w="1119" w:type="dxa"/>
            <w:tcBorders>
              <w:top w:val="nil"/>
              <w:left w:val="nil"/>
              <w:bottom w:val="single" w:sz="4" w:space="0" w:color="auto"/>
              <w:right w:val="single" w:sz="4" w:space="0" w:color="auto"/>
            </w:tcBorders>
            <w:shd w:val="clear" w:color="auto" w:fill="auto"/>
            <w:noWrap/>
            <w:vAlign w:val="center"/>
            <w:hideMark/>
          </w:tcPr>
          <w:p w14:paraId="52BAEE39"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0</w:t>
            </w:r>
          </w:p>
        </w:tc>
      </w:tr>
      <w:tr w:rsidR="00614268" w:rsidRPr="00614268" w14:paraId="52FF234E"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CC2E5"/>
            <w:vAlign w:val="center"/>
            <w:hideMark/>
          </w:tcPr>
          <w:p w14:paraId="2B39507E" w14:textId="77777777" w:rsidR="00614268" w:rsidRPr="00A264AA" w:rsidRDefault="00614268" w:rsidP="00614268">
            <w:pPr>
              <w:spacing w:after="0"/>
              <w:ind w:firstLine="0"/>
              <w:rPr>
                <w:rFonts w:eastAsia="Times New Roman" w:cs="Times New Roman"/>
                <w:b/>
                <w:bCs/>
                <w:sz w:val="18"/>
                <w:szCs w:val="18"/>
              </w:rPr>
            </w:pPr>
            <w:r w:rsidRPr="00A264AA">
              <w:rPr>
                <w:rFonts w:eastAsia="Times New Roman" w:cs="Times New Roman"/>
                <w:b/>
                <w:bCs/>
                <w:sz w:val="18"/>
                <w:szCs w:val="18"/>
              </w:rPr>
              <w:t>Veselība</w:t>
            </w:r>
          </w:p>
        </w:tc>
        <w:tc>
          <w:tcPr>
            <w:tcW w:w="992" w:type="dxa"/>
            <w:tcBorders>
              <w:top w:val="nil"/>
              <w:left w:val="nil"/>
              <w:bottom w:val="single" w:sz="4" w:space="0" w:color="auto"/>
              <w:right w:val="single" w:sz="4" w:space="0" w:color="auto"/>
            </w:tcBorders>
            <w:shd w:val="clear" w:color="000000" w:fill="9BC2E6"/>
            <w:noWrap/>
            <w:vAlign w:val="center"/>
            <w:hideMark/>
          </w:tcPr>
          <w:p w14:paraId="50D1C1DF"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275</w:t>
            </w:r>
          </w:p>
        </w:tc>
        <w:tc>
          <w:tcPr>
            <w:tcW w:w="850" w:type="dxa"/>
            <w:tcBorders>
              <w:top w:val="nil"/>
              <w:left w:val="nil"/>
              <w:bottom w:val="single" w:sz="4" w:space="0" w:color="auto"/>
              <w:right w:val="single" w:sz="4" w:space="0" w:color="auto"/>
            </w:tcBorders>
            <w:shd w:val="clear" w:color="000000" w:fill="9BC2E6"/>
            <w:noWrap/>
            <w:vAlign w:val="center"/>
            <w:hideMark/>
          </w:tcPr>
          <w:p w14:paraId="1A076886"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275</w:t>
            </w:r>
          </w:p>
        </w:tc>
        <w:tc>
          <w:tcPr>
            <w:tcW w:w="1119" w:type="dxa"/>
            <w:tcBorders>
              <w:top w:val="nil"/>
              <w:left w:val="nil"/>
              <w:bottom w:val="single" w:sz="4" w:space="0" w:color="auto"/>
              <w:right w:val="single" w:sz="4" w:space="0" w:color="auto"/>
            </w:tcBorders>
            <w:shd w:val="clear" w:color="000000" w:fill="9BC2E6"/>
            <w:noWrap/>
            <w:vAlign w:val="center"/>
            <w:hideMark/>
          </w:tcPr>
          <w:p w14:paraId="29418E5C"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275</w:t>
            </w:r>
          </w:p>
        </w:tc>
      </w:tr>
      <w:tr w:rsidR="00614268" w:rsidRPr="00614268" w14:paraId="33309872"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CC2E5"/>
            <w:vAlign w:val="center"/>
            <w:hideMark/>
          </w:tcPr>
          <w:p w14:paraId="20FA56E8" w14:textId="77777777" w:rsidR="00614268" w:rsidRPr="00A264AA" w:rsidRDefault="00614268" w:rsidP="00614268">
            <w:pPr>
              <w:spacing w:after="0"/>
              <w:ind w:firstLine="0"/>
              <w:rPr>
                <w:rFonts w:eastAsia="Times New Roman" w:cs="Times New Roman"/>
                <w:b/>
                <w:bCs/>
                <w:sz w:val="18"/>
                <w:szCs w:val="18"/>
              </w:rPr>
            </w:pPr>
            <w:r w:rsidRPr="00A264AA">
              <w:rPr>
                <w:rFonts w:eastAsia="Times New Roman" w:cs="Times New Roman"/>
                <w:b/>
                <w:bCs/>
                <w:sz w:val="18"/>
                <w:szCs w:val="18"/>
              </w:rPr>
              <w:t xml:space="preserve">Izglītība </w:t>
            </w:r>
          </w:p>
        </w:tc>
        <w:tc>
          <w:tcPr>
            <w:tcW w:w="992" w:type="dxa"/>
            <w:tcBorders>
              <w:top w:val="nil"/>
              <w:left w:val="nil"/>
              <w:bottom w:val="single" w:sz="4" w:space="0" w:color="auto"/>
              <w:right w:val="single" w:sz="4" w:space="0" w:color="auto"/>
            </w:tcBorders>
            <w:shd w:val="clear" w:color="000000" w:fill="9CC2E5"/>
            <w:noWrap/>
            <w:vAlign w:val="center"/>
            <w:hideMark/>
          </w:tcPr>
          <w:p w14:paraId="3EE4C784"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119,7</w:t>
            </w:r>
          </w:p>
        </w:tc>
        <w:tc>
          <w:tcPr>
            <w:tcW w:w="850" w:type="dxa"/>
            <w:tcBorders>
              <w:top w:val="nil"/>
              <w:left w:val="nil"/>
              <w:bottom w:val="single" w:sz="4" w:space="0" w:color="auto"/>
              <w:right w:val="single" w:sz="4" w:space="0" w:color="auto"/>
            </w:tcBorders>
            <w:shd w:val="clear" w:color="000000" w:fill="9CC2E5"/>
            <w:noWrap/>
            <w:vAlign w:val="center"/>
            <w:hideMark/>
          </w:tcPr>
          <w:p w14:paraId="69C6E67F"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127,9</w:t>
            </w:r>
          </w:p>
        </w:tc>
        <w:tc>
          <w:tcPr>
            <w:tcW w:w="1119" w:type="dxa"/>
            <w:tcBorders>
              <w:top w:val="nil"/>
              <w:left w:val="nil"/>
              <w:bottom w:val="single" w:sz="4" w:space="0" w:color="auto"/>
              <w:right w:val="single" w:sz="4" w:space="0" w:color="auto"/>
            </w:tcBorders>
            <w:shd w:val="clear" w:color="000000" w:fill="9CC2E5"/>
            <w:noWrap/>
            <w:vAlign w:val="center"/>
            <w:hideMark/>
          </w:tcPr>
          <w:p w14:paraId="0E858449"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129,1</w:t>
            </w:r>
          </w:p>
        </w:tc>
      </w:tr>
      <w:tr w:rsidR="00614268" w:rsidRPr="00614268" w14:paraId="31AF8185"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6A552288"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Pedagogu darba samaksas pieauguma grafika īstenošanas 2.solim no 2024. gada 1. janvāra</w:t>
            </w:r>
          </w:p>
        </w:tc>
        <w:tc>
          <w:tcPr>
            <w:tcW w:w="992" w:type="dxa"/>
            <w:tcBorders>
              <w:top w:val="nil"/>
              <w:left w:val="nil"/>
              <w:bottom w:val="single" w:sz="4" w:space="0" w:color="auto"/>
              <w:right w:val="single" w:sz="4" w:space="0" w:color="auto"/>
            </w:tcBorders>
            <w:shd w:val="clear" w:color="auto" w:fill="auto"/>
            <w:noWrap/>
            <w:vAlign w:val="center"/>
            <w:hideMark/>
          </w:tcPr>
          <w:p w14:paraId="5F1AA26E"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91,3</w:t>
            </w:r>
          </w:p>
        </w:tc>
        <w:tc>
          <w:tcPr>
            <w:tcW w:w="850" w:type="dxa"/>
            <w:tcBorders>
              <w:top w:val="nil"/>
              <w:left w:val="nil"/>
              <w:bottom w:val="single" w:sz="4" w:space="0" w:color="auto"/>
              <w:right w:val="single" w:sz="4" w:space="0" w:color="auto"/>
            </w:tcBorders>
            <w:shd w:val="clear" w:color="auto" w:fill="auto"/>
            <w:noWrap/>
            <w:vAlign w:val="center"/>
            <w:hideMark/>
          </w:tcPr>
          <w:p w14:paraId="1BD64CCD"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91,3</w:t>
            </w:r>
          </w:p>
        </w:tc>
        <w:tc>
          <w:tcPr>
            <w:tcW w:w="1119" w:type="dxa"/>
            <w:tcBorders>
              <w:top w:val="nil"/>
              <w:left w:val="nil"/>
              <w:bottom w:val="single" w:sz="4" w:space="0" w:color="auto"/>
              <w:right w:val="single" w:sz="4" w:space="0" w:color="auto"/>
            </w:tcBorders>
            <w:shd w:val="clear" w:color="auto" w:fill="auto"/>
            <w:noWrap/>
            <w:vAlign w:val="center"/>
            <w:hideMark/>
          </w:tcPr>
          <w:p w14:paraId="074D0B19"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91,3</w:t>
            </w:r>
          </w:p>
        </w:tc>
      </w:tr>
      <w:tr w:rsidR="00614268" w:rsidRPr="00614268" w14:paraId="6F74C576"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35089113"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Snieguma finansējuma Augstākā izglītībā un zinātnē īpatsvara pakāpeniska palielināšana</w:t>
            </w:r>
          </w:p>
        </w:tc>
        <w:tc>
          <w:tcPr>
            <w:tcW w:w="992" w:type="dxa"/>
            <w:tcBorders>
              <w:top w:val="nil"/>
              <w:left w:val="nil"/>
              <w:bottom w:val="single" w:sz="4" w:space="0" w:color="auto"/>
              <w:right w:val="single" w:sz="4" w:space="0" w:color="auto"/>
            </w:tcBorders>
            <w:shd w:val="clear" w:color="auto" w:fill="auto"/>
            <w:noWrap/>
            <w:vAlign w:val="center"/>
            <w:hideMark/>
          </w:tcPr>
          <w:p w14:paraId="24B263DD"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11,5</w:t>
            </w:r>
          </w:p>
        </w:tc>
        <w:tc>
          <w:tcPr>
            <w:tcW w:w="850" w:type="dxa"/>
            <w:tcBorders>
              <w:top w:val="nil"/>
              <w:left w:val="nil"/>
              <w:bottom w:val="single" w:sz="4" w:space="0" w:color="auto"/>
              <w:right w:val="single" w:sz="4" w:space="0" w:color="auto"/>
            </w:tcBorders>
            <w:shd w:val="clear" w:color="auto" w:fill="auto"/>
            <w:noWrap/>
            <w:vAlign w:val="center"/>
            <w:hideMark/>
          </w:tcPr>
          <w:p w14:paraId="6AADE694"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11,5</w:t>
            </w:r>
          </w:p>
        </w:tc>
        <w:tc>
          <w:tcPr>
            <w:tcW w:w="1119" w:type="dxa"/>
            <w:tcBorders>
              <w:top w:val="nil"/>
              <w:left w:val="nil"/>
              <w:bottom w:val="single" w:sz="4" w:space="0" w:color="auto"/>
              <w:right w:val="single" w:sz="4" w:space="0" w:color="auto"/>
            </w:tcBorders>
            <w:shd w:val="clear" w:color="auto" w:fill="auto"/>
            <w:noWrap/>
            <w:vAlign w:val="center"/>
            <w:hideMark/>
          </w:tcPr>
          <w:p w14:paraId="2C73BF0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11,5</w:t>
            </w:r>
          </w:p>
        </w:tc>
      </w:tr>
      <w:tr w:rsidR="00614268" w:rsidRPr="00614268" w14:paraId="7EE3B417"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6DC8301B"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Pilotprojekts augstākās izglītības institucionālā finansējuma ieviešanai no 2024.gada 1.septembra</w:t>
            </w:r>
          </w:p>
        </w:tc>
        <w:tc>
          <w:tcPr>
            <w:tcW w:w="992" w:type="dxa"/>
            <w:tcBorders>
              <w:top w:val="nil"/>
              <w:left w:val="nil"/>
              <w:bottom w:val="single" w:sz="4" w:space="0" w:color="auto"/>
              <w:right w:val="single" w:sz="4" w:space="0" w:color="auto"/>
            </w:tcBorders>
            <w:shd w:val="clear" w:color="auto" w:fill="auto"/>
            <w:noWrap/>
            <w:vAlign w:val="center"/>
            <w:hideMark/>
          </w:tcPr>
          <w:p w14:paraId="33EA7FE9"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3,3</w:t>
            </w:r>
          </w:p>
        </w:tc>
        <w:tc>
          <w:tcPr>
            <w:tcW w:w="850" w:type="dxa"/>
            <w:tcBorders>
              <w:top w:val="nil"/>
              <w:left w:val="nil"/>
              <w:bottom w:val="single" w:sz="4" w:space="0" w:color="auto"/>
              <w:right w:val="single" w:sz="4" w:space="0" w:color="auto"/>
            </w:tcBorders>
            <w:shd w:val="clear" w:color="auto" w:fill="auto"/>
            <w:noWrap/>
            <w:vAlign w:val="center"/>
            <w:hideMark/>
          </w:tcPr>
          <w:p w14:paraId="4639CA1D"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10,0</w:t>
            </w:r>
          </w:p>
        </w:tc>
        <w:tc>
          <w:tcPr>
            <w:tcW w:w="1119" w:type="dxa"/>
            <w:tcBorders>
              <w:top w:val="nil"/>
              <w:left w:val="nil"/>
              <w:bottom w:val="single" w:sz="4" w:space="0" w:color="auto"/>
              <w:right w:val="single" w:sz="4" w:space="0" w:color="auto"/>
            </w:tcBorders>
            <w:shd w:val="clear" w:color="auto" w:fill="auto"/>
            <w:noWrap/>
            <w:vAlign w:val="center"/>
            <w:hideMark/>
          </w:tcPr>
          <w:p w14:paraId="320B846A"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10,0</w:t>
            </w:r>
          </w:p>
        </w:tc>
      </w:tr>
      <w:tr w:rsidR="00614268" w:rsidRPr="00614268" w14:paraId="26D670F0"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080D18B" w14:textId="77777777" w:rsidR="00614268" w:rsidRPr="00A264AA" w:rsidRDefault="00614268" w:rsidP="00614268">
            <w:pPr>
              <w:spacing w:after="0"/>
              <w:ind w:firstLine="0"/>
              <w:jc w:val="left"/>
              <w:rPr>
                <w:rFonts w:eastAsia="Times New Roman" w:cs="Times New Roman"/>
                <w:color w:val="000000"/>
                <w:sz w:val="18"/>
                <w:szCs w:val="18"/>
              </w:rPr>
            </w:pPr>
            <w:r w:rsidRPr="00A264AA">
              <w:rPr>
                <w:rFonts w:eastAsia="Times New Roman" w:cs="Times New Roman"/>
                <w:color w:val="000000"/>
                <w:sz w:val="18"/>
                <w:szCs w:val="18"/>
              </w:rPr>
              <w:t>Citi pasākumi, kas saistīti ar izglītību</w:t>
            </w:r>
          </w:p>
        </w:tc>
        <w:tc>
          <w:tcPr>
            <w:tcW w:w="992" w:type="dxa"/>
            <w:tcBorders>
              <w:top w:val="nil"/>
              <w:left w:val="nil"/>
              <w:bottom w:val="single" w:sz="4" w:space="0" w:color="auto"/>
              <w:right w:val="single" w:sz="4" w:space="0" w:color="auto"/>
            </w:tcBorders>
            <w:shd w:val="clear" w:color="auto" w:fill="auto"/>
            <w:noWrap/>
            <w:vAlign w:val="center"/>
            <w:hideMark/>
          </w:tcPr>
          <w:p w14:paraId="68F36649"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13,6</w:t>
            </w:r>
          </w:p>
        </w:tc>
        <w:tc>
          <w:tcPr>
            <w:tcW w:w="850" w:type="dxa"/>
            <w:tcBorders>
              <w:top w:val="nil"/>
              <w:left w:val="nil"/>
              <w:bottom w:val="single" w:sz="4" w:space="0" w:color="auto"/>
              <w:right w:val="single" w:sz="4" w:space="0" w:color="auto"/>
            </w:tcBorders>
            <w:shd w:val="clear" w:color="auto" w:fill="auto"/>
            <w:noWrap/>
            <w:vAlign w:val="center"/>
            <w:hideMark/>
          </w:tcPr>
          <w:p w14:paraId="5CA7DF7A"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15,1</w:t>
            </w:r>
          </w:p>
        </w:tc>
        <w:tc>
          <w:tcPr>
            <w:tcW w:w="1119" w:type="dxa"/>
            <w:tcBorders>
              <w:top w:val="nil"/>
              <w:left w:val="nil"/>
              <w:bottom w:val="single" w:sz="4" w:space="0" w:color="auto"/>
              <w:right w:val="single" w:sz="4" w:space="0" w:color="auto"/>
            </w:tcBorders>
            <w:shd w:val="clear" w:color="auto" w:fill="auto"/>
            <w:noWrap/>
            <w:vAlign w:val="center"/>
            <w:hideMark/>
          </w:tcPr>
          <w:p w14:paraId="2F353246"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16,2</w:t>
            </w:r>
          </w:p>
        </w:tc>
      </w:tr>
      <w:tr w:rsidR="00614268" w:rsidRPr="00614268" w14:paraId="13B15448"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BB761EF"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Lai īstenotu secīgu pāreju uz mācībām valsts valodā</w:t>
            </w:r>
          </w:p>
        </w:tc>
        <w:tc>
          <w:tcPr>
            <w:tcW w:w="992" w:type="dxa"/>
            <w:tcBorders>
              <w:top w:val="nil"/>
              <w:left w:val="nil"/>
              <w:bottom w:val="single" w:sz="4" w:space="0" w:color="auto"/>
              <w:right w:val="single" w:sz="4" w:space="0" w:color="auto"/>
            </w:tcBorders>
            <w:shd w:val="clear" w:color="auto" w:fill="auto"/>
            <w:noWrap/>
            <w:vAlign w:val="center"/>
            <w:hideMark/>
          </w:tcPr>
          <w:p w14:paraId="1534D0E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5,0</w:t>
            </w:r>
          </w:p>
        </w:tc>
        <w:tc>
          <w:tcPr>
            <w:tcW w:w="850" w:type="dxa"/>
            <w:tcBorders>
              <w:top w:val="nil"/>
              <w:left w:val="nil"/>
              <w:bottom w:val="single" w:sz="4" w:space="0" w:color="auto"/>
              <w:right w:val="single" w:sz="4" w:space="0" w:color="auto"/>
            </w:tcBorders>
            <w:shd w:val="clear" w:color="auto" w:fill="auto"/>
            <w:noWrap/>
            <w:vAlign w:val="center"/>
            <w:hideMark/>
          </w:tcPr>
          <w:p w14:paraId="263E5DBF"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3,0</w:t>
            </w:r>
          </w:p>
        </w:tc>
        <w:tc>
          <w:tcPr>
            <w:tcW w:w="1119" w:type="dxa"/>
            <w:tcBorders>
              <w:top w:val="nil"/>
              <w:left w:val="nil"/>
              <w:bottom w:val="single" w:sz="4" w:space="0" w:color="auto"/>
              <w:right w:val="single" w:sz="4" w:space="0" w:color="auto"/>
            </w:tcBorders>
            <w:shd w:val="clear" w:color="auto" w:fill="auto"/>
            <w:noWrap/>
            <w:vAlign w:val="center"/>
            <w:hideMark/>
          </w:tcPr>
          <w:p w14:paraId="419F3497"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1,3</w:t>
            </w:r>
          </w:p>
        </w:tc>
      </w:tr>
      <w:tr w:rsidR="00614268" w:rsidRPr="00614268" w14:paraId="1993E3AC"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14FB1651"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Valsts augstskolu padomju darbības nodrošināšana</w:t>
            </w:r>
          </w:p>
        </w:tc>
        <w:tc>
          <w:tcPr>
            <w:tcW w:w="992" w:type="dxa"/>
            <w:tcBorders>
              <w:top w:val="nil"/>
              <w:left w:val="nil"/>
              <w:bottom w:val="single" w:sz="4" w:space="0" w:color="auto"/>
              <w:right w:val="single" w:sz="4" w:space="0" w:color="auto"/>
            </w:tcBorders>
            <w:shd w:val="clear" w:color="auto" w:fill="auto"/>
            <w:noWrap/>
            <w:vAlign w:val="center"/>
            <w:hideMark/>
          </w:tcPr>
          <w:p w14:paraId="7F93D1D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1,8</w:t>
            </w:r>
          </w:p>
        </w:tc>
        <w:tc>
          <w:tcPr>
            <w:tcW w:w="850" w:type="dxa"/>
            <w:tcBorders>
              <w:top w:val="nil"/>
              <w:left w:val="nil"/>
              <w:bottom w:val="single" w:sz="4" w:space="0" w:color="auto"/>
              <w:right w:val="single" w:sz="4" w:space="0" w:color="auto"/>
            </w:tcBorders>
            <w:shd w:val="clear" w:color="auto" w:fill="auto"/>
            <w:noWrap/>
            <w:vAlign w:val="center"/>
            <w:hideMark/>
          </w:tcPr>
          <w:p w14:paraId="64E598E4"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1,7</w:t>
            </w:r>
          </w:p>
        </w:tc>
        <w:tc>
          <w:tcPr>
            <w:tcW w:w="1119" w:type="dxa"/>
            <w:tcBorders>
              <w:top w:val="nil"/>
              <w:left w:val="nil"/>
              <w:bottom w:val="single" w:sz="4" w:space="0" w:color="auto"/>
              <w:right w:val="single" w:sz="4" w:space="0" w:color="auto"/>
            </w:tcBorders>
            <w:shd w:val="clear" w:color="auto" w:fill="auto"/>
            <w:noWrap/>
            <w:vAlign w:val="center"/>
            <w:hideMark/>
          </w:tcPr>
          <w:p w14:paraId="57274BC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1,4</w:t>
            </w:r>
          </w:p>
        </w:tc>
      </w:tr>
      <w:tr w:rsidR="00614268" w:rsidRPr="00614268" w14:paraId="77298424"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5991FC0C"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Latvijas dalības nodrošināšana Eiropas Kodolpētījumu organizācijā (CERN) </w:t>
            </w:r>
            <w:proofErr w:type="spellStart"/>
            <w:r w:rsidRPr="00A264AA">
              <w:rPr>
                <w:rFonts w:eastAsia="Times New Roman" w:cs="Times New Roman"/>
                <w:color w:val="000000"/>
                <w:sz w:val="18"/>
                <w:szCs w:val="18"/>
              </w:rPr>
              <w:t>pirmsiestāšanās</w:t>
            </w:r>
            <w:proofErr w:type="spellEnd"/>
            <w:r w:rsidRPr="00A264AA">
              <w:rPr>
                <w:rFonts w:eastAsia="Times New Roman" w:cs="Times New Roman"/>
                <w:color w:val="000000"/>
                <w:sz w:val="18"/>
                <w:szCs w:val="18"/>
              </w:rPr>
              <w:t xml:space="preserve"> dalībvalsts statusā</w:t>
            </w:r>
          </w:p>
        </w:tc>
        <w:tc>
          <w:tcPr>
            <w:tcW w:w="992" w:type="dxa"/>
            <w:tcBorders>
              <w:top w:val="nil"/>
              <w:left w:val="nil"/>
              <w:bottom w:val="single" w:sz="4" w:space="0" w:color="auto"/>
              <w:right w:val="single" w:sz="4" w:space="0" w:color="auto"/>
            </w:tcBorders>
            <w:shd w:val="clear" w:color="auto" w:fill="auto"/>
            <w:noWrap/>
            <w:vAlign w:val="center"/>
            <w:hideMark/>
          </w:tcPr>
          <w:p w14:paraId="507F4BE6"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3E8F93D7"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1,1</w:t>
            </w:r>
          </w:p>
        </w:tc>
        <w:tc>
          <w:tcPr>
            <w:tcW w:w="1119" w:type="dxa"/>
            <w:tcBorders>
              <w:top w:val="nil"/>
              <w:left w:val="nil"/>
              <w:bottom w:val="single" w:sz="4" w:space="0" w:color="auto"/>
              <w:right w:val="single" w:sz="4" w:space="0" w:color="auto"/>
            </w:tcBorders>
            <w:shd w:val="clear" w:color="auto" w:fill="auto"/>
            <w:noWrap/>
            <w:vAlign w:val="center"/>
            <w:hideMark/>
          </w:tcPr>
          <w:p w14:paraId="25277E6B"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1,9</w:t>
            </w:r>
          </w:p>
        </w:tc>
      </w:tr>
      <w:tr w:rsidR="00614268" w:rsidRPr="00614268" w14:paraId="2C2FE390"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EBF5EE7"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Mācību līdzekļu iegādei un digitālo mācību līdzekļu un platformu izstrādei un uzturēšanai</w:t>
            </w:r>
          </w:p>
        </w:tc>
        <w:tc>
          <w:tcPr>
            <w:tcW w:w="992" w:type="dxa"/>
            <w:tcBorders>
              <w:top w:val="nil"/>
              <w:left w:val="nil"/>
              <w:bottom w:val="single" w:sz="4" w:space="0" w:color="auto"/>
              <w:right w:val="single" w:sz="4" w:space="0" w:color="auto"/>
            </w:tcBorders>
            <w:shd w:val="clear" w:color="auto" w:fill="auto"/>
            <w:noWrap/>
            <w:vAlign w:val="center"/>
            <w:hideMark/>
          </w:tcPr>
          <w:p w14:paraId="5EA88747"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4,2</w:t>
            </w:r>
          </w:p>
        </w:tc>
        <w:tc>
          <w:tcPr>
            <w:tcW w:w="850" w:type="dxa"/>
            <w:tcBorders>
              <w:top w:val="nil"/>
              <w:left w:val="nil"/>
              <w:bottom w:val="single" w:sz="4" w:space="0" w:color="auto"/>
              <w:right w:val="single" w:sz="4" w:space="0" w:color="auto"/>
            </w:tcBorders>
            <w:shd w:val="clear" w:color="auto" w:fill="auto"/>
            <w:noWrap/>
            <w:vAlign w:val="center"/>
            <w:hideMark/>
          </w:tcPr>
          <w:p w14:paraId="025A93F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4,0</w:t>
            </w:r>
          </w:p>
        </w:tc>
        <w:tc>
          <w:tcPr>
            <w:tcW w:w="1119" w:type="dxa"/>
            <w:tcBorders>
              <w:top w:val="nil"/>
              <w:left w:val="nil"/>
              <w:bottom w:val="single" w:sz="4" w:space="0" w:color="auto"/>
              <w:right w:val="single" w:sz="4" w:space="0" w:color="auto"/>
            </w:tcBorders>
            <w:shd w:val="clear" w:color="auto" w:fill="auto"/>
            <w:noWrap/>
            <w:vAlign w:val="center"/>
            <w:hideMark/>
          </w:tcPr>
          <w:p w14:paraId="67EA8CF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4,0</w:t>
            </w:r>
          </w:p>
        </w:tc>
      </w:tr>
      <w:tr w:rsidR="00614268" w:rsidRPr="00614268" w14:paraId="77A8A670"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4439DC63"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Kvalitatīvas izglītības ieguves nodrošināšana tiesībaizsardzības iestāžu amatpersonām</w:t>
            </w:r>
          </w:p>
        </w:tc>
        <w:tc>
          <w:tcPr>
            <w:tcW w:w="992" w:type="dxa"/>
            <w:tcBorders>
              <w:top w:val="nil"/>
              <w:left w:val="nil"/>
              <w:bottom w:val="single" w:sz="4" w:space="0" w:color="auto"/>
              <w:right w:val="single" w:sz="4" w:space="0" w:color="auto"/>
            </w:tcBorders>
            <w:shd w:val="clear" w:color="auto" w:fill="auto"/>
            <w:noWrap/>
            <w:vAlign w:val="center"/>
            <w:hideMark/>
          </w:tcPr>
          <w:p w14:paraId="7AC889F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0,7</w:t>
            </w:r>
          </w:p>
        </w:tc>
        <w:tc>
          <w:tcPr>
            <w:tcW w:w="850" w:type="dxa"/>
            <w:tcBorders>
              <w:top w:val="nil"/>
              <w:left w:val="nil"/>
              <w:bottom w:val="single" w:sz="4" w:space="0" w:color="auto"/>
              <w:right w:val="single" w:sz="4" w:space="0" w:color="auto"/>
            </w:tcBorders>
            <w:shd w:val="clear" w:color="auto" w:fill="auto"/>
            <w:noWrap/>
            <w:vAlign w:val="center"/>
            <w:hideMark/>
          </w:tcPr>
          <w:p w14:paraId="7A61DE49"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1,7</w:t>
            </w:r>
          </w:p>
        </w:tc>
        <w:tc>
          <w:tcPr>
            <w:tcW w:w="1119" w:type="dxa"/>
            <w:tcBorders>
              <w:top w:val="nil"/>
              <w:left w:val="nil"/>
              <w:bottom w:val="single" w:sz="4" w:space="0" w:color="auto"/>
              <w:right w:val="single" w:sz="4" w:space="0" w:color="auto"/>
            </w:tcBorders>
            <w:shd w:val="clear" w:color="auto" w:fill="auto"/>
            <w:noWrap/>
            <w:vAlign w:val="center"/>
            <w:hideMark/>
          </w:tcPr>
          <w:p w14:paraId="179985A4"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2,5</w:t>
            </w:r>
          </w:p>
        </w:tc>
      </w:tr>
      <w:tr w:rsidR="00614268" w:rsidRPr="00614268" w14:paraId="2EE9D069"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1C0609EE"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STEM jomas programmu finansējuma palielinājums interešu izglītībā</w:t>
            </w:r>
          </w:p>
        </w:tc>
        <w:tc>
          <w:tcPr>
            <w:tcW w:w="992" w:type="dxa"/>
            <w:tcBorders>
              <w:top w:val="nil"/>
              <w:left w:val="nil"/>
              <w:bottom w:val="single" w:sz="4" w:space="0" w:color="auto"/>
              <w:right w:val="single" w:sz="4" w:space="0" w:color="auto"/>
            </w:tcBorders>
            <w:shd w:val="clear" w:color="auto" w:fill="auto"/>
            <w:noWrap/>
            <w:vAlign w:val="center"/>
            <w:hideMark/>
          </w:tcPr>
          <w:p w14:paraId="2EB7B106"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580F0A8C"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1,5</w:t>
            </w:r>
          </w:p>
        </w:tc>
        <w:tc>
          <w:tcPr>
            <w:tcW w:w="1119" w:type="dxa"/>
            <w:tcBorders>
              <w:top w:val="nil"/>
              <w:left w:val="nil"/>
              <w:bottom w:val="single" w:sz="4" w:space="0" w:color="auto"/>
              <w:right w:val="single" w:sz="4" w:space="0" w:color="auto"/>
            </w:tcBorders>
            <w:shd w:val="clear" w:color="auto" w:fill="auto"/>
            <w:noWrap/>
            <w:vAlign w:val="center"/>
            <w:hideMark/>
          </w:tcPr>
          <w:p w14:paraId="54146EC1"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2,9</w:t>
            </w:r>
          </w:p>
        </w:tc>
      </w:tr>
      <w:tr w:rsidR="00614268" w:rsidRPr="00614268" w14:paraId="5AAB7F5A"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5AED0E01"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STEM piedāvājuma stiprināšana Valsts nozīmes interešu izglītības centros</w:t>
            </w:r>
          </w:p>
        </w:tc>
        <w:tc>
          <w:tcPr>
            <w:tcW w:w="992" w:type="dxa"/>
            <w:tcBorders>
              <w:top w:val="nil"/>
              <w:left w:val="nil"/>
              <w:bottom w:val="single" w:sz="4" w:space="0" w:color="auto"/>
              <w:right w:val="single" w:sz="4" w:space="0" w:color="auto"/>
            </w:tcBorders>
            <w:shd w:val="clear" w:color="auto" w:fill="auto"/>
            <w:noWrap/>
            <w:vAlign w:val="center"/>
            <w:hideMark/>
          </w:tcPr>
          <w:p w14:paraId="533F2F9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c>
          <w:tcPr>
            <w:tcW w:w="850" w:type="dxa"/>
            <w:tcBorders>
              <w:top w:val="nil"/>
              <w:left w:val="nil"/>
              <w:bottom w:val="single" w:sz="4" w:space="0" w:color="auto"/>
              <w:right w:val="single" w:sz="4" w:space="0" w:color="auto"/>
            </w:tcBorders>
            <w:shd w:val="clear" w:color="auto" w:fill="auto"/>
            <w:noWrap/>
            <w:vAlign w:val="center"/>
            <w:hideMark/>
          </w:tcPr>
          <w:p w14:paraId="3A120EB9"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0,9</w:t>
            </w:r>
          </w:p>
        </w:tc>
        <w:tc>
          <w:tcPr>
            <w:tcW w:w="1119" w:type="dxa"/>
            <w:tcBorders>
              <w:top w:val="nil"/>
              <w:left w:val="nil"/>
              <w:bottom w:val="single" w:sz="4" w:space="0" w:color="auto"/>
              <w:right w:val="single" w:sz="4" w:space="0" w:color="auto"/>
            </w:tcBorders>
            <w:shd w:val="clear" w:color="auto" w:fill="auto"/>
            <w:noWrap/>
            <w:vAlign w:val="center"/>
            <w:hideMark/>
          </w:tcPr>
          <w:p w14:paraId="61CB98A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0,9</w:t>
            </w:r>
          </w:p>
        </w:tc>
      </w:tr>
      <w:tr w:rsidR="00614268" w:rsidRPr="00614268" w14:paraId="4CB3CFC3"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00418D3F"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STEM skolotāju sagatavošanas programma 3 gadiem</w:t>
            </w:r>
          </w:p>
        </w:tc>
        <w:tc>
          <w:tcPr>
            <w:tcW w:w="992" w:type="dxa"/>
            <w:tcBorders>
              <w:top w:val="nil"/>
              <w:left w:val="nil"/>
              <w:bottom w:val="single" w:sz="4" w:space="0" w:color="auto"/>
              <w:right w:val="single" w:sz="4" w:space="0" w:color="auto"/>
            </w:tcBorders>
            <w:shd w:val="clear" w:color="auto" w:fill="auto"/>
            <w:noWrap/>
            <w:vAlign w:val="center"/>
            <w:hideMark/>
          </w:tcPr>
          <w:p w14:paraId="6DD44C6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c>
          <w:tcPr>
            <w:tcW w:w="850" w:type="dxa"/>
            <w:tcBorders>
              <w:top w:val="nil"/>
              <w:left w:val="nil"/>
              <w:bottom w:val="single" w:sz="4" w:space="0" w:color="auto"/>
              <w:right w:val="single" w:sz="4" w:space="0" w:color="auto"/>
            </w:tcBorders>
            <w:shd w:val="clear" w:color="auto" w:fill="auto"/>
            <w:noWrap/>
            <w:vAlign w:val="center"/>
            <w:hideMark/>
          </w:tcPr>
          <w:p w14:paraId="0484E7B1"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c>
          <w:tcPr>
            <w:tcW w:w="1119" w:type="dxa"/>
            <w:tcBorders>
              <w:top w:val="nil"/>
              <w:left w:val="nil"/>
              <w:bottom w:val="single" w:sz="4" w:space="0" w:color="auto"/>
              <w:right w:val="single" w:sz="4" w:space="0" w:color="auto"/>
            </w:tcBorders>
            <w:shd w:val="clear" w:color="auto" w:fill="auto"/>
            <w:noWrap/>
            <w:vAlign w:val="center"/>
            <w:hideMark/>
          </w:tcPr>
          <w:p w14:paraId="79B916F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r>
      <w:tr w:rsidR="00614268" w:rsidRPr="00614268" w14:paraId="4283E1FF"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29363C64"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Inovatīvas valsts digitālās pārvaldības zinātniskās un mācību kompetences attīstība ar </w:t>
            </w:r>
            <w:proofErr w:type="spellStart"/>
            <w:r w:rsidRPr="00A264AA">
              <w:rPr>
                <w:rFonts w:eastAsia="Times New Roman" w:cs="Times New Roman"/>
                <w:color w:val="000000"/>
                <w:sz w:val="18"/>
                <w:szCs w:val="18"/>
              </w:rPr>
              <w:t>tenūra</w:t>
            </w:r>
            <w:proofErr w:type="spellEnd"/>
            <w:r w:rsidRPr="00A264AA">
              <w:rPr>
                <w:rFonts w:eastAsia="Times New Roman" w:cs="Times New Roman"/>
                <w:color w:val="000000"/>
                <w:sz w:val="18"/>
                <w:szCs w:val="18"/>
              </w:rPr>
              <w:t xml:space="preserve"> modeli un studiju programmu</w:t>
            </w:r>
          </w:p>
        </w:tc>
        <w:tc>
          <w:tcPr>
            <w:tcW w:w="992" w:type="dxa"/>
            <w:tcBorders>
              <w:top w:val="nil"/>
              <w:left w:val="nil"/>
              <w:bottom w:val="single" w:sz="4" w:space="0" w:color="auto"/>
              <w:right w:val="single" w:sz="4" w:space="0" w:color="auto"/>
            </w:tcBorders>
            <w:shd w:val="clear" w:color="auto" w:fill="auto"/>
            <w:noWrap/>
            <w:vAlign w:val="center"/>
            <w:hideMark/>
          </w:tcPr>
          <w:p w14:paraId="20B785EC"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0,6</w:t>
            </w:r>
          </w:p>
        </w:tc>
        <w:tc>
          <w:tcPr>
            <w:tcW w:w="850" w:type="dxa"/>
            <w:tcBorders>
              <w:top w:val="nil"/>
              <w:left w:val="nil"/>
              <w:bottom w:val="single" w:sz="4" w:space="0" w:color="auto"/>
              <w:right w:val="single" w:sz="4" w:space="0" w:color="auto"/>
            </w:tcBorders>
            <w:shd w:val="clear" w:color="auto" w:fill="auto"/>
            <w:noWrap/>
            <w:vAlign w:val="center"/>
            <w:hideMark/>
          </w:tcPr>
          <w:p w14:paraId="3B996E0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0,8</w:t>
            </w:r>
          </w:p>
        </w:tc>
        <w:tc>
          <w:tcPr>
            <w:tcW w:w="1119" w:type="dxa"/>
            <w:tcBorders>
              <w:top w:val="nil"/>
              <w:left w:val="nil"/>
              <w:bottom w:val="single" w:sz="4" w:space="0" w:color="auto"/>
              <w:right w:val="single" w:sz="4" w:space="0" w:color="auto"/>
            </w:tcBorders>
            <w:shd w:val="clear" w:color="auto" w:fill="auto"/>
            <w:noWrap/>
            <w:vAlign w:val="center"/>
            <w:hideMark/>
          </w:tcPr>
          <w:p w14:paraId="081FAEDC"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1,0</w:t>
            </w:r>
          </w:p>
        </w:tc>
      </w:tr>
      <w:tr w:rsidR="00614268" w:rsidRPr="00614268" w14:paraId="27809FB0"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CC2E5"/>
            <w:vAlign w:val="center"/>
            <w:hideMark/>
          </w:tcPr>
          <w:p w14:paraId="5881D6B1" w14:textId="77777777" w:rsidR="00614268" w:rsidRPr="00A264AA" w:rsidRDefault="00614268" w:rsidP="00614268">
            <w:pPr>
              <w:spacing w:after="0"/>
              <w:ind w:firstLine="0"/>
              <w:rPr>
                <w:rFonts w:eastAsia="Times New Roman" w:cs="Times New Roman"/>
                <w:b/>
                <w:bCs/>
                <w:color w:val="000000"/>
                <w:sz w:val="18"/>
                <w:szCs w:val="18"/>
              </w:rPr>
            </w:pPr>
            <w:r w:rsidRPr="00A264AA">
              <w:rPr>
                <w:rFonts w:eastAsia="Times New Roman" w:cs="Times New Roman"/>
                <w:b/>
                <w:bCs/>
                <w:color w:val="000000"/>
                <w:sz w:val="18"/>
                <w:szCs w:val="18"/>
              </w:rPr>
              <w:t>Nozaru prioritātes</w:t>
            </w:r>
          </w:p>
        </w:tc>
        <w:tc>
          <w:tcPr>
            <w:tcW w:w="992" w:type="dxa"/>
            <w:tcBorders>
              <w:top w:val="nil"/>
              <w:left w:val="nil"/>
              <w:bottom w:val="single" w:sz="4" w:space="0" w:color="auto"/>
              <w:right w:val="single" w:sz="4" w:space="0" w:color="auto"/>
            </w:tcBorders>
            <w:shd w:val="clear" w:color="000000" w:fill="9CC2E5"/>
            <w:noWrap/>
            <w:vAlign w:val="center"/>
            <w:hideMark/>
          </w:tcPr>
          <w:p w14:paraId="08162317"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175,7</w:t>
            </w:r>
          </w:p>
        </w:tc>
        <w:tc>
          <w:tcPr>
            <w:tcW w:w="850" w:type="dxa"/>
            <w:tcBorders>
              <w:top w:val="nil"/>
              <w:left w:val="nil"/>
              <w:bottom w:val="single" w:sz="4" w:space="0" w:color="auto"/>
              <w:right w:val="single" w:sz="4" w:space="0" w:color="auto"/>
            </w:tcBorders>
            <w:shd w:val="clear" w:color="000000" w:fill="9CC2E5"/>
            <w:noWrap/>
            <w:vAlign w:val="center"/>
            <w:hideMark/>
          </w:tcPr>
          <w:p w14:paraId="544CD437"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114,3</w:t>
            </w:r>
          </w:p>
        </w:tc>
        <w:tc>
          <w:tcPr>
            <w:tcW w:w="1119" w:type="dxa"/>
            <w:tcBorders>
              <w:top w:val="nil"/>
              <w:left w:val="nil"/>
              <w:bottom w:val="single" w:sz="4" w:space="0" w:color="auto"/>
              <w:right w:val="single" w:sz="4" w:space="0" w:color="auto"/>
            </w:tcBorders>
            <w:shd w:val="clear" w:color="000000" w:fill="9CC2E5"/>
            <w:noWrap/>
            <w:vAlign w:val="center"/>
            <w:hideMark/>
          </w:tcPr>
          <w:p w14:paraId="227617ED"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136,2</w:t>
            </w:r>
          </w:p>
        </w:tc>
      </w:tr>
      <w:tr w:rsidR="00614268" w:rsidRPr="00614268" w14:paraId="4BD957B9"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0C7AEC72"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Atbalsts lauksaimniecības ekonomiskās dzīvotspējas stiprināšanai un krīzes radīto seko novēršanai</w:t>
            </w:r>
          </w:p>
        </w:tc>
        <w:tc>
          <w:tcPr>
            <w:tcW w:w="992" w:type="dxa"/>
            <w:tcBorders>
              <w:top w:val="nil"/>
              <w:left w:val="nil"/>
              <w:bottom w:val="single" w:sz="4" w:space="0" w:color="auto"/>
              <w:right w:val="single" w:sz="4" w:space="0" w:color="auto"/>
            </w:tcBorders>
            <w:shd w:val="clear" w:color="auto" w:fill="auto"/>
            <w:noWrap/>
            <w:vAlign w:val="center"/>
            <w:hideMark/>
          </w:tcPr>
          <w:p w14:paraId="62CD8C28"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12,0</w:t>
            </w:r>
          </w:p>
        </w:tc>
        <w:tc>
          <w:tcPr>
            <w:tcW w:w="850" w:type="dxa"/>
            <w:tcBorders>
              <w:top w:val="nil"/>
              <w:left w:val="nil"/>
              <w:bottom w:val="single" w:sz="4" w:space="0" w:color="auto"/>
              <w:right w:val="single" w:sz="4" w:space="0" w:color="auto"/>
            </w:tcBorders>
            <w:shd w:val="clear" w:color="auto" w:fill="auto"/>
            <w:noWrap/>
            <w:vAlign w:val="center"/>
            <w:hideMark/>
          </w:tcPr>
          <w:p w14:paraId="0286C3F6"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0718574A"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01440B25"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6C073A9F"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 xml:space="preserve">Dzelzceļa publiskās infrastruktūras uzturēšana </w:t>
            </w:r>
          </w:p>
        </w:tc>
        <w:tc>
          <w:tcPr>
            <w:tcW w:w="992" w:type="dxa"/>
            <w:tcBorders>
              <w:top w:val="nil"/>
              <w:left w:val="nil"/>
              <w:bottom w:val="single" w:sz="4" w:space="0" w:color="auto"/>
              <w:right w:val="single" w:sz="4" w:space="0" w:color="auto"/>
            </w:tcBorders>
            <w:shd w:val="clear" w:color="auto" w:fill="auto"/>
            <w:noWrap/>
            <w:vAlign w:val="center"/>
            <w:hideMark/>
          </w:tcPr>
          <w:p w14:paraId="6C60E24A"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19,0</w:t>
            </w:r>
          </w:p>
        </w:tc>
        <w:tc>
          <w:tcPr>
            <w:tcW w:w="850" w:type="dxa"/>
            <w:tcBorders>
              <w:top w:val="nil"/>
              <w:left w:val="nil"/>
              <w:bottom w:val="single" w:sz="4" w:space="0" w:color="auto"/>
              <w:right w:val="single" w:sz="4" w:space="0" w:color="auto"/>
            </w:tcBorders>
            <w:shd w:val="clear" w:color="auto" w:fill="auto"/>
            <w:noWrap/>
            <w:vAlign w:val="center"/>
            <w:hideMark/>
          </w:tcPr>
          <w:p w14:paraId="5BD62CE3"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19,0</w:t>
            </w:r>
          </w:p>
        </w:tc>
        <w:tc>
          <w:tcPr>
            <w:tcW w:w="1119" w:type="dxa"/>
            <w:tcBorders>
              <w:top w:val="nil"/>
              <w:left w:val="nil"/>
              <w:bottom w:val="single" w:sz="4" w:space="0" w:color="auto"/>
              <w:right w:val="single" w:sz="4" w:space="0" w:color="auto"/>
            </w:tcBorders>
            <w:shd w:val="clear" w:color="auto" w:fill="auto"/>
            <w:noWrap/>
            <w:vAlign w:val="center"/>
            <w:hideMark/>
          </w:tcPr>
          <w:p w14:paraId="4284F1F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19,0</w:t>
            </w:r>
          </w:p>
        </w:tc>
      </w:tr>
      <w:tr w:rsidR="00614268" w:rsidRPr="00614268" w14:paraId="3B8768DA"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2A6C3F91"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 xml:space="preserve">Dotācija zaudējumu segšanai sabiedriskā transporta pakalpojumu sniedzējiem </w:t>
            </w:r>
          </w:p>
        </w:tc>
        <w:tc>
          <w:tcPr>
            <w:tcW w:w="992" w:type="dxa"/>
            <w:tcBorders>
              <w:top w:val="nil"/>
              <w:left w:val="nil"/>
              <w:bottom w:val="single" w:sz="4" w:space="0" w:color="auto"/>
              <w:right w:val="single" w:sz="4" w:space="0" w:color="auto"/>
            </w:tcBorders>
            <w:shd w:val="clear" w:color="auto" w:fill="auto"/>
            <w:noWrap/>
            <w:vAlign w:val="center"/>
            <w:hideMark/>
          </w:tcPr>
          <w:p w14:paraId="15CF6F34"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17,9</w:t>
            </w:r>
          </w:p>
        </w:tc>
        <w:tc>
          <w:tcPr>
            <w:tcW w:w="850" w:type="dxa"/>
            <w:tcBorders>
              <w:top w:val="nil"/>
              <w:left w:val="nil"/>
              <w:bottom w:val="single" w:sz="4" w:space="0" w:color="auto"/>
              <w:right w:val="single" w:sz="4" w:space="0" w:color="auto"/>
            </w:tcBorders>
            <w:shd w:val="clear" w:color="auto" w:fill="auto"/>
            <w:noWrap/>
            <w:vAlign w:val="center"/>
            <w:hideMark/>
          </w:tcPr>
          <w:p w14:paraId="51E9CE7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17,9</w:t>
            </w:r>
          </w:p>
        </w:tc>
        <w:tc>
          <w:tcPr>
            <w:tcW w:w="1119" w:type="dxa"/>
            <w:tcBorders>
              <w:top w:val="nil"/>
              <w:left w:val="nil"/>
              <w:bottom w:val="single" w:sz="4" w:space="0" w:color="auto"/>
              <w:right w:val="single" w:sz="4" w:space="0" w:color="auto"/>
            </w:tcBorders>
            <w:shd w:val="clear" w:color="auto" w:fill="auto"/>
            <w:noWrap/>
            <w:vAlign w:val="center"/>
            <w:hideMark/>
          </w:tcPr>
          <w:p w14:paraId="11A329CD"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17,9</w:t>
            </w:r>
          </w:p>
        </w:tc>
      </w:tr>
      <w:tr w:rsidR="00614268" w:rsidRPr="00614268" w14:paraId="48ABB946"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54CE42B1"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 xml:space="preserve">Piemaksu pie vecuma un invaliditātes pensijas saņēmēju loka un apmēra paplašināšana </w:t>
            </w:r>
          </w:p>
        </w:tc>
        <w:tc>
          <w:tcPr>
            <w:tcW w:w="992" w:type="dxa"/>
            <w:tcBorders>
              <w:top w:val="nil"/>
              <w:left w:val="nil"/>
              <w:bottom w:val="single" w:sz="4" w:space="0" w:color="auto"/>
              <w:right w:val="single" w:sz="4" w:space="0" w:color="auto"/>
            </w:tcBorders>
            <w:shd w:val="clear" w:color="auto" w:fill="auto"/>
            <w:noWrap/>
            <w:vAlign w:val="center"/>
            <w:hideMark/>
          </w:tcPr>
          <w:p w14:paraId="07E175C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14,5</w:t>
            </w:r>
          </w:p>
        </w:tc>
        <w:tc>
          <w:tcPr>
            <w:tcW w:w="850" w:type="dxa"/>
            <w:tcBorders>
              <w:top w:val="nil"/>
              <w:left w:val="nil"/>
              <w:bottom w:val="single" w:sz="4" w:space="0" w:color="auto"/>
              <w:right w:val="single" w:sz="4" w:space="0" w:color="auto"/>
            </w:tcBorders>
            <w:shd w:val="clear" w:color="auto" w:fill="auto"/>
            <w:noWrap/>
            <w:vAlign w:val="center"/>
            <w:hideMark/>
          </w:tcPr>
          <w:p w14:paraId="6F709907"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30,1</w:t>
            </w:r>
          </w:p>
        </w:tc>
        <w:tc>
          <w:tcPr>
            <w:tcW w:w="1119" w:type="dxa"/>
            <w:tcBorders>
              <w:top w:val="nil"/>
              <w:left w:val="nil"/>
              <w:bottom w:val="single" w:sz="4" w:space="0" w:color="auto"/>
              <w:right w:val="single" w:sz="4" w:space="0" w:color="auto"/>
            </w:tcBorders>
            <w:shd w:val="clear" w:color="auto" w:fill="auto"/>
            <w:noWrap/>
            <w:vAlign w:val="center"/>
            <w:hideMark/>
          </w:tcPr>
          <w:p w14:paraId="4DAB88C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51,5</w:t>
            </w:r>
          </w:p>
        </w:tc>
      </w:tr>
      <w:tr w:rsidR="00614268" w:rsidRPr="00614268" w14:paraId="5651002B"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EEF90FC"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Atbalsta pasākumi ģimenēm un bērniem</w:t>
            </w:r>
          </w:p>
        </w:tc>
        <w:tc>
          <w:tcPr>
            <w:tcW w:w="992" w:type="dxa"/>
            <w:tcBorders>
              <w:top w:val="nil"/>
              <w:left w:val="nil"/>
              <w:bottom w:val="single" w:sz="4" w:space="0" w:color="auto"/>
              <w:right w:val="single" w:sz="4" w:space="0" w:color="auto"/>
            </w:tcBorders>
            <w:shd w:val="clear" w:color="auto" w:fill="auto"/>
            <w:noWrap/>
            <w:vAlign w:val="center"/>
            <w:hideMark/>
          </w:tcPr>
          <w:p w14:paraId="479A1C97"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5,8</w:t>
            </w:r>
          </w:p>
        </w:tc>
        <w:tc>
          <w:tcPr>
            <w:tcW w:w="850" w:type="dxa"/>
            <w:tcBorders>
              <w:top w:val="nil"/>
              <w:left w:val="nil"/>
              <w:bottom w:val="single" w:sz="4" w:space="0" w:color="auto"/>
              <w:right w:val="single" w:sz="4" w:space="0" w:color="auto"/>
            </w:tcBorders>
            <w:shd w:val="clear" w:color="auto" w:fill="auto"/>
            <w:noWrap/>
            <w:vAlign w:val="center"/>
            <w:hideMark/>
          </w:tcPr>
          <w:p w14:paraId="7E47AF3C"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5,8</w:t>
            </w:r>
          </w:p>
        </w:tc>
        <w:tc>
          <w:tcPr>
            <w:tcW w:w="1119" w:type="dxa"/>
            <w:tcBorders>
              <w:top w:val="nil"/>
              <w:left w:val="nil"/>
              <w:bottom w:val="single" w:sz="4" w:space="0" w:color="auto"/>
              <w:right w:val="single" w:sz="4" w:space="0" w:color="auto"/>
            </w:tcBorders>
            <w:shd w:val="clear" w:color="auto" w:fill="auto"/>
            <w:noWrap/>
            <w:vAlign w:val="center"/>
            <w:hideMark/>
          </w:tcPr>
          <w:p w14:paraId="1F1A7D98"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5,8</w:t>
            </w:r>
          </w:p>
        </w:tc>
      </w:tr>
      <w:tr w:rsidR="00614268" w:rsidRPr="00614268" w14:paraId="08833323"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C804430"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Atbalstam elektroenerģijas tarifu pieauguma kompensēšanai</w:t>
            </w:r>
          </w:p>
        </w:tc>
        <w:tc>
          <w:tcPr>
            <w:tcW w:w="992" w:type="dxa"/>
            <w:tcBorders>
              <w:top w:val="nil"/>
              <w:left w:val="nil"/>
              <w:bottom w:val="single" w:sz="4" w:space="0" w:color="auto"/>
              <w:right w:val="single" w:sz="4" w:space="0" w:color="auto"/>
            </w:tcBorders>
            <w:shd w:val="clear" w:color="auto" w:fill="auto"/>
            <w:noWrap/>
            <w:vAlign w:val="center"/>
            <w:hideMark/>
          </w:tcPr>
          <w:p w14:paraId="5FC4EC15"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50,0</w:t>
            </w:r>
          </w:p>
        </w:tc>
        <w:tc>
          <w:tcPr>
            <w:tcW w:w="850" w:type="dxa"/>
            <w:tcBorders>
              <w:top w:val="nil"/>
              <w:left w:val="nil"/>
              <w:bottom w:val="single" w:sz="4" w:space="0" w:color="auto"/>
              <w:right w:val="single" w:sz="4" w:space="0" w:color="auto"/>
            </w:tcBorders>
            <w:shd w:val="clear" w:color="auto" w:fill="auto"/>
            <w:noWrap/>
            <w:vAlign w:val="center"/>
            <w:hideMark/>
          </w:tcPr>
          <w:p w14:paraId="20A1CB35"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79FD611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7D8B4778"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2C4D6F9A"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Vienreizējs mērķēts atbalsts kredītņēmējiem straujo procentu likmju pieauguma daļējai kompensēšanai (74.resorā rezervēt)</w:t>
            </w:r>
          </w:p>
        </w:tc>
        <w:tc>
          <w:tcPr>
            <w:tcW w:w="992" w:type="dxa"/>
            <w:tcBorders>
              <w:top w:val="nil"/>
              <w:left w:val="nil"/>
              <w:bottom w:val="single" w:sz="4" w:space="0" w:color="auto"/>
              <w:right w:val="single" w:sz="4" w:space="0" w:color="auto"/>
            </w:tcBorders>
            <w:shd w:val="clear" w:color="auto" w:fill="auto"/>
            <w:noWrap/>
            <w:vAlign w:val="center"/>
            <w:hideMark/>
          </w:tcPr>
          <w:p w14:paraId="31BF2F07"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12,0</w:t>
            </w:r>
          </w:p>
        </w:tc>
        <w:tc>
          <w:tcPr>
            <w:tcW w:w="850" w:type="dxa"/>
            <w:tcBorders>
              <w:top w:val="nil"/>
              <w:left w:val="nil"/>
              <w:bottom w:val="single" w:sz="4" w:space="0" w:color="auto"/>
              <w:right w:val="single" w:sz="4" w:space="0" w:color="auto"/>
            </w:tcBorders>
            <w:shd w:val="clear" w:color="auto" w:fill="auto"/>
            <w:noWrap/>
            <w:vAlign w:val="center"/>
            <w:hideMark/>
          </w:tcPr>
          <w:p w14:paraId="0E7BEF58"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4399C79A"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6B74FD27"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6341AF57"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lastRenderedPageBreak/>
              <w:t>Inovāciju un eksporta atbalstam</w:t>
            </w:r>
          </w:p>
        </w:tc>
        <w:tc>
          <w:tcPr>
            <w:tcW w:w="992" w:type="dxa"/>
            <w:tcBorders>
              <w:top w:val="nil"/>
              <w:left w:val="nil"/>
              <w:bottom w:val="single" w:sz="4" w:space="0" w:color="auto"/>
              <w:right w:val="single" w:sz="4" w:space="0" w:color="auto"/>
            </w:tcBorders>
            <w:shd w:val="clear" w:color="auto" w:fill="auto"/>
            <w:noWrap/>
            <w:vAlign w:val="center"/>
            <w:hideMark/>
          </w:tcPr>
          <w:p w14:paraId="69F09A68"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6,0</w:t>
            </w:r>
          </w:p>
        </w:tc>
        <w:tc>
          <w:tcPr>
            <w:tcW w:w="850" w:type="dxa"/>
            <w:tcBorders>
              <w:top w:val="nil"/>
              <w:left w:val="nil"/>
              <w:bottom w:val="single" w:sz="4" w:space="0" w:color="auto"/>
              <w:right w:val="single" w:sz="4" w:space="0" w:color="auto"/>
            </w:tcBorders>
            <w:shd w:val="clear" w:color="auto" w:fill="auto"/>
            <w:noWrap/>
            <w:vAlign w:val="center"/>
            <w:hideMark/>
          </w:tcPr>
          <w:p w14:paraId="4E608702"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6,0</w:t>
            </w:r>
          </w:p>
        </w:tc>
        <w:tc>
          <w:tcPr>
            <w:tcW w:w="1119" w:type="dxa"/>
            <w:tcBorders>
              <w:top w:val="nil"/>
              <w:left w:val="nil"/>
              <w:bottom w:val="single" w:sz="4" w:space="0" w:color="auto"/>
              <w:right w:val="single" w:sz="4" w:space="0" w:color="auto"/>
            </w:tcBorders>
            <w:shd w:val="clear" w:color="auto" w:fill="auto"/>
            <w:noWrap/>
            <w:vAlign w:val="center"/>
            <w:hideMark/>
          </w:tcPr>
          <w:p w14:paraId="682841E6"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6,0</w:t>
            </w:r>
          </w:p>
        </w:tc>
      </w:tr>
      <w:tr w:rsidR="00614268" w:rsidRPr="00614268" w14:paraId="22C51994"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220B0E4" w14:textId="77777777" w:rsidR="00614268" w:rsidRPr="00A264AA" w:rsidRDefault="00614268" w:rsidP="00614268">
            <w:pPr>
              <w:spacing w:after="0"/>
              <w:ind w:firstLine="0"/>
              <w:rPr>
                <w:rFonts w:eastAsia="Times New Roman" w:cs="Times New Roman"/>
                <w:color w:val="000000"/>
                <w:sz w:val="18"/>
                <w:szCs w:val="18"/>
              </w:rPr>
            </w:pPr>
            <w:r w:rsidRPr="00A264AA">
              <w:rPr>
                <w:rFonts w:eastAsia="Times New Roman" w:cs="Times New Roman"/>
                <w:color w:val="000000"/>
                <w:sz w:val="18"/>
                <w:szCs w:val="18"/>
              </w:rPr>
              <w:t>Pārējās nozaru prioritātes</w:t>
            </w:r>
          </w:p>
        </w:tc>
        <w:tc>
          <w:tcPr>
            <w:tcW w:w="992" w:type="dxa"/>
            <w:tcBorders>
              <w:top w:val="nil"/>
              <w:left w:val="nil"/>
              <w:bottom w:val="single" w:sz="4" w:space="0" w:color="auto"/>
              <w:right w:val="single" w:sz="4" w:space="0" w:color="auto"/>
            </w:tcBorders>
            <w:shd w:val="clear" w:color="auto" w:fill="auto"/>
            <w:noWrap/>
            <w:vAlign w:val="center"/>
            <w:hideMark/>
          </w:tcPr>
          <w:p w14:paraId="3B2EC7B6"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38,4</w:t>
            </w:r>
          </w:p>
        </w:tc>
        <w:tc>
          <w:tcPr>
            <w:tcW w:w="850" w:type="dxa"/>
            <w:tcBorders>
              <w:top w:val="nil"/>
              <w:left w:val="nil"/>
              <w:bottom w:val="single" w:sz="4" w:space="0" w:color="auto"/>
              <w:right w:val="single" w:sz="4" w:space="0" w:color="auto"/>
            </w:tcBorders>
            <w:shd w:val="clear" w:color="auto" w:fill="auto"/>
            <w:noWrap/>
            <w:vAlign w:val="center"/>
            <w:hideMark/>
          </w:tcPr>
          <w:p w14:paraId="0CB06365"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35,5</w:t>
            </w:r>
          </w:p>
        </w:tc>
        <w:tc>
          <w:tcPr>
            <w:tcW w:w="1119" w:type="dxa"/>
            <w:tcBorders>
              <w:top w:val="nil"/>
              <w:left w:val="nil"/>
              <w:bottom w:val="single" w:sz="4" w:space="0" w:color="auto"/>
              <w:right w:val="single" w:sz="4" w:space="0" w:color="auto"/>
            </w:tcBorders>
            <w:shd w:val="clear" w:color="auto" w:fill="auto"/>
            <w:noWrap/>
            <w:vAlign w:val="center"/>
            <w:hideMark/>
          </w:tcPr>
          <w:p w14:paraId="65E1CEBD"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36,0</w:t>
            </w:r>
          </w:p>
        </w:tc>
      </w:tr>
      <w:tr w:rsidR="00614268" w:rsidRPr="00614268" w14:paraId="77E42E93" w14:textId="77777777" w:rsidTr="003B49DF">
        <w:trPr>
          <w:trHeight w:val="51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E731256"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Latvijas kandidatūras ANO Drošības padomes vēlēšanās 2025.g. lobija kampaņas nodrošināšana Latvijas dalībai ANO Drošības padomē 2026-2028.g.</w:t>
            </w:r>
          </w:p>
        </w:tc>
        <w:tc>
          <w:tcPr>
            <w:tcW w:w="992" w:type="dxa"/>
            <w:tcBorders>
              <w:top w:val="nil"/>
              <w:left w:val="nil"/>
              <w:bottom w:val="single" w:sz="4" w:space="0" w:color="auto"/>
              <w:right w:val="single" w:sz="4" w:space="0" w:color="auto"/>
            </w:tcBorders>
            <w:shd w:val="clear" w:color="auto" w:fill="auto"/>
            <w:noWrap/>
            <w:vAlign w:val="center"/>
            <w:hideMark/>
          </w:tcPr>
          <w:p w14:paraId="1F9369B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14:paraId="754AC6A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0,8</w:t>
            </w:r>
          </w:p>
        </w:tc>
        <w:tc>
          <w:tcPr>
            <w:tcW w:w="1119" w:type="dxa"/>
            <w:tcBorders>
              <w:top w:val="nil"/>
              <w:left w:val="nil"/>
              <w:bottom w:val="single" w:sz="4" w:space="0" w:color="auto"/>
              <w:right w:val="single" w:sz="4" w:space="0" w:color="auto"/>
            </w:tcBorders>
            <w:shd w:val="clear" w:color="auto" w:fill="auto"/>
            <w:noWrap/>
            <w:vAlign w:val="center"/>
            <w:hideMark/>
          </w:tcPr>
          <w:p w14:paraId="50B2D6B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1,3</w:t>
            </w:r>
          </w:p>
        </w:tc>
      </w:tr>
      <w:tr w:rsidR="00614268" w:rsidRPr="00614268" w14:paraId="184034A2"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7DBC686"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Latvijas dalības Eiropas Savienībā </w:t>
            </w:r>
            <w:proofErr w:type="spellStart"/>
            <w:r w:rsidRPr="00A264AA">
              <w:rPr>
                <w:rFonts w:eastAsia="Times New Roman" w:cs="Times New Roman"/>
                <w:color w:val="000000"/>
                <w:sz w:val="18"/>
                <w:szCs w:val="18"/>
              </w:rPr>
              <w:t>divdesmitgades</w:t>
            </w:r>
            <w:proofErr w:type="spellEnd"/>
            <w:r w:rsidRPr="00A264AA">
              <w:rPr>
                <w:rFonts w:eastAsia="Times New Roman" w:cs="Times New Roman"/>
                <w:color w:val="000000"/>
                <w:sz w:val="18"/>
                <w:szCs w:val="18"/>
              </w:rPr>
              <w:t xml:space="preserve"> atzīmēšana </w:t>
            </w:r>
          </w:p>
        </w:tc>
        <w:tc>
          <w:tcPr>
            <w:tcW w:w="992" w:type="dxa"/>
            <w:tcBorders>
              <w:top w:val="nil"/>
              <w:left w:val="nil"/>
              <w:bottom w:val="single" w:sz="4" w:space="0" w:color="auto"/>
              <w:right w:val="single" w:sz="4" w:space="0" w:color="auto"/>
            </w:tcBorders>
            <w:shd w:val="clear" w:color="auto" w:fill="auto"/>
            <w:noWrap/>
            <w:vAlign w:val="center"/>
            <w:hideMark/>
          </w:tcPr>
          <w:p w14:paraId="155BC5B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0,7</w:t>
            </w:r>
          </w:p>
        </w:tc>
        <w:tc>
          <w:tcPr>
            <w:tcW w:w="850" w:type="dxa"/>
            <w:tcBorders>
              <w:top w:val="nil"/>
              <w:left w:val="nil"/>
              <w:bottom w:val="single" w:sz="4" w:space="0" w:color="auto"/>
              <w:right w:val="single" w:sz="4" w:space="0" w:color="auto"/>
            </w:tcBorders>
            <w:shd w:val="clear" w:color="auto" w:fill="auto"/>
            <w:noWrap/>
            <w:vAlign w:val="center"/>
            <w:hideMark/>
          </w:tcPr>
          <w:p w14:paraId="7CBDD34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1960238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6C797653"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22FF9F9"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Latvijas ārvalstu pārstāvniecību vietējās kapacitātes stiprināšana</w:t>
            </w:r>
          </w:p>
        </w:tc>
        <w:tc>
          <w:tcPr>
            <w:tcW w:w="992" w:type="dxa"/>
            <w:tcBorders>
              <w:top w:val="nil"/>
              <w:left w:val="nil"/>
              <w:bottom w:val="single" w:sz="4" w:space="0" w:color="auto"/>
              <w:right w:val="single" w:sz="4" w:space="0" w:color="auto"/>
            </w:tcBorders>
            <w:shd w:val="clear" w:color="auto" w:fill="auto"/>
            <w:noWrap/>
            <w:vAlign w:val="center"/>
            <w:hideMark/>
          </w:tcPr>
          <w:p w14:paraId="3595BE7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4CB8C28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1119" w:type="dxa"/>
            <w:tcBorders>
              <w:top w:val="nil"/>
              <w:left w:val="nil"/>
              <w:bottom w:val="single" w:sz="4" w:space="0" w:color="auto"/>
              <w:right w:val="single" w:sz="4" w:space="0" w:color="auto"/>
            </w:tcBorders>
            <w:shd w:val="clear" w:color="auto" w:fill="auto"/>
            <w:noWrap/>
            <w:vAlign w:val="center"/>
            <w:hideMark/>
          </w:tcPr>
          <w:p w14:paraId="670CADE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r>
      <w:tr w:rsidR="00614268" w:rsidRPr="00614268" w14:paraId="56FD2C0A"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ABD3974"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Latvijas publiskās diplomātijas aktivitāšu nodrošināšanai, tai skaitā pārstāvniecībās</w:t>
            </w:r>
          </w:p>
        </w:tc>
        <w:tc>
          <w:tcPr>
            <w:tcW w:w="992" w:type="dxa"/>
            <w:tcBorders>
              <w:top w:val="nil"/>
              <w:left w:val="nil"/>
              <w:bottom w:val="single" w:sz="4" w:space="0" w:color="auto"/>
              <w:right w:val="single" w:sz="4" w:space="0" w:color="auto"/>
            </w:tcBorders>
            <w:shd w:val="clear" w:color="auto" w:fill="auto"/>
            <w:noWrap/>
            <w:vAlign w:val="center"/>
            <w:hideMark/>
          </w:tcPr>
          <w:p w14:paraId="1851CED1"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0,6</w:t>
            </w:r>
          </w:p>
        </w:tc>
        <w:tc>
          <w:tcPr>
            <w:tcW w:w="850" w:type="dxa"/>
            <w:tcBorders>
              <w:top w:val="nil"/>
              <w:left w:val="nil"/>
              <w:bottom w:val="single" w:sz="4" w:space="0" w:color="auto"/>
              <w:right w:val="single" w:sz="4" w:space="0" w:color="auto"/>
            </w:tcBorders>
            <w:shd w:val="clear" w:color="auto" w:fill="auto"/>
            <w:noWrap/>
            <w:vAlign w:val="center"/>
            <w:hideMark/>
          </w:tcPr>
          <w:p w14:paraId="1577D9D5"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0,6</w:t>
            </w:r>
          </w:p>
        </w:tc>
        <w:tc>
          <w:tcPr>
            <w:tcW w:w="1119" w:type="dxa"/>
            <w:tcBorders>
              <w:top w:val="nil"/>
              <w:left w:val="nil"/>
              <w:bottom w:val="single" w:sz="4" w:space="0" w:color="auto"/>
              <w:right w:val="single" w:sz="4" w:space="0" w:color="auto"/>
            </w:tcBorders>
            <w:shd w:val="clear" w:color="auto" w:fill="auto"/>
            <w:noWrap/>
            <w:vAlign w:val="center"/>
            <w:hideMark/>
          </w:tcPr>
          <w:p w14:paraId="31EC72CF"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0,6</w:t>
            </w:r>
          </w:p>
        </w:tc>
      </w:tr>
      <w:tr w:rsidR="00614268" w:rsidRPr="00614268" w14:paraId="23B0C679"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498F685A" w14:textId="77777777" w:rsidR="00614268" w:rsidRPr="00A264AA" w:rsidRDefault="00614268" w:rsidP="00614268">
            <w:pPr>
              <w:spacing w:after="0"/>
              <w:ind w:firstLine="0"/>
              <w:jc w:val="right"/>
              <w:outlineLvl w:val="0"/>
              <w:rPr>
                <w:rFonts w:eastAsia="Times New Roman" w:cs="Times New Roman"/>
                <w:color w:val="000000"/>
                <w:sz w:val="18"/>
                <w:szCs w:val="18"/>
              </w:rPr>
            </w:pPr>
            <w:proofErr w:type="spellStart"/>
            <w:r w:rsidRPr="00A264AA">
              <w:rPr>
                <w:rFonts w:eastAsia="Times New Roman" w:cs="Times New Roman"/>
                <w:color w:val="000000"/>
                <w:sz w:val="18"/>
                <w:szCs w:val="18"/>
              </w:rPr>
              <w:t>Jaunuzņēmumu</w:t>
            </w:r>
            <w:proofErr w:type="spellEnd"/>
            <w:r w:rsidRPr="00A264AA">
              <w:rPr>
                <w:rFonts w:eastAsia="Times New Roman" w:cs="Times New Roman"/>
                <w:color w:val="000000"/>
                <w:sz w:val="18"/>
                <w:szCs w:val="18"/>
              </w:rPr>
              <w:t xml:space="preserve"> atbalstam</w:t>
            </w:r>
          </w:p>
        </w:tc>
        <w:tc>
          <w:tcPr>
            <w:tcW w:w="992" w:type="dxa"/>
            <w:tcBorders>
              <w:top w:val="nil"/>
              <w:left w:val="nil"/>
              <w:bottom w:val="single" w:sz="4" w:space="0" w:color="auto"/>
              <w:right w:val="single" w:sz="4" w:space="0" w:color="auto"/>
            </w:tcBorders>
            <w:shd w:val="clear" w:color="auto" w:fill="auto"/>
            <w:noWrap/>
            <w:vAlign w:val="center"/>
            <w:hideMark/>
          </w:tcPr>
          <w:p w14:paraId="1DA3340B"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19103A54"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1119" w:type="dxa"/>
            <w:tcBorders>
              <w:top w:val="nil"/>
              <w:left w:val="nil"/>
              <w:bottom w:val="single" w:sz="4" w:space="0" w:color="auto"/>
              <w:right w:val="single" w:sz="4" w:space="0" w:color="auto"/>
            </w:tcBorders>
            <w:shd w:val="clear" w:color="auto" w:fill="auto"/>
            <w:noWrap/>
            <w:vAlign w:val="center"/>
            <w:hideMark/>
          </w:tcPr>
          <w:p w14:paraId="1E9A621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r>
      <w:tr w:rsidR="00614268" w:rsidRPr="00614268" w14:paraId="382B3090"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4FBACE72"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Atlīdzība Valsts ieņēmumu dienesta nodarbinātajiem</w:t>
            </w:r>
          </w:p>
        </w:tc>
        <w:tc>
          <w:tcPr>
            <w:tcW w:w="992" w:type="dxa"/>
            <w:tcBorders>
              <w:top w:val="nil"/>
              <w:left w:val="nil"/>
              <w:bottom w:val="single" w:sz="4" w:space="0" w:color="auto"/>
              <w:right w:val="single" w:sz="4" w:space="0" w:color="auto"/>
            </w:tcBorders>
            <w:shd w:val="clear" w:color="auto" w:fill="auto"/>
            <w:noWrap/>
            <w:vAlign w:val="center"/>
            <w:hideMark/>
          </w:tcPr>
          <w:p w14:paraId="4C8ED7FC"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1,5</w:t>
            </w:r>
          </w:p>
        </w:tc>
        <w:tc>
          <w:tcPr>
            <w:tcW w:w="850" w:type="dxa"/>
            <w:tcBorders>
              <w:top w:val="nil"/>
              <w:left w:val="nil"/>
              <w:bottom w:val="single" w:sz="4" w:space="0" w:color="auto"/>
              <w:right w:val="single" w:sz="4" w:space="0" w:color="auto"/>
            </w:tcBorders>
            <w:shd w:val="clear" w:color="auto" w:fill="auto"/>
            <w:noWrap/>
            <w:vAlign w:val="center"/>
            <w:hideMark/>
          </w:tcPr>
          <w:p w14:paraId="1F00BFF5"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1,5</w:t>
            </w:r>
          </w:p>
        </w:tc>
        <w:tc>
          <w:tcPr>
            <w:tcW w:w="1119" w:type="dxa"/>
            <w:tcBorders>
              <w:top w:val="nil"/>
              <w:left w:val="nil"/>
              <w:bottom w:val="single" w:sz="4" w:space="0" w:color="auto"/>
              <w:right w:val="single" w:sz="4" w:space="0" w:color="auto"/>
            </w:tcBorders>
            <w:shd w:val="clear" w:color="auto" w:fill="auto"/>
            <w:noWrap/>
            <w:vAlign w:val="center"/>
            <w:hideMark/>
          </w:tcPr>
          <w:p w14:paraId="7AD0D292"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1,5</w:t>
            </w:r>
          </w:p>
        </w:tc>
      </w:tr>
      <w:tr w:rsidR="00614268" w:rsidRPr="00614268" w14:paraId="3163966E"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6BF2D229"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Eiropas Savienības noteikto sankciju pārkāpšanas kontroles funkcijas īstenošana</w:t>
            </w:r>
          </w:p>
        </w:tc>
        <w:tc>
          <w:tcPr>
            <w:tcW w:w="992" w:type="dxa"/>
            <w:tcBorders>
              <w:top w:val="nil"/>
              <w:left w:val="nil"/>
              <w:bottom w:val="single" w:sz="4" w:space="0" w:color="auto"/>
              <w:right w:val="single" w:sz="4" w:space="0" w:color="auto"/>
            </w:tcBorders>
            <w:shd w:val="clear" w:color="auto" w:fill="auto"/>
            <w:noWrap/>
            <w:vAlign w:val="center"/>
            <w:hideMark/>
          </w:tcPr>
          <w:p w14:paraId="5D75648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0,9</w:t>
            </w:r>
          </w:p>
        </w:tc>
        <w:tc>
          <w:tcPr>
            <w:tcW w:w="850" w:type="dxa"/>
            <w:tcBorders>
              <w:top w:val="nil"/>
              <w:left w:val="nil"/>
              <w:bottom w:val="single" w:sz="4" w:space="0" w:color="auto"/>
              <w:right w:val="single" w:sz="4" w:space="0" w:color="auto"/>
            </w:tcBorders>
            <w:shd w:val="clear" w:color="auto" w:fill="auto"/>
            <w:noWrap/>
            <w:vAlign w:val="center"/>
            <w:hideMark/>
          </w:tcPr>
          <w:p w14:paraId="7B9E962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0,9</w:t>
            </w:r>
          </w:p>
        </w:tc>
        <w:tc>
          <w:tcPr>
            <w:tcW w:w="1119" w:type="dxa"/>
            <w:tcBorders>
              <w:top w:val="nil"/>
              <w:left w:val="nil"/>
              <w:bottom w:val="single" w:sz="4" w:space="0" w:color="auto"/>
              <w:right w:val="single" w:sz="4" w:space="0" w:color="auto"/>
            </w:tcBorders>
            <w:shd w:val="clear" w:color="auto" w:fill="auto"/>
            <w:noWrap/>
            <w:vAlign w:val="center"/>
            <w:hideMark/>
          </w:tcPr>
          <w:p w14:paraId="0DF2A9A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0,9</w:t>
            </w:r>
          </w:p>
        </w:tc>
      </w:tr>
      <w:tr w:rsidR="00614268" w:rsidRPr="00614268" w14:paraId="2D150950"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548ED23A"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Fiskālās disciplīnas kapacitātes stiprināšana ES ekonomiskā regulējuma nodrošināšanai</w:t>
            </w:r>
          </w:p>
        </w:tc>
        <w:tc>
          <w:tcPr>
            <w:tcW w:w="992" w:type="dxa"/>
            <w:tcBorders>
              <w:top w:val="nil"/>
              <w:left w:val="nil"/>
              <w:bottom w:val="single" w:sz="4" w:space="0" w:color="auto"/>
              <w:right w:val="single" w:sz="4" w:space="0" w:color="auto"/>
            </w:tcBorders>
            <w:shd w:val="clear" w:color="auto" w:fill="auto"/>
            <w:noWrap/>
            <w:vAlign w:val="center"/>
            <w:hideMark/>
          </w:tcPr>
          <w:p w14:paraId="0623D3D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0,04</w:t>
            </w:r>
          </w:p>
        </w:tc>
        <w:tc>
          <w:tcPr>
            <w:tcW w:w="850" w:type="dxa"/>
            <w:tcBorders>
              <w:top w:val="nil"/>
              <w:left w:val="nil"/>
              <w:bottom w:val="single" w:sz="4" w:space="0" w:color="auto"/>
              <w:right w:val="single" w:sz="4" w:space="0" w:color="auto"/>
            </w:tcBorders>
            <w:shd w:val="clear" w:color="auto" w:fill="auto"/>
            <w:noWrap/>
            <w:vAlign w:val="center"/>
            <w:hideMark/>
          </w:tcPr>
          <w:p w14:paraId="27838221"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0,04</w:t>
            </w:r>
          </w:p>
        </w:tc>
        <w:tc>
          <w:tcPr>
            <w:tcW w:w="1119" w:type="dxa"/>
            <w:tcBorders>
              <w:top w:val="nil"/>
              <w:left w:val="nil"/>
              <w:bottom w:val="single" w:sz="4" w:space="0" w:color="auto"/>
              <w:right w:val="single" w:sz="4" w:space="0" w:color="auto"/>
            </w:tcBorders>
            <w:shd w:val="clear" w:color="auto" w:fill="auto"/>
            <w:noWrap/>
            <w:vAlign w:val="center"/>
            <w:hideMark/>
          </w:tcPr>
          <w:p w14:paraId="7B23F25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0,04</w:t>
            </w:r>
          </w:p>
        </w:tc>
      </w:tr>
      <w:tr w:rsidR="00614268" w:rsidRPr="00614268" w14:paraId="7A666086"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1B1318E8"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Investīciju atbalsts augļkopības un dārzeņkopības saimniecību konkurētspējas stiprināšanai un eksportspējas veicināšanai</w:t>
            </w:r>
          </w:p>
        </w:tc>
        <w:tc>
          <w:tcPr>
            <w:tcW w:w="992" w:type="dxa"/>
            <w:tcBorders>
              <w:top w:val="nil"/>
              <w:left w:val="nil"/>
              <w:bottom w:val="single" w:sz="4" w:space="0" w:color="auto"/>
              <w:right w:val="single" w:sz="4" w:space="0" w:color="auto"/>
            </w:tcBorders>
            <w:shd w:val="clear" w:color="auto" w:fill="auto"/>
            <w:noWrap/>
            <w:vAlign w:val="center"/>
            <w:hideMark/>
          </w:tcPr>
          <w:p w14:paraId="46AF43C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3,0</w:t>
            </w:r>
          </w:p>
        </w:tc>
        <w:tc>
          <w:tcPr>
            <w:tcW w:w="850" w:type="dxa"/>
            <w:tcBorders>
              <w:top w:val="nil"/>
              <w:left w:val="nil"/>
              <w:bottom w:val="single" w:sz="4" w:space="0" w:color="auto"/>
              <w:right w:val="single" w:sz="4" w:space="0" w:color="auto"/>
            </w:tcBorders>
            <w:shd w:val="clear" w:color="auto" w:fill="auto"/>
            <w:noWrap/>
            <w:vAlign w:val="center"/>
            <w:hideMark/>
          </w:tcPr>
          <w:p w14:paraId="4CC7749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1AD1B701"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3A71C9DC" w14:textId="77777777" w:rsidTr="003B49DF">
        <w:trPr>
          <w:trHeight w:val="51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4491F99A"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Latvijas </w:t>
            </w:r>
            <w:proofErr w:type="spellStart"/>
            <w:r w:rsidRPr="00A264AA">
              <w:rPr>
                <w:rFonts w:eastAsia="Times New Roman" w:cs="Times New Roman"/>
                <w:color w:val="000000"/>
                <w:sz w:val="18"/>
                <w:szCs w:val="18"/>
              </w:rPr>
              <w:t>Biozinātņu</w:t>
            </w:r>
            <w:proofErr w:type="spellEnd"/>
            <w:r w:rsidRPr="00A264AA">
              <w:rPr>
                <w:rFonts w:eastAsia="Times New Roman" w:cs="Times New Roman"/>
                <w:color w:val="000000"/>
                <w:sz w:val="18"/>
                <w:szCs w:val="18"/>
              </w:rPr>
              <w:t xml:space="preserve"> un tehnoloģiju universitātes pārvaldīšanā esošo ēku ugunsdrošības prasību atbilstības nodrošināšanai un ēku tehniskās apsekošanas un </w:t>
            </w:r>
            <w:proofErr w:type="spellStart"/>
            <w:r w:rsidRPr="00A264AA">
              <w:rPr>
                <w:rFonts w:eastAsia="Times New Roman" w:cs="Times New Roman"/>
                <w:color w:val="000000"/>
                <w:sz w:val="18"/>
                <w:szCs w:val="18"/>
              </w:rPr>
              <w:t>energosertifikācijas</w:t>
            </w:r>
            <w:proofErr w:type="spellEnd"/>
            <w:r w:rsidRPr="00A264AA">
              <w:rPr>
                <w:rFonts w:eastAsia="Times New Roman" w:cs="Times New Roman"/>
                <w:color w:val="000000"/>
                <w:sz w:val="18"/>
                <w:szCs w:val="18"/>
              </w:rPr>
              <w:t xml:space="preserve"> veikšanai un Malnavas koledžai saistību izpildei</w:t>
            </w:r>
          </w:p>
        </w:tc>
        <w:tc>
          <w:tcPr>
            <w:tcW w:w="992" w:type="dxa"/>
            <w:tcBorders>
              <w:top w:val="nil"/>
              <w:left w:val="nil"/>
              <w:bottom w:val="single" w:sz="4" w:space="0" w:color="auto"/>
              <w:right w:val="single" w:sz="4" w:space="0" w:color="auto"/>
            </w:tcBorders>
            <w:shd w:val="clear" w:color="auto" w:fill="auto"/>
            <w:noWrap/>
            <w:vAlign w:val="center"/>
            <w:hideMark/>
          </w:tcPr>
          <w:p w14:paraId="2F216BC7"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0,8</w:t>
            </w:r>
          </w:p>
        </w:tc>
        <w:tc>
          <w:tcPr>
            <w:tcW w:w="850" w:type="dxa"/>
            <w:tcBorders>
              <w:top w:val="nil"/>
              <w:left w:val="nil"/>
              <w:bottom w:val="single" w:sz="4" w:space="0" w:color="auto"/>
              <w:right w:val="single" w:sz="4" w:space="0" w:color="auto"/>
            </w:tcBorders>
            <w:shd w:val="clear" w:color="auto" w:fill="auto"/>
            <w:noWrap/>
            <w:vAlign w:val="center"/>
            <w:hideMark/>
          </w:tcPr>
          <w:p w14:paraId="30307B2C"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4EF22492"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57D03493" w14:textId="77777777" w:rsidTr="003B49DF">
        <w:trPr>
          <w:trHeight w:val="51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3A59C813"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Zivju resursu mākslīgās atražošanas plāna 2021.-2024. gadam īstenošanai un pielietojamo pētījumu izstrādei akvakultūrā, kā arī informācijas sniegšanai un atzinumu sagatavošanai pēc valsts un pašvaldību iestāžu pieprasījumiem</w:t>
            </w:r>
          </w:p>
        </w:tc>
        <w:tc>
          <w:tcPr>
            <w:tcW w:w="992" w:type="dxa"/>
            <w:tcBorders>
              <w:top w:val="nil"/>
              <w:left w:val="nil"/>
              <w:bottom w:val="single" w:sz="4" w:space="0" w:color="auto"/>
              <w:right w:val="single" w:sz="4" w:space="0" w:color="auto"/>
            </w:tcBorders>
            <w:shd w:val="clear" w:color="auto" w:fill="auto"/>
            <w:noWrap/>
            <w:vAlign w:val="center"/>
            <w:hideMark/>
          </w:tcPr>
          <w:p w14:paraId="215D61D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0,6</w:t>
            </w:r>
          </w:p>
        </w:tc>
        <w:tc>
          <w:tcPr>
            <w:tcW w:w="850" w:type="dxa"/>
            <w:tcBorders>
              <w:top w:val="nil"/>
              <w:left w:val="nil"/>
              <w:bottom w:val="single" w:sz="4" w:space="0" w:color="auto"/>
              <w:right w:val="single" w:sz="4" w:space="0" w:color="auto"/>
            </w:tcBorders>
            <w:shd w:val="clear" w:color="auto" w:fill="auto"/>
            <w:noWrap/>
            <w:vAlign w:val="center"/>
            <w:hideMark/>
          </w:tcPr>
          <w:p w14:paraId="1680106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4A025DAB"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46D86CB6" w14:textId="77777777" w:rsidTr="003B49DF">
        <w:trPr>
          <w:trHeight w:val="51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697DC1DE"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Vienotas informācijas sistēmas izveidei un pilnveidošanai, izmantojot jaunākos tehniskos risinājumus un </w:t>
            </w:r>
            <w:proofErr w:type="spellStart"/>
            <w:r w:rsidRPr="00A264AA">
              <w:rPr>
                <w:rFonts w:eastAsia="Times New Roman" w:cs="Times New Roman"/>
                <w:color w:val="000000"/>
                <w:sz w:val="18"/>
                <w:szCs w:val="18"/>
              </w:rPr>
              <w:t>digitalizācijas</w:t>
            </w:r>
            <w:proofErr w:type="spellEnd"/>
            <w:r w:rsidRPr="00A264AA">
              <w:rPr>
                <w:rFonts w:eastAsia="Times New Roman" w:cs="Times New Roman"/>
                <w:color w:val="000000"/>
                <w:sz w:val="18"/>
                <w:szCs w:val="18"/>
              </w:rPr>
              <w:t xml:space="preserve"> iespējas, īstenojot Eiropas Zaļā kursa mērķu ieviešanu</w:t>
            </w:r>
          </w:p>
        </w:tc>
        <w:tc>
          <w:tcPr>
            <w:tcW w:w="992" w:type="dxa"/>
            <w:tcBorders>
              <w:top w:val="nil"/>
              <w:left w:val="nil"/>
              <w:bottom w:val="single" w:sz="4" w:space="0" w:color="auto"/>
              <w:right w:val="single" w:sz="4" w:space="0" w:color="auto"/>
            </w:tcBorders>
            <w:shd w:val="clear" w:color="auto" w:fill="auto"/>
            <w:noWrap/>
            <w:vAlign w:val="center"/>
            <w:hideMark/>
          </w:tcPr>
          <w:p w14:paraId="18835305"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0114937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0D6A6CB1"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0142CDCD" w14:textId="77777777" w:rsidTr="003B49DF">
        <w:trPr>
          <w:trHeight w:val="765"/>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7CF601D"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Braukšanas maksas atvieglojumi bērniem bāreņiem un bez vecāku gādības palikušiem bērniem, kuri atrodas audžuģimenēs, aizbildnībā, bērnu aprūpes institūcijās vai mācās vispārējās un profesionālajās izglītības iestādēs, kā arī augstskolās un koledžās līdz 24 gadu vecuma sasniegšanai, </w:t>
            </w:r>
            <w:proofErr w:type="spellStart"/>
            <w:r w:rsidRPr="00A264AA">
              <w:rPr>
                <w:rFonts w:eastAsia="Times New Roman" w:cs="Times New Roman"/>
                <w:color w:val="000000"/>
                <w:sz w:val="18"/>
                <w:szCs w:val="18"/>
              </w:rPr>
              <w:t>valstspilsētu</w:t>
            </w:r>
            <w:proofErr w:type="spellEnd"/>
            <w:r w:rsidRPr="00A264AA">
              <w:rPr>
                <w:rFonts w:eastAsia="Times New Roman" w:cs="Times New Roman"/>
                <w:color w:val="000000"/>
                <w:sz w:val="18"/>
                <w:szCs w:val="18"/>
              </w:rPr>
              <w:t xml:space="preserve"> pašvaldību organizētajos pārvadājumos</w:t>
            </w:r>
          </w:p>
        </w:tc>
        <w:tc>
          <w:tcPr>
            <w:tcW w:w="992" w:type="dxa"/>
            <w:tcBorders>
              <w:top w:val="nil"/>
              <w:left w:val="nil"/>
              <w:bottom w:val="single" w:sz="4" w:space="0" w:color="auto"/>
              <w:right w:val="single" w:sz="4" w:space="0" w:color="auto"/>
            </w:tcBorders>
            <w:shd w:val="clear" w:color="auto" w:fill="auto"/>
            <w:noWrap/>
            <w:vAlign w:val="center"/>
            <w:hideMark/>
          </w:tcPr>
          <w:p w14:paraId="69A72089"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1,1</w:t>
            </w:r>
          </w:p>
        </w:tc>
        <w:tc>
          <w:tcPr>
            <w:tcW w:w="850" w:type="dxa"/>
            <w:tcBorders>
              <w:top w:val="nil"/>
              <w:left w:val="nil"/>
              <w:bottom w:val="single" w:sz="4" w:space="0" w:color="auto"/>
              <w:right w:val="single" w:sz="4" w:space="0" w:color="auto"/>
            </w:tcBorders>
            <w:shd w:val="clear" w:color="auto" w:fill="auto"/>
            <w:noWrap/>
            <w:vAlign w:val="center"/>
            <w:hideMark/>
          </w:tcPr>
          <w:p w14:paraId="4B98061B"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1,1</w:t>
            </w:r>
          </w:p>
        </w:tc>
        <w:tc>
          <w:tcPr>
            <w:tcW w:w="1119" w:type="dxa"/>
            <w:tcBorders>
              <w:top w:val="nil"/>
              <w:left w:val="nil"/>
              <w:bottom w:val="single" w:sz="4" w:space="0" w:color="auto"/>
              <w:right w:val="single" w:sz="4" w:space="0" w:color="auto"/>
            </w:tcBorders>
            <w:shd w:val="clear" w:color="auto" w:fill="auto"/>
            <w:noWrap/>
            <w:vAlign w:val="center"/>
            <w:hideMark/>
          </w:tcPr>
          <w:p w14:paraId="222F0796"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1,1</w:t>
            </w:r>
          </w:p>
        </w:tc>
      </w:tr>
      <w:tr w:rsidR="00614268" w:rsidRPr="00614268" w14:paraId="1C3617A5"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ADDEFCF"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Satiksmes nozares pārvaldības un finansēšanas modeļa reforma</w:t>
            </w:r>
          </w:p>
        </w:tc>
        <w:tc>
          <w:tcPr>
            <w:tcW w:w="992" w:type="dxa"/>
            <w:tcBorders>
              <w:top w:val="nil"/>
              <w:left w:val="nil"/>
              <w:bottom w:val="single" w:sz="4" w:space="0" w:color="auto"/>
              <w:right w:val="single" w:sz="4" w:space="0" w:color="auto"/>
            </w:tcBorders>
            <w:shd w:val="clear" w:color="auto" w:fill="auto"/>
            <w:noWrap/>
            <w:vAlign w:val="center"/>
            <w:hideMark/>
          </w:tcPr>
          <w:p w14:paraId="2F45DD3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1,7</w:t>
            </w:r>
          </w:p>
        </w:tc>
        <w:tc>
          <w:tcPr>
            <w:tcW w:w="850" w:type="dxa"/>
            <w:tcBorders>
              <w:top w:val="nil"/>
              <w:left w:val="nil"/>
              <w:bottom w:val="single" w:sz="4" w:space="0" w:color="auto"/>
              <w:right w:val="single" w:sz="4" w:space="0" w:color="auto"/>
            </w:tcBorders>
            <w:shd w:val="clear" w:color="auto" w:fill="auto"/>
            <w:noWrap/>
            <w:vAlign w:val="center"/>
            <w:hideMark/>
          </w:tcPr>
          <w:p w14:paraId="2643BC6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2,0</w:t>
            </w:r>
          </w:p>
        </w:tc>
        <w:tc>
          <w:tcPr>
            <w:tcW w:w="1119" w:type="dxa"/>
            <w:tcBorders>
              <w:top w:val="nil"/>
              <w:left w:val="nil"/>
              <w:bottom w:val="single" w:sz="4" w:space="0" w:color="auto"/>
              <w:right w:val="single" w:sz="4" w:space="0" w:color="auto"/>
            </w:tcBorders>
            <w:shd w:val="clear" w:color="auto" w:fill="auto"/>
            <w:noWrap/>
            <w:vAlign w:val="center"/>
            <w:hideMark/>
          </w:tcPr>
          <w:p w14:paraId="0FA085B5"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2,0</w:t>
            </w:r>
          </w:p>
        </w:tc>
      </w:tr>
      <w:tr w:rsidR="00614268" w:rsidRPr="00614268" w14:paraId="5614EB58"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6235D2D5"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SIA "</w:t>
            </w:r>
            <w:proofErr w:type="spellStart"/>
            <w:r w:rsidRPr="00A264AA">
              <w:rPr>
                <w:rFonts w:eastAsia="Times New Roman" w:cs="Times New Roman"/>
                <w:color w:val="000000"/>
                <w:sz w:val="18"/>
                <w:szCs w:val="18"/>
              </w:rPr>
              <w:t>Tet</w:t>
            </w:r>
            <w:proofErr w:type="spellEnd"/>
            <w:r w:rsidRPr="00A264AA">
              <w:rPr>
                <w:rFonts w:eastAsia="Times New Roman" w:cs="Times New Roman"/>
                <w:color w:val="000000"/>
                <w:sz w:val="18"/>
                <w:szCs w:val="18"/>
              </w:rPr>
              <w:t>" 2022.gadā  sniegtā universālā pakalpojuma saistību izpildes radīto zaudējumu kompensācija</w:t>
            </w:r>
          </w:p>
        </w:tc>
        <w:tc>
          <w:tcPr>
            <w:tcW w:w="992" w:type="dxa"/>
            <w:tcBorders>
              <w:top w:val="nil"/>
              <w:left w:val="nil"/>
              <w:bottom w:val="single" w:sz="4" w:space="0" w:color="auto"/>
              <w:right w:val="single" w:sz="4" w:space="0" w:color="auto"/>
            </w:tcBorders>
            <w:shd w:val="clear" w:color="auto" w:fill="auto"/>
            <w:noWrap/>
            <w:vAlign w:val="center"/>
            <w:hideMark/>
          </w:tcPr>
          <w:p w14:paraId="45E61091"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c>
          <w:tcPr>
            <w:tcW w:w="850" w:type="dxa"/>
            <w:tcBorders>
              <w:top w:val="nil"/>
              <w:left w:val="nil"/>
              <w:bottom w:val="single" w:sz="4" w:space="0" w:color="auto"/>
              <w:right w:val="single" w:sz="4" w:space="0" w:color="auto"/>
            </w:tcBorders>
            <w:shd w:val="clear" w:color="auto" w:fill="auto"/>
            <w:noWrap/>
            <w:vAlign w:val="center"/>
            <w:hideMark/>
          </w:tcPr>
          <w:p w14:paraId="261666B1"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446E49E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4991BF01"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B95680E"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Latgaliešu rakstu valodas atainošanas oficiālajās norādēs ieviešana praksē</w:t>
            </w:r>
          </w:p>
        </w:tc>
        <w:tc>
          <w:tcPr>
            <w:tcW w:w="992" w:type="dxa"/>
            <w:tcBorders>
              <w:top w:val="nil"/>
              <w:left w:val="nil"/>
              <w:bottom w:val="single" w:sz="4" w:space="0" w:color="auto"/>
              <w:right w:val="single" w:sz="4" w:space="0" w:color="auto"/>
            </w:tcBorders>
            <w:shd w:val="clear" w:color="auto" w:fill="auto"/>
            <w:noWrap/>
            <w:vAlign w:val="center"/>
            <w:hideMark/>
          </w:tcPr>
          <w:p w14:paraId="2DC5E02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noWrap/>
            <w:vAlign w:val="center"/>
            <w:hideMark/>
          </w:tcPr>
          <w:p w14:paraId="1B35877F"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0,0</w:t>
            </w:r>
          </w:p>
        </w:tc>
        <w:tc>
          <w:tcPr>
            <w:tcW w:w="1119" w:type="dxa"/>
            <w:tcBorders>
              <w:top w:val="nil"/>
              <w:left w:val="nil"/>
              <w:bottom w:val="single" w:sz="4" w:space="0" w:color="auto"/>
              <w:right w:val="single" w:sz="4" w:space="0" w:color="auto"/>
            </w:tcBorders>
            <w:shd w:val="clear" w:color="auto" w:fill="auto"/>
            <w:noWrap/>
            <w:vAlign w:val="center"/>
            <w:hideMark/>
          </w:tcPr>
          <w:p w14:paraId="6F9BDD9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0,0</w:t>
            </w:r>
          </w:p>
        </w:tc>
      </w:tr>
      <w:tr w:rsidR="00614268" w:rsidRPr="00614268" w14:paraId="0F7D445E"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75963A6" w14:textId="494FC415"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Pensiju, pabalstu un atlīdzīb</w:t>
            </w:r>
            <w:r w:rsidR="00ED15CD">
              <w:rPr>
                <w:rFonts w:eastAsia="Times New Roman" w:cs="Times New Roman"/>
                <w:color w:val="000000"/>
                <w:sz w:val="18"/>
                <w:szCs w:val="18"/>
              </w:rPr>
              <w:t>u</w:t>
            </w:r>
            <w:r w:rsidRPr="00A264AA">
              <w:rPr>
                <w:rFonts w:eastAsia="Times New Roman" w:cs="Times New Roman"/>
                <w:color w:val="000000"/>
                <w:sz w:val="18"/>
                <w:szCs w:val="18"/>
              </w:rPr>
              <w:t xml:space="preserve"> piegādes saņēmēja dzīvesvietā samaksas pieauguma kompensēšana</w:t>
            </w:r>
          </w:p>
        </w:tc>
        <w:tc>
          <w:tcPr>
            <w:tcW w:w="992" w:type="dxa"/>
            <w:tcBorders>
              <w:top w:val="nil"/>
              <w:left w:val="nil"/>
              <w:bottom w:val="single" w:sz="4" w:space="0" w:color="auto"/>
              <w:right w:val="single" w:sz="4" w:space="0" w:color="auto"/>
            </w:tcBorders>
            <w:shd w:val="clear" w:color="auto" w:fill="auto"/>
            <w:noWrap/>
            <w:vAlign w:val="center"/>
            <w:hideMark/>
          </w:tcPr>
          <w:p w14:paraId="3B50D2C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0,5</w:t>
            </w:r>
          </w:p>
        </w:tc>
        <w:tc>
          <w:tcPr>
            <w:tcW w:w="850" w:type="dxa"/>
            <w:tcBorders>
              <w:top w:val="nil"/>
              <w:left w:val="nil"/>
              <w:bottom w:val="single" w:sz="4" w:space="0" w:color="auto"/>
              <w:right w:val="single" w:sz="4" w:space="0" w:color="auto"/>
            </w:tcBorders>
            <w:shd w:val="clear" w:color="auto" w:fill="auto"/>
            <w:noWrap/>
            <w:vAlign w:val="center"/>
            <w:hideMark/>
          </w:tcPr>
          <w:p w14:paraId="26B3500C"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0,8</w:t>
            </w:r>
          </w:p>
        </w:tc>
        <w:tc>
          <w:tcPr>
            <w:tcW w:w="1119" w:type="dxa"/>
            <w:tcBorders>
              <w:top w:val="nil"/>
              <w:left w:val="nil"/>
              <w:bottom w:val="single" w:sz="4" w:space="0" w:color="auto"/>
              <w:right w:val="single" w:sz="4" w:space="0" w:color="auto"/>
            </w:tcBorders>
            <w:shd w:val="clear" w:color="auto" w:fill="auto"/>
            <w:noWrap/>
            <w:vAlign w:val="center"/>
            <w:hideMark/>
          </w:tcPr>
          <w:p w14:paraId="4812ACD5"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1,2</w:t>
            </w:r>
          </w:p>
        </w:tc>
      </w:tr>
      <w:tr w:rsidR="00614268" w:rsidRPr="00614268" w14:paraId="1D0D6FEC"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53B48D95"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Bērnu aizsardzības un atbalsta sistēmas pilnveide </w:t>
            </w:r>
          </w:p>
        </w:tc>
        <w:tc>
          <w:tcPr>
            <w:tcW w:w="992" w:type="dxa"/>
            <w:tcBorders>
              <w:top w:val="nil"/>
              <w:left w:val="nil"/>
              <w:bottom w:val="single" w:sz="4" w:space="0" w:color="auto"/>
              <w:right w:val="single" w:sz="4" w:space="0" w:color="auto"/>
            </w:tcBorders>
            <w:shd w:val="clear" w:color="auto" w:fill="auto"/>
            <w:noWrap/>
            <w:vAlign w:val="center"/>
            <w:hideMark/>
          </w:tcPr>
          <w:p w14:paraId="50A8794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1,7</w:t>
            </w:r>
          </w:p>
        </w:tc>
        <w:tc>
          <w:tcPr>
            <w:tcW w:w="850" w:type="dxa"/>
            <w:tcBorders>
              <w:top w:val="nil"/>
              <w:left w:val="nil"/>
              <w:bottom w:val="single" w:sz="4" w:space="0" w:color="auto"/>
              <w:right w:val="single" w:sz="4" w:space="0" w:color="auto"/>
            </w:tcBorders>
            <w:shd w:val="clear" w:color="auto" w:fill="auto"/>
            <w:noWrap/>
            <w:vAlign w:val="center"/>
            <w:hideMark/>
          </w:tcPr>
          <w:p w14:paraId="6A406A35"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1,7</w:t>
            </w:r>
          </w:p>
        </w:tc>
        <w:tc>
          <w:tcPr>
            <w:tcW w:w="1119" w:type="dxa"/>
            <w:tcBorders>
              <w:top w:val="nil"/>
              <w:left w:val="nil"/>
              <w:bottom w:val="single" w:sz="4" w:space="0" w:color="auto"/>
              <w:right w:val="single" w:sz="4" w:space="0" w:color="auto"/>
            </w:tcBorders>
            <w:shd w:val="clear" w:color="auto" w:fill="auto"/>
            <w:noWrap/>
            <w:vAlign w:val="center"/>
            <w:hideMark/>
          </w:tcPr>
          <w:p w14:paraId="44376AEA"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1,7</w:t>
            </w:r>
          </w:p>
        </w:tc>
      </w:tr>
      <w:tr w:rsidR="00614268" w:rsidRPr="00614268" w14:paraId="4B97CD10"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278B6D34"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"Bērna mājas" pakalpojuma pastāvīgas darbības  nodrošināšana</w:t>
            </w:r>
          </w:p>
        </w:tc>
        <w:tc>
          <w:tcPr>
            <w:tcW w:w="992" w:type="dxa"/>
            <w:tcBorders>
              <w:top w:val="nil"/>
              <w:left w:val="nil"/>
              <w:bottom w:val="single" w:sz="4" w:space="0" w:color="auto"/>
              <w:right w:val="single" w:sz="4" w:space="0" w:color="auto"/>
            </w:tcBorders>
            <w:shd w:val="clear" w:color="auto" w:fill="auto"/>
            <w:noWrap/>
            <w:vAlign w:val="center"/>
            <w:hideMark/>
          </w:tcPr>
          <w:p w14:paraId="2AE92DC6"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4E8DBC27"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0,6</w:t>
            </w:r>
          </w:p>
        </w:tc>
        <w:tc>
          <w:tcPr>
            <w:tcW w:w="1119" w:type="dxa"/>
            <w:tcBorders>
              <w:top w:val="nil"/>
              <w:left w:val="nil"/>
              <w:bottom w:val="single" w:sz="4" w:space="0" w:color="auto"/>
              <w:right w:val="single" w:sz="4" w:space="0" w:color="auto"/>
            </w:tcBorders>
            <w:shd w:val="clear" w:color="auto" w:fill="auto"/>
            <w:noWrap/>
            <w:vAlign w:val="center"/>
            <w:hideMark/>
          </w:tcPr>
          <w:p w14:paraId="2E77F8F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0,8</w:t>
            </w:r>
          </w:p>
        </w:tc>
      </w:tr>
      <w:tr w:rsidR="00614268" w:rsidRPr="00614268" w14:paraId="0C882C19"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19A2BFC6"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Personu ar invaliditāti asistentu un pavadoņu atlīdzības apmēra paaugstināšana (LM un IZM)</w:t>
            </w:r>
          </w:p>
        </w:tc>
        <w:tc>
          <w:tcPr>
            <w:tcW w:w="992" w:type="dxa"/>
            <w:tcBorders>
              <w:top w:val="nil"/>
              <w:left w:val="nil"/>
              <w:bottom w:val="single" w:sz="4" w:space="0" w:color="auto"/>
              <w:right w:val="single" w:sz="4" w:space="0" w:color="auto"/>
            </w:tcBorders>
            <w:shd w:val="clear" w:color="auto" w:fill="auto"/>
            <w:noWrap/>
            <w:vAlign w:val="center"/>
            <w:hideMark/>
          </w:tcPr>
          <w:p w14:paraId="13A3C40F"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4,9</w:t>
            </w:r>
          </w:p>
        </w:tc>
        <w:tc>
          <w:tcPr>
            <w:tcW w:w="850" w:type="dxa"/>
            <w:tcBorders>
              <w:top w:val="nil"/>
              <w:left w:val="nil"/>
              <w:bottom w:val="single" w:sz="4" w:space="0" w:color="auto"/>
              <w:right w:val="single" w:sz="4" w:space="0" w:color="auto"/>
            </w:tcBorders>
            <w:shd w:val="clear" w:color="auto" w:fill="auto"/>
            <w:noWrap/>
            <w:vAlign w:val="center"/>
            <w:hideMark/>
          </w:tcPr>
          <w:p w14:paraId="0CA51E9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4,9</w:t>
            </w:r>
          </w:p>
        </w:tc>
        <w:tc>
          <w:tcPr>
            <w:tcW w:w="1119" w:type="dxa"/>
            <w:tcBorders>
              <w:top w:val="nil"/>
              <w:left w:val="nil"/>
              <w:bottom w:val="single" w:sz="4" w:space="0" w:color="auto"/>
              <w:right w:val="single" w:sz="4" w:space="0" w:color="auto"/>
            </w:tcBorders>
            <w:shd w:val="clear" w:color="auto" w:fill="auto"/>
            <w:noWrap/>
            <w:vAlign w:val="center"/>
            <w:hideMark/>
          </w:tcPr>
          <w:p w14:paraId="3594122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4,9</w:t>
            </w:r>
          </w:p>
        </w:tc>
      </w:tr>
      <w:tr w:rsidR="00614268" w:rsidRPr="00614268" w14:paraId="3A338762"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5F105FB8"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Labklājības nozares  sniegto pakalpojumu pieejamības nodrošināšana</w:t>
            </w:r>
          </w:p>
        </w:tc>
        <w:tc>
          <w:tcPr>
            <w:tcW w:w="992" w:type="dxa"/>
            <w:tcBorders>
              <w:top w:val="nil"/>
              <w:left w:val="nil"/>
              <w:bottom w:val="single" w:sz="4" w:space="0" w:color="auto"/>
              <w:right w:val="single" w:sz="4" w:space="0" w:color="auto"/>
            </w:tcBorders>
            <w:shd w:val="clear" w:color="auto" w:fill="auto"/>
            <w:noWrap/>
            <w:vAlign w:val="center"/>
            <w:hideMark/>
          </w:tcPr>
          <w:p w14:paraId="12350F3B"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2,1</w:t>
            </w:r>
          </w:p>
        </w:tc>
        <w:tc>
          <w:tcPr>
            <w:tcW w:w="850" w:type="dxa"/>
            <w:tcBorders>
              <w:top w:val="nil"/>
              <w:left w:val="nil"/>
              <w:bottom w:val="single" w:sz="4" w:space="0" w:color="auto"/>
              <w:right w:val="single" w:sz="4" w:space="0" w:color="auto"/>
            </w:tcBorders>
            <w:shd w:val="clear" w:color="auto" w:fill="auto"/>
            <w:noWrap/>
            <w:vAlign w:val="center"/>
            <w:hideMark/>
          </w:tcPr>
          <w:p w14:paraId="189607C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2,1</w:t>
            </w:r>
          </w:p>
        </w:tc>
        <w:tc>
          <w:tcPr>
            <w:tcW w:w="1119" w:type="dxa"/>
            <w:tcBorders>
              <w:top w:val="nil"/>
              <w:left w:val="nil"/>
              <w:bottom w:val="single" w:sz="4" w:space="0" w:color="auto"/>
              <w:right w:val="single" w:sz="4" w:space="0" w:color="auto"/>
            </w:tcBorders>
            <w:shd w:val="clear" w:color="auto" w:fill="auto"/>
            <w:noWrap/>
            <w:vAlign w:val="center"/>
            <w:hideMark/>
          </w:tcPr>
          <w:p w14:paraId="4EB6143F"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2,1</w:t>
            </w:r>
          </w:p>
        </w:tc>
      </w:tr>
      <w:tr w:rsidR="00614268" w:rsidRPr="00614268" w14:paraId="212E1DD6"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65DD93EA"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Ēdināšanas izdevumu sadārdzinājuma segšana  </w:t>
            </w:r>
          </w:p>
        </w:tc>
        <w:tc>
          <w:tcPr>
            <w:tcW w:w="992" w:type="dxa"/>
            <w:tcBorders>
              <w:top w:val="nil"/>
              <w:left w:val="nil"/>
              <w:bottom w:val="single" w:sz="4" w:space="0" w:color="auto"/>
              <w:right w:val="single" w:sz="4" w:space="0" w:color="auto"/>
            </w:tcBorders>
            <w:shd w:val="clear" w:color="auto" w:fill="auto"/>
            <w:noWrap/>
            <w:vAlign w:val="center"/>
            <w:hideMark/>
          </w:tcPr>
          <w:p w14:paraId="008065A2"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2,2</w:t>
            </w:r>
          </w:p>
        </w:tc>
        <w:tc>
          <w:tcPr>
            <w:tcW w:w="850" w:type="dxa"/>
            <w:tcBorders>
              <w:top w:val="nil"/>
              <w:left w:val="nil"/>
              <w:bottom w:val="single" w:sz="4" w:space="0" w:color="auto"/>
              <w:right w:val="single" w:sz="4" w:space="0" w:color="auto"/>
            </w:tcBorders>
            <w:shd w:val="clear" w:color="auto" w:fill="auto"/>
            <w:noWrap/>
            <w:vAlign w:val="center"/>
            <w:hideMark/>
          </w:tcPr>
          <w:p w14:paraId="58C7A15C"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2,2</w:t>
            </w:r>
          </w:p>
        </w:tc>
        <w:tc>
          <w:tcPr>
            <w:tcW w:w="1119" w:type="dxa"/>
            <w:tcBorders>
              <w:top w:val="nil"/>
              <w:left w:val="nil"/>
              <w:bottom w:val="single" w:sz="4" w:space="0" w:color="auto"/>
              <w:right w:val="single" w:sz="4" w:space="0" w:color="auto"/>
            </w:tcBorders>
            <w:shd w:val="clear" w:color="auto" w:fill="auto"/>
            <w:noWrap/>
            <w:vAlign w:val="center"/>
            <w:hideMark/>
          </w:tcPr>
          <w:p w14:paraId="7D86386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2,2</w:t>
            </w:r>
          </w:p>
        </w:tc>
      </w:tr>
      <w:tr w:rsidR="00614268" w:rsidRPr="00614268" w14:paraId="2C81F0CB"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13B5591"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Publisko personu nomas maksas sadārdzinājums</w:t>
            </w:r>
          </w:p>
        </w:tc>
        <w:tc>
          <w:tcPr>
            <w:tcW w:w="992" w:type="dxa"/>
            <w:tcBorders>
              <w:top w:val="nil"/>
              <w:left w:val="nil"/>
              <w:bottom w:val="single" w:sz="4" w:space="0" w:color="auto"/>
              <w:right w:val="single" w:sz="4" w:space="0" w:color="auto"/>
            </w:tcBorders>
            <w:shd w:val="clear" w:color="auto" w:fill="auto"/>
            <w:noWrap/>
            <w:vAlign w:val="center"/>
            <w:hideMark/>
          </w:tcPr>
          <w:p w14:paraId="5C4E3F57"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40E0D821"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1119" w:type="dxa"/>
            <w:tcBorders>
              <w:top w:val="nil"/>
              <w:left w:val="nil"/>
              <w:bottom w:val="single" w:sz="4" w:space="0" w:color="auto"/>
              <w:right w:val="single" w:sz="4" w:space="0" w:color="auto"/>
            </w:tcBorders>
            <w:shd w:val="clear" w:color="auto" w:fill="auto"/>
            <w:noWrap/>
            <w:vAlign w:val="center"/>
            <w:hideMark/>
          </w:tcPr>
          <w:p w14:paraId="0CD0420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r>
      <w:tr w:rsidR="00614268" w:rsidRPr="00614268" w14:paraId="4677E43E"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FFF64F4"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Ēdināšanas pakalpojumu cenu sadārdzinājuma segšana</w:t>
            </w:r>
          </w:p>
        </w:tc>
        <w:tc>
          <w:tcPr>
            <w:tcW w:w="992" w:type="dxa"/>
            <w:tcBorders>
              <w:top w:val="nil"/>
              <w:left w:val="nil"/>
              <w:bottom w:val="single" w:sz="4" w:space="0" w:color="auto"/>
              <w:right w:val="single" w:sz="4" w:space="0" w:color="auto"/>
            </w:tcBorders>
            <w:shd w:val="clear" w:color="auto" w:fill="auto"/>
            <w:noWrap/>
            <w:vAlign w:val="center"/>
            <w:hideMark/>
          </w:tcPr>
          <w:p w14:paraId="53D0A9E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2,4</w:t>
            </w:r>
          </w:p>
        </w:tc>
        <w:tc>
          <w:tcPr>
            <w:tcW w:w="850" w:type="dxa"/>
            <w:tcBorders>
              <w:top w:val="nil"/>
              <w:left w:val="nil"/>
              <w:bottom w:val="single" w:sz="4" w:space="0" w:color="auto"/>
              <w:right w:val="single" w:sz="4" w:space="0" w:color="auto"/>
            </w:tcBorders>
            <w:shd w:val="clear" w:color="auto" w:fill="auto"/>
            <w:noWrap/>
            <w:vAlign w:val="center"/>
            <w:hideMark/>
          </w:tcPr>
          <w:p w14:paraId="0711C9E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2,4</w:t>
            </w:r>
          </w:p>
        </w:tc>
        <w:tc>
          <w:tcPr>
            <w:tcW w:w="1119" w:type="dxa"/>
            <w:tcBorders>
              <w:top w:val="nil"/>
              <w:left w:val="nil"/>
              <w:bottom w:val="single" w:sz="4" w:space="0" w:color="auto"/>
              <w:right w:val="single" w:sz="4" w:space="0" w:color="auto"/>
            </w:tcBorders>
            <w:shd w:val="clear" w:color="auto" w:fill="auto"/>
            <w:noWrap/>
            <w:vAlign w:val="center"/>
            <w:hideMark/>
          </w:tcPr>
          <w:p w14:paraId="507C2A84"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2,4</w:t>
            </w:r>
          </w:p>
        </w:tc>
      </w:tr>
      <w:tr w:rsidR="00614268" w:rsidRPr="00614268" w14:paraId="38BBB990"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07BF3A5"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Valsts IKT </w:t>
            </w:r>
            <w:proofErr w:type="spellStart"/>
            <w:r w:rsidRPr="00A264AA">
              <w:rPr>
                <w:rFonts w:eastAsia="Times New Roman" w:cs="Times New Roman"/>
                <w:color w:val="000000"/>
                <w:sz w:val="18"/>
                <w:szCs w:val="18"/>
              </w:rPr>
              <w:t>profesionalizācija</w:t>
            </w:r>
            <w:proofErr w:type="spellEnd"/>
            <w:r w:rsidRPr="00A264AA">
              <w:rPr>
                <w:rFonts w:eastAsia="Times New Roman" w:cs="Times New Roman"/>
                <w:color w:val="000000"/>
                <w:sz w:val="18"/>
                <w:szCs w:val="18"/>
              </w:rPr>
              <w:t xml:space="preserve"> - Valsts digitālā attīstība </w:t>
            </w:r>
          </w:p>
        </w:tc>
        <w:tc>
          <w:tcPr>
            <w:tcW w:w="992" w:type="dxa"/>
            <w:tcBorders>
              <w:top w:val="nil"/>
              <w:left w:val="nil"/>
              <w:bottom w:val="single" w:sz="4" w:space="0" w:color="auto"/>
              <w:right w:val="single" w:sz="4" w:space="0" w:color="auto"/>
            </w:tcBorders>
            <w:shd w:val="clear" w:color="auto" w:fill="auto"/>
            <w:noWrap/>
            <w:vAlign w:val="center"/>
            <w:hideMark/>
          </w:tcPr>
          <w:p w14:paraId="2E3EC19B"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1,5</w:t>
            </w:r>
          </w:p>
        </w:tc>
        <w:tc>
          <w:tcPr>
            <w:tcW w:w="850" w:type="dxa"/>
            <w:tcBorders>
              <w:top w:val="nil"/>
              <w:left w:val="nil"/>
              <w:bottom w:val="single" w:sz="4" w:space="0" w:color="auto"/>
              <w:right w:val="single" w:sz="4" w:space="0" w:color="auto"/>
            </w:tcBorders>
            <w:shd w:val="clear" w:color="auto" w:fill="auto"/>
            <w:noWrap/>
            <w:vAlign w:val="center"/>
            <w:hideMark/>
          </w:tcPr>
          <w:p w14:paraId="389627C9"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1,5</w:t>
            </w:r>
          </w:p>
        </w:tc>
        <w:tc>
          <w:tcPr>
            <w:tcW w:w="1119" w:type="dxa"/>
            <w:tcBorders>
              <w:top w:val="nil"/>
              <w:left w:val="nil"/>
              <w:bottom w:val="single" w:sz="4" w:space="0" w:color="auto"/>
              <w:right w:val="single" w:sz="4" w:space="0" w:color="auto"/>
            </w:tcBorders>
            <w:shd w:val="clear" w:color="auto" w:fill="auto"/>
            <w:noWrap/>
            <w:vAlign w:val="center"/>
            <w:hideMark/>
          </w:tcPr>
          <w:p w14:paraId="73810C24"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1,5</w:t>
            </w:r>
          </w:p>
        </w:tc>
      </w:tr>
      <w:tr w:rsidR="00614268" w:rsidRPr="00614268" w14:paraId="4AE9D94C" w14:textId="77777777" w:rsidTr="003B49DF">
        <w:trPr>
          <w:trHeight w:val="51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14CAA627"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Interešu konflikta automātiskā pārbaude publiskajos iepirkumos, izveidojot VRAA Elektronisko iepirkumu sistēmā pilnveidoto tehnisko risinājumu </w:t>
            </w:r>
          </w:p>
        </w:tc>
        <w:tc>
          <w:tcPr>
            <w:tcW w:w="992" w:type="dxa"/>
            <w:tcBorders>
              <w:top w:val="nil"/>
              <w:left w:val="nil"/>
              <w:bottom w:val="single" w:sz="4" w:space="0" w:color="auto"/>
              <w:right w:val="single" w:sz="4" w:space="0" w:color="auto"/>
            </w:tcBorders>
            <w:shd w:val="clear" w:color="auto" w:fill="auto"/>
            <w:noWrap/>
            <w:vAlign w:val="center"/>
            <w:hideMark/>
          </w:tcPr>
          <w:p w14:paraId="3D54DBAB"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c>
          <w:tcPr>
            <w:tcW w:w="850" w:type="dxa"/>
            <w:tcBorders>
              <w:top w:val="nil"/>
              <w:left w:val="nil"/>
              <w:bottom w:val="single" w:sz="4" w:space="0" w:color="auto"/>
              <w:right w:val="single" w:sz="4" w:space="0" w:color="auto"/>
            </w:tcBorders>
            <w:shd w:val="clear" w:color="auto" w:fill="auto"/>
            <w:noWrap/>
            <w:vAlign w:val="center"/>
            <w:hideMark/>
          </w:tcPr>
          <w:p w14:paraId="7B7BFD1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5EAA6B79"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4F3419BC"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0842185F"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Kultūras nozares cilvēkresursu kapacitātes celšana</w:t>
            </w:r>
          </w:p>
        </w:tc>
        <w:tc>
          <w:tcPr>
            <w:tcW w:w="992" w:type="dxa"/>
            <w:tcBorders>
              <w:top w:val="nil"/>
              <w:left w:val="nil"/>
              <w:bottom w:val="single" w:sz="4" w:space="0" w:color="auto"/>
              <w:right w:val="single" w:sz="4" w:space="0" w:color="auto"/>
            </w:tcBorders>
            <w:shd w:val="clear" w:color="auto" w:fill="auto"/>
            <w:noWrap/>
            <w:vAlign w:val="center"/>
            <w:hideMark/>
          </w:tcPr>
          <w:p w14:paraId="6AADAD3B"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2,5</w:t>
            </w:r>
          </w:p>
        </w:tc>
        <w:tc>
          <w:tcPr>
            <w:tcW w:w="850" w:type="dxa"/>
            <w:tcBorders>
              <w:top w:val="nil"/>
              <w:left w:val="nil"/>
              <w:bottom w:val="single" w:sz="4" w:space="0" w:color="auto"/>
              <w:right w:val="single" w:sz="4" w:space="0" w:color="auto"/>
            </w:tcBorders>
            <w:shd w:val="clear" w:color="auto" w:fill="auto"/>
            <w:noWrap/>
            <w:vAlign w:val="center"/>
            <w:hideMark/>
          </w:tcPr>
          <w:p w14:paraId="23DB9D8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2,5</w:t>
            </w:r>
          </w:p>
        </w:tc>
        <w:tc>
          <w:tcPr>
            <w:tcW w:w="1119" w:type="dxa"/>
            <w:tcBorders>
              <w:top w:val="nil"/>
              <w:left w:val="nil"/>
              <w:bottom w:val="single" w:sz="4" w:space="0" w:color="auto"/>
              <w:right w:val="single" w:sz="4" w:space="0" w:color="auto"/>
            </w:tcBorders>
            <w:shd w:val="clear" w:color="auto" w:fill="auto"/>
            <w:noWrap/>
            <w:vAlign w:val="center"/>
            <w:hideMark/>
          </w:tcPr>
          <w:p w14:paraId="3B372FD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2,5</w:t>
            </w:r>
          </w:p>
        </w:tc>
      </w:tr>
      <w:tr w:rsidR="00614268" w:rsidRPr="00614268" w14:paraId="3E5AB863"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1CCC2315"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Nacionālā kino saglabāšana</w:t>
            </w:r>
          </w:p>
        </w:tc>
        <w:tc>
          <w:tcPr>
            <w:tcW w:w="992" w:type="dxa"/>
            <w:tcBorders>
              <w:top w:val="nil"/>
              <w:left w:val="nil"/>
              <w:bottom w:val="single" w:sz="4" w:space="0" w:color="auto"/>
              <w:right w:val="single" w:sz="4" w:space="0" w:color="auto"/>
            </w:tcBorders>
            <w:shd w:val="clear" w:color="auto" w:fill="auto"/>
            <w:noWrap/>
            <w:vAlign w:val="center"/>
            <w:hideMark/>
          </w:tcPr>
          <w:p w14:paraId="5E6A91A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0,9</w:t>
            </w:r>
          </w:p>
        </w:tc>
        <w:tc>
          <w:tcPr>
            <w:tcW w:w="850" w:type="dxa"/>
            <w:tcBorders>
              <w:top w:val="nil"/>
              <w:left w:val="nil"/>
              <w:bottom w:val="single" w:sz="4" w:space="0" w:color="auto"/>
              <w:right w:val="single" w:sz="4" w:space="0" w:color="auto"/>
            </w:tcBorders>
            <w:shd w:val="clear" w:color="auto" w:fill="auto"/>
            <w:noWrap/>
            <w:vAlign w:val="center"/>
            <w:hideMark/>
          </w:tcPr>
          <w:p w14:paraId="39638AC4"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0,9</w:t>
            </w:r>
          </w:p>
        </w:tc>
        <w:tc>
          <w:tcPr>
            <w:tcW w:w="1119" w:type="dxa"/>
            <w:tcBorders>
              <w:top w:val="nil"/>
              <w:left w:val="nil"/>
              <w:bottom w:val="single" w:sz="4" w:space="0" w:color="auto"/>
              <w:right w:val="single" w:sz="4" w:space="0" w:color="auto"/>
            </w:tcBorders>
            <w:shd w:val="clear" w:color="auto" w:fill="auto"/>
            <w:noWrap/>
            <w:vAlign w:val="center"/>
            <w:hideMark/>
          </w:tcPr>
          <w:p w14:paraId="3ACF50C7"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0,9</w:t>
            </w:r>
          </w:p>
        </w:tc>
      </w:tr>
      <w:tr w:rsidR="00614268" w:rsidRPr="00614268" w14:paraId="16A8073D"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39607C7E"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 xml:space="preserve">Latvijas skolas somas pieejamības paplašināšana </w:t>
            </w:r>
          </w:p>
        </w:tc>
        <w:tc>
          <w:tcPr>
            <w:tcW w:w="992" w:type="dxa"/>
            <w:tcBorders>
              <w:top w:val="nil"/>
              <w:left w:val="nil"/>
              <w:bottom w:val="single" w:sz="4" w:space="0" w:color="auto"/>
              <w:right w:val="single" w:sz="4" w:space="0" w:color="auto"/>
            </w:tcBorders>
            <w:shd w:val="clear" w:color="auto" w:fill="auto"/>
            <w:noWrap/>
            <w:vAlign w:val="center"/>
            <w:hideMark/>
          </w:tcPr>
          <w:p w14:paraId="4594AF09"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1,4</w:t>
            </w:r>
          </w:p>
        </w:tc>
        <w:tc>
          <w:tcPr>
            <w:tcW w:w="850" w:type="dxa"/>
            <w:tcBorders>
              <w:top w:val="nil"/>
              <w:left w:val="nil"/>
              <w:bottom w:val="single" w:sz="4" w:space="0" w:color="auto"/>
              <w:right w:val="single" w:sz="4" w:space="0" w:color="auto"/>
            </w:tcBorders>
            <w:shd w:val="clear" w:color="auto" w:fill="auto"/>
            <w:noWrap/>
            <w:vAlign w:val="center"/>
            <w:hideMark/>
          </w:tcPr>
          <w:p w14:paraId="740BCE1F"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1,4</w:t>
            </w:r>
          </w:p>
        </w:tc>
        <w:tc>
          <w:tcPr>
            <w:tcW w:w="1119" w:type="dxa"/>
            <w:tcBorders>
              <w:top w:val="nil"/>
              <w:left w:val="nil"/>
              <w:bottom w:val="single" w:sz="4" w:space="0" w:color="auto"/>
              <w:right w:val="single" w:sz="4" w:space="0" w:color="auto"/>
            </w:tcBorders>
            <w:shd w:val="clear" w:color="auto" w:fill="auto"/>
            <w:noWrap/>
            <w:vAlign w:val="center"/>
            <w:hideMark/>
          </w:tcPr>
          <w:p w14:paraId="03EF840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1,4</w:t>
            </w:r>
          </w:p>
        </w:tc>
      </w:tr>
      <w:tr w:rsidR="00614268" w:rsidRPr="00614268" w14:paraId="32FD9B75"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472A5FB7"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Latviešu valodas stiprināšana caur lasītprasmi</w:t>
            </w:r>
          </w:p>
        </w:tc>
        <w:tc>
          <w:tcPr>
            <w:tcW w:w="992" w:type="dxa"/>
            <w:tcBorders>
              <w:top w:val="nil"/>
              <w:left w:val="nil"/>
              <w:bottom w:val="single" w:sz="4" w:space="0" w:color="auto"/>
              <w:right w:val="single" w:sz="4" w:space="0" w:color="auto"/>
            </w:tcBorders>
            <w:shd w:val="clear" w:color="auto" w:fill="auto"/>
            <w:noWrap/>
            <w:vAlign w:val="center"/>
            <w:hideMark/>
          </w:tcPr>
          <w:p w14:paraId="3FA6BDE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7AD1341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1119" w:type="dxa"/>
            <w:tcBorders>
              <w:top w:val="nil"/>
              <w:left w:val="nil"/>
              <w:bottom w:val="single" w:sz="4" w:space="0" w:color="auto"/>
              <w:right w:val="single" w:sz="4" w:space="0" w:color="auto"/>
            </w:tcBorders>
            <w:shd w:val="clear" w:color="auto" w:fill="auto"/>
            <w:noWrap/>
            <w:vAlign w:val="center"/>
            <w:hideMark/>
          </w:tcPr>
          <w:p w14:paraId="46C948E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r>
      <w:tr w:rsidR="00614268" w:rsidRPr="00614268" w14:paraId="6C8C62A1" w14:textId="77777777" w:rsidTr="003B49DF">
        <w:trPr>
          <w:trHeight w:val="51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4641A86D"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Pilsoniskā dialoga platformas izveide, stiprinot Nevalstisko organizāciju un Ministru kabineta sadarbības memoranda īstenošanas padomes darbību</w:t>
            </w:r>
          </w:p>
        </w:tc>
        <w:tc>
          <w:tcPr>
            <w:tcW w:w="992" w:type="dxa"/>
            <w:tcBorders>
              <w:top w:val="nil"/>
              <w:left w:val="nil"/>
              <w:bottom w:val="single" w:sz="4" w:space="0" w:color="auto"/>
              <w:right w:val="single" w:sz="4" w:space="0" w:color="auto"/>
            </w:tcBorders>
            <w:shd w:val="clear" w:color="auto" w:fill="auto"/>
            <w:noWrap/>
            <w:vAlign w:val="center"/>
            <w:hideMark/>
          </w:tcPr>
          <w:p w14:paraId="5FE73E07"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0,2</w:t>
            </w:r>
          </w:p>
        </w:tc>
        <w:tc>
          <w:tcPr>
            <w:tcW w:w="850" w:type="dxa"/>
            <w:tcBorders>
              <w:top w:val="nil"/>
              <w:left w:val="nil"/>
              <w:bottom w:val="single" w:sz="4" w:space="0" w:color="auto"/>
              <w:right w:val="single" w:sz="4" w:space="0" w:color="auto"/>
            </w:tcBorders>
            <w:shd w:val="clear" w:color="auto" w:fill="auto"/>
            <w:noWrap/>
            <w:vAlign w:val="center"/>
            <w:hideMark/>
          </w:tcPr>
          <w:p w14:paraId="454389FB"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0,2</w:t>
            </w:r>
          </w:p>
        </w:tc>
        <w:tc>
          <w:tcPr>
            <w:tcW w:w="1119" w:type="dxa"/>
            <w:tcBorders>
              <w:top w:val="nil"/>
              <w:left w:val="nil"/>
              <w:bottom w:val="single" w:sz="4" w:space="0" w:color="auto"/>
              <w:right w:val="single" w:sz="4" w:space="0" w:color="auto"/>
            </w:tcBorders>
            <w:shd w:val="clear" w:color="auto" w:fill="auto"/>
            <w:noWrap/>
            <w:vAlign w:val="center"/>
            <w:hideMark/>
          </w:tcPr>
          <w:p w14:paraId="4B112A30"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0,2</w:t>
            </w:r>
          </w:p>
        </w:tc>
      </w:tr>
      <w:tr w:rsidR="00614268" w:rsidRPr="00614268" w14:paraId="0E6C3005"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60B0A99B"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Valsts attīstības un politikas plānošanas sistēmas pilnveide</w:t>
            </w:r>
          </w:p>
        </w:tc>
        <w:tc>
          <w:tcPr>
            <w:tcW w:w="992" w:type="dxa"/>
            <w:tcBorders>
              <w:top w:val="nil"/>
              <w:left w:val="nil"/>
              <w:bottom w:val="single" w:sz="4" w:space="0" w:color="auto"/>
              <w:right w:val="single" w:sz="4" w:space="0" w:color="auto"/>
            </w:tcBorders>
            <w:shd w:val="clear" w:color="auto" w:fill="auto"/>
            <w:noWrap/>
            <w:vAlign w:val="center"/>
            <w:hideMark/>
          </w:tcPr>
          <w:p w14:paraId="7467878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c>
          <w:tcPr>
            <w:tcW w:w="850" w:type="dxa"/>
            <w:tcBorders>
              <w:top w:val="nil"/>
              <w:left w:val="nil"/>
              <w:bottom w:val="single" w:sz="4" w:space="0" w:color="auto"/>
              <w:right w:val="single" w:sz="4" w:space="0" w:color="auto"/>
            </w:tcBorders>
            <w:shd w:val="clear" w:color="auto" w:fill="auto"/>
            <w:noWrap/>
            <w:vAlign w:val="center"/>
            <w:hideMark/>
          </w:tcPr>
          <w:p w14:paraId="42C75FA5"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c>
          <w:tcPr>
            <w:tcW w:w="1119" w:type="dxa"/>
            <w:tcBorders>
              <w:top w:val="nil"/>
              <w:left w:val="nil"/>
              <w:bottom w:val="single" w:sz="4" w:space="0" w:color="auto"/>
              <w:right w:val="single" w:sz="4" w:space="0" w:color="auto"/>
            </w:tcBorders>
            <w:shd w:val="clear" w:color="auto" w:fill="auto"/>
            <w:noWrap/>
            <w:vAlign w:val="center"/>
            <w:hideMark/>
          </w:tcPr>
          <w:p w14:paraId="75AD24D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0,3</w:t>
            </w:r>
          </w:p>
        </w:tc>
      </w:tr>
      <w:tr w:rsidR="00614268" w:rsidRPr="00614268" w14:paraId="72A66D6C"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677ADB7F"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t>Vienotā pakalpojumu centra izveide</w:t>
            </w:r>
          </w:p>
        </w:tc>
        <w:tc>
          <w:tcPr>
            <w:tcW w:w="992" w:type="dxa"/>
            <w:tcBorders>
              <w:top w:val="nil"/>
              <w:left w:val="nil"/>
              <w:bottom w:val="single" w:sz="4" w:space="0" w:color="auto"/>
              <w:right w:val="single" w:sz="4" w:space="0" w:color="auto"/>
            </w:tcBorders>
            <w:shd w:val="clear" w:color="auto" w:fill="auto"/>
            <w:noWrap/>
            <w:vAlign w:val="center"/>
            <w:hideMark/>
          </w:tcPr>
          <w:p w14:paraId="6F43935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3,4</w:t>
            </w:r>
          </w:p>
        </w:tc>
        <w:tc>
          <w:tcPr>
            <w:tcW w:w="850" w:type="dxa"/>
            <w:tcBorders>
              <w:top w:val="nil"/>
              <w:left w:val="nil"/>
              <w:bottom w:val="single" w:sz="4" w:space="0" w:color="auto"/>
              <w:right w:val="single" w:sz="4" w:space="0" w:color="auto"/>
            </w:tcBorders>
            <w:shd w:val="clear" w:color="auto" w:fill="auto"/>
            <w:noWrap/>
            <w:vAlign w:val="center"/>
            <w:hideMark/>
          </w:tcPr>
          <w:p w14:paraId="0E795D23"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5,1</w:t>
            </w:r>
          </w:p>
        </w:tc>
        <w:tc>
          <w:tcPr>
            <w:tcW w:w="1119" w:type="dxa"/>
            <w:tcBorders>
              <w:top w:val="nil"/>
              <w:left w:val="nil"/>
              <w:bottom w:val="single" w:sz="4" w:space="0" w:color="auto"/>
              <w:right w:val="single" w:sz="4" w:space="0" w:color="auto"/>
            </w:tcBorders>
            <w:shd w:val="clear" w:color="auto" w:fill="auto"/>
            <w:noWrap/>
            <w:vAlign w:val="center"/>
            <w:hideMark/>
          </w:tcPr>
          <w:p w14:paraId="60F6AF0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4,6</w:t>
            </w:r>
          </w:p>
        </w:tc>
      </w:tr>
      <w:tr w:rsidR="00614268" w:rsidRPr="00614268" w14:paraId="76EC210B"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vAlign w:val="center"/>
            <w:hideMark/>
          </w:tcPr>
          <w:p w14:paraId="75C0B10E" w14:textId="77777777" w:rsidR="00614268" w:rsidRPr="00A264AA" w:rsidRDefault="00614268" w:rsidP="00614268">
            <w:pPr>
              <w:spacing w:after="0"/>
              <w:ind w:firstLine="0"/>
              <w:jc w:val="right"/>
              <w:outlineLvl w:val="0"/>
              <w:rPr>
                <w:rFonts w:eastAsia="Times New Roman" w:cs="Times New Roman"/>
                <w:color w:val="000000"/>
                <w:sz w:val="18"/>
                <w:szCs w:val="18"/>
              </w:rPr>
            </w:pPr>
            <w:r w:rsidRPr="00A264AA">
              <w:rPr>
                <w:rFonts w:eastAsia="Times New Roman" w:cs="Times New Roman"/>
                <w:color w:val="000000"/>
                <w:sz w:val="18"/>
                <w:szCs w:val="18"/>
              </w:rPr>
              <w:lastRenderedPageBreak/>
              <w:t>Analītiskā dienesta izveide</w:t>
            </w:r>
          </w:p>
        </w:tc>
        <w:tc>
          <w:tcPr>
            <w:tcW w:w="992" w:type="dxa"/>
            <w:tcBorders>
              <w:top w:val="nil"/>
              <w:left w:val="nil"/>
              <w:bottom w:val="single" w:sz="4" w:space="0" w:color="auto"/>
              <w:right w:val="single" w:sz="4" w:space="0" w:color="auto"/>
            </w:tcBorders>
            <w:shd w:val="clear" w:color="auto" w:fill="auto"/>
            <w:noWrap/>
            <w:vAlign w:val="center"/>
            <w:hideMark/>
          </w:tcPr>
          <w:p w14:paraId="7C556AC8"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850" w:type="dxa"/>
            <w:tcBorders>
              <w:top w:val="nil"/>
              <w:left w:val="nil"/>
              <w:bottom w:val="single" w:sz="4" w:space="0" w:color="auto"/>
              <w:right w:val="single" w:sz="4" w:space="0" w:color="auto"/>
            </w:tcBorders>
            <w:shd w:val="clear" w:color="auto" w:fill="auto"/>
            <w:noWrap/>
            <w:vAlign w:val="center"/>
            <w:hideMark/>
          </w:tcPr>
          <w:p w14:paraId="73EE6EDE"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c>
          <w:tcPr>
            <w:tcW w:w="1119" w:type="dxa"/>
            <w:tcBorders>
              <w:top w:val="nil"/>
              <w:left w:val="nil"/>
              <w:bottom w:val="single" w:sz="4" w:space="0" w:color="auto"/>
              <w:right w:val="single" w:sz="4" w:space="0" w:color="auto"/>
            </w:tcBorders>
            <w:shd w:val="clear" w:color="auto" w:fill="auto"/>
            <w:noWrap/>
            <w:vAlign w:val="center"/>
            <w:hideMark/>
          </w:tcPr>
          <w:p w14:paraId="1D20305D" w14:textId="77777777" w:rsidR="00614268" w:rsidRPr="00A264AA" w:rsidRDefault="00614268" w:rsidP="00614268">
            <w:pPr>
              <w:spacing w:after="0"/>
              <w:ind w:firstLine="0"/>
              <w:jc w:val="center"/>
              <w:outlineLvl w:val="0"/>
              <w:rPr>
                <w:rFonts w:eastAsia="Times New Roman" w:cs="Times New Roman"/>
                <w:color w:val="000000"/>
                <w:sz w:val="18"/>
                <w:szCs w:val="18"/>
              </w:rPr>
            </w:pPr>
            <w:r w:rsidRPr="00A264AA">
              <w:rPr>
                <w:rFonts w:eastAsia="Times New Roman" w:cs="Times New Roman"/>
                <w:color w:val="000000"/>
                <w:sz w:val="18"/>
                <w:szCs w:val="18"/>
              </w:rPr>
              <w:t>0,4</w:t>
            </w:r>
          </w:p>
        </w:tc>
      </w:tr>
      <w:tr w:rsidR="00614268" w:rsidRPr="00614268" w14:paraId="7EB77509"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BC2E6"/>
            <w:vAlign w:val="center"/>
            <w:hideMark/>
          </w:tcPr>
          <w:p w14:paraId="5BBCAB37" w14:textId="77777777" w:rsidR="00614268" w:rsidRPr="00A264AA" w:rsidRDefault="00614268" w:rsidP="00614268">
            <w:pPr>
              <w:spacing w:after="0"/>
              <w:ind w:firstLine="0"/>
              <w:rPr>
                <w:rFonts w:eastAsia="Times New Roman" w:cs="Times New Roman"/>
                <w:b/>
                <w:bCs/>
                <w:color w:val="000000"/>
                <w:sz w:val="18"/>
                <w:szCs w:val="18"/>
              </w:rPr>
            </w:pPr>
            <w:r w:rsidRPr="00A264AA">
              <w:rPr>
                <w:rFonts w:eastAsia="Times New Roman" w:cs="Times New Roman"/>
                <w:b/>
                <w:bCs/>
                <w:color w:val="000000"/>
                <w:sz w:val="18"/>
                <w:szCs w:val="18"/>
              </w:rPr>
              <w:t>Finansējums neatkarīgajām iestādēm</w:t>
            </w:r>
          </w:p>
        </w:tc>
        <w:tc>
          <w:tcPr>
            <w:tcW w:w="992" w:type="dxa"/>
            <w:tcBorders>
              <w:top w:val="nil"/>
              <w:left w:val="nil"/>
              <w:bottom w:val="single" w:sz="4" w:space="0" w:color="auto"/>
              <w:right w:val="single" w:sz="4" w:space="0" w:color="auto"/>
            </w:tcBorders>
            <w:shd w:val="clear" w:color="000000" w:fill="9BC2E6"/>
            <w:noWrap/>
            <w:vAlign w:val="center"/>
            <w:hideMark/>
          </w:tcPr>
          <w:p w14:paraId="70013F82"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18,4</w:t>
            </w:r>
          </w:p>
        </w:tc>
        <w:tc>
          <w:tcPr>
            <w:tcW w:w="850" w:type="dxa"/>
            <w:tcBorders>
              <w:top w:val="nil"/>
              <w:left w:val="nil"/>
              <w:bottom w:val="single" w:sz="4" w:space="0" w:color="auto"/>
              <w:right w:val="single" w:sz="4" w:space="0" w:color="auto"/>
            </w:tcBorders>
            <w:shd w:val="clear" w:color="000000" w:fill="9BC2E6"/>
            <w:noWrap/>
            <w:vAlign w:val="center"/>
            <w:hideMark/>
          </w:tcPr>
          <w:p w14:paraId="7AEE58F5"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31,3</w:t>
            </w:r>
          </w:p>
        </w:tc>
        <w:tc>
          <w:tcPr>
            <w:tcW w:w="1119" w:type="dxa"/>
            <w:tcBorders>
              <w:top w:val="nil"/>
              <w:left w:val="nil"/>
              <w:bottom w:val="single" w:sz="4" w:space="0" w:color="auto"/>
              <w:right w:val="single" w:sz="4" w:space="0" w:color="auto"/>
            </w:tcBorders>
            <w:shd w:val="clear" w:color="000000" w:fill="9BC2E6"/>
            <w:noWrap/>
            <w:vAlign w:val="center"/>
            <w:hideMark/>
          </w:tcPr>
          <w:p w14:paraId="24D79D3A"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36,3</w:t>
            </w:r>
          </w:p>
        </w:tc>
      </w:tr>
      <w:tr w:rsidR="00614268" w:rsidRPr="00614268" w14:paraId="3151F2AA"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BC2E6"/>
            <w:noWrap/>
            <w:vAlign w:val="center"/>
            <w:hideMark/>
          </w:tcPr>
          <w:p w14:paraId="5F11D899" w14:textId="77777777" w:rsidR="00614268" w:rsidRPr="00A264AA" w:rsidRDefault="00614268" w:rsidP="00614268">
            <w:pPr>
              <w:spacing w:after="0"/>
              <w:ind w:firstLine="0"/>
              <w:rPr>
                <w:rFonts w:eastAsia="Times New Roman" w:cs="Times New Roman"/>
                <w:b/>
                <w:bCs/>
                <w:color w:val="000000"/>
                <w:sz w:val="18"/>
                <w:szCs w:val="18"/>
              </w:rPr>
            </w:pPr>
            <w:r w:rsidRPr="00A264AA">
              <w:rPr>
                <w:rFonts w:eastAsia="Times New Roman" w:cs="Times New Roman"/>
                <w:b/>
                <w:bCs/>
                <w:color w:val="000000"/>
                <w:sz w:val="18"/>
                <w:szCs w:val="18"/>
              </w:rPr>
              <w:t>Normatīvo aktu izpilde, tiesas spriedumi</w:t>
            </w:r>
          </w:p>
        </w:tc>
        <w:tc>
          <w:tcPr>
            <w:tcW w:w="992" w:type="dxa"/>
            <w:tcBorders>
              <w:top w:val="nil"/>
              <w:left w:val="nil"/>
              <w:bottom w:val="single" w:sz="4" w:space="0" w:color="auto"/>
              <w:right w:val="single" w:sz="4" w:space="0" w:color="auto"/>
            </w:tcBorders>
            <w:shd w:val="clear" w:color="000000" w:fill="9BC2E6"/>
            <w:noWrap/>
            <w:vAlign w:val="center"/>
            <w:hideMark/>
          </w:tcPr>
          <w:p w14:paraId="4AAF4903"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17,4</w:t>
            </w:r>
          </w:p>
        </w:tc>
        <w:tc>
          <w:tcPr>
            <w:tcW w:w="850" w:type="dxa"/>
            <w:tcBorders>
              <w:top w:val="nil"/>
              <w:left w:val="nil"/>
              <w:bottom w:val="single" w:sz="4" w:space="0" w:color="auto"/>
              <w:right w:val="single" w:sz="4" w:space="0" w:color="auto"/>
            </w:tcBorders>
            <w:shd w:val="clear" w:color="000000" w:fill="9BC2E6"/>
            <w:noWrap/>
            <w:vAlign w:val="center"/>
            <w:hideMark/>
          </w:tcPr>
          <w:p w14:paraId="4190D35A"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13,0</w:t>
            </w:r>
          </w:p>
        </w:tc>
        <w:tc>
          <w:tcPr>
            <w:tcW w:w="1119" w:type="dxa"/>
            <w:tcBorders>
              <w:top w:val="nil"/>
              <w:left w:val="nil"/>
              <w:bottom w:val="single" w:sz="4" w:space="0" w:color="auto"/>
              <w:right w:val="single" w:sz="4" w:space="0" w:color="auto"/>
            </w:tcBorders>
            <w:shd w:val="clear" w:color="000000" w:fill="9BC2E6"/>
            <w:noWrap/>
            <w:vAlign w:val="center"/>
            <w:hideMark/>
          </w:tcPr>
          <w:p w14:paraId="6C0906AC"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16,8</w:t>
            </w:r>
          </w:p>
        </w:tc>
      </w:tr>
      <w:tr w:rsidR="00614268" w:rsidRPr="00614268" w14:paraId="12C68D58"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BC2E6"/>
            <w:noWrap/>
            <w:vAlign w:val="center"/>
            <w:hideMark/>
          </w:tcPr>
          <w:p w14:paraId="2FD7391A" w14:textId="77777777" w:rsidR="00614268" w:rsidRPr="00A264AA" w:rsidRDefault="00614268" w:rsidP="00614268">
            <w:pPr>
              <w:spacing w:after="0"/>
              <w:ind w:firstLine="0"/>
              <w:rPr>
                <w:rFonts w:eastAsia="Times New Roman" w:cs="Times New Roman"/>
                <w:b/>
                <w:bCs/>
                <w:color w:val="000000"/>
                <w:sz w:val="18"/>
                <w:szCs w:val="18"/>
              </w:rPr>
            </w:pPr>
            <w:r w:rsidRPr="00A264AA">
              <w:rPr>
                <w:rFonts w:eastAsia="Times New Roman" w:cs="Times New Roman"/>
                <w:b/>
                <w:bCs/>
                <w:color w:val="000000"/>
                <w:sz w:val="18"/>
                <w:szCs w:val="18"/>
              </w:rPr>
              <w:t>Valsts tiešās pārvaldes iestādēs nodarbināto  atalgojuma palielināšana</w:t>
            </w:r>
          </w:p>
        </w:tc>
        <w:tc>
          <w:tcPr>
            <w:tcW w:w="992" w:type="dxa"/>
            <w:tcBorders>
              <w:top w:val="nil"/>
              <w:left w:val="nil"/>
              <w:bottom w:val="single" w:sz="4" w:space="0" w:color="auto"/>
              <w:right w:val="single" w:sz="4" w:space="0" w:color="auto"/>
            </w:tcBorders>
            <w:shd w:val="clear" w:color="000000" w:fill="9BC2E6"/>
            <w:noWrap/>
            <w:vAlign w:val="center"/>
            <w:hideMark/>
          </w:tcPr>
          <w:p w14:paraId="6EB67003"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6,0</w:t>
            </w:r>
          </w:p>
        </w:tc>
        <w:tc>
          <w:tcPr>
            <w:tcW w:w="850" w:type="dxa"/>
            <w:tcBorders>
              <w:top w:val="nil"/>
              <w:left w:val="nil"/>
              <w:bottom w:val="single" w:sz="4" w:space="0" w:color="auto"/>
              <w:right w:val="single" w:sz="4" w:space="0" w:color="auto"/>
            </w:tcBorders>
            <w:shd w:val="clear" w:color="000000" w:fill="9BC2E6"/>
            <w:noWrap/>
            <w:vAlign w:val="center"/>
            <w:hideMark/>
          </w:tcPr>
          <w:p w14:paraId="67F40D90"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12,0</w:t>
            </w:r>
          </w:p>
        </w:tc>
        <w:tc>
          <w:tcPr>
            <w:tcW w:w="1119" w:type="dxa"/>
            <w:tcBorders>
              <w:top w:val="nil"/>
              <w:left w:val="nil"/>
              <w:bottom w:val="single" w:sz="4" w:space="0" w:color="auto"/>
              <w:right w:val="single" w:sz="4" w:space="0" w:color="auto"/>
            </w:tcBorders>
            <w:shd w:val="clear" w:color="000000" w:fill="9BC2E6"/>
            <w:noWrap/>
            <w:vAlign w:val="center"/>
            <w:hideMark/>
          </w:tcPr>
          <w:p w14:paraId="18B92B80"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18,0</w:t>
            </w:r>
          </w:p>
        </w:tc>
      </w:tr>
      <w:tr w:rsidR="00614268" w:rsidRPr="00614268" w14:paraId="53AE1403"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BC2E6"/>
            <w:noWrap/>
            <w:vAlign w:val="center"/>
            <w:hideMark/>
          </w:tcPr>
          <w:p w14:paraId="66291327" w14:textId="77777777" w:rsidR="00614268" w:rsidRPr="00A264AA" w:rsidRDefault="00614268" w:rsidP="00614268">
            <w:pPr>
              <w:spacing w:after="0"/>
              <w:ind w:firstLine="0"/>
              <w:rPr>
                <w:rFonts w:eastAsia="Times New Roman" w:cs="Times New Roman"/>
                <w:b/>
                <w:bCs/>
                <w:color w:val="000000"/>
                <w:sz w:val="18"/>
                <w:szCs w:val="18"/>
              </w:rPr>
            </w:pPr>
            <w:r w:rsidRPr="00A264AA">
              <w:rPr>
                <w:rFonts w:eastAsia="Times New Roman" w:cs="Times New Roman"/>
                <w:b/>
                <w:bCs/>
                <w:color w:val="000000"/>
                <w:sz w:val="18"/>
                <w:szCs w:val="18"/>
              </w:rPr>
              <w:t>Publisko personu nomas maksas sadārdzinājums</w:t>
            </w:r>
          </w:p>
        </w:tc>
        <w:tc>
          <w:tcPr>
            <w:tcW w:w="992" w:type="dxa"/>
            <w:tcBorders>
              <w:top w:val="nil"/>
              <w:left w:val="nil"/>
              <w:bottom w:val="single" w:sz="4" w:space="0" w:color="auto"/>
              <w:right w:val="single" w:sz="4" w:space="0" w:color="auto"/>
            </w:tcBorders>
            <w:shd w:val="clear" w:color="000000" w:fill="9BC2E6"/>
            <w:noWrap/>
            <w:vAlign w:val="center"/>
            <w:hideMark/>
          </w:tcPr>
          <w:p w14:paraId="50D0A31F"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2,2</w:t>
            </w:r>
          </w:p>
        </w:tc>
        <w:tc>
          <w:tcPr>
            <w:tcW w:w="850" w:type="dxa"/>
            <w:tcBorders>
              <w:top w:val="nil"/>
              <w:left w:val="nil"/>
              <w:bottom w:val="single" w:sz="4" w:space="0" w:color="auto"/>
              <w:right w:val="single" w:sz="4" w:space="0" w:color="auto"/>
            </w:tcBorders>
            <w:shd w:val="clear" w:color="000000" w:fill="9BC2E6"/>
            <w:noWrap/>
            <w:vAlign w:val="center"/>
            <w:hideMark/>
          </w:tcPr>
          <w:p w14:paraId="6F0EC1F0"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2,2</w:t>
            </w:r>
          </w:p>
        </w:tc>
        <w:tc>
          <w:tcPr>
            <w:tcW w:w="1119" w:type="dxa"/>
            <w:tcBorders>
              <w:top w:val="nil"/>
              <w:left w:val="nil"/>
              <w:bottom w:val="single" w:sz="4" w:space="0" w:color="auto"/>
              <w:right w:val="single" w:sz="4" w:space="0" w:color="auto"/>
            </w:tcBorders>
            <w:shd w:val="clear" w:color="000000" w:fill="9BC2E6"/>
            <w:noWrap/>
            <w:vAlign w:val="center"/>
            <w:hideMark/>
          </w:tcPr>
          <w:p w14:paraId="243300B0"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2,2</w:t>
            </w:r>
          </w:p>
        </w:tc>
      </w:tr>
      <w:tr w:rsidR="00614268" w:rsidRPr="00614268" w14:paraId="0B03DD64"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58429A25" w14:textId="77777777" w:rsidR="00614268" w:rsidRPr="00A264AA" w:rsidRDefault="00614268" w:rsidP="00614268">
            <w:pPr>
              <w:spacing w:after="0"/>
              <w:ind w:firstLine="0"/>
              <w:jc w:val="right"/>
              <w:rPr>
                <w:rFonts w:eastAsia="Times New Roman" w:cs="Times New Roman"/>
                <w:b/>
                <w:bCs/>
                <w:color w:val="000000"/>
                <w:sz w:val="18"/>
                <w:szCs w:val="18"/>
              </w:rPr>
            </w:pPr>
            <w:r w:rsidRPr="00A264AA">
              <w:rPr>
                <w:rFonts w:eastAsia="Times New Roman" w:cs="Times New Roman"/>
                <w:b/>
                <w:bCs/>
                <w:color w:val="000000"/>
                <w:sz w:val="18"/>
                <w:szCs w:val="18"/>
              </w:rPr>
              <w:t>KOPĀ izdevumu pasākumi</w:t>
            </w:r>
          </w:p>
        </w:tc>
        <w:tc>
          <w:tcPr>
            <w:tcW w:w="992" w:type="dxa"/>
            <w:tcBorders>
              <w:top w:val="nil"/>
              <w:left w:val="nil"/>
              <w:bottom w:val="single" w:sz="4" w:space="0" w:color="auto"/>
              <w:right w:val="single" w:sz="4" w:space="0" w:color="auto"/>
            </w:tcBorders>
            <w:shd w:val="clear" w:color="auto" w:fill="auto"/>
            <w:noWrap/>
            <w:vAlign w:val="center"/>
            <w:hideMark/>
          </w:tcPr>
          <w:p w14:paraId="0E205C3B"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783,4</w:t>
            </w:r>
          </w:p>
        </w:tc>
        <w:tc>
          <w:tcPr>
            <w:tcW w:w="850" w:type="dxa"/>
            <w:tcBorders>
              <w:top w:val="nil"/>
              <w:left w:val="nil"/>
              <w:bottom w:val="single" w:sz="4" w:space="0" w:color="auto"/>
              <w:right w:val="single" w:sz="4" w:space="0" w:color="auto"/>
            </w:tcBorders>
            <w:shd w:val="clear" w:color="auto" w:fill="auto"/>
            <w:noWrap/>
            <w:vAlign w:val="center"/>
            <w:hideMark/>
          </w:tcPr>
          <w:p w14:paraId="0A7EEE4C"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720,4</w:t>
            </w:r>
          </w:p>
        </w:tc>
        <w:tc>
          <w:tcPr>
            <w:tcW w:w="1119" w:type="dxa"/>
            <w:tcBorders>
              <w:top w:val="nil"/>
              <w:left w:val="nil"/>
              <w:bottom w:val="single" w:sz="4" w:space="0" w:color="auto"/>
              <w:right w:val="single" w:sz="4" w:space="0" w:color="auto"/>
            </w:tcBorders>
            <w:shd w:val="clear" w:color="auto" w:fill="auto"/>
            <w:noWrap/>
            <w:vAlign w:val="center"/>
            <w:hideMark/>
          </w:tcPr>
          <w:p w14:paraId="42888930" w14:textId="77777777"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846,8</w:t>
            </w:r>
          </w:p>
        </w:tc>
      </w:tr>
      <w:tr w:rsidR="00614268" w:rsidRPr="00614268" w14:paraId="7204873B" w14:textId="77777777" w:rsidTr="003B49DF">
        <w:trPr>
          <w:trHeight w:val="300"/>
        </w:trPr>
        <w:tc>
          <w:tcPr>
            <w:tcW w:w="6091" w:type="dxa"/>
            <w:tcBorders>
              <w:top w:val="nil"/>
              <w:left w:val="single" w:sz="4" w:space="0" w:color="auto"/>
              <w:bottom w:val="single" w:sz="4" w:space="0" w:color="auto"/>
              <w:right w:val="single" w:sz="4" w:space="0" w:color="auto"/>
            </w:tcBorders>
            <w:shd w:val="clear" w:color="000000" w:fill="9CC2E5"/>
            <w:noWrap/>
            <w:vAlign w:val="center"/>
            <w:hideMark/>
          </w:tcPr>
          <w:p w14:paraId="2E510ED6" w14:textId="77777777" w:rsidR="00614268" w:rsidRPr="00A264AA" w:rsidRDefault="00614268" w:rsidP="00614268">
            <w:pPr>
              <w:spacing w:after="0"/>
              <w:ind w:firstLine="0"/>
              <w:rPr>
                <w:rFonts w:eastAsia="Times New Roman" w:cs="Times New Roman"/>
                <w:b/>
                <w:bCs/>
                <w:color w:val="000000"/>
                <w:sz w:val="18"/>
                <w:szCs w:val="18"/>
              </w:rPr>
            </w:pPr>
            <w:r w:rsidRPr="00A264AA">
              <w:rPr>
                <w:rFonts w:eastAsia="Times New Roman" w:cs="Times New Roman"/>
                <w:b/>
                <w:bCs/>
                <w:color w:val="000000"/>
                <w:sz w:val="18"/>
                <w:szCs w:val="18"/>
              </w:rPr>
              <w:t>Kompensējošie izdevumu pasākumi, t.sk:</w:t>
            </w:r>
          </w:p>
        </w:tc>
        <w:tc>
          <w:tcPr>
            <w:tcW w:w="992" w:type="dxa"/>
            <w:tcBorders>
              <w:top w:val="nil"/>
              <w:left w:val="nil"/>
              <w:bottom w:val="single" w:sz="4" w:space="0" w:color="auto"/>
              <w:right w:val="single" w:sz="4" w:space="0" w:color="auto"/>
            </w:tcBorders>
            <w:shd w:val="clear" w:color="000000" w:fill="9BC2E6"/>
            <w:noWrap/>
            <w:vAlign w:val="center"/>
            <w:hideMark/>
          </w:tcPr>
          <w:p w14:paraId="76B2E27C" w14:textId="5C8141AA" w:rsidR="00614268" w:rsidRPr="00A264AA" w:rsidRDefault="00614268" w:rsidP="00614268">
            <w:pPr>
              <w:spacing w:after="0"/>
              <w:ind w:firstLine="0"/>
              <w:jc w:val="center"/>
              <w:rPr>
                <w:rFonts w:eastAsia="Times New Roman" w:cs="Times New Roman"/>
                <w:b/>
                <w:bCs/>
                <w:color w:val="000000"/>
                <w:sz w:val="18"/>
                <w:szCs w:val="18"/>
              </w:rPr>
            </w:pPr>
            <w:r w:rsidRPr="00A264AA">
              <w:rPr>
                <w:rFonts w:eastAsia="Times New Roman" w:cs="Times New Roman"/>
                <w:b/>
                <w:bCs/>
                <w:color w:val="000000"/>
                <w:sz w:val="18"/>
                <w:szCs w:val="18"/>
              </w:rPr>
              <w:t>-1</w:t>
            </w:r>
            <w:r w:rsidR="00BB23B3">
              <w:rPr>
                <w:rFonts w:eastAsia="Times New Roman" w:cs="Times New Roman"/>
                <w:b/>
                <w:bCs/>
                <w:color w:val="000000"/>
                <w:sz w:val="18"/>
                <w:szCs w:val="18"/>
              </w:rPr>
              <w:t>13</w:t>
            </w:r>
            <w:r w:rsidRPr="00A264AA">
              <w:rPr>
                <w:rFonts w:eastAsia="Times New Roman" w:cs="Times New Roman"/>
                <w:b/>
                <w:bCs/>
                <w:color w:val="000000"/>
                <w:sz w:val="18"/>
                <w:szCs w:val="18"/>
              </w:rPr>
              <w:t>,</w:t>
            </w:r>
            <w:r w:rsidR="00BB23B3">
              <w:rPr>
                <w:rFonts w:eastAsia="Times New Roman" w:cs="Times New Roman"/>
                <w:b/>
                <w:bCs/>
                <w:color w:val="000000"/>
                <w:sz w:val="18"/>
                <w:szCs w:val="18"/>
              </w:rPr>
              <w:t>0</w:t>
            </w:r>
          </w:p>
        </w:tc>
        <w:tc>
          <w:tcPr>
            <w:tcW w:w="850" w:type="dxa"/>
            <w:tcBorders>
              <w:top w:val="nil"/>
              <w:left w:val="nil"/>
              <w:bottom w:val="single" w:sz="4" w:space="0" w:color="auto"/>
              <w:right w:val="single" w:sz="4" w:space="0" w:color="auto"/>
            </w:tcBorders>
            <w:shd w:val="clear" w:color="000000" w:fill="9BC2E6"/>
            <w:noWrap/>
            <w:vAlign w:val="center"/>
            <w:hideMark/>
          </w:tcPr>
          <w:p w14:paraId="47A79879" w14:textId="3F396713" w:rsidR="00614268" w:rsidRPr="00A264AA" w:rsidRDefault="00BB23B3" w:rsidP="00614268">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-27,3</w:t>
            </w:r>
          </w:p>
        </w:tc>
        <w:tc>
          <w:tcPr>
            <w:tcW w:w="1119" w:type="dxa"/>
            <w:tcBorders>
              <w:top w:val="nil"/>
              <w:left w:val="nil"/>
              <w:bottom w:val="single" w:sz="4" w:space="0" w:color="auto"/>
              <w:right w:val="single" w:sz="4" w:space="0" w:color="auto"/>
            </w:tcBorders>
            <w:shd w:val="clear" w:color="000000" w:fill="9BC2E6"/>
            <w:noWrap/>
            <w:vAlign w:val="center"/>
            <w:hideMark/>
          </w:tcPr>
          <w:p w14:paraId="03912351" w14:textId="268B4378" w:rsidR="00614268" w:rsidRPr="00A264AA" w:rsidRDefault="00BB23B3" w:rsidP="00614268">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-28,7</w:t>
            </w:r>
          </w:p>
        </w:tc>
      </w:tr>
      <w:tr w:rsidR="00614268" w:rsidRPr="00614268" w14:paraId="358A0564"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32C4D41A" w14:textId="77777777" w:rsidR="00614268" w:rsidRPr="00A264AA" w:rsidRDefault="00614268" w:rsidP="00614268">
            <w:pPr>
              <w:spacing w:after="0"/>
              <w:ind w:firstLine="0"/>
              <w:jc w:val="right"/>
              <w:rPr>
                <w:rFonts w:eastAsia="Times New Roman" w:cs="Times New Roman"/>
                <w:color w:val="000000"/>
                <w:sz w:val="18"/>
                <w:szCs w:val="18"/>
              </w:rPr>
            </w:pPr>
            <w:r w:rsidRPr="00A264AA">
              <w:rPr>
                <w:rFonts w:eastAsia="Times New Roman" w:cs="Times New Roman"/>
                <w:color w:val="000000"/>
                <w:sz w:val="18"/>
                <w:szCs w:val="18"/>
              </w:rPr>
              <w:t>Precizētais Rīgas Satiksmes investīciju plāns</w:t>
            </w:r>
          </w:p>
        </w:tc>
        <w:tc>
          <w:tcPr>
            <w:tcW w:w="992" w:type="dxa"/>
            <w:tcBorders>
              <w:top w:val="nil"/>
              <w:left w:val="nil"/>
              <w:bottom w:val="single" w:sz="4" w:space="0" w:color="auto"/>
              <w:right w:val="single" w:sz="4" w:space="0" w:color="auto"/>
            </w:tcBorders>
            <w:shd w:val="clear" w:color="auto" w:fill="auto"/>
            <w:noWrap/>
            <w:vAlign w:val="center"/>
            <w:hideMark/>
          </w:tcPr>
          <w:p w14:paraId="4409B20D"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-19,5</w:t>
            </w:r>
          </w:p>
        </w:tc>
        <w:tc>
          <w:tcPr>
            <w:tcW w:w="850" w:type="dxa"/>
            <w:tcBorders>
              <w:top w:val="nil"/>
              <w:left w:val="nil"/>
              <w:bottom w:val="single" w:sz="4" w:space="0" w:color="auto"/>
              <w:right w:val="single" w:sz="4" w:space="0" w:color="auto"/>
            </w:tcBorders>
            <w:shd w:val="clear" w:color="auto" w:fill="auto"/>
            <w:noWrap/>
            <w:vAlign w:val="center"/>
            <w:hideMark/>
          </w:tcPr>
          <w:p w14:paraId="430076F0"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03DFA357"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r>
      <w:tr w:rsidR="00614268" w:rsidRPr="00614268" w14:paraId="4CDEB7D5"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0AFD9D6E" w14:textId="77777777" w:rsidR="00614268" w:rsidRPr="00A264AA" w:rsidRDefault="00614268" w:rsidP="00614268">
            <w:pPr>
              <w:spacing w:after="0"/>
              <w:ind w:firstLine="0"/>
              <w:jc w:val="right"/>
              <w:rPr>
                <w:rFonts w:eastAsia="Times New Roman" w:cs="Times New Roman"/>
                <w:color w:val="000000"/>
                <w:sz w:val="18"/>
                <w:szCs w:val="18"/>
              </w:rPr>
            </w:pPr>
            <w:r w:rsidRPr="00A264AA">
              <w:rPr>
                <w:rFonts w:eastAsia="Times New Roman" w:cs="Times New Roman"/>
                <w:color w:val="000000"/>
                <w:sz w:val="18"/>
                <w:szCs w:val="18"/>
              </w:rPr>
              <w:t>Izdevumu pārskatīšanas resursi kopējām prioritātēm</w:t>
            </w:r>
          </w:p>
        </w:tc>
        <w:tc>
          <w:tcPr>
            <w:tcW w:w="992" w:type="dxa"/>
            <w:tcBorders>
              <w:top w:val="nil"/>
              <w:left w:val="nil"/>
              <w:bottom w:val="single" w:sz="4" w:space="0" w:color="auto"/>
              <w:right w:val="single" w:sz="4" w:space="0" w:color="auto"/>
            </w:tcBorders>
            <w:shd w:val="clear" w:color="auto" w:fill="auto"/>
            <w:noWrap/>
            <w:vAlign w:val="center"/>
            <w:hideMark/>
          </w:tcPr>
          <w:p w14:paraId="3E8D3F1B"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-1,3</w:t>
            </w:r>
          </w:p>
        </w:tc>
        <w:tc>
          <w:tcPr>
            <w:tcW w:w="850" w:type="dxa"/>
            <w:tcBorders>
              <w:top w:val="nil"/>
              <w:left w:val="nil"/>
              <w:bottom w:val="single" w:sz="4" w:space="0" w:color="auto"/>
              <w:right w:val="single" w:sz="4" w:space="0" w:color="auto"/>
            </w:tcBorders>
            <w:shd w:val="clear" w:color="auto" w:fill="auto"/>
            <w:noWrap/>
            <w:vAlign w:val="center"/>
            <w:hideMark/>
          </w:tcPr>
          <w:p w14:paraId="4BBAC6D9"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-0,2</w:t>
            </w:r>
          </w:p>
        </w:tc>
        <w:tc>
          <w:tcPr>
            <w:tcW w:w="1119" w:type="dxa"/>
            <w:tcBorders>
              <w:top w:val="nil"/>
              <w:left w:val="nil"/>
              <w:bottom w:val="single" w:sz="4" w:space="0" w:color="auto"/>
              <w:right w:val="single" w:sz="4" w:space="0" w:color="auto"/>
            </w:tcBorders>
            <w:shd w:val="clear" w:color="auto" w:fill="auto"/>
            <w:noWrap/>
            <w:vAlign w:val="center"/>
            <w:hideMark/>
          </w:tcPr>
          <w:p w14:paraId="576B5D14"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-0,4</w:t>
            </w:r>
          </w:p>
        </w:tc>
      </w:tr>
      <w:tr w:rsidR="00614268" w:rsidRPr="00614268" w14:paraId="13BB669D"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173F51FB" w14:textId="77777777" w:rsidR="00614268" w:rsidRPr="00A264AA" w:rsidRDefault="00614268" w:rsidP="00614268">
            <w:pPr>
              <w:spacing w:after="0"/>
              <w:ind w:firstLine="0"/>
              <w:jc w:val="right"/>
              <w:rPr>
                <w:rFonts w:eastAsia="Times New Roman" w:cs="Times New Roman"/>
                <w:color w:val="000000"/>
                <w:sz w:val="18"/>
                <w:szCs w:val="18"/>
              </w:rPr>
            </w:pPr>
            <w:r w:rsidRPr="00A264AA">
              <w:rPr>
                <w:rFonts w:eastAsia="Times New Roman" w:cs="Times New Roman"/>
                <w:color w:val="000000"/>
                <w:sz w:val="18"/>
                <w:szCs w:val="18"/>
              </w:rPr>
              <w:t>Speciālā budžeta izdevumu korekcija</w:t>
            </w:r>
          </w:p>
        </w:tc>
        <w:tc>
          <w:tcPr>
            <w:tcW w:w="992" w:type="dxa"/>
            <w:tcBorders>
              <w:top w:val="nil"/>
              <w:left w:val="nil"/>
              <w:bottom w:val="single" w:sz="4" w:space="0" w:color="auto"/>
              <w:right w:val="single" w:sz="4" w:space="0" w:color="auto"/>
            </w:tcBorders>
            <w:shd w:val="clear" w:color="auto" w:fill="auto"/>
            <w:noWrap/>
            <w:vAlign w:val="center"/>
            <w:hideMark/>
          </w:tcPr>
          <w:p w14:paraId="7338B75D"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-25,7</w:t>
            </w:r>
          </w:p>
        </w:tc>
        <w:tc>
          <w:tcPr>
            <w:tcW w:w="850" w:type="dxa"/>
            <w:tcBorders>
              <w:top w:val="nil"/>
              <w:left w:val="nil"/>
              <w:bottom w:val="single" w:sz="4" w:space="0" w:color="auto"/>
              <w:right w:val="single" w:sz="4" w:space="0" w:color="auto"/>
            </w:tcBorders>
            <w:shd w:val="clear" w:color="auto" w:fill="auto"/>
            <w:noWrap/>
            <w:vAlign w:val="center"/>
            <w:hideMark/>
          </w:tcPr>
          <w:p w14:paraId="61DF58EE"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-27,2</w:t>
            </w:r>
          </w:p>
        </w:tc>
        <w:tc>
          <w:tcPr>
            <w:tcW w:w="1119" w:type="dxa"/>
            <w:tcBorders>
              <w:top w:val="nil"/>
              <w:left w:val="nil"/>
              <w:bottom w:val="single" w:sz="4" w:space="0" w:color="auto"/>
              <w:right w:val="single" w:sz="4" w:space="0" w:color="auto"/>
            </w:tcBorders>
            <w:shd w:val="clear" w:color="auto" w:fill="auto"/>
            <w:noWrap/>
            <w:vAlign w:val="center"/>
            <w:hideMark/>
          </w:tcPr>
          <w:p w14:paraId="50637CE6"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-28,3</w:t>
            </w:r>
          </w:p>
        </w:tc>
      </w:tr>
      <w:tr w:rsidR="00614268" w:rsidRPr="00614268" w14:paraId="390DA5E9" w14:textId="77777777" w:rsidTr="003B49DF">
        <w:trPr>
          <w:trHeight w:val="300"/>
        </w:trPr>
        <w:tc>
          <w:tcPr>
            <w:tcW w:w="6091" w:type="dxa"/>
            <w:tcBorders>
              <w:top w:val="nil"/>
              <w:left w:val="single" w:sz="4" w:space="0" w:color="auto"/>
              <w:bottom w:val="single" w:sz="4" w:space="0" w:color="auto"/>
              <w:right w:val="single" w:sz="4" w:space="0" w:color="auto"/>
            </w:tcBorders>
            <w:shd w:val="clear" w:color="auto" w:fill="auto"/>
            <w:noWrap/>
            <w:vAlign w:val="center"/>
            <w:hideMark/>
          </w:tcPr>
          <w:p w14:paraId="79728A1B" w14:textId="77777777" w:rsidR="00614268" w:rsidRPr="00A264AA" w:rsidRDefault="00614268" w:rsidP="00614268">
            <w:pPr>
              <w:spacing w:after="0"/>
              <w:ind w:firstLine="0"/>
              <w:jc w:val="right"/>
              <w:rPr>
                <w:rFonts w:eastAsia="Times New Roman" w:cs="Times New Roman"/>
                <w:color w:val="000000"/>
                <w:sz w:val="18"/>
                <w:szCs w:val="18"/>
              </w:rPr>
            </w:pPr>
            <w:r w:rsidRPr="00A264AA">
              <w:rPr>
                <w:rFonts w:eastAsia="Times New Roman" w:cs="Times New Roman"/>
                <w:color w:val="000000"/>
                <w:sz w:val="18"/>
                <w:szCs w:val="18"/>
              </w:rPr>
              <w:t xml:space="preserve">Valsts budžeta finansētu pasākumu pārcelšana uz ES fondu 2021-2027 programmu </w:t>
            </w:r>
          </w:p>
        </w:tc>
        <w:tc>
          <w:tcPr>
            <w:tcW w:w="992" w:type="dxa"/>
            <w:tcBorders>
              <w:top w:val="nil"/>
              <w:left w:val="nil"/>
              <w:bottom w:val="single" w:sz="4" w:space="0" w:color="auto"/>
              <w:right w:val="single" w:sz="4" w:space="0" w:color="auto"/>
            </w:tcBorders>
            <w:shd w:val="clear" w:color="auto" w:fill="auto"/>
            <w:noWrap/>
            <w:vAlign w:val="center"/>
            <w:hideMark/>
          </w:tcPr>
          <w:p w14:paraId="3A29173C"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-66,5</w:t>
            </w:r>
          </w:p>
        </w:tc>
        <w:tc>
          <w:tcPr>
            <w:tcW w:w="850" w:type="dxa"/>
            <w:tcBorders>
              <w:top w:val="nil"/>
              <w:left w:val="nil"/>
              <w:bottom w:val="single" w:sz="4" w:space="0" w:color="auto"/>
              <w:right w:val="single" w:sz="4" w:space="0" w:color="auto"/>
            </w:tcBorders>
            <w:shd w:val="clear" w:color="auto" w:fill="auto"/>
            <w:noWrap/>
            <w:vAlign w:val="center"/>
            <w:hideMark/>
          </w:tcPr>
          <w:p w14:paraId="556D2227"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c>
          <w:tcPr>
            <w:tcW w:w="1119" w:type="dxa"/>
            <w:tcBorders>
              <w:top w:val="nil"/>
              <w:left w:val="nil"/>
              <w:bottom w:val="single" w:sz="4" w:space="0" w:color="auto"/>
              <w:right w:val="single" w:sz="4" w:space="0" w:color="auto"/>
            </w:tcBorders>
            <w:shd w:val="clear" w:color="auto" w:fill="auto"/>
            <w:noWrap/>
            <w:vAlign w:val="center"/>
            <w:hideMark/>
          </w:tcPr>
          <w:p w14:paraId="56C40556" w14:textId="77777777" w:rsidR="00614268" w:rsidRPr="00A264AA" w:rsidRDefault="00614268" w:rsidP="00614268">
            <w:pPr>
              <w:spacing w:after="0"/>
              <w:ind w:firstLine="0"/>
              <w:jc w:val="center"/>
              <w:rPr>
                <w:rFonts w:eastAsia="Times New Roman" w:cs="Times New Roman"/>
                <w:color w:val="000000"/>
                <w:sz w:val="18"/>
                <w:szCs w:val="18"/>
              </w:rPr>
            </w:pPr>
            <w:r w:rsidRPr="00A264AA">
              <w:rPr>
                <w:rFonts w:eastAsia="Times New Roman" w:cs="Times New Roman"/>
                <w:color w:val="000000"/>
                <w:sz w:val="18"/>
                <w:szCs w:val="18"/>
              </w:rPr>
              <w:t> </w:t>
            </w:r>
          </w:p>
        </w:tc>
      </w:tr>
    </w:tbl>
    <w:p w14:paraId="715991FD" w14:textId="77777777" w:rsidR="00583BD0" w:rsidRPr="0038459F" w:rsidRDefault="00583BD0" w:rsidP="0048510B">
      <w:pPr>
        <w:widowControl w:val="0"/>
        <w:spacing w:after="0"/>
        <w:ind w:firstLine="0"/>
        <w:rPr>
          <w:rFonts w:eastAsia="Times New Roman" w:cs="Times New Roman"/>
          <w:b/>
          <w:color w:val="000000"/>
          <w:sz w:val="28"/>
          <w:highlight w:val="lightGray"/>
        </w:rPr>
      </w:pPr>
    </w:p>
    <w:p w14:paraId="039FD400" w14:textId="6CAD7DD5" w:rsidR="00CB7E29" w:rsidRPr="006F29A7" w:rsidRDefault="00CB7E29" w:rsidP="006F1373">
      <w:pPr>
        <w:pStyle w:val="H5"/>
      </w:pPr>
      <w:r w:rsidRPr="006F29A7">
        <w:t>Diskrecionāro politikas lēmumu ietekme uz publisko finanšu ilgtermiņa stabilitāti</w:t>
      </w:r>
    </w:p>
    <w:p w14:paraId="2594C7BD" w14:textId="77777777" w:rsidR="00CB7E29" w:rsidRPr="006F29A7" w:rsidRDefault="00CB7E29" w:rsidP="00CB7E29">
      <w:pPr>
        <w:widowControl w:val="0"/>
        <w:rPr>
          <w:rFonts w:ascii="Calibri" w:eastAsia="Calibri" w:hAnsi="Calibri" w:cs="Calibri"/>
          <w:sz w:val="22"/>
        </w:rPr>
      </w:pPr>
      <w:r w:rsidRPr="006F29A7">
        <w:rPr>
          <w:rFonts w:eastAsia="Times New Roman" w:cs="Times New Roman"/>
        </w:rPr>
        <w:t xml:space="preserve">Saskaņā ar FDL fiskālās politikas īstenošanā tiek ievērots ilgtspējīgas fiskālās politikas princips – fiskālās politikas mērķis ir nodrošināt, lai vispārējās valdības parāda apjoms neuzliek nesamērīgu slogu ekonomikai, bet veicina tās attīstību ilgtermiņā. Savukārt, saskaņā ar Direktīvas 2011/85/ES </w:t>
      </w:r>
      <w:r w:rsidRPr="006F29A7">
        <w:rPr>
          <w:rFonts w:eastAsia="Times New Roman" w:cs="Times New Roman"/>
          <w:color w:val="000000"/>
        </w:rPr>
        <w:t xml:space="preserve">9. panta otrā punkta d) apakšpunktu, dalībvalstīm ir jāveic </w:t>
      </w:r>
      <w:proofErr w:type="spellStart"/>
      <w:r w:rsidRPr="006F29A7">
        <w:rPr>
          <w:rFonts w:eastAsia="Times New Roman" w:cs="Times New Roman"/>
          <w:color w:val="000000"/>
        </w:rPr>
        <w:t>izvērtējums</w:t>
      </w:r>
      <w:proofErr w:type="spellEnd"/>
      <w:r w:rsidRPr="006F29A7">
        <w:rPr>
          <w:rFonts w:eastAsia="Times New Roman" w:cs="Times New Roman"/>
          <w:color w:val="000000"/>
        </w:rPr>
        <w:t xml:space="preserve"> par to, kā paredzētie politikas lēmumi, ņemot vērā to tiešu ilgtermiņa ietekmi uz vispārējās valdības finansēm, varētu iespaidot publisko finanšu ilgtermiņa stabilitāti. </w:t>
      </w:r>
    </w:p>
    <w:p w14:paraId="57BF58ED" w14:textId="63DBD1FE" w:rsidR="00CB7E29" w:rsidRPr="006F29A7" w:rsidRDefault="00CB7E29" w:rsidP="00CB7E29">
      <w:pPr>
        <w:widowControl w:val="0"/>
        <w:rPr>
          <w:rFonts w:eastAsia="Times New Roman" w:cs="Times New Roman"/>
          <w:color w:val="000000"/>
        </w:rPr>
      </w:pPr>
      <w:r w:rsidRPr="006F29A7">
        <w:rPr>
          <w:rFonts w:eastAsia="Times New Roman" w:cs="Times New Roman"/>
          <w:color w:val="000000"/>
        </w:rPr>
        <w:t xml:space="preserve">Līdz ar to  šajā sadaļā tiek veikts ilgtspējas novērtējums </w:t>
      </w:r>
      <w:r w:rsidR="007C7CDE">
        <w:rPr>
          <w:rFonts w:eastAsia="Times New Roman" w:cs="Times New Roman"/>
          <w:color w:val="000000"/>
        </w:rPr>
        <w:t>MK</w:t>
      </w:r>
      <w:r w:rsidRPr="006F29A7">
        <w:rPr>
          <w:rFonts w:eastAsia="Times New Roman" w:cs="Times New Roman"/>
          <w:color w:val="000000"/>
        </w:rPr>
        <w:t xml:space="preserve"> un Saeimas pieņemtajiem </w:t>
      </w:r>
      <w:proofErr w:type="spellStart"/>
      <w:r w:rsidRPr="006F29A7">
        <w:rPr>
          <w:rFonts w:eastAsia="Times New Roman" w:cs="Times New Roman"/>
          <w:color w:val="000000"/>
        </w:rPr>
        <w:t>diskrecionārajiem</w:t>
      </w:r>
      <w:proofErr w:type="spellEnd"/>
      <w:r w:rsidRPr="006F29A7">
        <w:rPr>
          <w:rFonts w:eastAsia="Times New Roman" w:cs="Times New Roman"/>
          <w:color w:val="000000"/>
        </w:rPr>
        <w:t xml:space="preserve"> lēmumiem, analizējot vai jauno politikas pasākumu tiešā ietekme nerada riskus publisko finanšu ilgtermiņa stabilitātei. </w:t>
      </w:r>
    </w:p>
    <w:p w14:paraId="62C36FEF" w14:textId="67833769" w:rsidR="00CB7E29" w:rsidRPr="006F29A7" w:rsidRDefault="00CB7E29" w:rsidP="00CB7E29">
      <w:pPr>
        <w:widowControl w:val="0"/>
        <w:rPr>
          <w:rFonts w:eastAsia="Times New Roman" w:cs="Times New Roman"/>
          <w:color w:val="000000"/>
        </w:rPr>
      </w:pPr>
      <w:r w:rsidRPr="006F29A7">
        <w:rPr>
          <w:rFonts w:eastAsia="Times New Roman" w:cs="Times New Roman"/>
          <w:color w:val="000000"/>
        </w:rPr>
        <w:t xml:space="preserve">Analizēti tiek tikai tādi </w:t>
      </w:r>
      <w:r w:rsidR="007C7CDE">
        <w:rPr>
          <w:rFonts w:eastAsia="Times New Roman" w:cs="Times New Roman"/>
          <w:color w:val="000000"/>
        </w:rPr>
        <w:t>MK</w:t>
      </w:r>
      <w:r w:rsidRPr="006F29A7">
        <w:rPr>
          <w:rFonts w:eastAsia="Times New Roman" w:cs="Times New Roman"/>
          <w:color w:val="000000"/>
        </w:rPr>
        <w:t xml:space="preserve"> pieņemtie politikas pasākumi, kam ir tieša negatīva ietekme uz vispārējās valdības budžeta bilanci, proti, ieņēmumus samazinoši pasākumi un izdevumus palielinoši pasākumi. Tāpat tiek pieņemts, ka ilgtermiņa ietekme ir tikai tādiem pasākumiem, kam ir bāzes efekts uz turpmākajiem gadiem. Līdz ar to netiek analizēti pasākumi, kam ir vienreizējs raksturs. Ja politikas pasākums ir ar bāzes efektu, kam fiskālās ietekmes apmērs nominālā izteiksmē ir laikā nemainīgs, politikas pasākums nerada draudus ilgtermiņa publisko finanšu stabilitātei, jo pie augoša reālā iekšzemes kopprodukta un cenu līmeņa pieauguma, politikas pasākuma tiešā fiskālā ietekme procentos pret </w:t>
      </w:r>
      <w:r w:rsidR="007C7CDE">
        <w:rPr>
          <w:rFonts w:eastAsia="Times New Roman" w:cs="Times New Roman"/>
          <w:color w:val="000000"/>
        </w:rPr>
        <w:t>IKP</w:t>
      </w:r>
      <w:r w:rsidRPr="006F29A7">
        <w:rPr>
          <w:rFonts w:eastAsia="Times New Roman" w:cs="Times New Roman"/>
          <w:color w:val="000000"/>
        </w:rPr>
        <w:t xml:space="preserve"> laikā samazinās. Attiecīgi kritērijs tam, vai jaunā politikas prioritāte rada riskus publisko finanšu ilgtspējai, ir pieņemtā politikas pasākuma fiskālās ietekmes pret </w:t>
      </w:r>
      <w:r w:rsidR="007C7CDE">
        <w:rPr>
          <w:rFonts w:eastAsia="Times New Roman" w:cs="Times New Roman"/>
          <w:color w:val="000000"/>
        </w:rPr>
        <w:t>IKP</w:t>
      </w:r>
      <w:r w:rsidRPr="006F29A7">
        <w:rPr>
          <w:rFonts w:eastAsia="Times New Roman" w:cs="Times New Roman"/>
          <w:color w:val="000000"/>
        </w:rPr>
        <w:t xml:space="preserve"> dinamika.</w:t>
      </w:r>
    </w:p>
    <w:p w14:paraId="4A977E92" w14:textId="18BF1B25" w:rsidR="0004655C" w:rsidRPr="006F29A7" w:rsidRDefault="00CB7E29" w:rsidP="00B25420">
      <w:pPr>
        <w:widowControl w:val="0"/>
        <w:rPr>
          <w:rFonts w:eastAsia="Times New Roman" w:cs="Times New Roman"/>
          <w:b/>
          <w:szCs w:val="28"/>
        </w:rPr>
      </w:pPr>
      <w:r w:rsidRPr="006F29A7">
        <w:rPr>
          <w:rFonts w:eastAsia="Times New Roman" w:cs="Times New Roman"/>
          <w:color w:val="000000"/>
        </w:rPr>
        <w:t xml:space="preserve">Izvērtējot šī vidēja termiņa budžeta ietvara izstrādes laikā pieņemtos </w:t>
      </w:r>
      <w:r w:rsidR="007C7CDE">
        <w:rPr>
          <w:rFonts w:eastAsia="Times New Roman" w:cs="Times New Roman"/>
          <w:color w:val="000000"/>
        </w:rPr>
        <w:t>MK</w:t>
      </w:r>
      <w:r w:rsidRPr="006F29A7">
        <w:rPr>
          <w:rFonts w:eastAsia="Times New Roman" w:cs="Times New Roman"/>
          <w:color w:val="000000"/>
        </w:rPr>
        <w:t xml:space="preserve"> lēmumus, tika secināts, ka nav pieņemti tādi pasākumi, kuri rada risku publisko finanšu ilgtspējai, jo </w:t>
      </w:r>
      <w:r w:rsidR="007C7CDE">
        <w:rPr>
          <w:rFonts w:eastAsia="Times New Roman" w:cs="Times New Roman"/>
          <w:color w:val="000000"/>
        </w:rPr>
        <w:t>MK</w:t>
      </w:r>
      <w:r w:rsidRPr="006F29A7">
        <w:rPr>
          <w:rFonts w:eastAsia="Times New Roman" w:cs="Times New Roman"/>
          <w:color w:val="000000"/>
        </w:rPr>
        <w:t xml:space="preserve"> pieņēma lēmumu tikai par tādiem pasākumiem, kuriem ir vienreizējs raksturs vai arī tie ir ar bāzes efektu uz turpmākajiem gadiem, bet to apmērs nominālā izteiksmē laikā ir nemainīgs.</w:t>
      </w:r>
      <w:r w:rsidRPr="006F29A7">
        <w:rPr>
          <w:rFonts w:eastAsia="Times New Roman" w:cs="Times New Roman"/>
          <w:b/>
          <w:szCs w:val="28"/>
        </w:rPr>
        <w:t xml:space="preserve"> </w:t>
      </w:r>
    </w:p>
    <w:p w14:paraId="433BEDE3" w14:textId="0CA3157B" w:rsidR="00DD0C61" w:rsidRPr="008857DF" w:rsidRDefault="00DD0C61" w:rsidP="00920058">
      <w:pPr>
        <w:pStyle w:val="H2"/>
        <w:rPr>
          <w:rFonts w:eastAsia="Times New Roman"/>
        </w:rPr>
      </w:pPr>
      <w:bookmarkStart w:id="77" w:name="_Toc126236657"/>
      <w:r w:rsidRPr="008857DF">
        <w:rPr>
          <w:rFonts w:eastAsia="Times New Roman"/>
        </w:rPr>
        <w:t>2.4. Pašvaldību finanšu izlīdzināšana</w:t>
      </w:r>
      <w:bookmarkEnd w:id="77"/>
    </w:p>
    <w:p w14:paraId="2B50D2C8" w14:textId="57CF84B8" w:rsidR="008857DF" w:rsidRPr="008857DF" w:rsidRDefault="008857DF" w:rsidP="008857DF">
      <w:pPr>
        <w:pStyle w:val="BodyText"/>
        <w:rPr>
          <w:i/>
          <w:sz w:val="24"/>
          <w:szCs w:val="24"/>
        </w:rPr>
      </w:pPr>
      <w:bookmarkStart w:id="78" w:name="_Toc126236658"/>
      <w:r w:rsidRPr="008857DF">
        <w:rPr>
          <w:sz w:val="24"/>
          <w:szCs w:val="24"/>
        </w:rPr>
        <w:t>Valsts budžetā 2024.</w:t>
      </w:r>
      <w:r>
        <w:rPr>
          <w:sz w:val="24"/>
          <w:szCs w:val="24"/>
        </w:rPr>
        <w:t xml:space="preserve"> </w:t>
      </w:r>
      <w:r w:rsidRPr="008857DF">
        <w:rPr>
          <w:sz w:val="24"/>
          <w:szCs w:val="24"/>
        </w:rPr>
        <w:t xml:space="preserve">gadam ir plānots finansējums pašvaldībām 36,52 milj. </w:t>
      </w:r>
      <w:proofErr w:type="spellStart"/>
      <w:r w:rsidRPr="008857DF">
        <w:rPr>
          <w:i/>
          <w:sz w:val="24"/>
          <w:szCs w:val="24"/>
        </w:rPr>
        <w:t>euro</w:t>
      </w:r>
      <w:proofErr w:type="spellEnd"/>
      <w:r w:rsidRPr="008857DF">
        <w:rPr>
          <w:i/>
          <w:sz w:val="24"/>
          <w:szCs w:val="24"/>
        </w:rPr>
        <w:t xml:space="preserve"> </w:t>
      </w:r>
      <w:r w:rsidRPr="008857DF">
        <w:rPr>
          <w:sz w:val="24"/>
          <w:szCs w:val="24"/>
        </w:rPr>
        <w:t>apmērā, kas paredzēts Pašvaldību finanšu izlīdzināšanas likuma normu izpildei, t.sk.:</w:t>
      </w:r>
    </w:p>
    <w:p w14:paraId="56B31E5E" w14:textId="77777777" w:rsidR="008857DF" w:rsidRPr="008857DF" w:rsidRDefault="008857DF" w:rsidP="008857DF">
      <w:pPr>
        <w:pStyle w:val="ListParagraph"/>
        <w:widowControl w:val="0"/>
        <w:numPr>
          <w:ilvl w:val="0"/>
          <w:numId w:val="42"/>
        </w:numPr>
        <w:tabs>
          <w:tab w:val="left" w:pos="1096"/>
        </w:tabs>
        <w:autoSpaceDE w:val="0"/>
        <w:autoSpaceDN w:val="0"/>
        <w:spacing w:after="0"/>
        <w:ind w:left="0" w:firstLine="720"/>
        <w:contextualSpacing w:val="0"/>
        <w:rPr>
          <w:szCs w:val="24"/>
        </w:rPr>
      </w:pPr>
      <w:r w:rsidRPr="008857DF">
        <w:rPr>
          <w:szCs w:val="24"/>
        </w:rPr>
        <w:t xml:space="preserve">dotācija pašvaldību finanšu izlīdzināšanas fondam 35,92 milj. </w:t>
      </w:r>
      <w:proofErr w:type="spellStart"/>
      <w:r w:rsidRPr="008857DF">
        <w:rPr>
          <w:i/>
          <w:szCs w:val="24"/>
        </w:rPr>
        <w:t>euro</w:t>
      </w:r>
      <w:proofErr w:type="spellEnd"/>
      <w:r w:rsidRPr="008857DF">
        <w:rPr>
          <w:szCs w:val="24"/>
        </w:rPr>
        <w:t>;</w:t>
      </w:r>
    </w:p>
    <w:p w14:paraId="30A0E294" w14:textId="77777777" w:rsidR="008857DF" w:rsidRPr="008857DF" w:rsidRDefault="008857DF" w:rsidP="008857DF">
      <w:pPr>
        <w:pStyle w:val="ListParagraph"/>
        <w:widowControl w:val="0"/>
        <w:numPr>
          <w:ilvl w:val="0"/>
          <w:numId w:val="42"/>
        </w:numPr>
        <w:tabs>
          <w:tab w:val="left" w:pos="1096"/>
        </w:tabs>
        <w:autoSpaceDE w:val="0"/>
        <w:autoSpaceDN w:val="0"/>
        <w:ind w:left="0" w:firstLine="720"/>
        <w:rPr>
          <w:szCs w:val="24"/>
        </w:rPr>
      </w:pPr>
      <w:r w:rsidRPr="008857DF">
        <w:rPr>
          <w:szCs w:val="24"/>
        </w:rPr>
        <w:t>dotācija pašvaldībām 0,60</w:t>
      </w:r>
      <w:r w:rsidRPr="008857DF">
        <w:rPr>
          <w:spacing w:val="-1"/>
          <w:szCs w:val="24"/>
        </w:rPr>
        <w:t xml:space="preserve"> </w:t>
      </w:r>
      <w:r w:rsidRPr="008857DF">
        <w:rPr>
          <w:szCs w:val="24"/>
        </w:rPr>
        <w:t xml:space="preserve">milj. </w:t>
      </w:r>
      <w:proofErr w:type="spellStart"/>
      <w:r w:rsidRPr="008857DF">
        <w:rPr>
          <w:i/>
          <w:szCs w:val="24"/>
        </w:rPr>
        <w:t>euro</w:t>
      </w:r>
      <w:proofErr w:type="spellEnd"/>
      <w:r w:rsidRPr="008857DF">
        <w:rPr>
          <w:i/>
          <w:szCs w:val="24"/>
        </w:rPr>
        <w:t xml:space="preserve"> </w:t>
      </w:r>
      <w:r w:rsidRPr="008857DF">
        <w:rPr>
          <w:szCs w:val="24"/>
        </w:rPr>
        <w:t>apmērā par iemītniekiem veco ļaužu pansionātos un centros, kuri tajos ievietoti līdz 1998. gada 1. janvārim.</w:t>
      </w:r>
    </w:p>
    <w:p w14:paraId="272106DB" w14:textId="77777777" w:rsidR="008857DF" w:rsidRPr="008857DF" w:rsidRDefault="008857DF" w:rsidP="008857DF">
      <w:pPr>
        <w:pStyle w:val="BodyText"/>
        <w:rPr>
          <w:sz w:val="24"/>
          <w:szCs w:val="24"/>
        </w:rPr>
      </w:pPr>
      <w:r w:rsidRPr="008857DF">
        <w:rPr>
          <w:sz w:val="24"/>
          <w:szCs w:val="24"/>
        </w:rPr>
        <w:lastRenderedPageBreak/>
        <w:t>Pašvaldību finanšu izlīdzināšanas aprēķins tiek veikts atbilstoši Pašvaldību finanšu izlīdzināšanas likumam, kas nodrošina līdzvērtīgas iespējas pašvaldību autonomo funkciju realizācijai, kā arī, pārdomāti pārdalot līdzekļus, veicina pašvaldību ieinteresētību savas administratīvās teritorijas attīstībā. Visi pašvaldību finanšu izlīdzināšanas aprēķinā izmantojamie rādītāji ir publiski pieejami, attiecīgi ikviena pašvaldība var aprēķināt potenciālos pašvaldību finanšu izlīdzināšanas rezultātus, tādējādi prognozējot savus</w:t>
      </w:r>
      <w:r w:rsidRPr="008857DF">
        <w:rPr>
          <w:spacing w:val="1"/>
          <w:sz w:val="24"/>
          <w:szCs w:val="24"/>
        </w:rPr>
        <w:t xml:space="preserve"> </w:t>
      </w:r>
      <w:r w:rsidRPr="008857DF">
        <w:rPr>
          <w:sz w:val="24"/>
          <w:szCs w:val="24"/>
        </w:rPr>
        <w:t>ieņēmumus.</w:t>
      </w:r>
    </w:p>
    <w:p w14:paraId="3910D727" w14:textId="77777777" w:rsidR="008857DF" w:rsidRPr="008857DF" w:rsidRDefault="008857DF" w:rsidP="008857DF">
      <w:pPr>
        <w:pStyle w:val="BodyText"/>
        <w:rPr>
          <w:sz w:val="24"/>
          <w:szCs w:val="24"/>
        </w:rPr>
      </w:pPr>
      <w:r w:rsidRPr="008857DF">
        <w:rPr>
          <w:sz w:val="24"/>
          <w:szCs w:val="24"/>
        </w:rPr>
        <w:t>2023. gada pašvaldību finanšu izlīdzināšanas fonda ieņēmumi tiek plānoti 221,31 milj</w:t>
      </w:r>
      <w:r w:rsidRPr="008857DF">
        <w:rPr>
          <w:i/>
          <w:sz w:val="24"/>
          <w:szCs w:val="24"/>
        </w:rPr>
        <w:t>.</w:t>
      </w:r>
      <w:r w:rsidRPr="008857DF">
        <w:rPr>
          <w:sz w:val="24"/>
          <w:szCs w:val="24"/>
        </w:rPr>
        <w:t> </w:t>
      </w:r>
      <w:proofErr w:type="spellStart"/>
      <w:r w:rsidRPr="008857DF">
        <w:rPr>
          <w:i/>
          <w:sz w:val="24"/>
          <w:szCs w:val="24"/>
        </w:rPr>
        <w:t>euro</w:t>
      </w:r>
      <w:proofErr w:type="spellEnd"/>
      <w:r w:rsidRPr="008857DF">
        <w:rPr>
          <w:sz w:val="24"/>
          <w:szCs w:val="24"/>
        </w:rPr>
        <w:t xml:space="preserve">. Tos veido valsts budžeta dotācija 35,92 milj. </w:t>
      </w:r>
      <w:proofErr w:type="spellStart"/>
      <w:r w:rsidRPr="008857DF">
        <w:rPr>
          <w:i/>
          <w:sz w:val="24"/>
          <w:szCs w:val="24"/>
        </w:rPr>
        <w:t>euro</w:t>
      </w:r>
      <w:proofErr w:type="spellEnd"/>
      <w:r w:rsidRPr="008857DF">
        <w:rPr>
          <w:i/>
          <w:sz w:val="24"/>
          <w:szCs w:val="24"/>
        </w:rPr>
        <w:t xml:space="preserve"> </w:t>
      </w:r>
      <w:r w:rsidRPr="008857DF">
        <w:rPr>
          <w:sz w:val="24"/>
          <w:szCs w:val="24"/>
        </w:rPr>
        <w:t xml:space="preserve">un pašvaldību iemaksas – 185,39 milj. </w:t>
      </w:r>
      <w:proofErr w:type="spellStart"/>
      <w:r w:rsidRPr="008857DF">
        <w:rPr>
          <w:i/>
          <w:sz w:val="24"/>
          <w:szCs w:val="24"/>
        </w:rPr>
        <w:t>euro</w:t>
      </w:r>
      <w:proofErr w:type="spellEnd"/>
      <w:r w:rsidRPr="008857DF">
        <w:rPr>
          <w:sz w:val="24"/>
          <w:szCs w:val="24"/>
        </w:rPr>
        <w:t xml:space="preserve">. </w:t>
      </w:r>
    </w:p>
    <w:p w14:paraId="561AB39B" w14:textId="77777777" w:rsidR="008857DF" w:rsidRPr="008857DF" w:rsidRDefault="008857DF" w:rsidP="008857DF">
      <w:pPr>
        <w:pStyle w:val="BodyText"/>
        <w:rPr>
          <w:sz w:val="24"/>
          <w:szCs w:val="24"/>
        </w:rPr>
      </w:pPr>
      <w:r w:rsidRPr="008857DF">
        <w:rPr>
          <w:sz w:val="24"/>
          <w:szCs w:val="24"/>
        </w:rPr>
        <w:t xml:space="preserve">Atbilstoši aprēķinam ir paredzēts, ka iemaksas pašvaldību finanšu izlīdzināšanas fondā veiks 10 pašvaldības, bet dotāciju saņems 33 pašvaldības. Lielākie iemaksu veicēji pašvaldību finanšu izlīdzināšanas fondā, rēķinot procentuāli no pašvaldību vērtētajiem ieņēmumiem, ir Mārupes novads – 21,95%, Ādažu novads – 17,15%, Ropažu novads – 16,61%. Rīgas </w:t>
      </w:r>
      <w:proofErr w:type="spellStart"/>
      <w:r w:rsidRPr="008857DF">
        <w:rPr>
          <w:sz w:val="24"/>
          <w:szCs w:val="24"/>
        </w:rPr>
        <w:t>valstspilsētas</w:t>
      </w:r>
      <w:proofErr w:type="spellEnd"/>
      <w:r w:rsidRPr="008857DF">
        <w:rPr>
          <w:sz w:val="24"/>
          <w:szCs w:val="24"/>
        </w:rPr>
        <w:t xml:space="preserve"> iemaksas</w:t>
      </w:r>
      <w:r w:rsidRPr="008857DF">
        <w:rPr>
          <w:spacing w:val="-6"/>
          <w:sz w:val="24"/>
          <w:szCs w:val="24"/>
        </w:rPr>
        <w:t xml:space="preserve"> </w:t>
      </w:r>
      <w:r w:rsidRPr="008857DF">
        <w:rPr>
          <w:sz w:val="24"/>
          <w:szCs w:val="24"/>
        </w:rPr>
        <w:t>būs</w:t>
      </w:r>
      <w:r w:rsidRPr="008857DF">
        <w:rPr>
          <w:spacing w:val="-6"/>
          <w:sz w:val="24"/>
          <w:szCs w:val="24"/>
        </w:rPr>
        <w:t xml:space="preserve"> </w:t>
      </w:r>
      <w:r w:rsidRPr="008857DF">
        <w:rPr>
          <w:sz w:val="24"/>
          <w:szCs w:val="24"/>
        </w:rPr>
        <w:t>lielākās</w:t>
      </w:r>
      <w:r w:rsidRPr="008857DF">
        <w:rPr>
          <w:spacing w:val="-6"/>
          <w:sz w:val="24"/>
          <w:szCs w:val="24"/>
        </w:rPr>
        <w:t xml:space="preserve"> </w:t>
      </w:r>
      <w:r w:rsidRPr="008857DF">
        <w:rPr>
          <w:sz w:val="24"/>
          <w:szCs w:val="24"/>
        </w:rPr>
        <w:t>pēc</w:t>
      </w:r>
      <w:r w:rsidRPr="008857DF">
        <w:rPr>
          <w:spacing w:val="-6"/>
          <w:sz w:val="24"/>
          <w:szCs w:val="24"/>
        </w:rPr>
        <w:t xml:space="preserve"> </w:t>
      </w:r>
      <w:r w:rsidRPr="008857DF">
        <w:rPr>
          <w:sz w:val="24"/>
          <w:szCs w:val="24"/>
        </w:rPr>
        <w:t>kopējo</w:t>
      </w:r>
      <w:r w:rsidRPr="008857DF">
        <w:rPr>
          <w:spacing w:val="-6"/>
          <w:sz w:val="24"/>
          <w:szCs w:val="24"/>
        </w:rPr>
        <w:t xml:space="preserve"> </w:t>
      </w:r>
      <w:r w:rsidRPr="008857DF">
        <w:rPr>
          <w:sz w:val="24"/>
          <w:szCs w:val="24"/>
        </w:rPr>
        <w:t>iemaksu</w:t>
      </w:r>
      <w:r w:rsidRPr="008857DF">
        <w:rPr>
          <w:spacing w:val="-6"/>
          <w:sz w:val="24"/>
          <w:szCs w:val="24"/>
        </w:rPr>
        <w:t xml:space="preserve"> </w:t>
      </w:r>
      <w:r w:rsidRPr="008857DF">
        <w:rPr>
          <w:sz w:val="24"/>
          <w:szCs w:val="24"/>
        </w:rPr>
        <w:t xml:space="preserve">apjoma – 133,35 milj. </w:t>
      </w:r>
      <w:proofErr w:type="spellStart"/>
      <w:r w:rsidRPr="008857DF">
        <w:rPr>
          <w:i/>
          <w:sz w:val="24"/>
          <w:szCs w:val="24"/>
        </w:rPr>
        <w:t>euro</w:t>
      </w:r>
      <w:proofErr w:type="spellEnd"/>
      <w:r w:rsidRPr="008857DF">
        <w:rPr>
          <w:sz w:val="24"/>
          <w:szCs w:val="24"/>
        </w:rPr>
        <w:t xml:space="preserve">, kas procentuāli no Rīgas </w:t>
      </w:r>
      <w:proofErr w:type="spellStart"/>
      <w:r w:rsidRPr="008857DF">
        <w:rPr>
          <w:sz w:val="24"/>
          <w:szCs w:val="24"/>
        </w:rPr>
        <w:t>valstspilsētas</w:t>
      </w:r>
      <w:proofErr w:type="spellEnd"/>
      <w:r w:rsidRPr="008857DF">
        <w:rPr>
          <w:sz w:val="24"/>
          <w:szCs w:val="24"/>
        </w:rPr>
        <w:t xml:space="preserve"> pašvaldības vērtētajiem ieņēmumiem ir</w:t>
      </w:r>
      <w:r w:rsidRPr="008857DF">
        <w:rPr>
          <w:spacing w:val="1"/>
          <w:sz w:val="24"/>
          <w:szCs w:val="24"/>
        </w:rPr>
        <w:t xml:space="preserve"> </w:t>
      </w:r>
      <w:r w:rsidRPr="008857DF">
        <w:rPr>
          <w:sz w:val="24"/>
          <w:szCs w:val="24"/>
        </w:rPr>
        <w:t>14,64%.</w:t>
      </w:r>
    </w:p>
    <w:p w14:paraId="1975EC9D" w14:textId="6D21F5A7" w:rsidR="003F3F04" w:rsidRPr="006F6CE7" w:rsidRDefault="00DD0C61" w:rsidP="00920058">
      <w:pPr>
        <w:pStyle w:val="H2"/>
        <w:rPr>
          <w:rFonts w:eastAsia="Times New Roman"/>
        </w:rPr>
      </w:pPr>
      <w:r w:rsidRPr="006F6CE7">
        <w:rPr>
          <w:rFonts w:eastAsia="Times New Roman"/>
        </w:rPr>
        <w:t>2.5. Informācija par ministriju padotībā esošām no valsts budžeta daļēji finansētām atvasinātām publiskām personām un budžeta nefinansētām iestādēm</w:t>
      </w:r>
      <w:bookmarkEnd w:id="78"/>
    </w:p>
    <w:p w14:paraId="419EF2E6" w14:textId="53D8F3CE" w:rsidR="004664E1" w:rsidRPr="005273F0" w:rsidRDefault="00B7070D" w:rsidP="004664E1">
      <w:pPr>
        <w:rPr>
          <w:rFonts w:eastAsia="Times New Roman" w:cs="Times New Roman"/>
          <w:szCs w:val="20"/>
          <w:lang w:eastAsia="en-US"/>
        </w:rPr>
      </w:pPr>
      <w:r>
        <w:rPr>
          <w:rFonts w:eastAsia="Times New Roman" w:cs="Times New Roman"/>
          <w:szCs w:val="20"/>
          <w:lang w:eastAsia="en-US"/>
        </w:rPr>
        <w:t>2.15. t</w:t>
      </w:r>
      <w:r w:rsidR="004664E1" w:rsidRPr="005273F0">
        <w:rPr>
          <w:rFonts w:eastAsia="Times New Roman" w:cs="Times New Roman"/>
          <w:szCs w:val="20"/>
          <w:lang w:eastAsia="en-US"/>
        </w:rPr>
        <w:t>abulā. apkopota ministriju iesniegtā informācija par to</w:t>
      </w:r>
      <w:r w:rsidR="004664E1" w:rsidRPr="005273F0">
        <w:rPr>
          <w:rFonts w:eastAsia="Times New Roman" w:cs="Times New Roman"/>
          <w:szCs w:val="24"/>
          <w:lang w:eastAsia="en-US"/>
        </w:rPr>
        <w:t xml:space="preserve"> padotībā esošām no valsts budžeta daļēji finansētām atvasinātām publiskām personām 2024. gadā un </w:t>
      </w:r>
      <w:r>
        <w:rPr>
          <w:rFonts w:eastAsia="Times New Roman" w:cs="Times New Roman"/>
          <w:szCs w:val="24"/>
          <w:lang w:eastAsia="en-US"/>
        </w:rPr>
        <w:t xml:space="preserve">2.16. </w:t>
      </w:r>
      <w:r w:rsidR="004664E1" w:rsidRPr="005273F0">
        <w:rPr>
          <w:rFonts w:eastAsia="Times New Roman" w:cs="Times New Roman"/>
          <w:szCs w:val="24"/>
          <w:lang w:eastAsia="en-US"/>
        </w:rPr>
        <w:t xml:space="preserve">tabulā  apkopota ministriju iesniegtā informācija par padotībā esošām budžeta nefinansētām iestādēm 2024. gadā. </w:t>
      </w:r>
      <w:r w:rsidR="004664E1" w:rsidRPr="005273F0">
        <w:rPr>
          <w:rFonts w:eastAsia="Times New Roman" w:cs="Times New Roman"/>
          <w:szCs w:val="20"/>
          <w:lang w:eastAsia="en-US"/>
        </w:rPr>
        <w:t xml:space="preserve">  </w:t>
      </w:r>
    </w:p>
    <w:p w14:paraId="09D93E18" w14:textId="5743B511" w:rsidR="004664E1" w:rsidRPr="004664E1" w:rsidRDefault="004664E1" w:rsidP="004664E1">
      <w:pPr>
        <w:ind w:firstLine="0"/>
        <w:jc w:val="right"/>
        <w:rPr>
          <w:rFonts w:eastAsia="Times New Roman" w:cs="Times New Roman"/>
          <w:b/>
          <w:bCs/>
          <w:i/>
          <w:szCs w:val="24"/>
        </w:rPr>
      </w:pPr>
      <w:r w:rsidRPr="005273F0">
        <w:rPr>
          <w:rFonts w:eastAsia="Times New Roman" w:cs="Times New Roman"/>
          <w:b/>
          <w:bCs/>
          <w:i/>
          <w:szCs w:val="24"/>
        </w:rPr>
        <w:t>2.1</w:t>
      </w:r>
      <w:r w:rsidR="00B7070D">
        <w:rPr>
          <w:rFonts w:eastAsia="Times New Roman" w:cs="Times New Roman"/>
          <w:b/>
          <w:bCs/>
          <w:i/>
          <w:szCs w:val="24"/>
        </w:rPr>
        <w:t>5</w:t>
      </w:r>
      <w:r w:rsidRPr="005273F0">
        <w:rPr>
          <w:rFonts w:eastAsia="Times New Roman" w:cs="Times New Roman"/>
          <w:b/>
          <w:bCs/>
          <w:i/>
          <w:szCs w:val="24"/>
        </w:rPr>
        <w:t>. tabula</w:t>
      </w:r>
      <w:r w:rsidRPr="004664E1">
        <w:rPr>
          <w:rFonts w:eastAsia="Times New Roman" w:cs="Times New Roman"/>
          <w:b/>
          <w:bCs/>
          <w:i/>
          <w:szCs w:val="24"/>
        </w:rPr>
        <w:t>. 2024. gadā ministriju padotībā esošās valsts budžeta daļēji finansētās atvasinātās publiskās personas</w:t>
      </w:r>
    </w:p>
    <w:tbl>
      <w:tblPr>
        <w:tblStyle w:val="TableGrid6"/>
        <w:tblW w:w="0" w:type="auto"/>
        <w:tblLook w:val="04A0" w:firstRow="1" w:lastRow="0" w:firstColumn="1" w:lastColumn="0" w:noHBand="0" w:noVBand="1"/>
      </w:tblPr>
      <w:tblGrid>
        <w:gridCol w:w="846"/>
        <w:gridCol w:w="8215"/>
      </w:tblGrid>
      <w:tr w:rsidR="004664E1" w:rsidRPr="004664E1" w14:paraId="64CC93F2" w14:textId="77777777" w:rsidTr="005A2240">
        <w:trPr>
          <w:trHeight w:val="397"/>
          <w:tblHeader/>
        </w:trPr>
        <w:tc>
          <w:tcPr>
            <w:tcW w:w="846" w:type="dxa"/>
            <w:shd w:val="clear" w:color="auto" w:fill="BDD6EE"/>
            <w:vAlign w:val="center"/>
            <w:hideMark/>
          </w:tcPr>
          <w:p w14:paraId="6E2FDEB4" w14:textId="77777777" w:rsidR="004664E1" w:rsidRPr="004664E1" w:rsidRDefault="004664E1" w:rsidP="004664E1">
            <w:pPr>
              <w:spacing w:after="0"/>
              <w:ind w:firstLine="0"/>
              <w:jc w:val="center"/>
              <w:rPr>
                <w:bCs/>
                <w:sz w:val="20"/>
              </w:rPr>
            </w:pPr>
            <w:proofErr w:type="spellStart"/>
            <w:r w:rsidRPr="004664E1">
              <w:rPr>
                <w:bCs/>
                <w:sz w:val="20"/>
              </w:rPr>
              <w:t>Nr.p.k</w:t>
            </w:r>
            <w:proofErr w:type="spellEnd"/>
            <w:r w:rsidRPr="004664E1">
              <w:rPr>
                <w:bCs/>
                <w:sz w:val="20"/>
              </w:rPr>
              <w:t>.</w:t>
            </w:r>
          </w:p>
        </w:tc>
        <w:tc>
          <w:tcPr>
            <w:tcW w:w="8215" w:type="dxa"/>
            <w:shd w:val="clear" w:color="auto" w:fill="BDD6EE"/>
            <w:vAlign w:val="center"/>
            <w:hideMark/>
          </w:tcPr>
          <w:p w14:paraId="3D7FA43D" w14:textId="77777777" w:rsidR="004664E1" w:rsidRPr="004664E1" w:rsidRDefault="004664E1" w:rsidP="004664E1">
            <w:pPr>
              <w:spacing w:after="0"/>
              <w:ind w:firstLine="0"/>
              <w:jc w:val="left"/>
              <w:rPr>
                <w:bCs/>
                <w:sz w:val="20"/>
              </w:rPr>
            </w:pPr>
            <w:r w:rsidRPr="004664E1">
              <w:rPr>
                <w:bCs/>
                <w:sz w:val="20"/>
              </w:rPr>
              <w:t>Valsts budžeta daļēji finansētas atvasinātas publiskas personas nosaukums</w:t>
            </w:r>
          </w:p>
        </w:tc>
      </w:tr>
      <w:tr w:rsidR="004664E1" w:rsidRPr="004664E1" w14:paraId="2363F008" w14:textId="77777777" w:rsidTr="005A2240">
        <w:trPr>
          <w:trHeight w:val="397"/>
        </w:trPr>
        <w:tc>
          <w:tcPr>
            <w:tcW w:w="9061" w:type="dxa"/>
            <w:gridSpan w:val="2"/>
            <w:shd w:val="clear" w:color="auto" w:fill="DEEAF6"/>
            <w:vAlign w:val="center"/>
            <w:hideMark/>
          </w:tcPr>
          <w:p w14:paraId="17549850" w14:textId="77777777" w:rsidR="004664E1" w:rsidRPr="004664E1" w:rsidRDefault="004664E1" w:rsidP="004664E1">
            <w:pPr>
              <w:spacing w:after="0"/>
              <w:ind w:firstLine="0"/>
              <w:jc w:val="center"/>
              <w:rPr>
                <w:b/>
                <w:bCs/>
                <w:sz w:val="20"/>
              </w:rPr>
            </w:pPr>
            <w:r w:rsidRPr="004664E1">
              <w:rPr>
                <w:b/>
                <w:bCs/>
                <w:sz w:val="20"/>
              </w:rPr>
              <w:t>Izglītības un zinātnes ministrija</w:t>
            </w:r>
          </w:p>
        </w:tc>
      </w:tr>
      <w:tr w:rsidR="004664E1" w:rsidRPr="004664E1" w14:paraId="0059EA94" w14:textId="77777777" w:rsidTr="005273F0">
        <w:trPr>
          <w:trHeight w:val="340"/>
        </w:trPr>
        <w:tc>
          <w:tcPr>
            <w:tcW w:w="846" w:type="dxa"/>
            <w:vAlign w:val="center"/>
            <w:hideMark/>
          </w:tcPr>
          <w:p w14:paraId="4BFC3ADF" w14:textId="77777777" w:rsidR="004664E1" w:rsidRPr="004664E1" w:rsidRDefault="004664E1" w:rsidP="004664E1">
            <w:pPr>
              <w:spacing w:after="0"/>
              <w:ind w:firstLine="0"/>
              <w:jc w:val="center"/>
              <w:rPr>
                <w:bCs/>
                <w:sz w:val="20"/>
              </w:rPr>
            </w:pPr>
            <w:r w:rsidRPr="004664E1">
              <w:rPr>
                <w:bCs/>
                <w:sz w:val="20"/>
              </w:rPr>
              <w:t>1.</w:t>
            </w:r>
          </w:p>
        </w:tc>
        <w:tc>
          <w:tcPr>
            <w:tcW w:w="8215" w:type="dxa"/>
            <w:vAlign w:val="center"/>
            <w:hideMark/>
          </w:tcPr>
          <w:p w14:paraId="266B604B" w14:textId="77777777" w:rsidR="004664E1" w:rsidRPr="004664E1" w:rsidRDefault="004664E1" w:rsidP="004664E1">
            <w:pPr>
              <w:spacing w:after="0"/>
              <w:ind w:firstLine="0"/>
              <w:jc w:val="left"/>
              <w:rPr>
                <w:bCs/>
                <w:sz w:val="20"/>
              </w:rPr>
            </w:pPr>
            <w:r w:rsidRPr="004664E1">
              <w:rPr>
                <w:bCs/>
                <w:sz w:val="20"/>
              </w:rPr>
              <w:t>Augstākās izglītības padome</w:t>
            </w:r>
          </w:p>
        </w:tc>
      </w:tr>
      <w:tr w:rsidR="004664E1" w:rsidRPr="004664E1" w14:paraId="2951FB89" w14:textId="77777777" w:rsidTr="005273F0">
        <w:trPr>
          <w:trHeight w:val="340"/>
        </w:trPr>
        <w:tc>
          <w:tcPr>
            <w:tcW w:w="846" w:type="dxa"/>
            <w:vAlign w:val="center"/>
            <w:hideMark/>
          </w:tcPr>
          <w:p w14:paraId="1488CE44" w14:textId="77777777" w:rsidR="004664E1" w:rsidRPr="004664E1" w:rsidRDefault="004664E1" w:rsidP="004664E1">
            <w:pPr>
              <w:spacing w:after="0"/>
              <w:ind w:firstLine="0"/>
              <w:jc w:val="center"/>
              <w:rPr>
                <w:bCs/>
                <w:sz w:val="20"/>
              </w:rPr>
            </w:pPr>
            <w:r w:rsidRPr="004664E1">
              <w:rPr>
                <w:bCs/>
                <w:sz w:val="20"/>
              </w:rPr>
              <w:t>2.</w:t>
            </w:r>
          </w:p>
        </w:tc>
        <w:tc>
          <w:tcPr>
            <w:tcW w:w="8215" w:type="dxa"/>
            <w:vAlign w:val="center"/>
            <w:hideMark/>
          </w:tcPr>
          <w:p w14:paraId="5F5DB768" w14:textId="77777777" w:rsidR="004664E1" w:rsidRPr="004664E1" w:rsidRDefault="004664E1" w:rsidP="004664E1">
            <w:pPr>
              <w:spacing w:after="0"/>
              <w:ind w:firstLine="0"/>
              <w:jc w:val="left"/>
              <w:rPr>
                <w:bCs/>
                <w:sz w:val="20"/>
              </w:rPr>
            </w:pPr>
            <w:r w:rsidRPr="004664E1">
              <w:rPr>
                <w:bCs/>
                <w:sz w:val="20"/>
              </w:rPr>
              <w:t>Banku augstskola</w:t>
            </w:r>
          </w:p>
        </w:tc>
      </w:tr>
      <w:tr w:rsidR="004664E1" w:rsidRPr="004664E1" w14:paraId="5D3D5CF4" w14:textId="77777777" w:rsidTr="005273F0">
        <w:trPr>
          <w:trHeight w:val="340"/>
        </w:trPr>
        <w:tc>
          <w:tcPr>
            <w:tcW w:w="846" w:type="dxa"/>
            <w:vAlign w:val="center"/>
            <w:hideMark/>
          </w:tcPr>
          <w:p w14:paraId="492B9242" w14:textId="77777777" w:rsidR="004664E1" w:rsidRPr="004664E1" w:rsidRDefault="004664E1" w:rsidP="004664E1">
            <w:pPr>
              <w:spacing w:after="0"/>
              <w:ind w:firstLine="0"/>
              <w:jc w:val="center"/>
              <w:rPr>
                <w:bCs/>
                <w:sz w:val="20"/>
              </w:rPr>
            </w:pPr>
            <w:r w:rsidRPr="004664E1">
              <w:rPr>
                <w:bCs/>
                <w:sz w:val="20"/>
              </w:rPr>
              <w:t>3.</w:t>
            </w:r>
          </w:p>
        </w:tc>
        <w:tc>
          <w:tcPr>
            <w:tcW w:w="8215" w:type="dxa"/>
            <w:vAlign w:val="center"/>
            <w:hideMark/>
          </w:tcPr>
          <w:p w14:paraId="2796BF80" w14:textId="77777777" w:rsidR="004664E1" w:rsidRPr="004664E1" w:rsidRDefault="004664E1" w:rsidP="004664E1">
            <w:pPr>
              <w:spacing w:after="0"/>
              <w:ind w:firstLine="0"/>
              <w:jc w:val="left"/>
              <w:rPr>
                <w:bCs/>
                <w:sz w:val="20"/>
              </w:rPr>
            </w:pPr>
            <w:r w:rsidRPr="004664E1">
              <w:rPr>
                <w:bCs/>
                <w:sz w:val="20"/>
              </w:rPr>
              <w:t>Daugavpils Universitāte</w:t>
            </w:r>
          </w:p>
        </w:tc>
      </w:tr>
      <w:tr w:rsidR="004664E1" w:rsidRPr="004664E1" w14:paraId="37B5255E" w14:textId="77777777" w:rsidTr="005273F0">
        <w:trPr>
          <w:trHeight w:val="340"/>
        </w:trPr>
        <w:tc>
          <w:tcPr>
            <w:tcW w:w="846" w:type="dxa"/>
            <w:vAlign w:val="center"/>
            <w:hideMark/>
          </w:tcPr>
          <w:p w14:paraId="1623D31C" w14:textId="77777777" w:rsidR="004664E1" w:rsidRPr="004664E1" w:rsidRDefault="004664E1" w:rsidP="004664E1">
            <w:pPr>
              <w:spacing w:after="0"/>
              <w:ind w:firstLine="0"/>
              <w:jc w:val="center"/>
              <w:rPr>
                <w:bCs/>
                <w:sz w:val="20"/>
              </w:rPr>
            </w:pPr>
            <w:r w:rsidRPr="004664E1">
              <w:rPr>
                <w:bCs/>
                <w:sz w:val="20"/>
              </w:rPr>
              <w:t>4.</w:t>
            </w:r>
          </w:p>
        </w:tc>
        <w:tc>
          <w:tcPr>
            <w:tcW w:w="8215" w:type="dxa"/>
            <w:vAlign w:val="center"/>
            <w:hideMark/>
          </w:tcPr>
          <w:p w14:paraId="7766A42C" w14:textId="77777777" w:rsidR="004664E1" w:rsidRPr="004664E1" w:rsidRDefault="004664E1" w:rsidP="004664E1">
            <w:pPr>
              <w:spacing w:after="0"/>
              <w:ind w:firstLine="0"/>
              <w:jc w:val="left"/>
              <w:rPr>
                <w:bCs/>
                <w:sz w:val="20"/>
              </w:rPr>
            </w:pPr>
            <w:r w:rsidRPr="004664E1">
              <w:rPr>
                <w:bCs/>
                <w:sz w:val="20"/>
              </w:rPr>
              <w:t>Latvijas Sporta pedagoģijas akadēmija</w:t>
            </w:r>
          </w:p>
        </w:tc>
      </w:tr>
      <w:tr w:rsidR="004664E1" w:rsidRPr="004664E1" w14:paraId="76AC1615" w14:textId="77777777" w:rsidTr="005273F0">
        <w:trPr>
          <w:trHeight w:val="340"/>
        </w:trPr>
        <w:tc>
          <w:tcPr>
            <w:tcW w:w="846" w:type="dxa"/>
            <w:vAlign w:val="center"/>
            <w:hideMark/>
          </w:tcPr>
          <w:p w14:paraId="3B676AE1" w14:textId="77777777" w:rsidR="004664E1" w:rsidRPr="004664E1" w:rsidRDefault="004664E1" w:rsidP="004664E1">
            <w:pPr>
              <w:spacing w:after="0"/>
              <w:ind w:firstLine="0"/>
              <w:jc w:val="center"/>
              <w:rPr>
                <w:bCs/>
                <w:sz w:val="20"/>
              </w:rPr>
            </w:pPr>
            <w:r w:rsidRPr="004664E1">
              <w:rPr>
                <w:bCs/>
                <w:sz w:val="20"/>
              </w:rPr>
              <w:t>5.</w:t>
            </w:r>
          </w:p>
        </w:tc>
        <w:tc>
          <w:tcPr>
            <w:tcW w:w="8215" w:type="dxa"/>
            <w:vAlign w:val="center"/>
            <w:hideMark/>
          </w:tcPr>
          <w:p w14:paraId="097C0A84" w14:textId="77777777" w:rsidR="004664E1" w:rsidRPr="004664E1" w:rsidRDefault="004664E1" w:rsidP="004664E1">
            <w:pPr>
              <w:spacing w:after="0"/>
              <w:ind w:firstLine="0"/>
              <w:jc w:val="left"/>
              <w:rPr>
                <w:bCs/>
                <w:sz w:val="20"/>
              </w:rPr>
            </w:pPr>
            <w:r w:rsidRPr="004664E1">
              <w:rPr>
                <w:bCs/>
                <w:sz w:val="20"/>
              </w:rPr>
              <w:t>Latvijas Universitāte</w:t>
            </w:r>
          </w:p>
        </w:tc>
      </w:tr>
      <w:tr w:rsidR="004664E1" w:rsidRPr="004664E1" w14:paraId="44FB0AE1" w14:textId="77777777" w:rsidTr="005A2240">
        <w:trPr>
          <w:trHeight w:val="340"/>
        </w:trPr>
        <w:tc>
          <w:tcPr>
            <w:tcW w:w="846" w:type="dxa"/>
            <w:vAlign w:val="center"/>
            <w:hideMark/>
          </w:tcPr>
          <w:p w14:paraId="42D8234F" w14:textId="77777777" w:rsidR="004664E1" w:rsidRPr="004664E1" w:rsidRDefault="004664E1" w:rsidP="004664E1">
            <w:pPr>
              <w:spacing w:after="0"/>
              <w:ind w:firstLine="0"/>
              <w:jc w:val="center"/>
              <w:rPr>
                <w:bCs/>
                <w:sz w:val="20"/>
              </w:rPr>
            </w:pPr>
            <w:r w:rsidRPr="004664E1">
              <w:rPr>
                <w:bCs/>
                <w:sz w:val="20"/>
              </w:rPr>
              <w:t>6.</w:t>
            </w:r>
          </w:p>
        </w:tc>
        <w:tc>
          <w:tcPr>
            <w:tcW w:w="8215" w:type="dxa"/>
            <w:vAlign w:val="center"/>
            <w:hideMark/>
          </w:tcPr>
          <w:p w14:paraId="78CF54F4" w14:textId="77777777" w:rsidR="004664E1" w:rsidRPr="004664E1" w:rsidRDefault="004664E1" w:rsidP="004664E1">
            <w:pPr>
              <w:spacing w:after="0"/>
              <w:ind w:firstLine="0"/>
              <w:jc w:val="left"/>
              <w:rPr>
                <w:bCs/>
                <w:sz w:val="20"/>
              </w:rPr>
            </w:pPr>
            <w:r w:rsidRPr="004664E1">
              <w:rPr>
                <w:bCs/>
                <w:sz w:val="20"/>
              </w:rPr>
              <w:t>Liepājas Universitāte</w:t>
            </w:r>
          </w:p>
        </w:tc>
      </w:tr>
      <w:tr w:rsidR="004664E1" w:rsidRPr="004664E1" w14:paraId="4B4C8CC8" w14:textId="77777777" w:rsidTr="005A2240">
        <w:trPr>
          <w:trHeight w:val="340"/>
        </w:trPr>
        <w:tc>
          <w:tcPr>
            <w:tcW w:w="846" w:type="dxa"/>
            <w:vAlign w:val="center"/>
            <w:hideMark/>
          </w:tcPr>
          <w:p w14:paraId="6DDD257D" w14:textId="77777777" w:rsidR="004664E1" w:rsidRPr="004664E1" w:rsidRDefault="004664E1" w:rsidP="004664E1">
            <w:pPr>
              <w:spacing w:after="0"/>
              <w:ind w:firstLine="0"/>
              <w:jc w:val="center"/>
              <w:rPr>
                <w:bCs/>
                <w:sz w:val="20"/>
              </w:rPr>
            </w:pPr>
            <w:r w:rsidRPr="004664E1">
              <w:rPr>
                <w:bCs/>
                <w:sz w:val="20"/>
              </w:rPr>
              <w:t>7.</w:t>
            </w:r>
          </w:p>
        </w:tc>
        <w:tc>
          <w:tcPr>
            <w:tcW w:w="8215" w:type="dxa"/>
            <w:vAlign w:val="center"/>
            <w:hideMark/>
          </w:tcPr>
          <w:p w14:paraId="57F41EC0" w14:textId="77777777" w:rsidR="004664E1" w:rsidRPr="004664E1" w:rsidRDefault="004664E1" w:rsidP="004664E1">
            <w:pPr>
              <w:spacing w:after="0"/>
              <w:ind w:firstLine="0"/>
              <w:jc w:val="left"/>
              <w:rPr>
                <w:bCs/>
                <w:sz w:val="20"/>
              </w:rPr>
            </w:pPr>
            <w:r w:rsidRPr="004664E1">
              <w:rPr>
                <w:bCs/>
                <w:sz w:val="20"/>
              </w:rPr>
              <w:t>Rēzeknes Tehnoloģiju akadēmija</w:t>
            </w:r>
          </w:p>
        </w:tc>
      </w:tr>
      <w:tr w:rsidR="004664E1" w:rsidRPr="004664E1" w14:paraId="031CE305" w14:textId="77777777" w:rsidTr="005A2240">
        <w:trPr>
          <w:trHeight w:val="340"/>
        </w:trPr>
        <w:tc>
          <w:tcPr>
            <w:tcW w:w="846" w:type="dxa"/>
            <w:vAlign w:val="center"/>
            <w:hideMark/>
          </w:tcPr>
          <w:p w14:paraId="52C1B71C" w14:textId="77777777" w:rsidR="004664E1" w:rsidRPr="004664E1" w:rsidRDefault="004664E1" w:rsidP="004664E1">
            <w:pPr>
              <w:spacing w:after="0"/>
              <w:ind w:firstLine="0"/>
              <w:jc w:val="center"/>
              <w:rPr>
                <w:bCs/>
                <w:sz w:val="20"/>
              </w:rPr>
            </w:pPr>
            <w:r w:rsidRPr="004664E1">
              <w:rPr>
                <w:bCs/>
                <w:sz w:val="20"/>
              </w:rPr>
              <w:t>8.</w:t>
            </w:r>
          </w:p>
        </w:tc>
        <w:tc>
          <w:tcPr>
            <w:tcW w:w="8215" w:type="dxa"/>
            <w:vAlign w:val="center"/>
            <w:hideMark/>
          </w:tcPr>
          <w:p w14:paraId="6C9AA0EF" w14:textId="77777777" w:rsidR="004664E1" w:rsidRPr="004664E1" w:rsidRDefault="004664E1" w:rsidP="004664E1">
            <w:pPr>
              <w:spacing w:after="0"/>
              <w:ind w:firstLine="0"/>
              <w:jc w:val="left"/>
              <w:rPr>
                <w:bCs/>
                <w:sz w:val="20"/>
              </w:rPr>
            </w:pPr>
            <w:r w:rsidRPr="004664E1">
              <w:rPr>
                <w:bCs/>
                <w:sz w:val="20"/>
              </w:rPr>
              <w:t>Rīgas Tehniskā universitāte</w:t>
            </w:r>
          </w:p>
        </w:tc>
      </w:tr>
      <w:tr w:rsidR="004664E1" w:rsidRPr="004664E1" w14:paraId="1611E9D1" w14:textId="77777777" w:rsidTr="005A2240">
        <w:trPr>
          <w:trHeight w:val="340"/>
        </w:trPr>
        <w:tc>
          <w:tcPr>
            <w:tcW w:w="846" w:type="dxa"/>
            <w:vAlign w:val="center"/>
            <w:hideMark/>
          </w:tcPr>
          <w:p w14:paraId="063DE367" w14:textId="77777777" w:rsidR="004664E1" w:rsidRPr="004664E1" w:rsidRDefault="004664E1" w:rsidP="004664E1">
            <w:pPr>
              <w:spacing w:after="0"/>
              <w:ind w:firstLine="0"/>
              <w:jc w:val="center"/>
              <w:rPr>
                <w:bCs/>
                <w:sz w:val="20"/>
              </w:rPr>
            </w:pPr>
            <w:r w:rsidRPr="004664E1">
              <w:rPr>
                <w:bCs/>
                <w:sz w:val="20"/>
              </w:rPr>
              <w:t>9.</w:t>
            </w:r>
          </w:p>
        </w:tc>
        <w:tc>
          <w:tcPr>
            <w:tcW w:w="8215" w:type="dxa"/>
            <w:vAlign w:val="center"/>
            <w:hideMark/>
          </w:tcPr>
          <w:p w14:paraId="0F499CD2" w14:textId="77777777" w:rsidR="004664E1" w:rsidRPr="004664E1" w:rsidRDefault="004664E1" w:rsidP="004664E1">
            <w:pPr>
              <w:spacing w:after="0"/>
              <w:ind w:firstLine="0"/>
              <w:jc w:val="left"/>
              <w:rPr>
                <w:bCs/>
                <w:sz w:val="20"/>
              </w:rPr>
            </w:pPr>
            <w:r w:rsidRPr="004664E1">
              <w:rPr>
                <w:bCs/>
                <w:sz w:val="20"/>
              </w:rPr>
              <w:t>Ventspils Augstskola</w:t>
            </w:r>
          </w:p>
        </w:tc>
      </w:tr>
      <w:tr w:rsidR="004664E1" w:rsidRPr="004664E1" w14:paraId="13DA568C" w14:textId="77777777" w:rsidTr="005A2240">
        <w:trPr>
          <w:trHeight w:val="340"/>
        </w:trPr>
        <w:tc>
          <w:tcPr>
            <w:tcW w:w="846" w:type="dxa"/>
            <w:vAlign w:val="center"/>
            <w:hideMark/>
          </w:tcPr>
          <w:p w14:paraId="4843B0BC" w14:textId="77777777" w:rsidR="004664E1" w:rsidRPr="004664E1" w:rsidRDefault="004664E1" w:rsidP="004664E1">
            <w:pPr>
              <w:spacing w:after="0"/>
              <w:ind w:firstLine="0"/>
              <w:jc w:val="center"/>
              <w:rPr>
                <w:bCs/>
                <w:sz w:val="20"/>
              </w:rPr>
            </w:pPr>
            <w:r w:rsidRPr="004664E1">
              <w:rPr>
                <w:bCs/>
                <w:sz w:val="20"/>
              </w:rPr>
              <w:t>10.</w:t>
            </w:r>
          </w:p>
        </w:tc>
        <w:tc>
          <w:tcPr>
            <w:tcW w:w="8215" w:type="dxa"/>
            <w:vAlign w:val="center"/>
            <w:hideMark/>
          </w:tcPr>
          <w:p w14:paraId="67DFE829" w14:textId="77777777" w:rsidR="004664E1" w:rsidRPr="004664E1" w:rsidRDefault="004664E1" w:rsidP="004664E1">
            <w:pPr>
              <w:spacing w:after="0"/>
              <w:ind w:firstLine="0"/>
              <w:jc w:val="left"/>
              <w:rPr>
                <w:bCs/>
                <w:sz w:val="20"/>
              </w:rPr>
            </w:pPr>
            <w:r w:rsidRPr="004664E1">
              <w:rPr>
                <w:bCs/>
                <w:sz w:val="20"/>
              </w:rPr>
              <w:t>Vidzemes Augstskola</w:t>
            </w:r>
          </w:p>
        </w:tc>
      </w:tr>
      <w:tr w:rsidR="004664E1" w:rsidRPr="004664E1" w14:paraId="158D980F" w14:textId="77777777" w:rsidTr="005A2240">
        <w:trPr>
          <w:trHeight w:val="340"/>
        </w:trPr>
        <w:tc>
          <w:tcPr>
            <w:tcW w:w="846" w:type="dxa"/>
            <w:vAlign w:val="center"/>
            <w:hideMark/>
          </w:tcPr>
          <w:p w14:paraId="3A36F0AE" w14:textId="77777777" w:rsidR="004664E1" w:rsidRPr="004664E1" w:rsidRDefault="004664E1" w:rsidP="004664E1">
            <w:pPr>
              <w:spacing w:after="0"/>
              <w:ind w:firstLine="0"/>
              <w:jc w:val="center"/>
              <w:rPr>
                <w:bCs/>
                <w:sz w:val="20"/>
              </w:rPr>
            </w:pPr>
            <w:r w:rsidRPr="004664E1">
              <w:rPr>
                <w:bCs/>
                <w:sz w:val="20"/>
              </w:rPr>
              <w:t>11.</w:t>
            </w:r>
          </w:p>
        </w:tc>
        <w:tc>
          <w:tcPr>
            <w:tcW w:w="8215" w:type="dxa"/>
            <w:vAlign w:val="center"/>
            <w:hideMark/>
          </w:tcPr>
          <w:p w14:paraId="68BC2969" w14:textId="77777777" w:rsidR="004664E1" w:rsidRPr="004664E1" w:rsidRDefault="004664E1" w:rsidP="004664E1">
            <w:pPr>
              <w:spacing w:after="0"/>
              <w:ind w:firstLine="0"/>
              <w:jc w:val="left"/>
              <w:rPr>
                <w:bCs/>
                <w:sz w:val="20"/>
              </w:rPr>
            </w:pPr>
            <w:r w:rsidRPr="004664E1">
              <w:rPr>
                <w:bCs/>
                <w:sz w:val="20"/>
              </w:rPr>
              <w:t>Latvijas Zinātņu akadēmija</w:t>
            </w:r>
          </w:p>
        </w:tc>
      </w:tr>
      <w:tr w:rsidR="004664E1" w:rsidRPr="004664E1" w14:paraId="77631144" w14:textId="77777777" w:rsidTr="005A2240">
        <w:trPr>
          <w:trHeight w:val="340"/>
        </w:trPr>
        <w:tc>
          <w:tcPr>
            <w:tcW w:w="846" w:type="dxa"/>
            <w:vAlign w:val="center"/>
            <w:hideMark/>
          </w:tcPr>
          <w:p w14:paraId="740F350A" w14:textId="77777777" w:rsidR="004664E1" w:rsidRPr="004664E1" w:rsidRDefault="004664E1" w:rsidP="004664E1">
            <w:pPr>
              <w:spacing w:after="0"/>
              <w:ind w:firstLine="0"/>
              <w:jc w:val="center"/>
              <w:rPr>
                <w:bCs/>
                <w:sz w:val="20"/>
              </w:rPr>
            </w:pPr>
            <w:r w:rsidRPr="004664E1">
              <w:rPr>
                <w:bCs/>
                <w:sz w:val="20"/>
              </w:rPr>
              <w:t>12.</w:t>
            </w:r>
          </w:p>
        </w:tc>
        <w:tc>
          <w:tcPr>
            <w:tcW w:w="8215" w:type="dxa"/>
            <w:vAlign w:val="center"/>
            <w:hideMark/>
          </w:tcPr>
          <w:p w14:paraId="0672A650" w14:textId="77777777" w:rsidR="004664E1" w:rsidRPr="004664E1" w:rsidRDefault="004664E1" w:rsidP="004664E1">
            <w:pPr>
              <w:spacing w:after="0"/>
              <w:ind w:firstLine="0"/>
              <w:jc w:val="left"/>
              <w:rPr>
                <w:bCs/>
                <w:sz w:val="20"/>
              </w:rPr>
            </w:pPr>
            <w:r w:rsidRPr="004664E1">
              <w:rPr>
                <w:bCs/>
                <w:sz w:val="20"/>
              </w:rPr>
              <w:t>Latvijas Organiskās sintēzes institūts</w:t>
            </w:r>
          </w:p>
        </w:tc>
      </w:tr>
      <w:tr w:rsidR="004664E1" w:rsidRPr="004664E1" w14:paraId="7E3C56FC" w14:textId="77777777" w:rsidTr="005A2240">
        <w:trPr>
          <w:trHeight w:val="340"/>
        </w:trPr>
        <w:tc>
          <w:tcPr>
            <w:tcW w:w="846" w:type="dxa"/>
            <w:vAlign w:val="center"/>
            <w:hideMark/>
          </w:tcPr>
          <w:p w14:paraId="2E9A6579" w14:textId="77777777" w:rsidR="004664E1" w:rsidRPr="004664E1" w:rsidRDefault="004664E1" w:rsidP="004664E1">
            <w:pPr>
              <w:spacing w:after="0"/>
              <w:ind w:firstLine="0"/>
              <w:jc w:val="center"/>
              <w:rPr>
                <w:bCs/>
                <w:sz w:val="20"/>
              </w:rPr>
            </w:pPr>
            <w:r w:rsidRPr="004664E1">
              <w:rPr>
                <w:bCs/>
                <w:sz w:val="20"/>
              </w:rPr>
              <w:t>13.</w:t>
            </w:r>
          </w:p>
        </w:tc>
        <w:tc>
          <w:tcPr>
            <w:tcW w:w="8215" w:type="dxa"/>
            <w:vAlign w:val="center"/>
            <w:hideMark/>
          </w:tcPr>
          <w:p w14:paraId="7433B1E3" w14:textId="77777777" w:rsidR="004664E1" w:rsidRPr="004664E1" w:rsidRDefault="004664E1" w:rsidP="004664E1">
            <w:pPr>
              <w:spacing w:after="0"/>
              <w:ind w:firstLine="0"/>
              <w:jc w:val="left"/>
              <w:rPr>
                <w:bCs/>
                <w:sz w:val="20"/>
              </w:rPr>
            </w:pPr>
            <w:r w:rsidRPr="004664E1">
              <w:rPr>
                <w:bCs/>
                <w:sz w:val="20"/>
              </w:rPr>
              <w:t>Latvijas Valsts koksnes ķīmijas institūts</w:t>
            </w:r>
          </w:p>
        </w:tc>
      </w:tr>
      <w:tr w:rsidR="004664E1" w:rsidRPr="004664E1" w14:paraId="07D35E11" w14:textId="77777777" w:rsidTr="005A2240">
        <w:trPr>
          <w:trHeight w:val="340"/>
        </w:trPr>
        <w:tc>
          <w:tcPr>
            <w:tcW w:w="846" w:type="dxa"/>
            <w:vAlign w:val="center"/>
            <w:hideMark/>
          </w:tcPr>
          <w:p w14:paraId="6BE1F5C2" w14:textId="77777777" w:rsidR="004664E1" w:rsidRPr="004664E1" w:rsidRDefault="004664E1" w:rsidP="004664E1">
            <w:pPr>
              <w:spacing w:after="0"/>
              <w:ind w:firstLine="0"/>
              <w:jc w:val="center"/>
              <w:rPr>
                <w:bCs/>
                <w:sz w:val="20"/>
              </w:rPr>
            </w:pPr>
            <w:r w:rsidRPr="004664E1">
              <w:rPr>
                <w:bCs/>
                <w:sz w:val="20"/>
              </w:rPr>
              <w:t>14.</w:t>
            </w:r>
          </w:p>
        </w:tc>
        <w:tc>
          <w:tcPr>
            <w:tcW w:w="8215" w:type="dxa"/>
            <w:vAlign w:val="center"/>
            <w:hideMark/>
          </w:tcPr>
          <w:p w14:paraId="569E0930" w14:textId="77777777" w:rsidR="004664E1" w:rsidRPr="004664E1" w:rsidRDefault="004664E1" w:rsidP="004664E1">
            <w:pPr>
              <w:spacing w:after="0"/>
              <w:ind w:firstLine="0"/>
              <w:jc w:val="left"/>
              <w:rPr>
                <w:bCs/>
                <w:sz w:val="20"/>
              </w:rPr>
            </w:pPr>
            <w:r w:rsidRPr="004664E1">
              <w:rPr>
                <w:bCs/>
                <w:sz w:val="20"/>
              </w:rPr>
              <w:t>Fizikālās enerģētikas institūts</w:t>
            </w:r>
          </w:p>
        </w:tc>
      </w:tr>
      <w:tr w:rsidR="004664E1" w:rsidRPr="004664E1" w14:paraId="7163EA4B" w14:textId="77777777" w:rsidTr="005A2240">
        <w:trPr>
          <w:trHeight w:val="340"/>
        </w:trPr>
        <w:tc>
          <w:tcPr>
            <w:tcW w:w="846" w:type="dxa"/>
            <w:vAlign w:val="center"/>
            <w:hideMark/>
          </w:tcPr>
          <w:p w14:paraId="52CC6DAB" w14:textId="77777777" w:rsidR="004664E1" w:rsidRPr="004664E1" w:rsidRDefault="004664E1" w:rsidP="004664E1">
            <w:pPr>
              <w:spacing w:after="0"/>
              <w:ind w:firstLine="0"/>
              <w:jc w:val="center"/>
              <w:rPr>
                <w:bCs/>
                <w:sz w:val="20"/>
              </w:rPr>
            </w:pPr>
            <w:r w:rsidRPr="004664E1">
              <w:rPr>
                <w:bCs/>
                <w:sz w:val="20"/>
              </w:rPr>
              <w:t>15.</w:t>
            </w:r>
          </w:p>
        </w:tc>
        <w:tc>
          <w:tcPr>
            <w:tcW w:w="8215" w:type="dxa"/>
            <w:vAlign w:val="center"/>
            <w:hideMark/>
          </w:tcPr>
          <w:p w14:paraId="07981B81" w14:textId="77777777" w:rsidR="004664E1" w:rsidRPr="004664E1" w:rsidRDefault="004664E1" w:rsidP="004664E1">
            <w:pPr>
              <w:spacing w:after="0"/>
              <w:ind w:firstLine="0"/>
              <w:jc w:val="left"/>
              <w:rPr>
                <w:bCs/>
                <w:sz w:val="20"/>
              </w:rPr>
            </w:pPr>
            <w:r w:rsidRPr="004664E1">
              <w:rPr>
                <w:bCs/>
                <w:sz w:val="20"/>
              </w:rPr>
              <w:t xml:space="preserve">Latvijas </w:t>
            </w:r>
            <w:proofErr w:type="spellStart"/>
            <w:r w:rsidRPr="004664E1">
              <w:rPr>
                <w:bCs/>
                <w:sz w:val="20"/>
              </w:rPr>
              <w:t>Biomedicīnas</w:t>
            </w:r>
            <w:proofErr w:type="spellEnd"/>
            <w:r w:rsidRPr="004664E1">
              <w:rPr>
                <w:bCs/>
                <w:sz w:val="20"/>
              </w:rPr>
              <w:t xml:space="preserve"> pētījumu un studiju centrs</w:t>
            </w:r>
          </w:p>
        </w:tc>
      </w:tr>
      <w:tr w:rsidR="004664E1" w:rsidRPr="004664E1" w14:paraId="607F8B78" w14:textId="77777777" w:rsidTr="005A2240">
        <w:trPr>
          <w:trHeight w:val="340"/>
        </w:trPr>
        <w:tc>
          <w:tcPr>
            <w:tcW w:w="846" w:type="dxa"/>
            <w:tcBorders>
              <w:bottom w:val="single" w:sz="4" w:space="0" w:color="auto"/>
            </w:tcBorders>
            <w:vAlign w:val="center"/>
            <w:hideMark/>
          </w:tcPr>
          <w:p w14:paraId="2120358F" w14:textId="77777777" w:rsidR="004664E1" w:rsidRPr="004664E1" w:rsidRDefault="004664E1" w:rsidP="004664E1">
            <w:pPr>
              <w:spacing w:after="0"/>
              <w:ind w:firstLine="0"/>
              <w:jc w:val="center"/>
              <w:rPr>
                <w:bCs/>
                <w:sz w:val="20"/>
              </w:rPr>
            </w:pPr>
            <w:r w:rsidRPr="004664E1">
              <w:rPr>
                <w:bCs/>
                <w:sz w:val="20"/>
              </w:rPr>
              <w:lastRenderedPageBreak/>
              <w:t>16.</w:t>
            </w:r>
          </w:p>
        </w:tc>
        <w:tc>
          <w:tcPr>
            <w:tcW w:w="8215" w:type="dxa"/>
            <w:tcBorders>
              <w:bottom w:val="single" w:sz="4" w:space="0" w:color="auto"/>
            </w:tcBorders>
            <w:vAlign w:val="center"/>
            <w:hideMark/>
          </w:tcPr>
          <w:p w14:paraId="6BB38198" w14:textId="77777777" w:rsidR="004664E1" w:rsidRPr="004664E1" w:rsidRDefault="004664E1" w:rsidP="004664E1">
            <w:pPr>
              <w:spacing w:after="0"/>
              <w:ind w:firstLine="0"/>
              <w:jc w:val="left"/>
              <w:rPr>
                <w:bCs/>
                <w:sz w:val="20"/>
              </w:rPr>
            </w:pPr>
            <w:r w:rsidRPr="004664E1">
              <w:rPr>
                <w:bCs/>
                <w:sz w:val="20"/>
              </w:rPr>
              <w:t>Elektronikas un datorzinātņu institūts</w:t>
            </w:r>
          </w:p>
        </w:tc>
      </w:tr>
      <w:tr w:rsidR="004664E1" w:rsidRPr="004664E1" w14:paraId="186C51F9" w14:textId="77777777" w:rsidTr="005A2240">
        <w:trPr>
          <w:trHeight w:val="397"/>
        </w:trPr>
        <w:tc>
          <w:tcPr>
            <w:tcW w:w="846" w:type="dxa"/>
            <w:tcBorders>
              <w:top w:val="single" w:sz="4" w:space="0" w:color="auto"/>
              <w:left w:val="single" w:sz="4" w:space="0" w:color="auto"/>
              <w:bottom w:val="single" w:sz="4" w:space="0" w:color="auto"/>
              <w:right w:val="nil"/>
            </w:tcBorders>
            <w:shd w:val="clear" w:color="auto" w:fill="DEEAF6"/>
            <w:hideMark/>
          </w:tcPr>
          <w:p w14:paraId="18166020" w14:textId="77777777" w:rsidR="004664E1" w:rsidRPr="004664E1" w:rsidRDefault="004664E1" w:rsidP="004664E1">
            <w:pPr>
              <w:spacing w:after="0"/>
              <w:ind w:firstLine="0"/>
              <w:jc w:val="center"/>
              <w:rPr>
                <w:bCs/>
                <w:sz w:val="20"/>
              </w:rPr>
            </w:pPr>
          </w:p>
        </w:tc>
        <w:tc>
          <w:tcPr>
            <w:tcW w:w="8215" w:type="dxa"/>
            <w:tcBorders>
              <w:top w:val="single" w:sz="4" w:space="0" w:color="auto"/>
              <w:left w:val="nil"/>
              <w:bottom w:val="single" w:sz="4" w:space="0" w:color="auto"/>
              <w:right w:val="single" w:sz="4" w:space="0" w:color="auto"/>
            </w:tcBorders>
            <w:shd w:val="clear" w:color="auto" w:fill="DEEAF6"/>
            <w:vAlign w:val="center"/>
            <w:hideMark/>
          </w:tcPr>
          <w:p w14:paraId="2D7263D3" w14:textId="77777777" w:rsidR="004664E1" w:rsidRPr="004664E1" w:rsidRDefault="004664E1" w:rsidP="004664E1">
            <w:pPr>
              <w:spacing w:after="0"/>
              <w:ind w:firstLine="2299"/>
              <w:jc w:val="left"/>
              <w:rPr>
                <w:b/>
                <w:bCs/>
                <w:sz w:val="20"/>
              </w:rPr>
            </w:pPr>
            <w:r w:rsidRPr="004664E1">
              <w:rPr>
                <w:b/>
                <w:bCs/>
                <w:sz w:val="20"/>
              </w:rPr>
              <w:t>Zemkopības ministrija</w:t>
            </w:r>
          </w:p>
        </w:tc>
      </w:tr>
      <w:tr w:rsidR="004664E1" w:rsidRPr="004664E1" w14:paraId="40CC692C" w14:textId="77777777" w:rsidTr="005A2240">
        <w:trPr>
          <w:trHeight w:val="340"/>
        </w:trPr>
        <w:tc>
          <w:tcPr>
            <w:tcW w:w="846" w:type="dxa"/>
            <w:tcBorders>
              <w:top w:val="single" w:sz="4" w:space="0" w:color="auto"/>
            </w:tcBorders>
            <w:vAlign w:val="center"/>
            <w:hideMark/>
          </w:tcPr>
          <w:p w14:paraId="0E917967" w14:textId="77777777" w:rsidR="004664E1" w:rsidRPr="004664E1" w:rsidRDefault="004664E1" w:rsidP="004664E1">
            <w:pPr>
              <w:spacing w:after="0"/>
              <w:ind w:firstLine="0"/>
              <w:jc w:val="center"/>
              <w:rPr>
                <w:bCs/>
                <w:sz w:val="20"/>
              </w:rPr>
            </w:pPr>
            <w:r w:rsidRPr="004664E1">
              <w:rPr>
                <w:bCs/>
                <w:sz w:val="20"/>
              </w:rPr>
              <w:t>17.</w:t>
            </w:r>
          </w:p>
        </w:tc>
        <w:tc>
          <w:tcPr>
            <w:tcW w:w="8215" w:type="dxa"/>
            <w:tcBorders>
              <w:top w:val="single" w:sz="4" w:space="0" w:color="auto"/>
            </w:tcBorders>
            <w:vAlign w:val="center"/>
            <w:hideMark/>
          </w:tcPr>
          <w:p w14:paraId="7DEB23E1" w14:textId="77777777" w:rsidR="004664E1" w:rsidRPr="004664E1" w:rsidRDefault="004664E1" w:rsidP="004664E1">
            <w:pPr>
              <w:spacing w:after="0"/>
              <w:ind w:firstLine="0"/>
              <w:jc w:val="left"/>
              <w:rPr>
                <w:bCs/>
                <w:sz w:val="20"/>
              </w:rPr>
            </w:pPr>
            <w:r w:rsidRPr="004664E1">
              <w:rPr>
                <w:bCs/>
                <w:sz w:val="20"/>
              </w:rPr>
              <w:t xml:space="preserve">LBTU </w:t>
            </w:r>
            <w:proofErr w:type="spellStart"/>
            <w:r w:rsidRPr="004664E1">
              <w:rPr>
                <w:bCs/>
                <w:sz w:val="20"/>
              </w:rPr>
              <w:t>Agroresursu</w:t>
            </w:r>
            <w:proofErr w:type="spellEnd"/>
            <w:r w:rsidRPr="004664E1">
              <w:rPr>
                <w:bCs/>
                <w:sz w:val="20"/>
              </w:rPr>
              <w:t xml:space="preserve"> un ekonomikas institūts</w:t>
            </w:r>
          </w:p>
        </w:tc>
      </w:tr>
      <w:tr w:rsidR="004664E1" w:rsidRPr="004664E1" w14:paraId="6C13629F" w14:textId="77777777" w:rsidTr="005A2240">
        <w:trPr>
          <w:trHeight w:val="340"/>
        </w:trPr>
        <w:tc>
          <w:tcPr>
            <w:tcW w:w="846" w:type="dxa"/>
            <w:vAlign w:val="center"/>
            <w:hideMark/>
          </w:tcPr>
          <w:p w14:paraId="7CEB8F54" w14:textId="77777777" w:rsidR="004664E1" w:rsidRPr="004664E1" w:rsidRDefault="004664E1" w:rsidP="004664E1">
            <w:pPr>
              <w:spacing w:after="0"/>
              <w:ind w:firstLine="0"/>
              <w:jc w:val="center"/>
              <w:rPr>
                <w:bCs/>
                <w:sz w:val="20"/>
              </w:rPr>
            </w:pPr>
            <w:r w:rsidRPr="004664E1">
              <w:rPr>
                <w:bCs/>
                <w:sz w:val="20"/>
              </w:rPr>
              <w:t>18.</w:t>
            </w:r>
          </w:p>
        </w:tc>
        <w:tc>
          <w:tcPr>
            <w:tcW w:w="8215" w:type="dxa"/>
            <w:vAlign w:val="center"/>
            <w:hideMark/>
          </w:tcPr>
          <w:p w14:paraId="73E67B41" w14:textId="77777777" w:rsidR="004664E1" w:rsidRPr="004664E1" w:rsidRDefault="004664E1" w:rsidP="004664E1">
            <w:pPr>
              <w:spacing w:after="0"/>
              <w:ind w:firstLine="0"/>
              <w:jc w:val="left"/>
              <w:rPr>
                <w:bCs/>
                <w:sz w:val="20"/>
              </w:rPr>
            </w:pPr>
            <w:r w:rsidRPr="004664E1">
              <w:rPr>
                <w:bCs/>
                <w:sz w:val="20"/>
              </w:rPr>
              <w:t>Valsts zinātniskais institūts “Pārtikas drošības, dzīvnieku veselības un vides zinātniskais institūts BIOR””</w:t>
            </w:r>
          </w:p>
        </w:tc>
      </w:tr>
      <w:tr w:rsidR="004664E1" w:rsidRPr="004664E1" w14:paraId="499351DE" w14:textId="77777777" w:rsidTr="005A2240">
        <w:trPr>
          <w:trHeight w:val="340"/>
        </w:trPr>
        <w:tc>
          <w:tcPr>
            <w:tcW w:w="846" w:type="dxa"/>
            <w:vAlign w:val="center"/>
            <w:hideMark/>
          </w:tcPr>
          <w:p w14:paraId="3EBB7143" w14:textId="77777777" w:rsidR="004664E1" w:rsidRPr="004664E1" w:rsidRDefault="004664E1" w:rsidP="004664E1">
            <w:pPr>
              <w:spacing w:after="0"/>
              <w:ind w:firstLine="0"/>
              <w:jc w:val="center"/>
              <w:rPr>
                <w:bCs/>
                <w:sz w:val="20"/>
              </w:rPr>
            </w:pPr>
            <w:r w:rsidRPr="004664E1">
              <w:rPr>
                <w:bCs/>
                <w:sz w:val="20"/>
              </w:rPr>
              <w:t>19.</w:t>
            </w:r>
          </w:p>
        </w:tc>
        <w:tc>
          <w:tcPr>
            <w:tcW w:w="8215" w:type="dxa"/>
            <w:vAlign w:val="center"/>
            <w:hideMark/>
          </w:tcPr>
          <w:p w14:paraId="37F4E8CA" w14:textId="77777777" w:rsidR="004664E1" w:rsidRPr="004664E1" w:rsidRDefault="004664E1" w:rsidP="004664E1">
            <w:pPr>
              <w:spacing w:after="0"/>
              <w:ind w:firstLine="0"/>
              <w:jc w:val="left"/>
              <w:rPr>
                <w:bCs/>
                <w:sz w:val="20"/>
              </w:rPr>
            </w:pPr>
            <w:r w:rsidRPr="004664E1">
              <w:rPr>
                <w:bCs/>
                <w:sz w:val="20"/>
              </w:rPr>
              <w:t>LBTU Dārzkopības institūts</w:t>
            </w:r>
          </w:p>
        </w:tc>
      </w:tr>
      <w:tr w:rsidR="004664E1" w:rsidRPr="004664E1" w14:paraId="02B87DEE" w14:textId="77777777" w:rsidTr="005A2240">
        <w:trPr>
          <w:trHeight w:val="340"/>
        </w:trPr>
        <w:tc>
          <w:tcPr>
            <w:tcW w:w="846" w:type="dxa"/>
            <w:vAlign w:val="center"/>
            <w:hideMark/>
          </w:tcPr>
          <w:p w14:paraId="33B88C3D" w14:textId="77777777" w:rsidR="004664E1" w:rsidRPr="004664E1" w:rsidRDefault="004664E1" w:rsidP="004664E1">
            <w:pPr>
              <w:spacing w:after="0"/>
              <w:ind w:firstLine="0"/>
              <w:jc w:val="center"/>
              <w:rPr>
                <w:bCs/>
                <w:sz w:val="20"/>
              </w:rPr>
            </w:pPr>
            <w:r w:rsidRPr="004664E1">
              <w:rPr>
                <w:bCs/>
                <w:sz w:val="20"/>
              </w:rPr>
              <w:t>20.</w:t>
            </w:r>
          </w:p>
        </w:tc>
        <w:tc>
          <w:tcPr>
            <w:tcW w:w="8215" w:type="dxa"/>
            <w:vAlign w:val="center"/>
            <w:hideMark/>
          </w:tcPr>
          <w:p w14:paraId="49E8CACA" w14:textId="77777777" w:rsidR="004664E1" w:rsidRPr="004664E1" w:rsidRDefault="004664E1" w:rsidP="004664E1">
            <w:pPr>
              <w:spacing w:after="0"/>
              <w:ind w:firstLine="0"/>
              <w:jc w:val="left"/>
              <w:rPr>
                <w:bCs/>
                <w:sz w:val="20"/>
              </w:rPr>
            </w:pPr>
            <w:r w:rsidRPr="004664E1">
              <w:rPr>
                <w:bCs/>
                <w:sz w:val="20"/>
              </w:rPr>
              <w:t xml:space="preserve">Latvijas </w:t>
            </w:r>
            <w:proofErr w:type="spellStart"/>
            <w:r w:rsidRPr="004664E1">
              <w:rPr>
                <w:bCs/>
                <w:sz w:val="20"/>
              </w:rPr>
              <w:t>Biozinātņu</w:t>
            </w:r>
            <w:proofErr w:type="spellEnd"/>
            <w:r w:rsidRPr="004664E1">
              <w:rPr>
                <w:bCs/>
                <w:sz w:val="20"/>
              </w:rPr>
              <w:t xml:space="preserve"> un tehnoloģiju universitāte</w:t>
            </w:r>
          </w:p>
        </w:tc>
      </w:tr>
      <w:tr w:rsidR="004664E1" w:rsidRPr="004664E1" w14:paraId="259997CC" w14:textId="77777777" w:rsidTr="005A2240">
        <w:trPr>
          <w:trHeight w:val="340"/>
        </w:trPr>
        <w:tc>
          <w:tcPr>
            <w:tcW w:w="846" w:type="dxa"/>
            <w:vAlign w:val="center"/>
            <w:hideMark/>
          </w:tcPr>
          <w:p w14:paraId="7AC3BF11" w14:textId="77777777" w:rsidR="004664E1" w:rsidRPr="004664E1" w:rsidRDefault="004664E1" w:rsidP="004664E1">
            <w:pPr>
              <w:spacing w:after="0"/>
              <w:ind w:firstLine="0"/>
              <w:jc w:val="center"/>
              <w:rPr>
                <w:bCs/>
                <w:sz w:val="20"/>
              </w:rPr>
            </w:pPr>
            <w:r w:rsidRPr="004664E1">
              <w:rPr>
                <w:bCs/>
                <w:sz w:val="20"/>
              </w:rPr>
              <w:t>21.</w:t>
            </w:r>
          </w:p>
        </w:tc>
        <w:tc>
          <w:tcPr>
            <w:tcW w:w="8215" w:type="dxa"/>
            <w:vAlign w:val="center"/>
            <w:hideMark/>
          </w:tcPr>
          <w:p w14:paraId="4285E471" w14:textId="77777777" w:rsidR="004664E1" w:rsidRPr="004664E1" w:rsidRDefault="004664E1" w:rsidP="004664E1">
            <w:pPr>
              <w:spacing w:after="0"/>
              <w:ind w:firstLine="0"/>
              <w:jc w:val="left"/>
              <w:rPr>
                <w:bCs/>
                <w:sz w:val="20"/>
              </w:rPr>
            </w:pPr>
            <w:r w:rsidRPr="004664E1">
              <w:rPr>
                <w:bCs/>
                <w:sz w:val="20"/>
              </w:rPr>
              <w:t>Latvijas Valsts mežzinātnes institūts “Silava”</w:t>
            </w:r>
          </w:p>
        </w:tc>
      </w:tr>
      <w:tr w:rsidR="004664E1" w:rsidRPr="004664E1" w14:paraId="34661E44" w14:textId="77777777" w:rsidTr="005A2240">
        <w:trPr>
          <w:trHeight w:val="340"/>
        </w:trPr>
        <w:tc>
          <w:tcPr>
            <w:tcW w:w="846" w:type="dxa"/>
            <w:vAlign w:val="center"/>
            <w:hideMark/>
          </w:tcPr>
          <w:p w14:paraId="1061314C" w14:textId="77777777" w:rsidR="004664E1" w:rsidRPr="004664E1" w:rsidRDefault="004664E1" w:rsidP="004664E1">
            <w:pPr>
              <w:spacing w:after="0"/>
              <w:ind w:firstLine="0"/>
              <w:jc w:val="center"/>
              <w:rPr>
                <w:bCs/>
                <w:sz w:val="20"/>
              </w:rPr>
            </w:pPr>
            <w:r w:rsidRPr="004664E1">
              <w:rPr>
                <w:bCs/>
                <w:sz w:val="20"/>
              </w:rPr>
              <w:t>22.</w:t>
            </w:r>
          </w:p>
        </w:tc>
        <w:tc>
          <w:tcPr>
            <w:tcW w:w="8215" w:type="dxa"/>
            <w:vAlign w:val="center"/>
            <w:hideMark/>
          </w:tcPr>
          <w:p w14:paraId="7BACEF52" w14:textId="77777777" w:rsidR="004664E1" w:rsidRPr="004664E1" w:rsidRDefault="004664E1" w:rsidP="004664E1">
            <w:pPr>
              <w:spacing w:after="0"/>
              <w:ind w:firstLine="0"/>
              <w:jc w:val="left"/>
              <w:rPr>
                <w:bCs/>
                <w:sz w:val="20"/>
              </w:rPr>
            </w:pPr>
            <w:r w:rsidRPr="004664E1">
              <w:rPr>
                <w:bCs/>
                <w:sz w:val="20"/>
              </w:rPr>
              <w:t>LVMI Silava un LBTU Valsts zinātniskās izpētes mežu apsaimniekošanas aģentūra "Meža pētīšanas stacija"</w:t>
            </w:r>
          </w:p>
        </w:tc>
      </w:tr>
      <w:tr w:rsidR="004664E1" w:rsidRPr="004664E1" w14:paraId="4797DE72" w14:textId="77777777" w:rsidTr="005A2240">
        <w:trPr>
          <w:trHeight w:val="397"/>
        </w:trPr>
        <w:tc>
          <w:tcPr>
            <w:tcW w:w="9061" w:type="dxa"/>
            <w:gridSpan w:val="2"/>
            <w:shd w:val="clear" w:color="auto" w:fill="DEEAF6"/>
            <w:vAlign w:val="center"/>
            <w:hideMark/>
          </w:tcPr>
          <w:p w14:paraId="4CA3EBBF" w14:textId="77777777" w:rsidR="004664E1" w:rsidRPr="004664E1" w:rsidRDefault="004664E1" w:rsidP="004664E1">
            <w:pPr>
              <w:spacing w:after="0"/>
              <w:ind w:firstLine="0"/>
              <w:jc w:val="center"/>
              <w:rPr>
                <w:b/>
                <w:bCs/>
                <w:color w:val="FF0000"/>
                <w:sz w:val="20"/>
              </w:rPr>
            </w:pPr>
            <w:r w:rsidRPr="004664E1">
              <w:rPr>
                <w:b/>
                <w:bCs/>
                <w:sz w:val="20"/>
              </w:rPr>
              <w:t>Vides aizsardzības un reģionālās attīstības ministrija</w:t>
            </w:r>
          </w:p>
        </w:tc>
      </w:tr>
      <w:tr w:rsidR="004664E1" w:rsidRPr="004664E1" w14:paraId="5E9DC590" w14:textId="77777777" w:rsidTr="005A2240">
        <w:trPr>
          <w:trHeight w:val="340"/>
        </w:trPr>
        <w:tc>
          <w:tcPr>
            <w:tcW w:w="846" w:type="dxa"/>
            <w:vAlign w:val="center"/>
            <w:hideMark/>
          </w:tcPr>
          <w:p w14:paraId="283D9003" w14:textId="77777777" w:rsidR="004664E1" w:rsidRPr="004664E1" w:rsidRDefault="004664E1" w:rsidP="004664E1">
            <w:pPr>
              <w:spacing w:after="0"/>
              <w:ind w:firstLine="0"/>
              <w:jc w:val="center"/>
              <w:rPr>
                <w:bCs/>
                <w:sz w:val="20"/>
              </w:rPr>
            </w:pPr>
            <w:r w:rsidRPr="004664E1">
              <w:rPr>
                <w:bCs/>
                <w:sz w:val="20"/>
              </w:rPr>
              <w:t>23.</w:t>
            </w:r>
          </w:p>
        </w:tc>
        <w:tc>
          <w:tcPr>
            <w:tcW w:w="8215" w:type="dxa"/>
            <w:vAlign w:val="center"/>
            <w:hideMark/>
          </w:tcPr>
          <w:p w14:paraId="5CCA7956" w14:textId="77777777" w:rsidR="004664E1" w:rsidRPr="004664E1" w:rsidRDefault="004664E1" w:rsidP="004664E1">
            <w:pPr>
              <w:spacing w:after="0"/>
              <w:ind w:firstLine="0"/>
              <w:jc w:val="left"/>
              <w:rPr>
                <w:bCs/>
                <w:sz w:val="20"/>
              </w:rPr>
            </w:pPr>
            <w:r w:rsidRPr="004664E1">
              <w:rPr>
                <w:bCs/>
                <w:sz w:val="20"/>
              </w:rPr>
              <w:t>Zemgales plānošanas reģions</w:t>
            </w:r>
          </w:p>
        </w:tc>
      </w:tr>
      <w:tr w:rsidR="004664E1" w:rsidRPr="004664E1" w14:paraId="7F3292BA" w14:textId="77777777" w:rsidTr="005A2240">
        <w:trPr>
          <w:trHeight w:val="340"/>
        </w:trPr>
        <w:tc>
          <w:tcPr>
            <w:tcW w:w="846" w:type="dxa"/>
            <w:vAlign w:val="center"/>
            <w:hideMark/>
          </w:tcPr>
          <w:p w14:paraId="65B0FFAD" w14:textId="77777777" w:rsidR="004664E1" w:rsidRPr="004664E1" w:rsidRDefault="004664E1" w:rsidP="004664E1">
            <w:pPr>
              <w:spacing w:after="0"/>
              <w:ind w:firstLine="0"/>
              <w:jc w:val="center"/>
              <w:rPr>
                <w:bCs/>
                <w:sz w:val="20"/>
              </w:rPr>
            </w:pPr>
            <w:r w:rsidRPr="004664E1">
              <w:rPr>
                <w:bCs/>
                <w:sz w:val="20"/>
              </w:rPr>
              <w:t>24.</w:t>
            </w:r>
          </w:p>
        </w:tc>
        <w:tc>
          <w:tcPr>
            <w:tcW w:w="8215" w:type="dxa"/>
            <w:vAlign w:val="center"/>
            <w:hideMark/>
          </w:tcPr>
          <w:p w14:paraId="524D6BEF" w14:textId="77777777" w:rsidR="004664E1" w:rsidRPr="004664E1" w:rsidRDefault="004664E1" w:rsidP="004664E1">
            <w:pPr>
              <w:spacing w:after="0"/>
              <w:ind w:firstLine="0"/>
              <w:jc w:val="left"/>
              <w:rPr>
                <w:bCs/>
                <w:sz w:val="20"/>
              </w:rPr>
            </w:pPr>
            <w:r w:rsidRPr="004664E1">
              <w:rPr>
                <w:bCs/>
                <w:sz w:val="20"/>
              </w:rPr>
              <w:t>Vidzemes plānošanas reģions</w:t>
            </w:r>
          </w:p>
        </w:tc>
      </w:tr>
      <w:tr w:rsidR="004664E1" w:rsidRPr="004664E1" w14:paraId="4BE98453" w14:textId="77777777" w:rsidTr="005A2240">
        <w:trPr>
          <w:trHeight w:val="340"/>
        </w:trPr>
        <w:tc>
          <w:tcPr>
            <w:tcW w:w="846" w:type="dxa"/>
            <w:vAlign w:val="center"/>
            <w:hideMark/>
          </w:tcPr>
          <w:p w14:paraId="5233E0C8" w14:textId="77777777" w:rsidR="004664E1" w:rsidRPr="004664E1" w:rsidRDefault="004664E1" w:rsidP="004664E1">
            <w:pPr>
              <w:spacing w:after="0"/>
              <w:ind w:firstLine="0"/>
              <w:jc w:val="center"/>
              <w:rPr>
                <w:bCs/>
                <w:sz w:val="20"/>
              </w:rPr>
            </w:pPr>
            <w:r w:rsidRPr="004664E1">
              <w:rPr>
                <w:bCs/>
                <w:sz w:val="20"/>
              </w:rPr>
              <w:t>25.</w:t>
            </w:r>
          </w:p>
        </w:tc>
        <w:tc>
          <w:tcPr>
            <w:tcW w:w="8215" w:type="dxa"/>
            <w:vAlign w:val="center"/>
            <w:hideMark/>
          </w:tcPr>
          <w:p w14:paraId="2B433232" w14:textId="77777777" w:rsidR="004664E1" w:rsidRPr="004664E1" w:rsidRDefault="004664E1" w:rsidP="004664E1">
            <w:pPr>
              <w:spacing w:after="0"/>
              <w:ind w:firstLine="0"/>
              <w:jc w:val="left"/>
              <w:rPr>
                <w:bCs/>
                <w:sz w:val="20"/>
              </w:rPr>
            </w:pPr>
            <w:r w:rsidRPr="004664E1">
              <w:rPr>
                <w:bCs/>
                <w:sz w:val="20"/>
              </w:rPr>
              <w:t>Kurzemes plānošanas reģions</w:t>
            </w:r>
          </w:p>
        </w:tc>
      </w:tr>
      <w:tr w:rsidR="004664E1" w:rsidRPr="004664E1" w14:paraId="585E43E7" w14:textId="77777777" w:rsidTr="005A2240">
        <w:trPr>
          <w:trHeight w:val="340"/>
        </w:trPr>
        <w:tc>
          <w:tcPr>
            <w:tcW w:w="846" w:type="dxa"/>
            <w:vAlign w:val="center"/>
            <w:hideMark/>
          </w:tcPr>
          <w:p w14:paraId="58864E06" w14:textId="77777777" w:rsidR="004664E1" w:rsidRPr="004664E1" w:rsidRDefault="004664E1" w:rsidP="004664E1">
            <w:pPr>
              <w:spacing w:after="0"/>
              <w:ind w:firstLine="0"/>
              <w:jc w:val="center"/>
              <w:rPr>
                <w:bCs/>
                <w:sz w:val="20"/>
              </w:rPr>
            </w:pPr>
            <w:r w:rsidRPr="004664E1">
              <w:rPr>
                <w:bCs/>
                <w:sz w:val="20"/>
              </w:rPr>
              <w:t>26.</w:t>
            </w:r>
          </w:p>
        </w:tc>
        <w:tc>
          <w:tcPr>
            <w:tcW w:w="8215" w:type="dxa"/>
            <w:vAlign w:val="center"/>
            <w:hideMark/>
          </w:tcPr>
          <w:p w14:paraId="336C2F45" w14:textId="77777777" w:rsidR="004664E1" w:rsidRPr="004664E1" w:rsidRDefault="004664E1" w:rsidP="004664E1">
            <w:pPr>
              <w:spacing w:after="0"/>
              <w:ind w:firstLine="0"/>
              <w:jc w:val="left"/>
              <w:rPr>
                <w:bCs/>
                <w:sz w:val="20"/>
              </w:rPr>
            </w:pPr>
            <w:r w:rsidRPr="004664E1">
              <w:rPr>
                <w:bCs/>
                <w:sz w:val="20"/>
              </w:rPr>
              <w:t>Rīgas plānošanas reģions</w:t>
            </w:r>
          </w:p>
        </w:tc>
      </w:tr>
      <w:tr w:rsidR="004664E1" w:rsidRPr="004664E1" w14:paraId="0D49CF23" w14:textId="77777777" w:rsidTr="005A2240">
        <w:trPr>
          <w:trHeight w:val="340"/>
        </w:trPr>
        <w:tc>
          <w:tcPr>
            <w:tcW w:w="846" w:type="dxa"/>
            <w:vAlign w:val="center"/>
            <w:hideMark/>
          </w:tcPr>
          <w:p w14:paraId="335FECF4" w14:textId="77777777" w:rsidR="004664E1" w:rsidRPr="004664E1" w:rsidRDefault="004664E1" w:rsidP="004664E1">
            <w:pPr>
              <w:spacing w:after="0"/>
              <w:ind w:firstLine="0"/>
              <w:jc w:val="center"/>
              <w:rPr>
                <w:bCs/>
                <w:sz w:val="20"/>
              </w:rPr>
            </w:pPr>
            <w:r w:rsidRPr="004664E1">
              <w:rPr>
                <w:bCs/>
                <w:sz w:val="20"/>
              </w:rPr>
              <w:t>27.</w:t>
            </w:r>
          </w:p>
        </w:tc>
        <w:tc>
          <w:tcPr>
            <w:tcW w:w="8215" w:type="dxa"/>
            <w:vAlign w:val="center"/>
            <w:hideMark/>
          </w:tcPr>
          <w:p w14:paraId="02122609" w14:textId="77777777" w:rsidR="004664E1" w:rsidRPr="004664E1" w:rsidRDefault="004664E1" w:rsidP="004664E1">
            <w:pPr>
              <w:spacing w:after="0"/>
              <w:ind w:firstLine="0"/>
              <w:jc w:val="left"/>
              <w:rPr>
                <w:bCs/>
                <w:sz w:val="20"/>
              </w:rPr>
            </w:pPr>
            <w:r w:rsidRPr="004664E1">
              <w:rPr>
                <w:bCs/>
                <w:sz w:val="20"/>
              </w:rPr>
              <w:t>Latgales plānošanas reģions</w:t>
            </w:r>
          </w:p>
        </w:tc>
      </w:tr>
      <w:tr w:rsidR="004664E1" w:rsidRPr="004664E1" w14:paraId="0F2E4631" w14:textId="77777777" w:rsidTr="005A2240">
        <w:trPr>
          <w:trHeight w:val="340"/>
        </w:trPr>
        <w:tc>
          <w:tcPr>
            <w:tcW w:w="846" w:type="dxa"/>
            <w:vAlign w:val="center"/>
            <w:hideMark/>
          </w:tcPr>
          <w:p w14:paraId="639C171B" w14:textId="77777777" w:rsidR="004664E1" w:rsidRPr="004664E1" w:rsidRDefault="004664E1" w:rsidP="004664E1">
            <w:pPr>
              <w:spacing w:after="0"/>
              <w:ind w:firstLine="0"/>
              <w:jc w:val="center"/>
              <w:rPr>
                <w:bCs/>
                <w:sz w:val="20"/>
              </w:rPr>
            </w:pPr>
            <w:r w:rsidRPr="004664E1">
              <w:rPr>
                <w:bCs/>
                <w:sz w:val="20"/>
              </w:rPr>
              <w:t>28.</w:t>
            </w:r>
          </w:p>
        </w:tc>
        <w:tc>
          <w:tcPr>
            <w:tcW w:w="8215" w:type="dxa"/>
            <w:vAlign w:val="center"/>
            <w:hideMark/>
          </w:tcPr>
          <w:p w14:paraId="762F49C7" w14:textId="77777777" w:rsidR="004664E1" w:rsidRPr="004664E1" w:rsidRDefault="004664E1" w:rsidP="004664E1">
            <w:pPr>
              <w:spacing w:after="0"/>
              <w:ind w:firstLine="0"/>
              <w:jc w:val="left"/>
              <w:rPr>
                <w:bCs/>
                <w:sz w:val="20"/>
              </w:rPr>
            </w:pPr>
            <w:r w:rsidRPr="004664E1">
              <w:rPr>
                <w:bCs/>
                <w:sz w:val="20"/>
              </w:rPr>
              <w:t>Nacionālais botāniskais dārzs</w:t>
            </w:r>
          </w:p>
        </w:tc>
      </w:tr>
      <w:tr w:rsidR="004664E1" w:rsidRPr="004664E1" w14:paraId="390775D9" w14:textId="77777777" w:rsidTr="005A2240">
        <w:trPr>
          <w:trHeight w:val="397"/>
        </w:trPr>
        <w:tc>
          <w:tcPr>
            <w:tcW w:w="9061" w:type="dxa"/>
            <w:gridSpan w:val="2"/>
            <w:shd w:val="clear" w:color="auto" w:fill="DEEAF6"/>
            <w:vAlign w:val="center"/>
            <w:hideMark/>
          </w:tcPr>
          <w:p w14:paraId="7D4772AE" w14:textId="77777777" w:rsidR="004664E1" w:rsidRPr="004664E1" w:rsidRDefault="004664E1" w:rsidP="004664E1">
            <w:pPr>
              <w:spacing w:after="0"/>
              <w:ind w:firstLine="0"/>
              <w:jc w:val="center"/>
              <w:rPr>
                <w:b/>
                <w:bCs/>
                <w:sz w:val="20"/>
              </w:rPr>
            </w:pPr>
            <w:r w:rsidRPr="004664E1">
              <w:rPr>
                <w:b/>
                <w:bCs/>
                <w:sz w:val="20"/>
              </w:rPr>
              <w:t>Kultūras ministrija</w:t>
            </w:r>
          </w:p>
        </w:tc>
      </w:tr>
      <w:tr w:rsidR="004664E1" w:rsidRPr="004664E1" w14:paraId="331CAE20" w14:textId="77777777" w:rsidTr="005A2240">
        <w:trPr>
          <w:trHeight w:val="340"/>
        </w:trPr>
        <w:tc>
          <w:tcPr>
            <w:tcW w:w="846" w:type="dxa"/>
            <w:vAlign w:val="center"/>
            <w:hideMark/>
          </w:tcPr>
          <w:p w14:paraId="6E40CA64" w14:textId="77777777" w:rsidR="004664E1" w:rsidRPr="004664E1" w:rsidRDefault="004664E1" w:rsidP="004664E1">
            <w:pPr>
              <w:spacing w:after="0"/>
              <w:ind w:firstLine="0"/>
              <w:jc w:val="center"/>
              <w:rPr>
                <w:bCs/>
                <w:sz w:val="20"/>
              </w:rPr>
            </w:pPr>
            <w:r w:rsidRPr="004664E1">
              <w:rPr>
                <w:bCs/>
                <w:sz w:val="20"/>
              </w:rPr>
              <w:t>29.</w:t>
            </w:r>
          </w:p>
        </w:tc>
        <w:tc>
          <w:tcPr>
            <w:tcW w:w="8215" w:type="dxa"/>
            <w:vAlign w:val="center"/>
            <w:hideMark/>
          </w:tcPr>
          <w:p w14:paraId="46A13FE2" w14:textId="77777777" w:rsidR="004664E1" w:rsidRPr="004664E1" w:rsidRDefault="004664E1" w:rsidP="004664E1">
            <w:pPr>
              <w:spacing w:after="0"/>
              <w:ind w:firstLine="0"/>
              <w:jc w:val="left"/>
              <w:rPr>
                <w:bCs/>
                <w:sz w:val="20"/>
              </w:rPr>
            </w:pPr>
            <w:r w:rsidRPr="004664E1">
              <w:rPr>
                <w:bCs/>
                <w:sz w:val="20"/>
              </w:rPr>
              <w:t>Latvijas Mākslas akadēmija</w:t>
            </w:r>
          </w:p>
        </w:tc>
      </w:tr>
      <w:tr w:rsidR="004664E1" w:rsidRPr="004664E1" w14:paraId="7BBBBE49" w14:textId="77777777" w:rsidTr="005A2240">
        <w:trPr>
          <w:trHeight w:val="340"/>
        </w:trPr>
        <w:tc>
          <w:tcPr>
            <w:tcW w:w="846" w:type="dxa"/>
            <w:vAlign w:val="center"/>
            <w:hideMark/>
          </w:tcPr>
          <w:p w14:paraId="6E50C01D" w14:textId="77777777" w:rsidR="004664E1" w:rsidRPr="004664E1" w:rsidRDefault="004664E1" w:rsidP="004664E1">
            <w:pPr>
              <w:spacing w:after="0"/>
              <w:ind w:firstLine="0"/>
              <w:jc w:val="center"/>
              <w:rPr>
                <w:bCs/>
                <w:sz w:val="20"/>
              </w:rPr>
            </w:pPr>
            <w:r w:rsidRPr="004664E1">
              <w:rPr>
                <w:bCs/>
                <w:sz w:val="20"/>
              </w:rPr>
              <w:t>30.</w:t>
            </w:r>
          </w:p>
        </w:tc>
        <w:tc>
          <w:tcPr>
            <w:tcW w:w="8215" w:type="dxa"/>
            <w:vAlign w:val="center"/>
            <w:hideMark/>
          </w:tcPr>
          <w:p w14:paraId="2AE7051C" w14:textId="77777777" w:rsidR="004664E1" w:rsidRPr="004664E1" w:rsidRDefault="004664E1" w:rsidP="004664E1">
            <w:pPr>
              <w:spacing w:after="0"/>
              <w:ind w:firstLine="0"/>
              <w:jc w:val="left"/>
              <w:rPr>
                <w:bCs/>
                <w:sz w:val="20"/>
              </w:rPr>
            </w:pPr>
            <w:proofErr w:type="spellStart"/>
            <w:r w:rsidRPr="004664E1">
              <w:rPr>
                <w:bCs/>
                <w:sz w:val="20"/>
              </w:rPr>
              <w:t>J.Vītola</w:t>
            </w:r>
            <w:proofErr w:type="spellEnd"/>
            <w:r w:rsidRPr="004664E1">
              <w:rPr>
                <w:bCs/>
                <w:sz w:val="20"/>
              </w:rPr>
              <w:t xml:space="preserve"> Latvijas Mūzikas akadēmija</w:t>
            </w:r>
          </w:p>
        </w:tc>
      </w:tr>
      <w:tr w:rsidR="004664E1" w:rsidRPr="004664E1" w14:paraId="0AC3719A" w14:textId="77777777" w:rsidTr="005A2240">
        <w:trPr>
          <w:trHeight w:val="340"/>
        </w:trPr>
        <w:tc>
          <w:tcPr>
            <w:tcW w:w="846" w:type="dxa"/>
            <w:vAlign w:val="center"/>
            <w:hideMark/>
          </w:tcPr>
          <w:p w14:paraId="6C8002C8" w14:textId="77777777" w:rsidR="004664E1" w:rsidRPr="004664E1" w:rsidRDefault="004664E1" w:rsidP="004664E1">
            <w:pPr>
              <w:spacing w:after="0"/>
              <w:ind w:firstLine="0"/>
              <w:jc w:val="center"/>
              <w:rPr>
                <w:bCs/>
                <w:sz w:val="20"/>
              </w:rPr>
            </w:pPr>
            <w:r w:rsidRPr="004664E1">
              <w:rPr>
                <w:bCs/>
                <w:sz w:val="20"/>
              </w:rPr>
              <w:t>31.</w:t>
            </w:r>
          </w:p>
        </w:tc>
        <w:tc>
          <w:tcPr>
            <w:tcW w:w="8215" w:type="dxa"/>
            <w:vAlign w:val="center"/>
            <w:hideMark/>
          </w:tcPr>
          <w:p w14:paraId="05F7B410" w14:textId="77777777" w:rsidR="004664E1" w:rsidRPr="004664E1" w:rsidRDefault="004664E1" w:rsidP="004664E1">
            <w:pPr>
              <w:spacing w:after="0"/>
              <w:ind w:firstLine="0"/>
              <w:jc w:val="left"/>
              <w:rPr>
                <w:bCs/>
                <w:sz w:val="20"/>
              </w:rPr>
            </w:pPr>
            <w:r w:rsidRPr="004664E1">
              <w:rPr>
                <w:bCs/>
                <w:sz w:val="20"/>
              </w:rPr>
              <w:t>Latvijas Kultūras akadēmija</w:t>
            </w:r>
          </w:p>
        </w:tc>
      </w:tr>
      <w:tr w:rsidR="004664E1" w:rsidRPr="004664E1" w14:paraId="7F5D9E69" w14:textId="77777777" w:rsidTr="005A2240">
        <w:trPr>
          <w:trHeight w:val="340"/>
        </w:trPr>
        <w:tc>
          <w:tcPr>
            <w:tcW w:w="846" w:type="dxa"/>
            <w:vAlign w:val="center"/>
            <w:hideMark/>
          </w:tcPr>
          <w:p w14:paraId="06E9E5BC" w14:textId="77777777" w:rsidR="004664E1" w:rsidRPr="004664E1" w:rsidRDefault="004664E1" w:rsidP="004664E1">
            <w:pPr>
              <w:spacing w:after="0"/>
              <w:ind w:firstLine="0"/>
              <w:jc w:val="center"/>
              <w:rPr>
                <w:bCs/>
                <w:sz w:val="20"/>
              </w:rPr>
            </w:pPr>
            <w:r w:rsidRPr="004664E1">
              <w:rPr>
                <w:bCs/>
                <w:sz w:val="20"/>
              </w:rPr>
              <w:t>32.</w:t>
            </w:r>
          </w:p>
        </w:tc>
        <w:tc>
          <w:tcPr>
            <w:tcW w:w="8215" w:type="dxa"/>
            <w:vAlign w:val="center"/>
            <w:hideMark/>
          </w:tcPr>
          <w:p w14:paraId="561F0708" w14:textId="77777777" w:rsidR="004664E1" w:rsidRPr="004664E1" w:rsidRDefault="004664E1" w:rsidP="004664E1">
            <w:pPr>
              <w:spacing w:after="0"/>
              <w:ind w:firstLine="0"/>
              <w:jc w:val="left"/>
              <w:rPr>
                <w:bCs/>
                <w:sz w:val="20"/>
              </w:rPr>
            </w:pPr>
            <w:r w:rsidRPr="004664E1">
              <w:rPr>
                <w:bCs/>
                <w:sz w:val="20"/>
              </w:rPr>
              <w:t>UNESCO Latvijas Nacionālā komisija</w:t>
            </w:r>
          </w:p>
        </w:tc>
      </w:tr>
      <w:tr w:rsidR="004664E1" w:rsidRPr="004664E1" w14:paraId="3854852F" w14:textId="77777777" w:rsidTr="005A2240">
        <w:trPr>
          <w:trHeight w:val="397"/>
        </w:trPr>
        <w:tc>
          <w:tcPr>
            <w:tcW w:w="9061" w:type="dxa"/>
            <w:gridSpan w:val="2"/>
            <w:shd w:val="clear" w:color="auto" w:fill="DEEAF6"/>
            <w:vAlign w:val="center"/>
            <w:hideMark/>
          </w:tcPr>
          <w:p w14:paraId="4593208C" w14:textId="77777777" w:rsidR="004664E1" w:rsidRPr="004664E1" w:rsidRDefault="004664E1" w:rsidP="004664E1">
            <w:pPr>
              <w:spacing w:after="0"/>
              <w:ind w:firstLine="0"/>
              <w:jc w:val="center"/>
              <w:rPr>
                <w:b/>
                <w:bCs/>
                <w:sz w:val="20"/>
              </w:rPr>
            </w:pPr>
            <w:r w:rsidRPr="004664E1">
              <w:rPr>
                <w:b/>
                <w:bCs/>
                <w:sz w:val="20"/>
              </w:rPr>
              <w:t>Veselības ministrija</w:t>
            </w:r>
          </w:p>
        </w:tc>
      </w:tr>
      <w:tr w:rsidR="004664E1" w:rsidRPr="004664E1" w14:paraId="541D47B4" w14:textId="77777777" w:rsidTr="005A2240">
        <w:trPr>
          <w:trHeight w:val="340"/>
        </w:trPr>
        <w:tc>
          <w:tcPr>
            <w:tcW w:w="846" w:type="dxa"/>
            <w:vAlign w:val="center"/>
            <w:hideMark/>
          </w:tcPr>
          <w:p w14:paraId="1D862C40" w14:textId="77777777" w:rsidR="004664E1" w:rsidRPr="004664E1" w:rsidRDefault="004664E1" w:rsidP="004664E1">
            <w:pPr>
              <w:spacing w:after="0"/>
              <w:ind w:firstLine="0"/>
              <w:jc w:val="center"/>
              <w:rPr>
                <w:bCs/>
                <w:sz w:val="20"/>
              </w:rPr>
            </w:pPr>
            <w:r w:rsidRPr="004664E1">
              <w:rPr>
                <w:bCs/>
                <w:sz w:val="20"/>
              </w:rPr>
              <w:t>33.</w:t>
            </w:r>
          </w:p>
        </w:tc>
        <w:tc>
          <w:tcPr>
            <w:tcW w:w="8215" w:type="dxa"/>
            <w:vAlign w:val="center"/>
            <w:hideMark/>
          </w:tcPr>
          <w:p w14:paraId="3F5C545D" w14:textId="77777777" w:rsidR="004664E1" w:rsidRPr="004664E1" w:rsidRDefault="004664E1" w:rsidP="004664E1">
            <w:pPr>
              <w:spacing w:after="0"/>
              <w:ind w:firstLine="0"/>
              <w:jc w:val="left"/>
              <w:rPr>
                <w:bCs/>
                <w:sz w:val="20"/>
              </w:rPr>
            </w:pPr>
            <w:r w:rsidRPr="004664E1">
              <w:rPr>
                <w:bCs/>
                <w:sz w:val="20"/>
              </w:rPr>
              <w:t>Rīgas Stradiņa universitāte</w:t>
            </w:r>
          </w:p>
        </w:tc>
      </w:tr>
    </w:tbl>
    <w:p w14:paraId="0254AF05" w14:textId="77777777" w:rsidR="004664E1" w:rsidRPr="004664E1" w:rsidRDefault="004664E1" w:rsidP="004664E1">
      <w:pPr>
        <w:spacing w:before="120"/>
        <w:ind w:firstLine="0"/>
        <w:jc w:val="right"/>
        <w:rPr>
          <w:rFonts w:eastAsia="Times New Roman" w:cs="Times New Roman"/>
          <w:b/>
          <w:bCs/>
          <w:i/>
          <w:szCs w:val="24"/>
        </w:rPr>
      </w:pPr>
    </w:p>
    <w:p w14:paraId="05CAF224" w14:textId="38E78388" w:rsidR="004664E1" w:rsidRPr="004664E1" w:rsidRDefault="004664E1" w:rsidP="004664E1">
      <w:pPr>
        <w:spacing w:before="120"/>
        <w:ind w:firstLine="0"/>
        <w:jc w:val="right"/>
        <w:rPr>
          <w:rFonts w:eastAsia="Times New Roman" w:cs="Times New Roman"/>
          <w:b/>
          <w:bCs/>
          <w:i/>
          <w:szCs w:val="24"/>
        </w:rPr>
      </w:pPr>
      <w:r w:rsidRPr="005273F0">
        <w:rPr>
          <w:rFonts w:eastAsia="Times New Roman" w:cs="Times New Roman"/>
          <w:b/>
          <w:bCs/>
          <w:i/>
          <w:szCs w:val="24"/>
        </w:rPr>
        <w:t>2.1</w:t>
      </w:r>
      <w:r w:rsidR="00B7070D">
        <w:rPr>
          <w:rFonts w:eastAsia="Times New Roman" w:cs="Times New Roman"/>
          <w:b/>
          <w:bCs/>
          <w:i/>
          <w:szCs w:val="24"/>
        </w:rPr>
        <w:t>6</w:t>
      </w:r>
      <w:r w:rsidRPr="005273F0">
        <w:rPr>
          <w:rFonts w:eastAsia="Times New Roman" w:cs="Times New Roman"/>
          <w:b/>
          <w:bCs/>
          <w:i/>
          <w:szCs w:val="24"/>
        </w:rPr>
        <w:t>. tabula</w:t>
      </w:r>
      <w:r w:rsidRPr="004664E1">
        <w:rPr>
          <w:rFonts w:eastAsia="Times New Roman" w:cs="Times New Roman"/>
          <w:b/>
          <w:bCs/>
          <w:i/>
          <w:szCs w:val="24"/>
        </w:rPr>
        <w:t>. 2024. gadā ministriju padotībā esošās budžeta nefinansētās iestādes</w:t>
      </w: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3"/>
        <w:gridCol w:w="8224"/>
      </w:tblGrid>
      <w:tr w:rsidR="004664E1" w:rsidRPr="004664E1" w14:paraId="5021C8CE" w14:textId="77777777" w:rsidTr="005A2240">
        <w:trPr>
          <w:trHeight w:val="170"/>
        </w:trPr>
        <w:tc>
          <w:tcPr>
            <w:tcW w:w="465" w:type="pct"/>
            <w:shd w:val="clear" w:color="auto" w:fill="BDD6EE"/>
            <w:tcMar>
              <w:top w:w="105" w:type="dxa"/>
              <w:left w:w="105" w:type="dxa"/>
              <w:bottom w:w="105" w:type="dxa"/>
              <w:right w:w="105" w:type="dxa"/>
            </w:tcMar>
            <w:vAlign w:val="center"/>
            <w:hideMark/>
          </w:tcPr>
          <w:p w14:paraId="55B7FFB5" w14:textId="77777777" w:rsidR="004664E1" w:rsidRPr="004664E1" w:rsidRDefault="004664E1" w:rsidP="005A2240">
            <w:pPr>
              <w:spacing w:after="0"/>
              <w:ind w:firstLine="0"/>
              <w:rPr>
                <w:rFonts w:eastAsia="Times New Roman" w:cs="Times New Roman"/>
                <w:sz w:val="22"/>
                <w:lang w:val="ru-RU"/>
              </w:rPr>
            </w:pPr>
            <w:proofErr w:type="spellStart"/>
            <w:r w:rsidRPr="004664E1">
              <w:rPr>
                <w:rFonts w:eastAsia="Times New Roman" w:cs="Times New Roman"/>
                <w:sz w:val="22"/>
                <w:lang w:val="ru-RU"/>
              </w:rPr>
              <w:t>Nr.p.k</w:t>
            </w:r>
            <w:proofErr w:type="spellEnd"/>
            <w:r w:rsidRPr="004664E1">
              <w:rPr>
                <w:rFonts w:eastAsia="Times New Roman" w:cs="Times New Roman"/>
                <w:sz w:val="22"/>
                <w:lang w:val="ru-RU"/>
              </w:rPr>
              <w:t>.</w:t>
            </w:r>
          </w:p>
        </w:tc>
        <w:tc>
          <w:tcPr>
            <w:tcW w:w="4535" w:type="pct"/>
            <w:shd w:val="clear" w:color="auto" w:fill="BDD6EE"/>
            <w:tcMar>
              <w:top w:w="105" w:type="dxa"/>
              <w:left w:w="105" w:type="dxa"/>
              <w:bottom w:w="105" w:type="dxa"/>
              <w:right w:w="105" w:type="dxa"/>
            </w:tcMar>
            <w:hideMark/>
          </w:tcPr>
          <w:p w14:paraId="0ED9AF2B" w14:textId="77777777" w:rsidR="004664E1" w:rsidRPr="004664E1" w:rsidRDefault="004664E1" w:rsidP="005A2240">
            <w:pPr>
              <w:spacing w:after="0"/>
              <w:ind w:firstLine="0"/>
              <w:jc w:val="center"/>
              <w:rPr>
                <w:rFonts w:eastAsia="Times New Roman" w:cs="Times New Roman"/>
                <w:sz w:val="20"/>
                <w:szCs w:val="20"/>
                <w:lang w:val="ru-RU"/>
              </w:rPr>
            </w:pPr>
            <w:proofErr w:type="spellStart"/>
            <w:r w:rsidRPr="004664E1">
              <w:rPr>
                <w:rFonts w:eastAsia="Times New Roman" w:cs="Times New Roman"/>
                <w:sz w:val="20"/>
                <w:szCs w:val="20"/>
                <w:lang w:val="ru-RU"/>
              </w:rPr>
              <w:t>Budžeta</w:t>
            </w:r>
            <w:proofErr w:type="spellEnd"/>
            <w:r w:rsidRPr="004664E1">
              <w:rPr>
                <w:rFonts w:eastAsia="Times New Roman" w:cs="Times New Roman"/>
                <w:sz w:val="20"/>
                <w:szCs w:val="20"/>
                <w:lang w:val="ru-RU"/>
              </w:rPr>
              <w:t xml:space="preserve"> </w:t>
            </w:r>
            <w:proofErr w:type="spellStart"/>
            <w:r w:rsidRPr="004664E1">
              <w:rPr>
                <w:rFonts w:eastAsia="Times New Roman" w:cs="Times New Roman"/>
                <w:sz w:val="20"/>
                <w:szCs w:val="20"/>
                <w:lang w:val="ru-RU"/>
              </w:rPr>
              <w:t>nefinansētās</w:t>
            </w:r>
            <w:proofErr w:type="spellEnd"/>
            <w:r w:rsidRPr="004664E1">
              <w:rPr>
                <w:rFonts w:eastAsia="Times New Roman" w:cs="Times New Roman"/>
                <w:sz w:val="20"/>
                <w:szCs w:val="20"/>
                <w:lang w:val="ru-RU"/>
              </w:rPr>
              <w:t xml:space="preserve"> </w:t>
            </w:r>
            <w:proofErr w:type="spellStart"/>
            <w:r w:rsidRPr="004664E1">
              <w:rPr>
                <w:rFonts w:eastAsia="Times New Roman" w:cs="Times New Roman"/>
                <w:sz w:val="20"/>
                <w:szCs w:val="20"/>
                <w:lang w:val="ru-RU"/>
              </w:rPr>
              <w:t>iestādes</w:t>
            </w:r>
            <w:proofErr w:type="spellEnd"/>
            <w:r w:rsidRPr="004664E1">
              <w:rPr>
                <w:rFonts w:eastAsia="Times New Roman" w:cs="Times New Roman"/>
                <w:sz w:val="20"/>
                <w:szCs w:val="20"/>
                <w:lang w:val="ru-RU"/>
              </w:rPr>
              <w:t xml:space="preserve"> </w:t>
            </w:r>
            <w:proofErr w:type="spellStart"/>
            <w:r w:rsidRPr="004664E1">
              <w:rPr>
                <w:rFonts w:eastAsia="Times New Roman" w:cs="Times New Roman"/>
                <w:sz w:val="20"/>
                <w:szCs w:val="20"/>
                <w:lang w:val="ru-RU"/>
              </w:rPr>
              <w:t>nosaukums</w:t>
            </w:r>
            <w:proofErr w:type="spellEnd"/>
          </w:p>
        </w:tc>
      </w:tr>
      <w:tr w:rsidR="004664E1" w:rsidRPr="004664E1" w14:paraId="0C35CB20" w14:textId="77777777" w:rsidTr="005A2240">
        <w:trPr>
          <w:trHeight w:val="170"/>
        </w:trPr>
        <w:tc>
          <w:tcPr>
            <w:tcW w:w="5000" w:type="pct"/>
            <w:gridSpan w:val="2"/>
            <w:shd w:val="clear" w:color="auto" w:fill="DEEAF6"/>
            <w:tcMar>
              <w:top w:w="105" w:type="dxa"/>
              <w:left w:w="105" w:type="dxa"/>
              <w:bottom w:w="105" w:type="dxa"/>
              <w:right w:w="105" w:type="dxa"/>
            </w:tcMar>
          </w:tcPr>
          <w:p w14:paraId="3B216BEA" w14:textId="77777777" w:rsidR="004664E1" w:rsidRPr="004664E1" w:rsidRDefault="004664E1" w:rsidP="005A2240">
            <w:pPr>
              <w:spacing w:after="0"/>
              <w:ind w:firstLine="0"/>
              <w:jc w:val="center"/>
              <w:rPr>
                <w:rFonts w:eastAsia="Times New Roman" w:cs="Times New Roman"/>
                <w:b/>
                <w:sz w:val="20"/>
                <w:szCs w:val="20"/>
                <w:lang w:eastAsia="en-US"/>
              </w:rPr>
            </w:pPr>
            <w:r w:rsidRPr="004664E1">
              <w:rPr>
                <w:rFonts w:eastAsia="Times New Roman" w:cs="Times New Roman"/>
                <w:b/>
                <w:sz w:val="20"/>
                <w:szCs w:val="20"/>
                <w:lang w:eastAsia="en-US"/>
              </w:rPr>
              <w:t>Satiksmes ministrija</w:t>
            </w:r>
          </w:p>
        </w:tc>
      </w:tr>
      <w:tr w:rsidR="004664E1" w:rsidRPr="004664E1" w14:paraId="5AD80849" w14:textId="77777777" w:rsidTr="005A2240">
        <w:trPr>
          <w:trHeight w:val="170"/>
        </w:trPr>
        <w:tc>
          <w:tcPr>
            <w:tcW w:w="465" w:type="pct"/>
            <w:tcMar>
              <w:top w:w="105" w:type="dxa"/>
              <w:left w:w="105" w:type="dxa"/>
              <w:bottom w:w="105" w:type="dxa"/>
              <w:right w:w="105" w:type="dxa"/>
            </w:tcMar>
            <w:hideMark/>
          </w:tcPr>
          <w:p w14:paraId="06BE394F" w14:textId="77777777" w:rsidR="004664E1" w:rsidRPr="004664E1" w:rsidRDefault="004664E1" w:rsidP="005A2240">
            <w:pPr>
              <w:spacing w:after="0"/>
              <w:ind w:firstLine="0"/>
              <w:jc w:val="center"/>
              <w:rPr>
                <w:rFonts w:eastAsia="Times New Roman" w:cs="Times New Roman"/>
                <w:sz w:val="22"/>
                <w:lang w:val="ru-RU"/>
              </w:rPr>
            </w:pPr>
            <w:r w:rsidRPr="004664E1">
              <w:rPr>
                <w:rFonts w:eastAsia="Times New Roman" w:cs="Times New Roman"/>
                <w:sz w:val="22"/>
                <w:lang w:val="ru-RU"/>
              </w:rPr>
              <w:t>1.</w:t>
            </w:r>
          </w:p>
        </w:tc>
        <w:tc>
          <w:tcPr>
            <w:tcW w:w="4535" w:type="pct"/>
            <w:shd w:val="clear" w:color="auto" w:fill="auto"/>
            <w:tcMar>
              <w:top w:w="105" w:type="dxa"/>
              <w:left w:w="105" w:type="dxa"/>
              <w:bottom w:w="105" w:type="dxa"/>
              <w:right w:w="105" w:type="dxa"/>
            </w:tcMar>
            <w:vAlign w:val="center"/>
            <w:hideMark/>
          </w:tcPr>
          <w:p w14:paraId="4AA94565" w14:textId="77777777" w:rsidR="004664E1" w:rsidRPr="004664E1" w:rsidRDefault="004664E1" w:rsidP="005A2240">
            <w:pPr>
              <w:spacing w:after="0"/>
              <w:ind w:firstLine="0"/>
              <w:jc w:val="left"/>
              <w:rPr>
                <w:rFonts w:eastAsia="Times New Roman" w:cs="Times New Roman"/>
                <w:sz w:val="20"/>
                <w:szCs w:val="20"/>
              </w:rPr>
            </w:pPr>
            <w:r w:rsidRPr="004664E1">
              <w:rPr>
                <w:rFonts w:eastAsia="Times New Roman" w:cs="Times New Roman"/>
                <w:sz w:val="20"/>
                <w:szCs w:val="20"/>
                <w:lang w:eastAsia="en-US"/>
              </w:rPr>
              <w:t>Valsts dzelzceļa tehniskā inspekcija</w:t>
            </w:r>
          </w:p>
        </w:tc>
      </w:tr>
      <w:tr w:rsidR="004664E1" w:rsidRPr="004664E1" w14:paraId="0731D111" w14:textId="77777777" w:rsidTr="005A2240">
        <w:trPr>
          <w:trHeight w:val="113"/>
        </w:trPr>
        <w:tc>
          <w:tcPr>
            <w:tcW w:w="465" w:type="pct"/>
            <w:tcMar>
              <w:top w:w="105" w:type="dxa"/>
              <w:left w:w="105" w:type="dxa"/>
              <w:bottom w:w="105" w:type="dxa"/>
              <w:right w:w="105" w:type="dxa"/>
            </w:tcMar>
            <w:hideMark/>
          </w:tcPr>
          <w:p w14:paraId="2CC2B522" w14:textId="77777777" w:rsidR="004664E1" w:rsidRPr="004664E1" w:rsidRDefault="004664E1" w:rsidP="005A2240">
            <w:pPr>
              <w:spacing w:after="0"/>
              <w:ind w:firstLine="0"/>
              <w:jc w:val="center"/>
              <w:rPr>
                <w:rFonts w:eastAsia="Times New Roman" w:cs="Times New Roman"/>
                <w:sz w:val="22"/>
                <w:lang w:val="ru-RU"/>
              </w:rPr>
            </w:pPr>
            <w:r w:rsidRPr="004664E1">
              <w:rPr>
                <w:rFonts w:eastAsia="Times New Roman" w:cs="Times New Roman"/>
                <w:sz w:val="22"/>
                <w:lang w:val="ru-RU"/>
              </w:rPr>
              <w:t>2.</w:t>
            </w:r>
          </w:p>
        </w:tc>
        <w:tc>
          <w:tcPr>
            <w:tcW w:w="4535" w:type="pct"/>
            <w:shd w:val="clear" w:color="auto" w:fill="auto"/>
            <w:tcMar>
              <w:top w:w="105" w:type="dxa"/>
              <w:left w:w="105" w:type="dxa"/>
              <w:bottom w:w="105" w:type="dxa"/>
              <w:right w:w="105" w:type="dxa"/>
            </w:tcMar>
            <w:vAlign w:val="center"/>
            <w:hideMark/>
          </w:tcPr>
          <w:p w14:paraId="44ABA04F" w14:textId="77777777" w:rsidR="004664E1" w:rsidRPr="004664E1" w:rsidRDefault="004664E1" w:rsidP="005A2240">
            <w:pPr>
              <w:spacing w:after="0"/>
              <w:ind w:firstLine="0"/>
              <w:jc w:val="left"/>
              <w:rPr>
                <w:rFonts w:eastAsia="Times New Roman" w:cs="Times New Roman"/>
                <w:sz w:val="20"/>
                <w:szCs w:val="20"/>
                <w:lang w:eastAsia="en-US"/>
              </w:rPr>
            </w:pPr>
            <w:r w:rsidRPr="004664E1">
              <w:rPr>
                <w:rFonts w:eastAsia="Times New Roman" w:cs="Times New Roman"/>
                <w:sz w:val="20"/>
                <w:szCs w:val="20"/>
                <w:lang w:eastAsia="en-US"/>
              </w:rPr>
              <w:t>Valsts dzelzceļa administrācija</w:t>
            </w:r>
          </w:p>
        </w:tc>
      </w:tr>
      <w:tr w:rsidR="004664E1" w:rsidRPr="004664E1" w14:paraId="55E64FB7" w14:textId="77777777" w:rsidTr="005A2240">
        <w:trPr>
          <w:trHeight w:val="113"/>
        </w:trPr>
        <w:tc>
          <w:tcPr>
            <w:tcW w:w="465" w:type="pct"/>
            <w:tcMar>
              <w:top w:w="105" w:type="dxa"/>
              <w:left w:w="105" w:type="dxa"/>
              <w:bottom w:w="105" w:type="dxa"/>
              <w:right w:w="105" w:type="dxa"/>
            </w:tcMar>
            <w:hideMark/>
          </w:tcPr>
          <w:p w14:paraId="1D2E2EE7" w14:textId="77777777" w:rsidR="004664E1" w:rsidRPr="004664E1" w:rsidRDefault="004664E1" w:rsidP="005A2240">
            <w:pPr>
              <w:spacing w:after="0"/>
              <w:ind w:firstLine="0"/>
              <w:jc w:val="center"/>
              <w:rPr>
                <w:rFonts w:eastAsia="Times New Roman" w:cs="Times New Roman"/>
                <w:sz w:val="22"/>
                <w:lang w:val="ru-RU"/>
              </w:rPr>
            </w:pPr>
            <w:r w:rsidRPr="004664E1">
              <w:rPr>
                <w:rFonts w:eastAsia="Times New Roman" w:cs="Times New Roman"/>
                <w:sz w:val="22"/>
                <w:lang w:val="ru-RU"/>
              </w:rPr>
              <w:t>3.</w:t>
            </w:r>
          </w:p>
        </w:tc>
        <w:tc>
          <w:tcPr>
            <w:tcW w:w="4535" w:type="pct"/>
            <w:shd w:val="clear" w:color="auto" w:fill="auto"/>
            <w:tcMar>
              <w:top w:w="105" w:type="dxa"/>
              <w:left w:w="105" w:type="dxa"/>
              <w:bottom w:w="105" w:type="dxa"/>
              <w:right w:w="105" w:type="dxa"/>
            </w:tcMar>
            <w:vAlign w:val="center"/>
            <w:hideMark/>
          </w:tcPr>
          <w:p w14:paraId="0FCA1077" w14:textId="77777777" w:rsidR="004664E1" w:rsidRPr="004664E1" w:rsidRDefault="004664E1" w:rsidP="005A2240">
            <w:pPr>
              <w:spacing w:after="0"/>
              <w:ind w:firstLine="0"/>
              <w:jc w:val="left"/>
              <w:rPr>
                <w:rFonts w:eastAsia="Times New Roman" w:cs="Times New Roman"/>
                <w:sz w:val="20"/>
                <w:szCs w:val="20"/>
                <w:lang w:eastAsia="en-US"/>
              </w:rPr>
            </w:pPr>
            <w:r w:rsidRPr="004664E1">
              <w:rPr>
                <w:rFonts w:eastAsia="Times New Roman" w:cs="Times New Roman"/>
                <w:sz w:val="20"/>
                <w:szCs w:val="20"/>
                <w:lang w:eastAsia="en-US"/>
              </w:rPr>
              <w:t>Transporta nelaimes gadījumu un incidentu izmeklēšanas birojs</w:t>
            </w:r>
          </w:p>
        </w:tc>
      </w:tr>
      <w:tr w:rsidR="004664E1" w:rsidRPr="004664E1" w14:paraId="0663C6E2" w14:textId="77777777" w:rsidTr="005A2240">
        <w:trPr>
          <w:trHeight w:val="227"/>
        </w:trPr>
        <w:tc>
          <w:tcPr>
            <w:tcW w:w="465" w:type="pct"/>
            <w:tcMar>
              <w:top w:w="105" w:type="dxa"/>
              <w:left w:w="105" w:type="dxa"/>
              <w:bottom w:w="105" w:type="dxa"/>
              <w:right w:w="105" w:type="dxa"/>
            </w:tcMar>
            <w:hideMark/>
          </w:tcPr>
          <w:p w14:paraId="7F8CF8F1" w14:textId="77777777" w:rsidR="004664E1" w:rsidRPr="004664E1" w:rsidRDefault="004664E1" w:rsidP="005A2240">
            <w:pPr>
              <w:spacing w:after="0"/>
              <w:ind w:firstLine="0"/>
              <w:jc w:val="center"/>
              <w:rPr>
                <w:rFonts w:eastAsia="Times New Roman" w:cs="Times New Roman"/>
                <w:sz w:val="22"/>
              </w:rPr>
            </w:pPr>
            <w:r w:rsidRPr="004664E1">
              <w:rPr>
                <w:rFonts w:eastAsia="Times New Roman" w:cs="Times New Roman"/>
                <w:sz w:val="22"/>
              </w:rPr>
              <w:t>4.</w:t>
            </w:r>
          </w:p>
        </w:tc>
        <w:tc>
          <w:tcPr>
            <w:tcW w:w="4535" w:type="pct"/>
            <w:shd w:val="clear" w:color="auto" w:fill="auto"/>
            <w:tcMar>
              <w:top w:w="105" w:type="dxa"/>
              <w:left w:w="105" w:type="dxa"/>
              <w:bottom w:w="105" w:type="dxa"/>
              <w:right w:w="105" w:type="dxa"/>
            </w:tcMar>
            <w:vAlign w:val="center"/>
            <w:hideMark/>
          </w:tcPr>
          <w:p w14:paraId="5E37311B" w14:textId="77777777" w:rsidR="004664E1" w:rsidRPr="004664E1" w:rsidRDefault="004664E1" w:rsidP="005A2240">
            <w:pPr>
              <w:spacing w:after="0"/>
              <w:ind w:firstLine="0"/>
              <w:jc w:val="left"/>
              <w:rPr>
                <w:rFonts w:eastAsia="Times New Roman" w:cs="Times New Roman"/>
                <w:sz w:val="20"/>
                <w:szCs w:val="20"/>
                <w:lang w:eastAsia="en-US"/>
              </w:rPr>
            </w:pPr>
            <w:r w:rsidRPr="004664E1">
              <w:rPr>
                <w:rFonts w:eastAsia="Times New Roman" w:cs="Times New Roman"/>
                <w:sz w:val="20"/>
                <w:szCs w:val="20"/>
                <w:lang w:eastAsia="en-US"/>
              </w:rPr>
              <w:t>Valsts aģentūra “Civilās aviācijas aģentūra”</w:t>
            </w:r>
          </w:p>
        </w:tc>
      </w:tr>
      <w:tr w:rsidR="004664E1" w:rsidRPr="004664E1" w14:paraId="4B1E0DB0" w14:textId="77777777" w:rsidTr="00C30371">
        <w:tblPrEx>
          <w:jc w:val="center"/>
          <w:tblInd w:w="0" w:type="dxa"/>
        </w:tblPrEx>
        <w:trPr>
          <w:trHeight w:val="180"/>
          <w:jc w:val="center"/>
        </w:trPr>
        <w:tc>
          <w:tcPr>
            <w:tcW w:w="5000" w:type="pct"/>
            <w:gridSpan w:val="2"/>
            <w:shd w:val="clear" w:color="auto" w:fill="DEEAF6"/>
            <w:tcMar>
              <w:top w:w="105" w:type="dxa"/>
              <w:left w:w="105" w:type="dxa"/>
              <w:bottom w:w="105" w:type="dxa"/>
              <w:right w:w="105" w:type="dxa"/>
            </w:tcMar>
          </w:tcPr>
          <w:p w14:paraId="3CD1790F" w14:textId="77777777" w:rsidR="004664E1" w:rsidRPr="004664E1" w:rsidRDefault="004664E1" w:rsidP="005A2240">
            <w:pPr>
              <w:spacing w:after="0"/>
              <w:ind w:firstLine="0"/>
              <w:jc w:val="center"/>
              <w:rPr>
                <w:rFonts w:eastAsia="Times New Roman" w:cs="Times New Roman"/>
                <w:b/>
                <w:sz w:val="20"/>
                <w:szCs w:val="20"/>
              </w:rPr>
            </w:pPr>
            <w:r w:rsidRPr="004664E1">
              <w:rPr>
                <w:rFonts w:eastAsia="Times New Roman" w:cs="Times New Roman"/>
                <w:b/>
                <w:sz w:val="20"/>
                <w:szCs w:val="20"/>
              </w:rPr>
              <w:t>Tieslietu ministrija</w:t>
            </w:r>
          </w:p>
        </w:tc>
      </w:tr>
      <w:tr w:rsidR="004664E1" w:rsidRPr="004664E1" w14:paraId="6D88D16C" w14:textId="77777777" w:rsidTr="005A2240">
        <w:tblPrEx>
          <w:jc w:val="center"/>
          <w:tblInd w:w="0" w:type="dxa"/>
        </w:tblPrEx>
        <w:trPr>
          <w:trHeight w:val="170"/>
          <w:jc w:val="center"/>
        </w:trPr>
        <w:tc>
          <w:tcPr>
            <w:tcW w:w="465" w:type="pct"/>
            <w:tcMar>
              <w:top w:w="105" w:type="dxa"/>
              <w:left w:w="105" w:type="dxa"/>
              <w:bottom w:w="105" w:type="dxa"/>
              <w:right w:w="105" w:type="dxa"/>
            </w:tcMar>
          </w:tcPr>
          <w:p w14:paraId="5AFFFF97" w14:textId="77777777" w:rsidR="004664E1" w:rsidRPr="004664E1" w:rsidRDefault="004664E1" w:rsidP="005A2240">
            <w:pPr>
              <w:spacing w:after="0"/>
              <w:ind w:firstLine="0"/>
              <w:jc w:val="center"/>
              <w:rPr>
                <w:rFonts w:eastAsia="Times New Roman" w:cs="Times New Roman"/>
                <w:sz w:val="22"/>
              </w:rPr>
            </w:pPr>
            <w:r w:rsidRPr="004664E1">
              <w:rPr>
                <w:rFonts w:eastAsia="Times New Roman" w:cs="Times New Roman"/>
                <w:sz w:val="22"/>
              </w:rPr>
              <w:t>5.</w:t>
            </w:r>
          </w:p>
        </w:tc>
        <w:tc>
          <w:tcPr>
            <w:tcW w:w="4535" w:type="pct"/>
          </w:tcPr>
          <w:p w14:paraId="29FD17DA" w14:textId="77777777" w:rsidR="004664E1" w:rsidRPr="004664E1" w:rsidRDefault="004664E1" w:rsidP="005A2240">
            <w:pPr>
              <w:spacing w:after="0"/>
              <w:ind w:firstLine="0"/>
              <w:jc w:val="left"/>
              <w:rPr>
                <w:rFonts w:eastAsia="Times New Roman" w:cs="Times New Roman"/>
                <w:b/>
                <w:sz w:val="20"/>
                <w:szCs w:val="20"/>
              </w:rPr>
            </w:pPr>
            <w:r w:rsidRPr="004664E1">
              <w:rPr>
                <w:rFonts w:eastAsia="Times New Roman" w:cs="Times New Roman"/>
                <w:sz w:val="20"/>
                <w:szCs w:val="20"/>
              </w:rPr>
              <w:t xml:space="preserve">  Latvijas Republikas Patentu valde</w:t>
            </w:r>
          </w:p>
        </w:tc>
      </w:tr>
      <w:tr w:rsidR="004664E1" w:rsidRPr="004664E1" w14:paraId="37C77056" w14:textId="77777777" w:rsidTr="00C30371">
        <w:tblPrEx>
          <w:jc w:val="center"/>
          <w:tblInd w:w="0" w:type="dxa"/>
        </w:tblPrEx>
        <w:trPr>
          <w:trHeight w:val="57"/>
          <w:jc w:val="center"/>
        </w:trPr>
        <w:tc>
          <w:tcPr>
            <w:tcW w:w="5000" w:type="pct"/>
            <w:gridSpan w:val="2"/>
            <w:shd w:val="clear" w:color="auto" w:fill="DEEAF6"/>
            <w:tcMar>
              <w:top w:w="105" w:type="dxa"/>
              <w:left w:w="105" w:type="dxa"/>
              <w:bottom w:w="105" w:type="dxa"/>
              <w:right w:w="105" w:type="dxa"/>
            </w:tcMar>
          </w:tcPr>
          <w:p w14:paraId="34D70429" w14:textId="77777777" w:rsidR="004664E1" w:rsidRPr="004664E1" w:rsidRDefault="004664E1" w:rsidP="005A2240">
            <w:pPr>
              <w:spacing w:after="0"/>
              <w:ind w:firstLine="0"/>
              <w:jc w:val="center"/>
              <w:rPr>
                <w:rFonts w:eastAsia="Times New Roman" w:cs="Times New Roman"/>
                <w:sz w:val="20"/>
                <w:szCs w:val="20"/>
              </w:rPr>
            </w:pPr>
            <w:r w:rsidRPr="004664E1">
              <w:rPr>
                <w:rFonts w:eastAsia="Times New Roman" w:cs="Times New Roman"/>
                <w:b/>
                <w:sz w:val="20"/>
                <w:szCs w:val="20"/>
              </w:rPr>
              <w:t>Veselības ministrija</w:t>
            </w:r>
          </w:p>
        </w:tc>
      </w:tr>
      <w:tr w:rsidR="004664E1" w:rsidRPr="004664E1" w14:paraId="361F52DC" w14:textId="77777777" w:rsidTr="00C30371">
        <w:tblPrEx>
          <w:jc w:val="center"/>
          <w:tblInd w:w="0" w:type="dxa"/>
        </w:tblPrEx>
        <w:trPr>
          <w:trHeight w:val="57"/>
          <w:jc w:val="center"/>
        </w:trPr>
        <w:tc>
          <w:tcPr>
            <w:tcW w:w="465" w:type="pct"/>
            <w:tcMar>
              <w:top w:w="105" w:type="dxa"/>
              <w:left w:w="105" w:type="dxa"/>
              <w:bottom w:w="105" w:type="dxa"/>
              <w:right w:w="105" w:type="dxa"/>
            </w:tcMar>
          </w:tcPr>
          <w:p w14:paraId="792D6C1B" w14:textId="77777777" w:rsidR="004664E1" w:rsidRPr="004664E1" w:rsidRDefault="004664E1" w:rsidP="005A2240">
            <w:pPr>
              <w:spacing w:after="0"/>
              <w:ind w:firstLine="0"/>
              <w:jc w:val="center"/>
              <w:rPr>
                <w:rFonts w:eastAsia="Times New Roman" w:cs="Times New Roman"/>
                <w:sz w:val="22"/>
              </w:rPr>
            </w:pPr>
            <w:r w:rsidRPr="004664E1">
              <w:rPr>
                <w:rFonts w:eastAsia="Times New Roman" w:cs="Times New Roman"/>
                <w:sz w:val="22"/>
              </w:rPr>
              <w:t>6.</w:t>
            </w:r>
          </w:p>
        </w:tc>
        <w:tc>
          <w:tcPr>
            <w:tcW w:w="4535" w:type="pct"/>
            <w:tcMar>
              <w:top w:w="105" w:type="dxa"/>
              <w:left w:w="105" w:type="dxa"/>
              <w:bottom w:w="105" w:type="dxa"/>
              <w:right w:w="105" w:type="dxa"/>
            </w:tcMar>
            <w:vAlign w:val="center"/>
          </w:tcPr>
          <w:p w14:paraId="5E9931FB" w14:textId="77777777" w:rsidR="004664E1" w:rsidRPr="004664E1" w:rsidRDefault="004664E1" w:rsidP="005A2240">
            <w:pPr>
              <w:spacing w:after="0"/>
              <w:ind w:firstLine="0"/>
              <w:rPr>
                <w:rFonts w:eastAsia="Times New Roman" w:cs="Times New Roman"/>
                <w:sz w:val="20"/>
                <w:szCs w:val="20"/>
              </w:rPr>
            </w:pPr>
            <w:r w:rsidRPr="004664E1">
              <w:rPr>
                <w:rFonts w:eastAsia="Times New Roman" w:cs="Times New Roman"/>
                <w:sz w:val="20"/>
                <w:szCs w:val="20"/>
              </w:rPr>
              <w:t>Zāļu valsts aģentūra</w:t>
            </w:r>
          </w:p>
        </w:tc>
      </w:tr>
    </w:tbl>
    <w:p w14:paraId="4264FB00" w14:textId="1F9D4686" w:rsidR="00FD5F28" w:rsidRPr="002A7324" w:rsidRDefault="006C567F" w:rsidP="00B82877">
      <w:pPr>
        <w:pStyle w:val="H1"/>
        <w:numPr>
          <w:ilvl w:val="0"/>
          <w:numId w:val="41"/>
        </w:numPr>
        <w:ind w:left="0" w:firstLine="318"/>
      </w:pPr>
      <w:bookmarkStart w:id="79" w:name="_Toc126236659"/>
      <w:r w:rsidRPr="002A7324">
        <w:lastRenderedPageBreak/>
        <w:t>Ieņēmumu, nodokļu atvieglojumu (atlaižu) un nodokļu parādu summas analīze</w:t>
      </w:r>
      <w:bookmarkEnd w:id="79"/>
    </w:p>
    <w:p w14:paraId="1512FDDD" w14:textId="546080CC" w:rsidR="003F3FCD" w:rsidRPr="001E19C6" w:rsidRDefault="000548A5" w:rsidP="00863814">
      <w:pPr>
        <w:pStyle w:val="H2"/>
        <w:rPr>
          <w:rFonts w:eastAsia="Times New Roman"/>
        </w:rPr>
      </w:pPr>
      <w:bookmarkStart w:id="80" w:name="_Toc126236660"/>
      <w:r w:rsidRPr="001E19C6">
        <w:rPr>
          <w:rFonts w:eastAsia="Times New Roman"/>
        </w:rPr>
        <w:t>3.1. Nodokļu politikas aktualitātes</w:t>
      </w:r>
      <w:bookmarkEnd w:id="80"/>
    </w:p>
    <w:p w14:paraId="473E3F03" w14:textId="2FF94785" w:rsidR="001E19C6" w:rsidRPr="001E19C6" w:rsidRDefault="00A264AA" w:rsidP="001E19C6">
      <w:pPr>
        <w:rPr>
          <w:rFonts w:eastAsiaTheme="minorHAnsi" w:cs="Calibri"/>
        </w:rPr>
      </w:pPr>
      <w:r>
        <w:rPr>
          <w:rFonts w:eastAsiaTheme="minorHAnsi" w:cs="Calibri"/>
        </w:rPr>
        <w:t xml:space="preserve">2023. gada </w:t>
      </w:r>
      <w:r w:rsidR="001E19C6" w:rsidRPr="001E19C6">
        <w:rPr>
          <w:rFonts w:eastAsiaTheme="minorHAnsi" w:cs="Calibri"/>
        </w:rPr>
        <w:t>26. septembrī M</w:t>
      </w:r>
      <w:r w:rsidR="00C251DC">
        <w:rPr>
          <w:rFonts w:eastAsiaTheme="minorHAnsi" w:cs="Calibri"/>
        </w:rPr>
        <w:t>K</w:t>
      </w:r>
      <w:r w:rsidR="00AA744B">
        <w:rPr>
          <w:rFonts w:eastAsiaTheme="minorHAnsi" w:cs="Calibri"/>
        </w:rPr>
        <w:t xml:space="preserve"> i</w:t>
      </w:r>
      <w:r w:rsidR="001E19C6" w:rsidRPr="001E19C6">
        <w:rPr>
          <w:rFonts w:eastAsiaTheme="minorHAnsi" w:cs="Calibri"/>
        </w:rPr>
        <w:t xml:space="preserve">zskatīja informatīvo ziņojumu par Valsts nodokļu politikas pamatnostādņu 2024. – 2027. gadam izstrādes virzību. Tajā sniegta informācija par paveikto darbu nodokļu politikas galveno izaicinājumu izvērtēšanā un no tā izrietošie secinājumi un politikas mērķi. Tāpat tajā ir identificēti vairāki nodokļu politikas jautājumi, kas tiek virzīti likumprojekta “Par valsts budžetu 2024. gadam un budžeta ietvaru 2024., 2025. un 2026. gadam” pakā, būtiski nepalielinot nodokļu slogu uzņēmējiem un iedzīvotājiem. </w:t>
      </w:r>
    </w:p>
    <w:p w14:paraId="3A044090" w14:textId="77777777" w:rsidR="001E19C6" w:rsidRPr="001E19C6" w:rsidRDefault="001E19C6" w:rsidP="001E19C6">
      <w:pPr>
        <w:rPr>
          <w:rFonts w:eastAsiaTheme="minorHAnsi" w:cs="Calibri"/>
        </w:rPr>
      </w:pPr>
      <w:r w:rsidRPr="001E19C6">
        <w:rPr>
          <w:rFonts w:eastAsiaTheme="minorHAnsi" w:cs="Calibri"/>
        </w:rPr>
        <w:t xml:space="preserve">Piedāvātās izmaiņas ietver īpašo uzņēmumu ienākuma nodokļa režīmu bankām un </w:t>
      </w:r>
      <w:proofErr w:type="spellStart"/>
      <w:r w:rsidRPr="001E19C6">
        <w:rPr>
          <w:rFonts w:eastAsiaTheme="minorHAnsi" w:cs="Calibri"/>
        </w:rPr>
        <w:t>nebanku</w:t>
      </w:r>
      <w:proofErr w:type="spellEnd"/>
      <w:r w:rsidRPr="001E19C6">
        <w:rPr>
          <w:rFonts w:eastAsiaTheme="minorHAnsi" w:cs="Calibri"/>
        </w:rPr>
        <w:t xml:space="preserve"> kreditētājiem, akcīzes nodokļa pakāpenisku paaugstināšanu, lai harmonizētu nodokļu likmes un nosacījumus starp Baltijas valstīm, tāpat azartspēļu nodokļa, </w:t>
      </w:r>
      <w:proofErr w:type="spellStart"/>
      <w:r w:rsidRPr="001E19C6">
        <w:rPr>
          <w:rFonts w:eastAsiaTheme="minorHAnsi" w:cs="Calibri"/>
        </w:rPr>
        <w:t>mikrouzņēmumu</w:t>
      </w:r>
      <w:proofErr w:type="spellEnd"/>
      <w:r w:rsidRPr="001E19C6">
        <w:rPr>
          <w:rFonts w:eastAsiaTheme="minorHAnsi" w:cs="Calibri"/>
        </w:rPr>
        <w:t xml:space="preserve"> nodokļa, dabas resursu nodokļa izmaiņas, kas atspoguļotas 3.1. tabulā.</w:t>
      </w:r>
    </w:p>
    <w:p w14:paraId="502DB26C" w14:textId="77777777" w:rsidR="001E19C6" w:rsidRPr="001E19C6" w:rsidRDefault="001E19C6" w:rsidP="001E19C6">
      <w:pPr>
        <w:rPr>
          <w:rFonts w:eastAsiaTheme="minorHAnsi" w:cs="Calibri"/>
        </w:rPr>
      </w:pPr>
      <w:r w:rsidRPr="001E19C6">
        <w:rPr>
          <w:rFonts w:eastAsiaTheme="minorHAnsi" w:cs="Calibri"/>
        </w:rPr>
        <w:t>Šobrīd ir uzsākts darbs pie jauno Nodokļu politikas pamatnostādņu sagatavošanas vidējam termiņam, kas kopā ar valdības sociālajiem un sadarbības partneriem tiks sagatavota 2024. gada laikā.</w:t>
      </w:r>
    </w:p>
    <w:p w14:paraId="0422B879" w14:textId="77777777" w:rsidR="001E19C6" w:rsidRPr="001E19C6" w:rsidRDefault="001E19C6" w:rsidP="001E19C6">
      <w:pPr>
        <w:keepNext/>
        <w:keepLines/>
        <w:spacing w:before="240" w:after="0"/>
        <w:ind w:firstLine="0"/>
        <w:jc w:val="right"/>
        <w:rPr>
          <w:rFonts w:eastAsia="Calibri" w:cs="Times New Roman"/>
          <w:b/>
          <w:i/>
          <w:szCs w:val="24"/>
        </w:rPr>
      </w:pPr>
      <w:r w:rsidRPr="001E19C6">
        <w:rPr>
          <w:rFonts w:eastAsia="Calibri" w:cs="Times New Roman"/>
          <w:b/>
          <w:i/>
          <w:szCs w:val="24"/>
        </w:rPr>
        <w:t xml:space="preserve">3.1. tabula. Pasākumi, kas ietekmē nodokļu un valsts pamatbudžeta </w:t>
      </w:r>
      <w:proofErr w:type="spellStart"/>
      <w:r w:rsidRPr="001E19C6">
        <w:rPr>
          <w:rFonts w:eastAsia="Calibri" w:cs="Times New Roman"/>
          <w:b/>
          <w:i/>
          <w:szCs w:val="24"/>
        </w:rPr>
        <w:t>nenodokļu</w:t>
      </w:r>
      <w:proofErr w:type="spellEnd"/>
      <w:r w:rsidRPr="001E19C6">
        <w:rPr>
          <w:rFonts w:eastAsia="Calibri" w:cs="Times New Roman"/>
          <w:b/>
          <w:i/>
          <w:szCs w:val="24"/>
        </w:rPr>
        <w:t xml:space="preserve"> ieņēmumus no 2024. gada, milj. </w:t>
      </w:r>
      <w:proofErr w:type="spellStart"/>
      <w:r w:rsidRPr="001E19C6">
        <w:rPr>
          <w:rFonts w:eastAsia="Calibri" w:cs="Times New Roman"/>
          <w:b/>
          <w:i/>
          <w:szCs w:val="24"/>
        </w:rPr>
        <w:t>euro</w:t>
      </w:r>
      <w:proofErr w:type="spellEnd"/>
      <w:r w:rsidRPr="001E19C6">
        <w:rPr>
          <w:rFonts w:eastAsia="Calibri" w:cs="Times New Roman"/>
          <w:b/>
          <w:i/>
          <w:szCs w:val="24"/>
        </w:rPr>
        <w:t xml:space="preserve"> (pēc naudas plūsmas)</w:t>
      </w:r>
    </w:p>
    <w:tbl>
      <w:tblPr>
        <w:tblW w:w="5000" w:type="pct"/>
        <w:tblInd w:w="-5" w:type="dxa"/>
        <w:tblLook w:val="04A0" w:firstRow="1" w:lastRow="0" w:firstColumn="1" w:lastColumn="0" w:noHBand="0" w:noVBand="1"/>
      </w:tblPr>
      <w:tblGrid>
        <w:gridCol w:w="5245"/>
        <w:gridCol w:w="1703"/>
        <w:gridCol w:w="658"/>
        <w:gridCol w:w="797"/>
        <w:gridCol w:w="658"/>
      </w:tblGrid>
      <w:tr w:rsidR="004D0549" w:rsidRPr="004D0549" w14:paraId="678DC843" w14:textId="77777777" w:rsidTr="004D0549">
        <w:trPr>
          <w:trHeight w:hRule="exact" w:val="227"/>
          <w:tblHeader/>
        </w:trPr>
        <w:tc>
          <w:tcPr>
            <w:tcW w:w="2894"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54984ACD" w14:textId="77777777" w:rsidR="002A7324" w:rsidRPr="004D0549" w:rsidRDefault="002A7324" w:rsidP="002A7324">
            <w:pPr>
              <w:keepNext/>
              <w:keepLines/>
              <w:spacing w:after="0"/>
              <w:ind w:firstLine="0"/>
              <w:jc w:val="center"/>
              <w:rPr>
                <w:rFonts w:eastAsia="Times New Roman" w:cs="Times New Roman"/>
                <w:b/>
                <w:bCs/>
                <w:sz w:val="18"/>
                <w:szCs w:val="18"/>
              </w:rPr>
            </w:pPr>
            <w:r w:rsidRPr="004D0549">
              <w:rPr>
                <w:rFonts w:eastAsia="Times New Roman" w:cs="Times New Roman"/>
                <w:b/>
                <w:bCs/>
                <w:sz w:val="18"/>
                <w:szCs w:val="18"/>
              </w:rPr>
              <w:t>Priekšlikums</w:t>
            </w:r>
          </w:p>
        </w:tc>
        <w:tc>
          <w:tcPr>
            <w:tcW w:w="94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17A6D91" w14:textId="77777777" w:rsidR="002A7324" w:rsidRPr="004D0549" w:rsidRDefault="002A7324" w:rsidP="002A7324">
            <w:pPr>
              <w:keepNext/>
              <w:keepLines/>
              <w:spacing w:after="0"/>
              <w:ind w:firstLine="0"/>
              <w:jc w:val="center"/>
              <w:rPr>
                <w:rFonts w:eastAsia="Times New Roman" w:cs="Times New Roman"/>
                <w:b/>
                <w:bCs/>
                <w:sz w:val="18"/>
                <w:szCs w:val="18"/>
              </w:rPr>
            </w:pPr>
            <w:r w:rsidRPr="004D0549">
              <w:rPr>
                <w:rFonts w:eastAsia="Times New Roman" w:cs="Times New Roman"/>
                <w:b/>
                <w:bCs/>
                <w:sz w:val="18"/>
                <w:szCs w:val="18"/>
              </w:rPr>
              <w:t>Ieņēmumu veids</w:t>
            </w:r>
          </w:p>
        </w:tc>
        <w:tc>
          <w:tcPr>
            <w:tcW w:w="363"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0CA3E61" w14:textId="77777777" w:rsidR="002A7324" w:rsidRPr="004D0549" w:rsidRDefault="002A7324" w:rsidP="002A7324">
            <w:pPr>
              <w:keepNext/>
              <w:keepLines/>
              <w:spacing w:after="0"/>
              <w:ind w:firstLine="0"/>
              <w:jc w:val="center"/>
              <w:rPr>
                <w:rFonts w:eastAsia="Times New Roman" w:cs="Times New Roman"/>
                <w:b/>
                <w:bCs/>
                <w:sz w:val="18"/>
                <w:szCs w:val="18"/>
              </w:rPr>
            </w:pPr>
            <w:r w:rsidRPr="004D0549">
              <w:rPr>
                <w:rFonts w:eastAsia="Times New Roman" w:cs="Times New Roman"/>
                <w:b/>
                <w:bCs/>
                <w:sz w:val="18"/>
                <w:szCs w:val="18"/>
              </w:rPr>
              <w:t>2024</w:t>
            </w:r>
          </w:p>
        </w:tc>
        <w:tc>
          <w:tcPr>
            <w:tcW w:w="44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9C7B586" w14:textId="77777777" w:rsidR="002A7324" w:rsidRPr="004D0549" w:rsidRDefault="002A7324" w:rsidP="002A7324">
            <w:pPr>
              <w:keepNext/>
              <w:keepLines/>
              <w:spacing w:after="0"/>
              <w:ind w:firstLine="0"/>
              <w:jc w:val="center"/>
              <w:rPr>
                <w:rFonts w:eastAsia="Times New Roman" w:cs="Times New Roman"/>
                <w:b/>
                <w:bCs/>
                <w:sz w:val="18"/>
                <w:szCs w:val="18"/>
              </w:rPr>
            </w:pPr>
            <w:r w:rsidRPr="004D0549">
              <w:rPr>
                <w:rFonts w:eastAsia="Times New Roman" w:cs="Times New Roman"/>
                <w:b/>
                <w:bCs/>
                <w:sz w:val="18"/>
                <w:szCs w:val="18"/>
              </w:rPr>
              <w:t>2025</w:t>
            </w:r>
          </w:p>
        </w:tc>
        <w:tc>
          <w:tcPr>
            <w:tcW w:w="364"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2D8BCEEB" w14:textId="77777777" w:rsidR="002A7324" w:rsidRPr="004D0549" w:rsidRDefault="002A7324" w:rsidP="002A7324">
            <w:pPr>
              <w:keepNext/>
              <w:keepLines/>
              <w:spacing w:after="0"/>
              <w:ind w:firstLine="0"/>
              <w:jc w:val="center"/>
              <w:rPr>
                <w:rFonts w:eastAsia="Times New Roman" w:cs="Times New Roman"/>
                <w:b/>
                <w:bCs/>
                <w:sz w:val="18"/>
                <w:szCs w:val="18"/>
              </w:rPr>
            </w:pPr>
            <w:r w:rsidRPr="004D0549">
              <w:rPr>
                <w:rFonts w:eastAsia="Times New Roman" w:cs="Times New Roman"/>
                <w:b/>
                <w:bCs/>
                <w:sz w:val="18"/>
                <w:szCs w:val="18"/>
              </w:rPr>
              <w:t>2026</w:t>
            </w:r>
          </w:p>
        </w:tc>
      </w:tr>
      <w:tr w:rsidR="002A7324" w:rsidRPr="002A7324" w14:paraId="0FA31F6F" w14:textId="77777777" w:rsidTr="004D05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27"/>
        </w:trPr>
        <w:tc>
          <w:tcPr>
            <w:tcW w:w="5000" w:type="pct"/>
            <w:gridSpan w:val="5"/>
            <w:shd w:val="clear" w:color="auto" w:fill="B4C6E7" w:themeFill="accent5" w:themeFillTint="66"/>
            <w:vAlign w:val="center"/>
          </w:tcPr>
          <w:p w14:paraId="4548A9B3"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Iepriekš pieņemti nodokļu pasākumi, kas ietekmēs nodokļu ieņēmumus no 2024. gada</w:t>
            </w:r>
          </w:p>
        </w:tc>
      </w:tr>
      <w:tr w:rsidR="004D0549" w:rsidRPr="004D0549" w14:paraId="6DDEAEC9"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2894" w:type="pct"/>
            <w:vMerge w:val="restart"/>
            <w:shd w:val="clear" w:color="auto" w:fill="auto"/>
            <w:vAlign w:val="center"/>
            <w:hideMark/>
          </w:tcPr>
          <w:p w14:paraId="7FF98BE9"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 xml:space="preserve">Reprezentatīvā automobiļa vērtības sliekšņa palielināšana no 50 000 uz 75 000 </w:t>
            </w:r>
            <w:proofErr w:type="spellStart"/>
            <w:r w:rsidRPr="002A7324">
              <w:rPr>
                <w:rFonts w:eastAsia="Times New Roman" w:cs="Times New Roman"/>
                <w:i/>
                <w:iCs/>
                <w:sz w:val="18"/>
                <w:szCs w:val="18"/>
              </w:rPr>
              <w:t>euro</w:t>
            </w:r>
            <w:proofErr w:type="spellEnd"/>
            <w:r w:rsidRPr="002A7324">
              <w:rPr>
                <w:rFonts w:eastAsia="Times New Roman" w:cs="Times New Roman"/>
                <w:sz w:val="18"/>
                <w:szCs w:val="18"/>
              </w:rPr>
              <w:t xml:space="preserve"> bez PVN</w:t>
            </w:r>
          </w:p>
        </w:tc>
        <w:tc>
          <w:tcPr>
            <w:tcW w:w="940" w:type="pct"/>
            <w:shd w:val="clear" w:color="auto" w:fill="auto"/>
            <w:hideMark/>
          </w:tcPr>
          <w:p w14:paraId="23795864"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Kopā, t.sk.:</w:t>
            </w:r>
          </w:p>
        </w:tc>
        <w:tc>
          <w:tcPr>
            <w:tcW w:w="363" w:type="pct"/>
            <w:shd w:val="clear" w:color="auto" w:fill="auto"/>
            <w:vAlign w:val="center"/>
          </w:tcPr>
          <w:p w14:paraId="0140B9CA"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-4,6 </w:t>
            </w:r>
          </w:p>
        </w:tc>
        <w:tc>
          <w:tcPr>
            <w:tcW w:w="440" w:type="pct"/>
            <w:shd w:val="clear" w:color="auto" w:fill="auto"/>
            <w:vAlign w:val="center"/>
          </w:tcPr>
          <w:p w14:paraId="2B243C79"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-4,6 </w:t>
            </w:r>
          </w:p>
        </w:tc>
        <w:tc>
          <w:tcPr>
            <w:tcW w:w="364" w:type="pct"/>
            <w:shd w:val="clear" w:color="auto" w:fill="auto"/>
            <w:vAlign w:val="center"/>
          </w:tcPr>
          <w:p w14:paraId="2830A961"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-4,6 </w:t>
            </w:r>
          </w:p>
        </w:tc>
      </w:tr>
      <w:tr w:rsidR="004D0549" w:rsidRPr="004D0549" w14:paraId="119EC120"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hideMark/>
          </w:tcPr>
          <w:p w14:paraId="12E45497"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hideMark/>
          </w:tcPr>
          <w:p w14:paraId="5C8DCE97"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PVN</w:t>
            </w:r>
          </w:p>
        </w:tc>
        <w:tc>
          <w:tcPr>
            <w:tcW w:w="363" w:type="pct"/>
            <w:shd w:val="clear" w:color="auto" w:fill="auto"/>
            <w:vAlign w:val="center"/>
          </w:tcPr>
          <w:p w14:paraId="473B575D"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-1,2 </w:t>
            </w:r>
          </w:p>
        </w:tc>
        <w:tc>
          <w:tcPr>
            <w:tcW w:w="440" w:type="pct"/>
            <w:shd w:val="clear" w:color="auto" w:fill="auto"/>
            <w:vAlign w:val="center"/>
          </w:tcPr>
          <w:p w14:paraId="4A9362D3"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-1,2 </w:t>
            </w:r>
          </w:p>
        </w:tc>
        <w:tc>
          <w:tcPr>
            <w:tcW w:w="364" w:type="pct"/>
            <w:shd w:val="clear" w:color="auto" w:fill="auto"/>
            <w:vAlign w:val="center"/>
          </w:tcPr>
          <w:p w14:paraId="134322E7"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-1,2 </w:t>
            </w:r>
          </w:p>
        </w:tc>
      </w:tr>
      <w:tr w:rsidR="004D0549" w:rsidRPr="004D0549" w14:paraId="448E81E7"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2894" w:type="pct"/>
            <w:vMerge/>
            <w:shd w:val="clear" w:color="auto" w:fill="auto"/>
            <w:vAlign w:val="center"/>
            <w:hideMark/>
          </w:tcPr>
          <w:p w14:paraId="1263ADDD"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hideMark/>
          </w:tcPr>
          <w:p w14:paraId="1511A478"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UIN</w:t>
            </w:r>
          </w:p>
        </w:tc>
        <w:tc>
          <w:tcPr>
            <w:tcW w:w="363" w:type="pct"/>
            <w:shd w:val="clear" w:color="auto" w:fill="auto"/>
            <w:vAlign w:val="center"/>
          </w:tcPr>
          <w:p w14:paraId="60DF5760"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-3,5</w:t>
            </w:r>
          </w:p>
        </w:tc>
        <w:tc>
          <w:tcPr>
            <w:tcW w:w="440" w:type="pct"/>
            <w:shd w:val="clear" w:color="auto" w:fill="auto"/>
            <w:vAlign w:val="center"/>
          </w:tcPr>
          <w:p w14:paraId="7327D829"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-3,5 </w:t>
            </w:r>
          </w:p>
        </w:tc>
        <w:tc>
          <w:tcPr>
            <w:tcW w:w="364" w:type="pct"/>
            <w:shd w:val="clear" w:color="auto" w:fill="auto"/>
            <w:vAlign w:val="center"/>
          </w:tcPr>
          <w:p w14:paraId="5A9C9860"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-3,5 </w:t>
            </w:r>
          </w:p>
        </w:tc>
      </w:tr>
      <w:tr w:rsidR="004D0549" w:rsidRPr="004D0549" w14:paraId="31E8394D"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2894" w:type="pct"/>
            <w:shd w:val="clear" w:color="auto" w:fill="auto"/>
            <w:vAlign w:val="center"/>
            <w:hideMark/>
          </w:tcPr>
          <w:p w14:paraId="2A1A4B65"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Uzņēmumu vieglo transportlīdzekļu nodokļa likmju izmaiņas</w:t>
            </w:r>
          </w:p>
        </w:tc>
        <w:tc>
          <w:tcPr>
            <w:tcW w:w="940" w:type="pct"/>
            <w:shd w:val="clear" w:color="auto" w:fill="auto"/>
            <w:hideMark/>
          </w:tcPr>
          <w:p w14:paraId="4DCB1850"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Uzņēmumu vieglo transportlīdzekļu nodoklis</w:t>
            </w:r>
          </w:p>
        </w:tc>
        <w:tc>
          <w:tcPr>
            <w:tcW w:w="363" w:type="pct"/>
            <w:shd w:val="clear" w:color="auto" w:fill="auto"/>
            <w:vAlign w:val="center"/>
          </w:tcPr>
          <w:p w14:paraId="03709EDE"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8,1 </w:t>
            </w:r>
          </w:p>
        </w:tc>
        <w:tc>
          <w:tcPr>
            <w:tcW w:w="440" w:type="pct"/>
            <w:shd w:val="clear" w:color="auto" w:fill="auto"/>
            <w:vAlign w:val="center"/>
          </w:tcPr>
          <w:p w14:paraId="128B4A0C"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8,1 </w:t>
            </w:r>
          </w:p>
        </w:tc>
        <w:tc>
          <w:tcPr>
            <w:tcW w:w="364" w:type="pct"/>
            <w:shd w:val="clear" w:color="auto" w:fill="auto"/>
            <w:vAlign w:val="center"/>
          </w:tcPr>
          <w:p w14:paraId="04A465F6" w14:textId="77777777" w:rsidR="002A7324" w:rsidRPr="002A7324" w:rsidRDefault="002A7324" w:rsidP="002A7324">
            <w:pPr>
              <w:spacing w:after="0"/>
              <w:ind w:firstLine="0"/>
              <w:contextualSpacing/>
              <w:jc w:val="right"/>
              <w:rPr>
                <w:rFonts w:eastAsia="Times New Roman" w:cs="Times New Roman"/>
                <w:sz w:val="18"/>
                <w:szCs w:val="18"/>
              </w:rPr>
            </w:pPr>
          </w:p>
        </w:tc>
      </w:tr>
      <w:tr w:rsidR="004D0549" w:rsidRPr="004D0549" w14:paraId="46FB64BB"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val="restart"/>
            <w:shd w:val="clear" w:color="auto" w:fill="auto"/>
            <w:vAlign w:val="center"/>
            <w:hideMark/>
          </w:tcPr>
          <w:p w14:paraId="34EB1BE2"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UIN ekspluatācijas izdevumu nepiemērošana, kas rodas, izmantojot reprezentatīvos automobiļus, kuri ir reģistrēti uzņēmuma turējumā vai valdījumā vairāk kā 60 mēnešus</w:t>
            </w:r>
          </w:p>
        </w:tc>
        <w:tc>
          <w:tcPr>
            <w:tcW w:w="940" w:type="pct"/>
            <w:shd w:val="clear" w:color="auto" w:fill="auto"/>
            <w:hideMark/>
          </w:tcPr>
          <w:p w14:paraId="3A998FEF"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Kopā, t.sk.:</w:t>
            </w:r>
          </w:p>
        </w:tc>
        <w:tc>
          <w:tcPr>
            <w:tcW w:w="363" w:type="pct"/>
            <w:shd w:val="clear" w:color="auto" w:fill="auto"/>
            <w:vAlign w:val="center"/>
          </w:tcPr>
          <w:p w14:paraId="30338DB4"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-2,9 </w:t>
            </w:r>
          </w:p>
        </w:tc>
        <w:tc>
          <w:tcPr>
            <w:tcW w:w="440" w:type="pct"/>
            <w:shd w:val="clear" w:color="auto" w:fill="auto"/>
            <w:vAlign w:val="center"/>
          </w:tcPr>
          <w:p w14:paraId="44D00FFA"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-2,8 </w:t>
            </w:r>
          </w:p>
        </w:tc>
        <w:tc>
          <w:tcPr>
            <w:tcW w:w="364" w:type="pct"/>
            <w:shd w:val="clear" w:color="auto" w:fill="auto"/>
            <w:vAlign w:val="center"/>
          </w:tcPr>
          <w:p w14:paraId="7D01BEA3"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-0,6 </w:t>
            </w:r>
          </w:p>
        </w:tc>
      </w:tr>
      <w:tr w:rsidR="004D0549" w:rsidRPr="004D0549" w14:paraId="1D88CC39"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hideMark/>
          </w:tcPr>
          <w:p w14:paraId="35543AF7"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hideMark/>
          </w:tcPr>
          <w:p w14:paraId="7B66F82F"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PVN</w:t>
            </w:r>
          </w:p>
        </w:tc>
        <w:tc>
          <w:tcPr>
            <w:tcW w:w="363" w:type="pct"/>
            <w:shd w:val="clear" w:color="auto" w:fill="auto"/>
            <w:vAlign w:val="center"/>
          </w:tcPr>
          <w:p w14:paraId="384C16D7"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-0,6 </w:t>
            </w:r>
          </w:p>
        </w:tc>
        <w:tc>
          <w:tcPr>
            <w:tcW w:w="440" w:type="pct"/>
            <w:shd w:val="clear" w:color="auto" w:fill="auto"/>
            <w:vAlign w:val="center"/>
          </w:tcPr>
          <w:p w14:paraId="5A150202"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-0,6</w:t>
            </w:r>
          </w:p>
        </w:tc>
        <w:tc>
          <w:tcPr>
            <w:tcW w:w="364" w:type="pct"/>
            <w:shd w:val="clear" w:color="auto" w:fill="auto"/>
            <w:vAlign w:val="center"/>
          </w:tcPr>
          <w:p w14:paraId="72FAE0A3"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-0,1 </w:t>
            </w:r>
          </w:p>
        </w:tc>
      </w:tr>
      <w:tr w:rsidR="004D0549" w:rsidRPr="004D0549" w14:paraId="370DB205"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hideMark/>
          </w:tcPr>
          <w:p w14:paraId="240F55B0"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hideMark/>
          </w:tcPr>
          <w:p w14:paraId="7B571681"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UIN</w:t>
            </w:r>
          </w:p>
        </w:tc>
        <w:tc>
          <w:tcPr>
            <w:tcW w:w="363" w:type="pct"/>
            <w:shd w:val="clear" w:color="auto" w:fill="auto"/>
            <w:vAlign w:val="center"/>
          </w:tcPr>
          <w:p w14:paraId="57073D56"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-2,3 </w:t>
            </w:r>
          </w:p>
        </w:tc>
        <w:tc>
          <w:tcPr>
            <w:tcW w:w="440" w:type="pct"/>
            <w:shd w:val="clear" w:color="auto" w:fill="auto"/>
            <w:vAlign w:val="center"/>
          </w:tcPr>
          <w:p w14:paraId="4BC8EA6D"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-2,2 </w:t>
            </w:r>
          </w:p>
        </w:tc>
        <w:tc>
          <w:tcPr>
            <w:tcW w:w="364" w:type="pct"/>
            <w:shd w:val="clear" w:color="auto" w:fill="auto"/>
            <w:vAlign w:val="center"/>
          </w:tcPr>
          <w:p w14:paraId="75D63DCC"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-0,5 </w:t>
            </w:r>
          </w:p>
        </w:tc>
      </w:tr>
      <w:tr w:rsidR="004D0549" w:rsidRPr="004D0549" w14:paraId="6F4482E2"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2894" w:type="pct"/>
            <w:shd w:val="clear" w:color="auto" w:fill="auto"/>
            <w:vAlign w:val="center"/>
            <w:hideMark/>
          </w:tcPr>
          <w:p w14:paraId="23734DD9"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IIN atbrīvojuma par atbalsta summām atcelšana no 2025. gada</w:t>
            </w:r>
          </w:p>
        </w:tc>
        <w:tc>
          <w:tcPr>
            <w:tcW w:w="940" w:type="pct"/>
            <w:shd w:val="clear" w:color="auto" w:fill="auto"/>
            <w:hideMark/>
          </w:tcPr>
          <w:p w14:paraId="197E441E"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IIN</w:t>
            </w:r>
          </w:p>
        </w:tc>
        <w:tc>
          <w:tcPr>
            <w:tcW w:w="363" w:type="pct"/>
            <w:shd w:val="clear" w:color="auto" w:fill="auto"/>
            <w:vAlign w:val="center"/>
          </w:tcPr>
          <w:p w14:paraId="1C07F4EA"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 </w:t>
            </w:r>
          </w:p>
        </w:tc>
        <w:tc>
          <w:tcPr>
            <w:tcW w:w="440" w:type="pct"/>
            <w:shd w:val="clear" w:color="auto" w:fill="auto"/>
            <w:vAlign w:val="center"/>
          </w:tcPr>
          <w:p w14:paraId="784B6974"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 </w:t>
            </w:r>
          </w:p>
        </w:tc>
        <w:tc>
          <w:tcPr>
            <w:tcW w:w="364" w:type="pct"/>
            <w:shd w:val="clear" w:color="auto" w:fill="auto"/>
            <w:vAlign w:val="center"/>
          </w:tcPr>
          <w:p w14:paraId="00198D0B"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17,9 </w:t>
            </w:r>
          </w:p>
        </w:tc>
      </w:tr>
      <w:tr w:rsidR="002A7324" w:rsidRPr="004D0549" w14:paraId="0E69B3CC" w14:textId="77777777" w:rsidTr="004D05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3834" w:type="pct"/>
            <w:gridSpan w:val="2"/>
            <w:shd w:val="clear" w:color="auto" w:fill="auto"/>
            <w:vAlign w:val="center"/>
          </w:tcPr>
          <w:p w14:paraId="325E1888" w14:textId="77777777" w:rsidR="002A7324" w:rsidRPr="002A7324" w:rsidRDefault="002A7324" w:rsidP="002A7324">
            <w:pPr>
              <w:keepLines/>
              <w:spacing w:after="0"/>
              <w:ind w:firstLine="0"/>
              <w:contextualSpacing/>
              <w:jc w:val="left"/>
              <w:rPr>
                <w:rFonts w:eastAsia="Times New Roman" w:cs="Times New Roman"/>
                <w:b/>
                <w:bCs/>
                <w:sz w:val="18"/>
                <w:szCs w:val="18"/>
              </w:rPr>
            </w:pPr>
            <w:r w:rsidRPr="002A7324">
              <w:rPr>
                <w:rFonts w:eastAsia="Times New Roman" w:cs="Times New Roman"/>
                <w:b/>
                <w:bCs/>
                <w:sz w:val="18"/>
                <w:szCs w:val="18"/>
              </w:rPr>
              <w:t>Iepriekš pieņemtie pasākumi, kopā</w:t>
            </w:r>
          </w:p>
        </w:tc>
        <w:tc>
          <w:tcPr>
            <w:tcW w:w="363" w:type="pct"/>
            <w:shd w:val="clear" w:color="auto" w:fill="auto"/>
            <w:vAlign w:val="center"/>
          </w:tcPr>
          <w:p w14:paraId="5EDFE768"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b/>
                <w:bCs/>
                <w:color w:val="000000"/>
                <w:sz w:val="18"/>
                <w:szCs w:val="18"/>
              </w:rPr>
              <w:t>0,6</w:t>
            </w:r>
          </w:p>
        </w:tc>
        <w:tc>
          <w:tcPr>
            <w:tcW w:w="440" w:type="pct"/>
            <w:shd w:val="clear" w:color="auto" w:fill="auto"/>
            <w:vAlign w:val="center"/>
          </w:tcPr>
          <w:p w14:paraId="4EBD5DFE"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b/>
                <w:bCs/>
                <w:color w:val="000000"/>
                <w:sz w:val="18"/>
                <w:szCs w:val="18"/>
              </w:rPr>
              <w:t>0,7</w:t>
            </w:r>
          </w:p>
        </w:tc>
        <w:tc>
          <w:tcPr>
            <w:tcW w:w="364" w:type="pct"/>
            <w:shd w:val="clear" w:color="auto" w:fill="auto"/>
            <w:vAlign w:val="center"/>
          </w:tcPr>
          <w:p w14:paraId="51CBB19D"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b/>
                <w:bCs/>
                <w:color w:val="000000"/>
                <w:sz w:val="18"/>
                <w:szCs w:val="18"/>
              </w:rPr>
              <w:t>12,6</w:t>
            </w:r>
          </w:p>
        </w:tc>
      </w:tr>
      <w:tr w:rsidR="002A7324" w:rsidRPr="002A7324" w14:paraId="4E071F1C" w14:textId="77777777" w:rsidTr="004D05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54"/>
        </w:trPr>
        <w:tc>
          <w:tcPr>
            <w:tcW w:w="5000" w:type="pct"/>
            <w:gridSpan w:val="5"/>
            <w:shd w:val="clear" w:color="auto" w:fill="B4C6E7" w:themeFill="accent5" w:themeFillTint="66"/>
            <w:vAlign w:val="center"/>
          </w:tcPr>
          <w:p w14:paraId="082351D5"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Likuma “Par valsts budžetu 2024. gadam un budžeta ietvaru 2024., 2025. un 2026. gadam” izstrādes gaitā MK atbalstītie pasākumi</w:t>
            </w:r>
          </w:p>
        </w:tc>
      </w:tr>
      <w:tr w:rsidR="004D0549" w:rsidRPr="004D0549" w14:paraId="7F3204C2"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2894" w:type="pct"/>
            <w:shd w:val="clear" w:color="auto" w:fill="auto"/>
            <w:vAlign w:val="center"/>
          </w:tcPr>
          <w:p w14:paraId="024160FF"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 xml:space="preserve">UIN avansa maksājums 20% apmērā par attiecīgajā gadā gūto peļņu kredītiestādēm un patērētāju kreditēšanas pakalpojumu sniedzējiem </w:t>
            </w:r>
          </w:p>
        </w:tc>
        <w:tc>
          <w:tcPr>
            <w:tcW w:w="940" w:type="pct"/>
            <w:shd w:val="clear" w:color="auto" w:fill="auto"/>
          </w:tcPr>
          <w:p w14:paraId="2132D8BA"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UIN</w:t>
            </w:r>
          </w:p>
        </w:tc>
        <w:tc>
          <w:tcPr>
            <w:tcW w:w="363" w:type="pct"/>
            <w:shd w:val="clear" w:color="auto" w:fill="auto"/>
            <w:vAlign w:val="center"/>
          </w:tcPr>
          <w:p w14:paraId="36B112FE"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140,0 </w:t>
            </w:r>
          </w:p>
        </w:tc>
        <w:tc>
          <w:tcPr>
            <w:tcW w:w="440" w:type="pct"/>
            <w:shd w:val="clear" w:color="auto" w:fill="auto"/>
            <w:vAlign w:val="center"/>
          </w:tcPr>
          <w:p w14:paraId="42326653"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70,0 </w:t>
            </w:r>
          </w:p>
        </w:tc>
        <w:tc>
          <w:tcPr>
            <w:tcW w:w="364" w:type="pct"/>
            <w:shd w:val="clear" w:color="auto" w:fill="auto"/>
            <w:vAlign w:val="center"/>
          </w:tcPr>
          <w:p w14:paraId="228C6601"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30,0 </w:t>
            </w:r>
          </w:p>
        </w:tc>
      </w:tr>
      <w:tr w:rsidR="004D0549" w:rsidRPr="004D0549" w14:paraId="5C9DCB83"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val="restart"/>
            <w:shd w:val="clear" w:color="auto" w:fill="auto"/>
            <w:vAlign w:val="center"/>
          </w:tcPr>
          <w:p w14:paraId="3CED82DC"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 xml:space="preserve">Darba devēja kompensācijas par attālināto darbu paaugstināšana; IIN atbrīvojuma sliekšņa pārskatīšana dzīvības (bez līdzekļu uzkrāšanas), veselības un nelaimes gadījumu apdrošināšanas prēmiju summām; IIN atvieglojumu un neapliekamā minimuma piemērošana arī </w:t>
            </w:r>
            <w:proofErr w:type="spellStart"/>
            <w:r w:rsidRPr="002A7324">
              <w:rPr>
                <w:rFonts w:eastAsia="Times New Roman" w:cs="Times New Roman"/>
                <w:sz w:val="18"/>
                <w:szCs w:val="18"/>
              </w:rPr>
              <w:t>mikrouzņēmumu</w:t>
            </w:r>
            <w:proofErr w:type="spellEnd"/>
            <w:r w:rsidRPr="002A7324">
              <w:rPr>
                <w:rFonts w:eastAsia="Times New Roman" w:cs="Times New Roman"/>
                <w:sz w:val="18"/>
                <w:szCs w:val="18"/>
              </w:rPr>
              <w:t xml:space="preserve"> nodokļa maksātājiem</w:t>
            </w:r>
          </w:p>
        </w:tc>
        <w:tc>
          <w:tcPr>
            <w:tcW w:w="940" w:type="pct"/>
            <w:shd w:val="clear" w:color="auto" w:fill="auto"/>
          </w:tcPr>
          <w:p w14:paraId="7EC1F97A"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Kopā, t.sk.:</w:t>
            </w:r>
          </w:p>
        </w:tc>
        <w:tc>
          <w:tcPr>
            <w:tcW w:w="363" w:type="pct"/>
            <w:shd w:val="clear" w:color="auto" w:fill="auto"/>
            <w:vAlign w:val="center"/>
          </w:tcPr>
          <w:p w14:paraId="728CA910"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-3,6</w:t>
            </w:r>
          </w:p>
        </w:tc>
        <w:tc>
          <w:tcPr>
            <w:tcW w:w="440" w:type="pct"/>
            <w:shd w:val="clear" w:color="auto" w:fill="auto"/>
            <w:vAlign w:val="center"/>
          </w:tcPr>
          <w:p w14:paraId="193ED2CF"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-3,8 </w:t>
            </w:r>
          </w:p>
        </w:tc>
        <w:tc>
          <w:tcPr>
            <w:tcW w:w="364" w:type="pct"/>
            <w:shd w:val="clear" w:color="auto" w:fill="auto"/>
            <w:vAlign w:val="center"/>
          </w:tcPr>
          <w:p w14:paraId="1A2A1CC1"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-3,9 </w:t>
            </w:r>
          </w:p>
        </w:tc>
      </w:tr>
      <w:tr w:rsidR="004D0549" w:rsidRPr="004D0549" w14:paraId="794B43BA"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2C9551A8"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776A778A"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i/>
                <w:iCs/>
                <w:sz w:val="18"/>
                <w:szCs w:val="18"/>
              </w:rPr>
              <w:t>PVN</w:t>
            </w:r>
          </w:p>
        </w:tc>
        <w:tc>
          <w:tcPr>
            <w:tcW w:w="363" w:type="pct"/>
            <w:shd w:val="clear" w:color="auto" w:fill="auto"/>
            <w:vAlign w:val="center"/>
          </w:tcPr>
          <w:p w14:paraId="4A78DD59"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0,2 </w:t>
            </w:r>
          </w:p>
        </w:tc>
        <w:tc>
          <w:tcPr>
            <w:tcW w:w="440" w:type="pct"/>
            <w:shd w:val="clear" w:color="auto" w:fill="auto"/>
            <w:vAlign w:val="center"/>
          </w:tcPr>
          <w:p w14:paraId="19D06EAF"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0,2 </w:t>
            </w:r>
          </w:p>
        </w:tc>
        <w:tc>
          <w:tcPr>
            <w:tcW w:w="364" w:type="pct"/>
            <w:shd w:val="clear" w:color="auto" w:fill="auto"/>
            <w:vAlign w:val="center"/>
          </w:tcPr>
          <w:p w14:paraId="6C32F0C2"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0,2 </w:t>
            </w:r>
          </w:p>
        </w:tc>
      </w:tr>
      <w:tr w:rsidR="004D0549" w:rsidRPr="004D0549" w14:paraId="00E987AE"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57721D25"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4FD507E8"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IIN</w:t>
            </w:r>
          </w:p>
        </w:tc>
        <w:tc>
          <w:tcPr>
            <w:tcW w:w="363" w:type="pct"/>
            <w:shd w:val="clear" w:color="auto" w:fill="auto"/>
            <w:vAlign w:val="center"/>
          </w:tcPr>
          <w:p w14:paraId="3A9D2599"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-2,2 </w:t>
            </w:r>
          </w:p>
        </w:tc>
        <w:tc>
          <w:tcPr>
            <w:tcW w:w="440" w:type="pct"/>
            <w:shd w:val="clear" w:color="auto" w:fill="auto"/>
            <w:vAlign w:val="center"/>
          </w:tcPr>
          <w:p w14:paraId="39B84203"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-2,4 </w:t>
            </w:r>
          </w:p>
        </w:tc>
        <w:tc>
          <w:tcPr>
            <w:tcW w:w="364" w:type="pct"/>
            <w:shd w:val="clear" w:color="auto" w:fill="auto"/>
            <w:vAlign w:val="center"/>
          </w:tcPr>
          <w:p w14:paraId="6CC9485A"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-2,4 </w:t>
            </w:r>
          </w:p>
        </w:tc>
      </w:tr>
      <w:tr w:rsidR="004D0549" w:rsidRPr="004D0549" w14:paraId="0D2A1083"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2894" w:type="pct"/>
            <w:vMerge/>
            <w:shd w:val="clear" w:color="auto" w:fill="auto"/>
            <w:vAlign w:val="center"/>
          </w:tcPr>
          <w:p w14:paraId="1A06CFBE"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125C61FA"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VSAOI</w:t>
            </w:r>
            <w:r w:rsidRPr="002A7324">
              <w:rPr>
                <w:rFonts w:eastAsia="Times New Roman" w:cs="Times New Roman"/>
                <w:i/>
                <w:iCs/>
                <w:sz w:val="18"/>
                <w:szCs w:val="18"/>
                <w:vertAlign w:val="superscript"/>
              </w:rPr>
              <w:t>1</w:t>
            </w:r>
          </w:p>
        </w:tc>
        <w:tc>
          <w:tcPr>
            <w:tcW w:w="363" w:type="pct"/>
            <w:shd w:val="clear" w:color="auto" w:fill="auto"/>
            <w:vAlign w:val="center"/>
          </w:tcPr>
          <w:p w14:paraId="7D276A67"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-1,5 </w:t>
            </w:r>
          </w:p>
        </w:tc>
        <w:tc>
          <w:tcPr>
            <w:tcW w:w="440" w:type="pct"/>
            <w:shd w:val="clear" w:color="auto" w:fill="auto"/>
            <w:vAlign w:val="center"/>
          </w:tcPr>
          <w:p w14:paraId="6C29EAE9"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-1,6 </w:t>
            </w:r>
          </w:p>
        </w:tc>
        <w:tc>
          <w:tcPr>
            <w:tcW w:w="364" w:type="pct"/>
            <w:shd w:val="clear" w:color="auto" w:fill="auto"/>
            <w:vAlign w:val="center"/>
          </w:tcPr>
          <w:p w14:paraId="1F25EE0C"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-1,6 </w:t>
            </w:r>
          </w:p>
        </w:tc>
      </w:tr>
      <w:tr w:rsidR="004D0549" w:rsidRPr="004D0549" w14:paraId="75B32121"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2894" w:type="pct"/>
            <w:shd w:val="clear" w:color="auto" w:fill="auto"/>
            <w:vAlign w:val="center"/>
          </w:tcPr>
          <w:p w14:paraId="21C83660"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Izložu un azartspēļu nodokļa likmju paaugstināšana</w:t>
            </w:r>
          </w:p>
        </w:tc>
        <w:tc>
          <w:tcPr>
            <w:tcW w:w="940" w:type="pct"/>
            <w:shd w:val="clear" w:color="auto" w:fill="auto"/>
          </w:tcPr>
          <w:p w14:paraId="18DAD0FA"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sz w:val="18"/>
                <w:szCs w:val="18"/>
              </w:rPr>
              <w:t>Izložu un azartspēļu nodoklis</w:t>
            </w:r>
          </w:p>
        </w:tc>
        <w:tc>
          <w:tcPr>
            <w:tcW w:w="363" w:type="pct"/>
            <w:shd w:val="clear" w:color="auto" w:fill="auto"/>
            <w:vAlign w:val="center"/>
          </w:tcPr>
          <w:p w14:paraId="1D8FC0F8"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5,2 </w:t>
            </w:r>
          </w:p>
        </w:tc>
        <w:tc>
          <w:tcPr>
            <w:tcW w:w="440" w:type="pct"/>
            <w:shd w:val="clear" w:color="auto" w:fill="auto"/>
            <w:vAlign w:val="center"/>
          </w:tcPr>
          <w:p w14:paraId="2EEA9BC6"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5,5 </w:t>
            </w:r>
          </w:p>
        </w:tc>
        <w:tc>
          <w:tcPr>
            <w:tcW w:w="364" w:type="pct"/>
            <w:shd w:val="clear" w:color="auto" w:fill="auto"/>
            <w:vAlign w:val="center"/>
          </w:tcPr>
          <w:p w14:paraId="7966BED0"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5,9 </w:t>
            </w:r>
          </w:p>
        </w:tc>
      </w:tr>
      <w:tr w:rsidR="004D0549" w:rsidRPr="004D0549" w14:paraId="63EAECA6"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2894" w:type="pct"/>
            <w:shd w:val="clear" w:color="auto" w:fill="auto"/>
            <w:vAlign w:val="center"/>
          </w:tcPr>
          <w:p w14:paraId="740ADAA8"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Vienotās izložu un azartspēļu uzraudzības informācijas sistēmas pilnveidošana: ieņēmumu palielināšana no izložu un azartspēļu nodokļa</w:t>
            </w:r>
          </w:p>
        </w:tc>
        <w:tc>
          <w:tcPr>
            <w:tcW w:w="940" w:type="pct"/>
            <w:shd w:val="clear" w:color="auto" w:fill="auto"/>
          </w:tcPr>
          <w:p w14:paraId="5F735FFB"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Izložu un azartspēļu nodoklis</w:t>
            </w:r>
          </w:p>
        </w:tc>
        <w:tc>
          <w:tcPr>
            <w:tcW w:w="363" w:type="pct"/>
            <w:shd w:val="clear" w:color="auto" w:fill="auto"/>
            <w:vAlign w:val="center"/>
          </w:tcPr>
          <w:p w14:paraId="68361140" w14:textId="77777777" w:rsidR="002A7324" w:rsidRPr="002A7324" w:rsidRDefault="002A7324" w:rsidP="002A7324">
            <w:pPr>
              <w:spacing w:after="0"/>
              <w:ind w:firstLine="0"/>
              <w:contextualSpacing/>
              <w:jc w:val="right"/>
              <w:rPr>
                <w:rFonts w:eastAsia="Times New Roman" w:cs="Times New Roman"/>
                <w:sz w:val="18"/>
                <w:szCs w:val="18"/>
              </w:rPr>
            </w:pPr>
          </w:p>
        </w:tc>
        <w:tc>
          <w:tcPr>
            <w:tcW w:w="440" w:type="pct"/>
            <w:shd w:val="clear" w:color="auto" w:fill="auto"/>
            <w:vAlign w:val="center"/>
          </w:tcPr>
          <w:p w14:paraId="7D40A1C2"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0,01 </w:t>
            </w:r>
          </w:p>
        </w:tc>
        <w:tc>
          <w:tcPr>
            <w:tcW w:w="364" w:type="pct"/>
            <w:shd w:val="clear" w:color="auto" w:fill="auto"/>
            <w:vAlign w:val="center"/>
          </w:tcPr>
          <w:p w14:paraId="338A83B1"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0,01 </w:t>
            </w:r>
          </w:p>
        </w:tc>
      </w:tr>
      <w:tr w:rsidR="004D0549" w:rsidRPr="004D0549" w14:paraId="1CF03516"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val="restart"/>
            <w:shd w:val="clear" w:color="auto" w:fill="auto"/>
            <w:vAlign w:val="center"/>
          </w:tcPr>
          <w:p w14:paraId="468583DB" w14:textId="77777777" w:rsidR="002A7324" w:rsidRPr="002A7324" w:rsidRDefault="002A7324" w:rsidP="002A7324">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Mikrouzņēmumu</w:t>
            </w:r>
            <w:proofErr w:type="spellEnd"/>
            <w:r w:rsidRPr="002A7324">
              <w:rPr>
                <w:rFonts w:eastAsia="Times New Roman" w:cs="Times New Roman"/>
                <w:sz w:val="18"/>
                <w:szCs w:val="18"/>
              </w:rPr>
              <w:t xml:space="preserve"> nodokļa likmes vienādošana 25% apmērā</w:t>
            </w:r>
          </w:p>
        </w:tc>
        <w:tc>
          <w:tcPr>
            <w:tcW w:w="940" w:type="pct"/>
            <w:shd w:val="clear" w:color="auto" w:fill="auto"/>
          </w:tcPr>
          <w:p w14:paraId="0B204373"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Kopā, t.sk.:</w:t>
            </w:r>
          </w:p>
        </w:tc>
        <w:tc>
          <w:tcPr>
            <w:tcW w:w="363" w:type="pct"/>
            <w:shd w:val="clear" w:color="auto" w:fill="auto"/>
            <w:vAlign w:val="center"/>
          </w:tcPr>
          <w:p w14:paraId="6FC852EA"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-0,3 </w:t>
            </w:r>
          </w:p>
        </w:tc>
        <w:tc>
          <w:tcPr>
            <w:tcW w:w="440" w:type="pct"/>
            <w:shd w:val="clear" w:color="auto" w:fill="auto"/>
            <w:vAlign w:val="center"/>
          </w:tcPr>
          <w:p w14:paraId="7321C76D"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-0,3 </w:t>
            </w:r>
          </w:p>
        </w:tc>
        <w:tc>
          <w:tcPr>
            <w:tcW w:w="364" w:type="pct"/>
            <w:shd w:val="clear" w:color="auto" w:fill="auto"/>
            <w:vAlign w:val="center"/>
          </w:tcPr>
          <w:p w14:paraId="71EC9A81"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-0,3 </w:t>
            </w:r>
          </w:p>
        </w:tc>
      </w:tr>
      <w:tr w:rsidR="004D0549" w:rsidRPr="004D0549" w14:paraId="041550A3"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463147F6"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6BA28055"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i/>
                <w:iCs/>
                <w:sz w:val="18"/>
                <w:szCs w:val="18"/>
              </w:rPr>
              <w:t>IIN</w:t>
            </w:r>
          </w:p>
        </w:tc>
        <w:tc>
          <w:tcPr>
            <w:tcW w:w="363" w:type="pct"/>
            <w:shd w:val="clear" w:color="auto" w:fill="auto"/>
            <w:vAlign w:val="center"/>
          </w:tcPr>
          <w:p w14:paraId="54222028"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-0,1 </w:t>
            </w:r>
          </w:p>
        </w:tc>
        <w:tc>
          <w:tcPr>
            <w:tcW w:w="440" w:type="pct"/>
            <w:shd w:val="clear" w:color="auto" w:fill="auto"/>
            <w:vAlign w:val="center"/>
          </w:tcPr>
          <w:p w14:paraId="3C38924C"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-0,1 </w:t>
            </w:r>
          </w:p>
        </w:tc>
        <w:tc>
          <w:tcPr>
            <w:tcW w:w="364" w:type="pct"/>
            <w:shd w:val="clear" w:color="auto" w:fill="auto"/>
            <w:vAlign w:val="center"/>
          </w:tcPr>
          <w:p w14:paraId="6151396F"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-0,1 </w:t>
            </w:r>
          </w:p>
        </w:tc>
      </w:tr>
      <w:tr w:rsidR="004D0549" w:rsidRPr="004D0549" w14:paraId="3AB43638"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40C3339D"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1B9FE2EE"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VSAOI</w:t>
            </w:r>
            <w:r w:rsidRPr="002A7324">
              <w:rPr>
                <w:rFonts w:eastAsia="Times New Roman" w:cs="Times New Roman"/>
                <w:i/>
                <w:iCs/>
                <w:sz w:val="18"/>
                <w:szCs w:val="18"/>
                <w:vertAlign w:val="superscript"/>
              </w:rPr>
              <w:t>1</w:t>
            </w:r>
          </w:p>
        </w:tc>
        <w:tc>
          <w:tcPr>
            <w:tcW w:w="363" w:type="pct"/>
            <w:shd w:val="clear" w:color="auto" w:fill="auto"/>
            <w:vAlign w:val="center"/>
          </w:tcPr>
          <w:p w14:paraId="5FD19695"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-0,3 </w:t>
            </w:r>
          </w:p>
        </w:tc>
        <w:tc>
          <w:tcPr>
            <w:tcW w:w="440" w:type="pct"/>
            <w:shd w:val="clear" w:color="auto" w:fill="auto"/>
            <w:vAlign w:val="center"/>
          </w:tcPr>
          <w:p w14:paraId="068AAEF8"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-0,3 </w:t>
            </w:r>
          </w:p>
        </w:tc>
        <w:tc>
          <w:tcPr>
            <w:tcW w:w="364" w:type="pct"/>
            <w:shd w:val="clear" w:color="auto" w:fill="auto"/>
            <w:vAlign w:val="center"/>
          </w:tcPr>
          <w:p w14:paraId="11671599"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-0,3 </w:t>
            </w:r>
          </w:p>
        </w:tc>
      </w:tr>
      <w:tr w:rsidR="004D0549" w:rsidRPr="004D0549" w14:paraId="2C18F32E"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shd w:val="clear" w:color="auto" w:fill="auto"/>
            <w:vAlign w:val="center"/>
          </w:tcPr>
          <w:p w14:paraId="2E90DF8E"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 xml:space="preserve">PVN reģistrācijas sliekšņa noteikšana 50 000 </w:t>
            </w:r>
            <w:proofErr w:type="spellStart"/>
            <w:r w:rsidRPr="002A7324">
              <w:rPr>
                <w:rFonts w:eastAsia="Times New Roman" w:cs="Times New Roman"/>
                <w:i/>
                <w:iCs/>
                <w:sz w:val="18"/>
                <w:szCs w:val="18"/>
              </w:rPr>
              <w:t>euro</w:t>
            </w:r>
            <w:proofErr w:type="spellEnd"/>
            <w:r w:rsidRPr="002A7324">
              <w:rPr>
                <w:rFonts w:eastAsia="Times New Roman" w:cs="Times New Roman"/>
                <w:sz w:val="18"/>
                <w:szCs w:val="18"/>
              </w:rPr>
              <w:t xml:space="preserve">, zaudēto parādu darījuma vērtības sliekšņa noteikšana 1 000 </w:t>
            </w:r>
            <w:proofErr w:type="spellStart"/>
            <w:r w:rsidRPr="002A7324">
              <w:rPr>
                <w:rFonts w:eastAsia="Times New Roman" w:cs="Times New Roman"/>
                <w:i/>
                <w:sz w:val="18"/>
                <w:szCs w:val="18"/>
              </w:rPr>
              <w:t>euro</w:t>
            </w:r>
            <w:proofErr w:type="spellEnd"/>
            <w:r w:rsidRPr="002A7324">
              <w:rPr>
                <w:rFonts w:eastAsia="Times New Roman" w:cs="Times New Roman"/>
                <w:sz w:val="18"/>
                <w:szCs w:val="18"/>
              </w:rPr>
              <w:t>, atbrīvojuma piemērošana sporta nodarbībām</w:t>
            </w:r>
          </w:p>
        </w:tc>
        <w:tc>
          <w:tcPr>
            <w:tcW w:w="940" w:type="pct"/>
            <w:shd w:val="clear" w:color="auto" w:fill="auto"/>
          </w:tcPr>
          <w:p w14:paraId="06DD22EE"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sz w:val="18"/>
                <w:szCs w:val="18"/>
              </w:rPr>
              <w:t>PVN</w:t>
            </w:r>
          </w:p>
        </w:tc>
        <w:tc>
          <w:tcPr>
            <w:tcW w:w="363" w:type="pct"/>
            <w:shd w:val="clear" w:color="auto" w:fill="auto"/>
            <w:vAlign w:val="center"/>
          </w:tcPr>
          <w:p w14:paraId="6C91BDDB"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-5,0 </w:t>
            </w:r>
          </w:p>
        </w:tc>
        <w:tc>
          <w:tcPr>
            <w:tcW w:w="440" w:type="pct"/>
            <w:shd w:val="clear" w:color="auto" w:fill="auto"/>
            <w:vAlign w:val="center"/>
          </w:tcPr>
          <w:p w14:paraId="2E2D59A5"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-5,0 </w:t>
            </w:r>
          </w:p>
        </w:tc>
        <w:tc>
          <w:tcPr>
            <w:tcW w:w="364" w:type="pct"/>
            <w:shd w:val="clear" w:color="auto" w:fill="auto"/>
            <w:vAlign w:val="center"/>
          </w:tcPr>
          <w:p w14:paraId="1CD4D5C0"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-5,0 </w:t>
            </w:r>
          </w:p>
        </w:tc>
      </w:tr>
      <w:tr w:rsidR="004D0549" w:rsidRPr="004D0549" w14:paraId="5DAF6B58"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shd w:val="clear" w:color="auto" w:fill="auto"/>
            <w:vAlign w:val="center"/>
          </w:tcPr>
          <w:p w14:paraId="5435E9AD"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lastRenderedPageBreak/>
              <w:t>Izmaiņas dabas resursu nodokļa (DRN) likmēs, jauni nodokļa objekti, atvieglojuma atcelšana un sadalījumu maiņa starp valsts un pašvaldību budžetiem</w:t>
            </w:r>
          </w:p>
        </w:tc>
        <w:tc>
          <w:tcPr>
            <w:tcW w:w="940" w:type="pct"/>
            <w:shd w:val="clear" w:color="auto" w:fill="auto"/>
          </w:tcPr>
          <w:p w14:paraId="33527401"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DRN</w:t>
            </w:r>
          </w:p>
        </w:tc>
        <w:tc>
          <w:tcPr>
            <w:tcW w:w="363" w:type="pct"/>
            <w:shd w:val="clear" w:color="auto" w:fill="auto"/>
            <w:vAlign w:val="center"/>
          </w:tcPr>
          <w:p w14:paraId="7D392240"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6,7 </w:t>
            </w:r>
          </w:p>
        </w:tc>
        <w:tc>
          <w:tcPr>
            <w:tcW w:w="440" w:type="pct"/>
            <w:shd w:val="clear" w:color="auto" w:fill="auto"/>
            <w:vAlign w:val="center"/>
          </w:tcPr>
          <w:p w14:paraId="13E3F3EE"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18,7 </w:t>
            </w:r>
          </w:p>
        </w:tc>
        <w:tc>
          <w:tcPr>
            <w:tcW w:w="364" w:type="pct"/>
            <w:shd w:val="clear" w:color="auto" w:fill="auto"/>
            <w:vAlign w:val="center"/>
          </w:tcPr>
          <w:p w14:paraId="2B119C8C"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28,3 </w:t>
            </w:r>
          </w:p>
        </w:tc>
      </w:tr>
      <w:tr w:rsidR="004D0549" w:rsidRPr="004D0549" w14:paraId="656D1DB4"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val="restart"/>
            <w:shd w:val="clear" w:color="auto" w:fill="auto"/>
            <w:vAlign w:val="center"/>
          </w:tcPr>
          <w:p w14:paraId="2DB5E98F"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Akcīzes nodokļa likmju paaugstināšana tabakas izstrādājumiem, e-šķidrumiem, tabakas aizstājējproduktiem, alkoholiskajiem dzērieniem un dīzeļdegvielai un petrolejai, ko izmanto SEZ un brīvostās</w:t>
            </w:r>
          </w:p>
        </w:tc>
        <w:tc>
          <w:tcPr>
            <w:tcW w:w="940" w:type="pct"/>
            <w:shd w:val="clear" w:color="auto" w:fill="auto"/>
          </w:tcPr>
          <w:p w14:paraId="36CDDD94"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Kopā, t.sk.:</w:t>
            </w:r>
          </w:p>
        </w:tc>
        <w:tc>
          <w:tcPr>
            <w:tcW w:w="363" w:type="pct"/>
            <w:shd w:val="clear" w:color="auto" w:fill="auto"/>
            <w:vAlign w:val="center"/>
          </w:tcPr>
          <w:p w14:paraId="12BA4D50"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20,1 </w:t>
            </w:r>
          </w:p>
        </w:tc>
        <w:tc>
          <w:tcPr>
            <w:tcW w:w="440" w:type="pct"/>
            <w:shd w:val="clear" w:color="auto" w:fill="auto"/>
            <w:vAlign w:val="center"/>
          </w:tcPr>
          <w:p w14:paraId="1034A1AD"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53,8 </w:t>
            </w:r>
          </w:p>
        </w:tc>
        <w:tc>
          <w:tcPr>
            <w:tcW w:w="364" w:type="pct"/>
            <w:shd w:val="clear" w:color="auto" w:fill="auto"/>
            <w:vAlign w:val="center"/>
          </w:tcPr>
          <w:p w14:paraId="4E2B1262"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87,5 </w:t>
            </w:r>
          </w:p>
        </w:tc>
      </w:tr>
      <w:tr w:rsidR="004D0549" w:rsidRPr="004D0549" w14:paraId="37159371"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26197602"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39D0E89E"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i/>
                <w:iCs/>
                <w:sz w:val="18"/>
                <w:szCs w:val="18"/>
              </w:rPr>
              <w:t>Akcīzes nodoklis</w:t>
            </w:r>
          </w:p>
        </w:tc>
        <w:tc>
          <w:tcPr>
            <w:tcW w:w="363" w:type="pct"/>
            <w:shd w:val="clear" w:color="auto" w:fill="auto"/>
            <w:vAlign w:val="center"/>
          </w:tcPr>
          <w:p w14:paraId="1E78D097"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16,6 </w:t>
            </w:r>
          </w:p>
        </w:tc>
        <w:tc>
          <w:tcPr>
            <w:tcW w:w="440" w:type="pct"/>
            <w:shd w:val="clear" w:color="auto" w:fill="auto"/>
            <w:vAlign w:val="center"/>
          </w:tcPr>
          <w:p w14:paraId="1BE6E682"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44,5 </w:t>
            </w:r>
          </w:p>
        </w:tc>
        <w:tc>
          <w:tcPr>
            <w:tcW w:w="364" w:type="pct"/>
            <w:shd w:val="clear" w:color="auto" w:fill="auto"/>
            <w:vAlign w:val="center"/>
          </w:tcPr>
          <w:p w14:paraId="0425BECE"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72,3 </w:t>
            </w:r>
          </w:p>
        </w:tc>
      </w:tr>
      <w:tr w:rsidR="004D0549" w:rsidRPr="004D0549" w14:paraId="39FB1E05"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51C62F24"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3B0B50CB"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PVN</w:t>
            </w:r>
          </w:p>
        </w:tc>
        <w:tc>
          <w:tcPr>
            <w:tcW w:w="363" w:type="pct"/>
            <w:shd w:val="clear" w:color="auto" w:fill="auto"/>
            <w:vAlign w:val="center"/>
          </w:tcPr>
          <w:p w14:paraId="3C2757FC"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3,5</w:t>
            </w:r>
          </w:p>
        </w:tc>
        <w:tc>
          <w:tcPr>
            <w:tcW w:w="440" w:type="pct"/>
            <w:shd w:val="clear" w:color="auto" w:fill="auto"/>
            <w:vAlign w:val="center"/>
          </w:tcPr>
          <w:p w14:paraId="4C672906"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9,4 </w:t>
            </w:r>
          </w:p>
        </w:tc>
        <w:tc>
          <w:tcPr>
            <w:tcW w:w="364" w:type="pct"/>
            <w:shd w:val="clear" w:color="auto" w:fill="auto"/>
            <w:vAlign w:val="center"/>
          </w:tcPr>
          <w:p w14:paraId="2C9DBA26"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15,2 </w:t>
            </w:r>
          </w:p>
        </w:tc>
      </w:tr>
      <w:tr w:rsidR="004D0549" w:rsidRPr="004D0549" w14:paraId="2E285E8A"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val="restart"/>
            <w:shd w:val="clear" w:color="auto" w:fill="auto"/>
            <w:vAlign w:val="center"/>
          </w:tcPr>
          <w:p w14:paraId="71BB73F7"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Atgriezeniskais efekts no atalgojuma palielinājuma prioritārajām nozarēm</w:t>
            </w:r>
          </w:p>
        </w:tc>
        <w:tc>
          <w:tcPr>
            <w:tcW w:w="940" w:type="pct"/>
            <w:shd w:val="clear" w:color="auto" w:fill="auto"/>
          </w:tcPr>
          <w:p w14:paraId="3F5CB5E1" w14:textId="77777777" w:rsidR="002A7324" w:rsidRPr="002A7324" w:rsidRDefault="002A7324" w:rsidP="00EE3763">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Kopā, t.sk.:</w:t>
            </w:r>
          </w:p>
        </w:tc>
        <w:tc>
          <w:tcPr>
            <w:tcW w:w="363" w:type="pct"/>
            <w:shd w:val="clear" w:color="auto" w:fill="auto"/>
            <w:vAlign w:val="center"/>
          </w:tcPr>
          <w:p w14:paraId="62BA48FC"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91,5 </w:t>
            </w:r>
          </w:p>
        </w:tc>
        <w:tc>
          <w:tcPr>
            <w:tcW w:w="440" w:type="pct"/>
            <w:shd w:val="clear" w:color="auto" w:fill="auto"/>
            <w:vAlign w:val="center"/>
          </w:tcPr>
          <w:p w14:paraId="1F8ED9FE"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89,7 </w:t>
            </w:r>
          </w:p>
        </w:tc>
        <w:tc>
          <w:tcPr>
            <w:tcW w:w="364" w:type="pct"/>
            <w:shd w:val="clear" w:color="auto" w:fill="auto"/>
            <w:vAlign w:val="center"/>
          </w:tcPr>
          <w:p w14:paraId="464DB512"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92,5</w:t>
            </w:r>
          </w:p>
        </w:tc>
      </w:tr>
      <w:tr w:rsidR="004D0549" w:rsidRPr="004D0549" w14:paraId="05964A18"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5DBF964B"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19F5A400"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PVN</w:t>
            </w:r>
          </w:p>
        </w:tc>
        <w:tc>
          <w:tcPr>
            <w:tcW w:w="363" w:type="pct"/>
            <w:shd w:val="clear" w:color="auto" w:fill="auto"/>
            <w:vAlign w:val="center"/>
          </w:tcPr>
          <w:p w14:paraId="7FA144ED"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10,6 </w:t>
            </w:r>
          </w:p>
        </w:tc>
        <w:tc>
          <w:tcPr>
            <w:tcW w:w="440" w:type="pct"/>
            <w:shd w:val="clear" w:color="auto" w:fill="auto"/>
            <w:vAlign w:val="center"/>
          </w:tcPr>
          <w:p w14:paraId="68DE2963"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10,3 </w:t>
            </w:r>
          </w:p>
        </w:tc>
        <w:tc>
          <w:tcPr>
            <w:tcW w:w="364" w:type="pct"/>
            <w:shd w:val="clear" w:color="auto" w:fill="auto"/>
            <w:vAlign w:val="center"/>
          </w:tcPr>
          <w:p w14:paraId="2DE6AD62"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10,9 </w:t>
            </w:r>
          </w:p>
        </w:tc>
      </w:tr>
      <w:tr w:rsidR="004D0549" w:rsidRPr="004D0549" w14:paraId="56DB8315"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71A524C0"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677FD621"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IIN</w:t>
            </w:r>
          </w:p>
        </w:tc>
        <w:tc>
          <w:tcPr>
            <w:tcW w:w="363" w:type="pct"/>
            <w:shd w:val="clear" w:color="auto" w:fill="auto"/>
            <w:vAlign w:val="center"/>
          </w:tcPr>
          <w:p w14:paraId="2E469DE9"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31,1 </w:t>
            </w:r>
          </w:p>
        </w:tc>
        <w:tc>
          <w:tcPr>
            <w:tcW w:w="440" w:type="pct"/>
            <w:shd w:val="clear" w:color="auto" w:fill="auto"/>
            <w:vAlign w:val="center"/>
          </w:tcPr>
          <w:p w14:paraId="6624B907"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30,5 </w:t>
            </w:r>
          </w:p>
        </w:tc>
        <w:tc>
          <w:tcPr>
            <w:tcW w:w="364" w:type="pct"/>
            <w:shd w:val="clear" w:color="auto" w:fill="auto"/>
            <w:vAlign w:val="center"/>
          </w:tcPr>
          <w:p w14:paraId="29DB2307"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31,4 </w:t>
            </w:r>
          </w:p>
        </w:tc>
      </w:tr>
      <w:tr w:rsidR="004D0549" w:rsidRPr="004D0549" w14:paraId="319B909A"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3E4097AB"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4F074932"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VSAOI</w:t>
            </w:r>
            <w:r w:rsidRPr="002A7324">
              <w:rPr>
                <w:rFonts w:eastAsia="Times New Roman" w:cs="Times New Roman"/>
                <w:i/>
                <w:iCs/>
                <w:sz w:val="18"/>
                <w:szCs w:val="18"/>
                <w:vertAlign w:val="superscript"/>
              </w:rPr>
              <w:t>1</w:t>
            </w:r>
          </w:p>
        </w:tc>
        <w:tc>
          <w:tcPr>
            <w:tcW w:w="363" w:type="pct"/>
            <w:shd w:val="clear" w:color="auto" w:fill="auto"/>
            <w:vAlign w:val="center"/>
          </w:tcPr>
          <w:p w14:paraId="658FE757"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49,9 </w:t>
            </w:r>
          </w:p>
        </w:tc>
        <w:tc>
          <w:tcPr>
            <w:tcW w:w="440" w:type="pct"/>
            <w:shd w:val="clear" w:color="auto" w:fill="auto"/>
            <w:vAlign w:val="center"/>
          </w:tcPr>
          <w:p w14:paraId="5CAAEF30"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48,9 </w:t>
            </w:r>
          </w:p>
        </w:tc>
        <w:tc>
          <w:tcPr>
            <w:tcW w:w="364" w:type="pct"/>
            <w:shd w:val="clear" w:color="auto" w:fill="auto"/>
            <w:vAlign w:val="center"/>
          </w:tcPr>
          <w:p w14:paraId="24A6E493"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50,4 </w:t>
            </w:r>
          </w:p>
        </w:tc>
      </w:tr>
      <w:tr w:rsidR="004D0549" w:rsidRPr="004D0549" w14:paraId="7DE2CF82"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val="restart"/>
            <w:shd w:val="clear" w:color="auto" w:fill="auto"/>
            <w:vAlign w:val="center"/>
          </w:tcPr>
          <w:p w14:paraId="38073C70"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Autoratlīdzību nodokļa likmes vienādošana 25% apmērā</w:t>
            </w:r>
          </w:p>
        </w:tc>
        <w:tc>
          <w:tcPr>
            <w:tcW w:w="940" w:type="pct"/>
            <w:shd w:val="clear" w:color="auto" w:fill="auto"/>
          </w:tcPr>
          <w:p w14:paraId="08A65C06"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sz w:val="18"/>
                <w:szCs w:val="18"/>
              </w:rPr>
              <w:t>Kopā, t.sk.:</w:t>
            </w:r>
          </w:p>
        </w:tc>
        <w:tc>
          <w:tcPr>
            <w:tcW w:w="363" w:type="pct"/>
            <w:shd w:val="clear" w:color="auto" w:fill="auto"/>
            <w:vAlign w:val="center"/>
          </w:tcPr>
          <w:p w14:paraId="712502A8"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-0,4 </w:t>
            </w:r>
          </w:p>
        </w:tc>
        <w:tc>
          <w:tcPr>
            <w:tcW w:w="440" w:type="pct"/>
            <w:shd w:val="clear" w:color="auto" w:fill="auto"/>
            <w:vAlign w:val="center"/>
          </w:tcPr>
          <w:p w14:paraId="33E3D4E1"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-0,4 </w:t>
            </w:r>
          </w:p>
        </w:tc>
        <w:tc>
          <w:tcPr>
            <w:tcW w:w="364" w:type="pct"/>
            <w:shd w:val="clear" w:color="auto" w:fill="auto"/>
            <w:vAlign w:val="center"/>
          </w:tcPr>
          <w:p w14:paraId="466A7A4E"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sz w:val="18"/>
                <w:szCs w:val="18"/>
              </w:rPr>
              <w:t xml:space="preserve">-0,4 </w:t>
            </w:r>
          </w:p>
        </w:tc>
      </w:tr>
      <w:tr w:rsidR="004D0549" w:rsidRPr="004D0549" w14:paraId="6785F355"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013FB1E1"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0397BDC3"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IIN</w:t>
            </w:r>
          </w:p>
        </w:tc>
        <w:tc>
          <w:tcPr>
            <w:tcW w:w="363" w:type="pct"/>
            <w:shd w:val="clear" w:color="auto" w:fill="auto"/>
            <w:vAlign w:val="center"/>
          </w:tcPr>
          <w:p w14:paraId="6F579E15"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-0,1 </w:t>
            </w:r>
          </w:p>
        </w:tc>
        <w:tc>
          <w:tcPr>
            <w:tcW w:w="440" w:type="pct"/>
            <w:shd w:val="clear" w:color="auto" w:fill="auto"/>
            <w:vAlign w:val="center"/>
          </w:tcPr>
          <w:p w14:paraId="0F587277"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-0,1 </w:t>
            </w:r>
          </w:p>
        </w:tc>
        <w:tc>
          <w:tcPr>
            <w:tcW w:w="364" w:type="pct"/>
            <w:shd w:val="clear" w:color="auto" w:fill="auto"/>
            <w:vAlign w:val="center"/>
          </w:tcPr>
          <w:p w14:paraId="4F2C09EF"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i/>
                <w:iCs/>
                <w:sz w:val="18"/>
                <w:szCs w:val="18"/>
              </w:rPr>
              <w:t xml:space="preserve">-0,1 </w:t>
            </w:r>
          </w:p>
        </w:tc>
      </w:tr>
      <w:tr w:rsidR="004D0549" w:rsidRPr="004D0549" w14:paraId="24EC576B"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vMerge/>
            <w:shd w:val="clear" w:color="auto" w:fill="auto"/>
            <w:vAlign w:val="center"/>
          </w:tcPr>
          <w:p w14:paraId="18D4F818" w14:textId="77777777" w:rsidR="002A7324" w:rsidRPr="002A7324" w:rsidRDefault="002A7324" w:rsidP="002A7324">
            <w:pPr>
              <w:keepLines/>
              <w:spacing w:after="0"/>
              <w:ind w:firstLine="0"/>
              <w:contextualSpacing/>
              <w:jc w:val="left"/>
              <w:rPr>
                <w:rFonts w:eastAsia="Times New Roman" w:cs="Times New Roman"/>
                <w:sz w:val="18"/>
                <w:szCs w:val="18"/>
              </w:rPr>
            </w:pPr>
          </w:p>
        </w:tc>
        <w:tc>
          <w:tcPr>
            <w:tcW w:w="940" w:type="pct"/>
            <w:shd w:val="clear" w:color="auto" w:fill="auto"/>
          </w:tcPr>
          <w:p w14:paraId="3D3E7FFE" w14:textId="77777777" w:rsidR="002A7324" w:rsidRPr="002A7324" w:rsidRDefault="002A7324" w:rsidP="00EE3763">
            <w:pPr>
              <w:keepLines/>
              <w:spacing w:after="0"/>
              <w:ind w:firstLine="0"/>
              <w:contextualSpacing/>
              <w:jc w:val="left"/>
              <w:rPr>
                <w:rFonts w:eastAsia="Times New Roman" w:cs="Times New Roman"/>
                <w:i/>
                <w:iCs/>
                <w:sz w:val="18"/>
                <w:szCs w:val="18"/>
              </w:rPr>
            </w:pPr>
            <w:r w:rsidRPr="002A7324">
              <w:rPr>
                <w:rFonts w:eastAsia="Times New Roman" w:cs="Times New Roman"/>
                <w:i/>
                <w:iCs/>
                <w:sz w:val="18"/>
                <w:szCs w:val="18"/>
              </w:rPr>
              <w:t>VSAOI</w:t>
            </w:r>
            <w:r w:rsidRPr="002A7324">
              <w:rPr>
                <w:rFonts w:eastAsia="Times New Roman" w:cs="Times New Roman"/>
                <w:i/>
                <w:iCs/>
                <w:sz w:val="18"/>
                <w:szCs w:val="18"/>
                <w:vertAlign w:val="superscript"/>
              </w:rPr>
              <w:t>1</w:t>
            </w:r>
          </w:p>
        </w:tc>
        <w:tc>
          <w:tcPr>
            <w:tcW w:w="363" w:type="pct"/>
            <w:shd w:val="clear" w:color="auto" w:fill="auto"/>
            <w:vAlign w:val="center"/>
          </w:tcPr>
          <w:p w14:paraId="21C113DC"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-0,3</w:t>
            </w:r>
          </w:p>
        </w:tc>
        <w:tc>
          <w:tcPr>
            <w:tcW w:w="440" w:type="pct"/>
            <w:shd w:val="clear" w:color="auto" w:fill="auto"/>
            <w:vAlign w:val="center"/>
          </w:tcPr>
          <w:p w14:paraId="07239792"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-0,3 </w:t>
            </w:r>
          </w:p>
        </w:tc>
        <w:tc>
          <w:tcPr>
            <w:tcW w:w="364" w:type="pct"/>
            <w:shd w:val="clear" w:color="auto" w:fill="auto"/>
            <w:vAlign w:val="center"/>
          </w:tcPr>
          <w:p w14:paraId="7B7A7BCD" w14:textId="77777777" w:rsidR="002A7324" w:rsidRPr="002A7324" w:rsidRDefault="002A7324" w:rsidP="002A7324">
            <w:pPr>
              <w:spacing w:after="0"/>
              <w:ind w:firstLine="0"/>
              <w:contextualSpacing/>
              <w:jc w:val="right"/>
              <w:rPr>
                <w:rFonts w:eastAsia="Times New Roman" w:cs="Times New Roman"/>
                <w:i/>
                <w:iCs/>
                <w:sz w:val="18"/>
                <w:szCs w:val="18"/>
              </w:rPr>
            </w:pPr>
            <w:r w:rsidRPr="002A7324">
              <w:rPr>
                <w:rFonts w:eastAsia="Times New Roman" w:cs="Times New Roman"/>
                <w:i/>
                <w:iCs/>
                <w:sz w:val="18"/>
                <w:szCs w:val="18"/>
              </w:rPr>
              <w:t xml:space="preserve">-0,3 </w:t>
            </w:r>
          </w:p>
        </w:tc>
      </w:tr>
      <w:tr w:rsidR="004D0549" w:rsidRPr="004D0549" w14:paraId="503C5C6F"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shd w:val="clear" w:color="auto" w:fill="auto"/>
            <w:vAlign w:val="center"/>
          </w:tcPr>
          <w:p w14:paraId="19E265BC"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Vienotās izložu un azartspēļu uzraudzības informācijas sistēmas pilnveidošana</w:t>
            </w:r>
          </w:p>
        </w:tc>
        <w:tc>
          <w:tcPr>
            <w:tcW w:w="940" w:type="pct"/>
            <w:shd w:val="clear" w:color="auto" w:fill="auto"/>
          </w:tcPr>
          <w:p w14:paraId="1D65AA2D" w14:textId="77777777" w:rsidR="002A7324" w:rsidRPr="002A7324" w:rsidRDefault="002A7324" w:rsidP="00EE3763">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Nenodokļi</w:t>
            </w:r>
            <w:proofErr w:type="spellEnd"/>
          </w:p>
        </w:tc>
        <w:tc>
          <w:tcPr>
            <w:tcW w:w="363" w:type="pct"/>
            <w:shd w:val="clear" w:color="auto" w:fill="auto"/>
            <w:vAlign w:val="center"/>
          </w:tcPr>
          <w:p w14:paraId="603E41C2" w14:textId="77777777" w:rsidR="002A7324" w:rsidRPr="002A7324" w:rsidRDefault="002A7324" w:rsidP="002A7324">
            <w:pPr>
              <w:spacing w:after="0"/>
              <w:ind w:firstLine="0"/>
              <w:contextualSpacing/>
              <w:jc w:val="right"/>
              <w:rPr>
                <w:rFonts w:eastAsia="Times New Roman" w:cs="Times New Roman"/>
                <w:sz w:val="18"/>
                <w:szCs w:val="18"/>
              </w:rPr>
            </w:pPr>
          </w:p>
        </w:tc>
        <w:tc>
          <w:tcPr>
            <w:tcW w:w="440" w:type="pct"/>
            <w:shd w:val="clear" w:color="auto" w:fill="auto"/>
            <w:vAlign w:val="center"/>
          </w:tcPr>
          <w:p w14:paraId="4F6D9F45" w14:textId="77777777" w:rsidR="002A7324" w:rsidRPr="002A7324" w:rsidRDefault="002A7324" w:rsidP="002A7324">
            <w:pPr>
              <w:spacing w:after="0"/>
              <w:ind w:firstLine="0"/>
              <w:contextualSpacing/>
              <w:jc w:val="right"/>
              <w:rPr>
                <w:rFonts w:eastAsia="Times New Roman" w:cs="Times New Roman"/>
                <w:sz w:val="18"/>
                <w:szCs w:val="18"/>
              </w:rPr>
            </w:pPr>
          </w:p>
        </w:tc>
        <w:tc>
          <w:tcPr>
            <w:tcW w:w="364" w:type="pct"/>
            <w:shd w:val="clear" w:color="auto" w:fill="auto"/>
            <w:vAlign w:val="center"/>
          </w:tcPr>
          <w:p w14:paraId="3B83F435"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0,2 </w:t>
            </w:r>
          </w:p>
        </w:tc>
      </w:tr>
      <w:tr w:rsidR="004D0549" w:rsidRPr="004D0549" w14:paraId="3C467B21"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shd w:val="clear" w:color="auto" w:fill="auto"/>
            <w:vAlign w:val="center"/>
          </w:tcPr>
          <w:p w14:paraId="36B2FD98"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Ieņēmumu palielināšana no valsts kapitālsabiedrību dividenžu maksājumiem</w:t>
            </w:r>
          </w:p>
        </w:tc>
        <w:tc>
          <w:tcPr>
            <w:tcW w:w="940" w:type="pct"/>
            <w:shd w:val="clear" w:color="auto" w:fill="auto"/>
          </w:tcPr>
          <w:p w14:paraId="0BB77FF2" w14:textId="77777777" w:rsidR="002A7324" w:rsidRPr="002A7324" w:rsidRDefault="002A7324" w:rsidP="00EE3763">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Nenodokļi</w:t>
            </w:r>
            <w:proofErr w:type="spellEnd"/>
            <w:r w:rsidRPr="002A7324">
              <w:rPr>
                <w:rFonts w:eastAsia="Times New Roman" w:cs="Times New Roman"/>
                <w:sz w:val="18"/>
                <w:szCs w:val="18"/>
              </w:rPr>
              <w:t xml:space="preserve"> un UIN</w:t>
            </w:r>
          </w:p>
        </w:tc>
        <w:tc>
          <w:tcPr>
            <w:tcW w:w="363" w:type="pct"/>
            <w:shd w:val="clear" w:color="auto" w:fill="auto"/>
            <w:vAlign w:val="center"/>
          </w:tcPr>
          <w:p w14:paraId="19B42495"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196,9</w:t>
            </w:r>
          </w:p>
        </w:tc>
        <w:tc>
          <w:tcPr>
            <w:tcW w:w="440" w:type="pct"/>
            <w:shd w:val="clear" w:color="auto" w:fill="auto"/>
            <w:vAlign w:val="center"/>
          </w:tcPr>
          <w:p w14:paraId="2EEC2E6A"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41,4 </w:t>
            </w:r>
          </w:p>
        </w:tc>
        <w:tc>
          <w:tcPr>
            <w:tcW w:w="364" w:type="pct"/>
            <w:shd w:val="clear" w:color="auto" w:fill="auto"/>
            <w:vAlign w:val="center"/>
          </w:tcPr>
          <w:p w14:paraId="35BD5A85"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129,9 </w:t>
            </w:r>
          </w:p>
        </w:tc>
      </w:tr>
      <w:tr w:rsidR="004D0549" w:rsidRPr="004D0549" w14:paraId="6F63D890"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shd w:val="clear" w:color="auto" w:fill="auto"/>
            <w:vAlign w:val="center"/>
          </w:tcPr>
          <w:p w14:paraId="76EE8085"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 xml:space="preserve">Ieņēmumu palielināšana no naudas sodiem, ko uzliek Valsts policija par pārkāpumiem ceļu satiksmē, kas fiksēti ar Valsts policijai piederošajiem tehniskajiem līdzekļiem </w:t>
            </w:r>
          </w:p>
        </w:tc>
        <w:tc>
          <w:tcPr>
            <w:tcW w:w="940" w:type="pct"/>
            <w:shd w:val="clear" w:color="auto" w:fill="auto"/>
          </w:tcPr>
          <w:p w14:paraId="36C55EDC" w14:textId="77777777" w:rsidR="002A7324" w:rsidRPr="002A7324" w:rsidRDefault="002A7324" w:rsidP="00EE3763">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Nenodokļi</w:t>
            </w:r>
            <w:proofErr w:type="spellEnd"/>
          </w:p>
        </w:tc>
        <w:tc>
          <w:tcPr>
            <w:tcW w:w="363" w:type="pct"/>
            <w:shd w:val="clear" w:color="auto" w:fill="auto"/>
            <w:vAlign w:val="center"/>
          </w:tcPr>
          <w:p w14:paraId="4CD4F12B" w14:textId="77777777" w:rsidR="002A7324" w:rsidRPr="002A7324" w:rsidRDefault="002A7324" w:rsidP="002A7324">
            <w:pPr>
              <w:spacing w:after="0"/>
              <w:ind w:firstLine="0"/>
              <w:contextualSpacing/>
              <w:jc w:val="right"/>
              <w:rPr>
                <w:rFonts w:eastAsia="Times New Roman" w:cs="Times New Roman"/>
                <w:sz w:val="18"/>
                <w:szCs w:val="18"/>
              </w:rPr>
            </w:pPr>
          </w:p>
        </w:tc>
        <w:tc>
          <w:tcPr>
            <w:tcW w:w="440" w:type="pct"/>
            <w:shd w:val="clear" w:color="auto" w:fill="auto"/>
            <w:vAlign w:val="center"/>
          </w:tcPr>
          <w:p w14:paraId="2034D0E5" w14:textId="77777777" w:rsidR="002A7324" w:rsidRPr="002A7324" w:rsidRDefault="002A7324" w:rsidP="002A7324">
            <w:pPr>
              <w:spacing w:after="0"/>
              <w:ind w:firstLine="0"/>
              <w:contextualSpacing/>
              <w:jc w:val="right"/>
              <w:rPr>
                <w:rFonts w:eastAsia="Times New Roman" w:cs="Times New Roman"/>
                <w:sz w:val="18"/>
                <w:szCs w:val="18"/>
              </w:rPr>
            </w:pPr>
          </w:p>
        </w:tc>
        <w:tc>
          <w:tcPr>
            <w:tcW w:w="364" w:type="pct"/>
            <w:shd w:val="clear" w:color="auto" w:fill="auto"/>
            <w:vAlign w:val="center"/>
          </w:tcPr>
          <w:p w14:paraId="253EA59A"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0,3 </w:t>
            </w:r>
          </w:p>
        </w:tc>
      </w:tr>
      <w:tr w:rsidR="004D0549" w:rsidRPr="004D0549" w14:paraId="17778F36"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shd w:val="clear" w:color="auto" w:fill="auto"/>
            <w:vAlign w:val="center"/>
          </w:tcPr>
          <w:p w14:paraId="6478016C"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 xml:space="preserve">Ieņēmumu palielināšana no valstij piekritīgās mantas realizācijas </w:t>
            </w:r>
          </w:p>
        </w:tc>
        <w:tc>
          <w:tcPr>
            <w:tcW w:w="940" w:type="pct"/>
            <w:shd w:val="clear" w:color="auto" w:fill="auto"/>
          </w:tcPr>
          <w:p w14:paraId="6ADB88D6" w14:textId="77777777" w:rsidR="002A7324" w:rsidRPr="002A7324" w:rsidRDefault="002A7324" w:rsidP="00EE3763">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Nenodokļi</w:t>
            </w:r>
            <w:proofErr w:type="spellEnd"/>
          </w:p>
        </w:tc>
        <w:tc>
          <w:tcPr>
            <w:tcW w:w="363" w:type="pct"/>
            <w:shd w:val="clear" w:color="auto" w:fill="auto"/>
            <w:vAlign w:val="center"/>
          </w:tcPr>
          <w:p w14:paraId="031D7C92"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0,04 </w:t>
            </w:r>
          </w:p>
        </w:tc>
        <w:tc>
          <w:tcPr>
            <w:tcW w:w="440" w:type="pct"/>
            <w:shd w:val="clear" w:color="auto" w:fill="auto"/>
            <w:vAlign w:val="center"/>
          </w:tcPr>
          <w:p w14:paraId="1D40A636"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0,06 </w:t>
            </w:r>
          </w:p>
        </w:tc>
        <w:tc>
          <w:tcPr>
            <w:tcW w:w="364" w:type="pct"/>
            <w:shd w:val="clear" w:color="auto" w:fill="auto"/>
            <w:vAlign w:val="center"/>
          </w:tcPr>
          <w:p w14:paraId="54352FCC"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0,05 </w:t>
            </w:r>
          </w:p>
        </w:tc>
      </w:tr>
      <w:tr w:rsidR="004D0549" w:rsidRPr="004D0549" w14:paraId="68C30941"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shd w:val="clear" w:color="auto" w:fill="auto"/>
            <w:vAlign w:val="center"/>
          </w:tcPr>
          <w:p w14:paraId="60BDC5E2" w14:textId="77777777" w:rsidR="002A7324" w:rsidRPr="002A7324" w:rsidRDefault="002A7324" w:rsidP="002A7324">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Nenodokļu</w:t>
            </w:r>
            <w:proofErr w:type="spellEnd"/>
            <w:r w:rsidRPr="002A7324">
              <w:rPr>
                <w:rFonts w:eastAsia="Times New Roman" w:cs="Times New Roman"/>
                <w:sz w:val="18"/>
                <w:szCs w:val="18"/>
              </w:rPr>
              <w:t xml:space="preserve"> ieņēmumu palielinājums no konfiscēto noziedzīgi iegūto līdzekļu un papildsoda – mantas konfiskācija – realizācijas </w:t>
            </w:r>
          </w:p>
        </w:tc>
        <w:tc>
          <w:tcPr>
            <w:tcW w:w="940" w:type="pct"/>
            <w:shd w:val="clear" w:color="auto" w:fill="auto"/>
          </w:tcPr>
          <w:p w14:paraId="6B5D62F0" w14:textId="77777777" w:rsidR="002A7324" w:rsidRPr="002A7324" w:rsidRDefault="002A7324" w:rsidP="00EE3763">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Nenodokļi</w:t>
            </w:r>
            <w:proofErr w:type="spellEnd"/>
          </w:p>
        </w:tc>
        <w:tc>
          <w:tcPr>
            <w:tcW w:w="363" w:type="pct"/>
            <w:shd w:val="clear" w:color="auto" w:fill="auto"/>
            <w:vAlign w:val="center"/>
          </w:tcPr>
          <w:p w14:paraId="78A98A58"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40,0 </w:t>
            </w:r>
          </w:p>
        </w:tc>
        <w:tc>
          <w:tcPr>
            <w:tcW w:w="440" w:type="pct"/>
            <w:shd w:val="clear" w:color="auto" w:fill="auto"/>
            <w:vAlign w:val="center"/>
          </w:tcPr>
          <w:p w14:paraId="1B2D473C" w14:textId="77777777" w:rsidR="002A7324" w:rsidRPr="002A7324" w:rsidRDefault="002A7324" w:rsidP="002A7324">
            <w:pPr>
              <w:spacing w:after="0"/>
              <w:ind w:firstLine="0"/>
              <w:contextualSpacing/>
              <w:jc w:val="right"/>
              <w:rPr>
                <w:rFonts w:eastAsia="Times New Roman" w:cs="Times New Roman"/>
                <w:sz w:val="18"/>
                <w:szCs w:val="18"/>
              </w:rPr>
            </w:pPr>
          </w:p>
        </w:tc>
        <w:tc>
          <w:tcPr>
            <w:tcW w:w="364" w:type="pct"/>
            <w:shd w:val="clear" w:color="auto" w:fill="auto"/>
            <w:vAlign w:val="center"/>
          </w:tcPr>
          <w:p w14:paraId="3312869D" w14:textId="77777777" w:rsidR="002A7324" w:rsidRPr="002A7324" w:rsidRDefault="002A7324" w:rsidP="002A7324">
            <w:pPr>
              <w:spacing w:after="0"/>
              <w:ind w:firstLine="0"/>
              <w:contextualSpacing/>
              <w:jc w:val="right"/>
              <w:rPr>
                <w:rFonts w:eastAsia="Times New Roman" w:cs="Times New Roman"/>
                <w:sz w:val="18"/>
                <w:szCs w:val="18"/>
              </w:rPr>
            </w:pPr>
          </w:p>
        </w:tc>
      </w:tr>
      <w:tr w:rsidR="004D0549" w:rsidRPr="004D0549" w14:paraId="0E41309D"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894" w:type="pct"/>
            <w:shd w:val="clear" w:color="auto" w:fill="auto"/>
            <w:vAlign w:val="center"/>
          </w:tcPr>
          <w:p w14:paraId="1D46E2C0" w14:textId="77777777" w:rsidR="002A7324" w:rsidRPr="002A7324" w:rsidRDefault="002A7324" w:rsidP="002A7324">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Nenodokļu</w:t>
            </w:r>
            <w:proofErr w:type="spellEnd"/>
            <w:r w:rsidRPr="002A7324">
              <w:rPr>
                <w:rFonts w:eastAsia="Times New Roman" w:cs="Times New Roman"/>
                <w:sz w:val="18"/>
                <w:szCs w:val="18"/>
              </w:rPr>
              <w:t xml:space="preserve"> ieņēmumu palielinājums no budžeta iestāžu saņemto un iepriekšējos gados neizlietoto budžeta līdzekļu atmaksāšanas</w:t>
            </w:r>
          </w:p>
        </w:tc>
        <w:tc>
          <w:tcPr>
            <w:tcW w:w="940" w:type="pct"/>
            <w:shd w:val="clear" w:color="auto" w:fill="auto"/>
          </w:tcPr>
          <w:p w14:paraId="437594F3" w14:textId="77777777" w:rsidR="002A7324" w:rsidRPr="002A7324" w:rsidRDefault="002A7324" w:rsidP="00EE3763">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Nenodokļi</w:t>
            </w:r>
            <w:proofErr w:type="spellEnd"/>
          </w:p>
        </w:tc>
        <w:tc>
          <w:tcPr>
            <w:tcW w:w="363" w:type="pct"/>
            <w:shd w:val="clear" w:color="auto" w:fill="auto"/>
            <w:vAlign w:val="center"/>
          </w:tcPr>
          <w:p w14:paraId="10E006C5"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10,0 </w:t>
            </w:r>
          </w:p>
        </w:tc>
        <w:tc>
          <w:tcPr>
            <w:tcW w:w="440" w:type="pct"/>
            <w:shd w:val="clear" w:color="auto" w:fill="auto"/>
            <w:vAlign w:val="center"/>
          </w:tcPr>
          <w:p w14:paraId="7D707AE5" w14:textId="77777777" w:rsidR="002A7324" w:rsidRPr="002A7324" w:rsidRDefault="002A7324" w:rsidP="002A7324">
            <w:pPr>
              <w:spacing w:after="0"/>
              <w:ind w:firstLine="0"/>
              <w:contextualSpacing/>
              <w:jc w:val="right"/>
              <w:rPr>
                <w:rFonts w:eastAsia="Times New Roman" w:cs="Times New Roman"/>
                <w:sz w:val="18"/>
                <w:szCs w:val="18"/>
              </w:rPr>
            </w:pPr>
          </w:p>
        </w:tc>
        <w:tc>
          <w:tcPr>
            <w:tcW w:w="364" w:type="pct"/>
            <w:shd w:val="clear" w:color="auto" w:fill="auto"/>
            <w:vAlign w:val="center"/>
          </w:tcPr>
          <w:p w14:paraId="5F27A065" w14:textId="77777777" w:rsidR="002A7324" w:rsidRPr="002A7324" w:rsidRDefault="002A7324" w:rsidP="002A7324">
            <w:pPr>
              <w:spacing w:after="0"/>
              <w:ind w:firstLine="0"/>
              <w:contextualSpacing/>
              <w:jc w:val="right"/>
              <w:rPr>
                <w:rFonts w:eastAsia="Times New Roman" w:cs="Times New Roman"/>
                <w:sz w:val="18"/>
                <w:szCs w:val="18"/>
              </w:rPr>
            </w:pPr>
          </w:p>
        </w:tc>
      </w:tr>
      <w:tr w:rsidR="004D0549" w:rsidRPr="004D0549" w14:paraId="75513503" w14:textId="77777777" w:rsidTr="00EE37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2894" w:type="pct"/>
            <w:shd w:val="clear" w:color="auto" w:fill="auto"/>
            <w:vAlign w:val="center"/>
          </w:tcPr>
          <w:p w14:paraId="75F2BC6A"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sz w:val="18"/>
                <w:szCs w:val="18"/>
              </w:rPr>
              <w:t>Grozījumi Enerģētikas likumā – pāreja uz jauno valsts naftas produktu krājumu pārvaldības modeli</w:t>
            </w:r>
          </w:p>
        </w:tc>
        <w:tc>
          <w:tcPr>
            <w:tcW w:w="940" w:type="pct"/>
            <w:shd w:val="clear" w:color="auto" w:fill="auto"/>
          </w:tcPr>
          <w:p w14:paraId="7C333659" w14:textId="77777777" w:rsidR="002A7324" w:rsidRPr="002A7324" w:rsidRDefault="002A7324" w:rsidP="00EE3763">
            <w:pPr>
              <w:keepLines/>
              <w:spacing w:after="0"/>
              <w:ind w:firstLine="0"/>
              <w:contextualSpacing/>
              <w:jc w:val="left"/>
              <w:rPr>
                <w:rFonts w:eastAsia="Times New Roman" w:cs="Times New Roman"/>
                <w:sz w:val="18"/>
                <w:szCs w:val="18"/>
              </w:rPr>
            </w:pPr>
            <w:proofErr w:type="spellStart"/>
            <w:r w:rsidRPr="002A7324">
              <w:rPr>
                <w:rFonts w:eastAsia="Times New Roman" w:cs="Times New Roman"/>
                <w:sz w:val="18"/>
                <w:szCs w:val="18"/>
              </w:rPr>
              <w:t>Nenodokļi</w:t>
            </w:r>
            <w:proofErr w:type="spellEnd"/>
          </w:p>
        </w:tc>
        <w:tc>
          <w:tcPr>
            <w:tcW w:w="363" w:type="pct"/>
            <w:shd w:val="clear" w:color="auto" w:fill="auto"/>
            <w:vAlign w:val="center"/>
          </w:tcPr>
          <w:p w14:paraId="53B900AC"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-31,1 </w:t>
            </w:r>
          </w:p>
        </w:tc>
        <w:tc>
          <w:tcPr>
            <w:tcW w:w="440" w:type="pct"/>
            <w:shd w:val="clear" w:color="auto" w:fill="auto"/>
            <w:vAlign w:val="center"/>
          </w:tcPr>
          <w:p w14:paraId="7B5BA890"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-35,4 </w:t>
            </w:r>
          </w:p>
        </w:tc>
        <w:tc>
          <w:tcPr>
            <w:tcW w:w="364" w:type="pct"/>
            <w:shd w:val="clear" w:color="auto" w:fill="auto"/>
            <w:vAlign w:val="center"/>
          </w:tcPr>
          <w:p w14:paraId="065E939A" w14:textId="77777777" w:rsidR="002A7324" w:rsidRPr="002A7324" w:rsidRDefault="002A7324" w:rsidP="002A7324">
            <w:pPr>
              <w:spacing w:after="0"/>
              <w:ind w:firstLine="0"/>
              <w:contextualSpacing/>
              <w:jc w:val="right"/>
              <w:rPr>
                <w:rFonts w:eastAsia="Times New Roman" w:cs="Times New Roman"/>
                <w:sz w:val="18"/>
                <w:szCs w:val="18"/>
              </w:rPr>
            </w:pPr>
            <w:r w:rsidRPr="002A7324">
              <w:rPr>
                <w:rFonts w:eastAsia="Times New Roman" w:cs="Times New Roman"/>
                <w:sz w:val="18"/>
                <w:szCs w:val="18"/>
              </w:rPr>
              <w:t xml:space="preserve">-35,4 </w:t>
            </w:r>
          </w:p>
        </w:tc>
      </w:tr>
      <w:tr w:rsidR="002A7324" w:rsidRPr="004D0549" w14:paraId="7AC2DF29" w14:textId="77777777" w:rsidTr="004D05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834" w:type="pct"/>
            <w:gridSpan w:val="2"/>
            <w:shd w:val="clear" w:color="auto" w:fill="auto"/>
            <w:vAlign w:val="center"/>
          </w:tcPr>
          <w:p w14:paraId="476BAB87" w14:textId="77777777" w:rsidR="002A7324" w:rsidRPr="002A7324" w:rsidRDefault="002A7324" w:rsidP="002A7324">
            <w:pPr>
              <w:keepLines/>
              <w:spacing w:after="0"/>
              <w:ind w:firstLine="0"/>
              <w:contextualSpacing/>
              <w:jc w:val="left"/>
              <w:rPr>
                <w:rFonts w:eastAsia="Times New Roman" w:cs="Times New Roman"/>
                <w:sz w:val="18"/>
                <w:szCs w:val="18"/>
              </w:rPr>
            </w:pPr>
            <w:r w:rsidRPr="002A7324">
              <w:rPr>
                <w:rFonts w:eastAsia="Times New Roman" w:cs="Times New Roman"/>
                <w:b/>
                <w:bCs/>
                <w:sz w:val="18"/>
                <w:szCs w:val="18"/>
              </w:rPr>
              <w:t>MK atbalstītie pasākumi, kopā</w:t>
            </w:r>
            <w:r w:rsidRPr="002A7324">
              <w:rPr>
                <w:rFonts w:eastAsia="Times New Roman" w:cs="Times New Roman"/>
                <w:b/>
                <w:bCs/>
                <w:sz w:val="18"/>
                <w:szCs w:val="18"/>
                <w:vertAlign w:val="superscript"/>
              </w:rPr>
              <w:t>1</w:t>
            </w:r>
          </w:p>
        </w:tc>
        <w:tc>
          <w:tcPr>
            <w:tcW w:w="363" w:type="pct"/>
            <w:shd w:val="clear" w:color="auto" w:fill="auto"/>
            <w:vAlign w:val="center"/>
          </w:tcPr>
          <w:p w14:paraId="08A02234" w14:textId="77777777" w:rsidR="002A7324" w:rsidRPr="002A7324" w:rsidRDefault="002A7324" w:rsidP="002A7324">
            <w:pPr>
              <w:spacing w:after="0"/>
              <w:ind w:firstLine="0"/>
              <w:contextualSpacing/>
              <w:jc w:val="right"/>
              <w:rPr>
                <w:rFonts w:eastAsia="Times New Roman" w:cs="Times New Roman"/>
                <w:b/>
                <w:bCs/>
                <w:sz w:val="18"/>
                <w:szCs w:val="18"/>
              </w:rPr>
            </w:pPr>
            <w:r w:rsidRPr="002A7324">
              <w:rPr>
                <w:rFonts w:eastAsia="Times New Roman" w:cs="Times New Roman"/>
                <w:b/>
                <w:bCs/>
                <w:sz w:val="18"/>
                <w:szCs w:val="18"/>
              </w:rPr>
              <w:t>470,1</w:t>
            </w:r>
          </w:p>
        </w:tc>
        <w:tc>
          <w:tcPr>
            <w:tcW w:w="440" w:type="pct"/>
            <w:shd w:val="clear" w:color="auto" w:fill="auto"/>
            <w:vAlign w:val="center"/>
          </w:tcPr>
          <w:p w14:paraId="024CD54C" w14:textId="77777777" w:rsidR="002A7324" w:rsidRPr="002A7324" w:rsidRDefault="002A7324" w:rsidP="002A7324">
            <w:pPr>
              <w:spacing w:after="0"/>
              <w:ind w:firstLine="0"/>
              <w:contextualSpacing/>
              <w:jc w:val="right"/>
              <w:rPr>
                <w:rFonts w:eastAsia="Times New Roman" w:cs="Times New Roman"/>
                <w:b/>
                <w:bCs/>
                <w:sz w:val="18"/>
                <w:szCs w:val="18"/>
              </w:rPr>
            </w:pPr>
            <w:r w:rsidRPr="002A7324">
              <w:rPr>
                <w:rFonts w:eastAsia="Times New Roman" w:cs="Times New Roman"/>
                <w:b/>
                <w:bCs/>
                <w:sz w:val="18"/>
                <w:szCs w:val="18"/>
              </w:rPr>
              <w:t>234,3</w:t>
            </w:r>
          </w:p>
        </w:tc>
        <w:tc>
          <w:tcPr>
            <w:tcW w:w="364" w:type="pct"/>
            <w:shd w:val="clear" w:color="auto" w:fill="auto"/>
            <w:vAlign w:val="center"/>
          </w:tcPr>
          <w:p w14:paraId="589F851F" w14:textId="77777777" w:rsidR="002A7324" w:rsidRPr="002A7324" w:rsidRDefault="002A7324" w:rsidP="002A7324">
            <w:pPr>
              <w:spacing w:after="0"/>
              <w:ind w:firstLine="0"/>
              <w:contextualSpacing/>
              <w:jc w:val="right"/>
              <w:rPr>
                <w:rFonts w:eastAsia="Times New Roman" w:cs="Times New Roman"/>
                <w:b/>
                <w:bCs/>
                <w:sz w:val="18"/>
                <w:szCs w:val="18"/>
              </w:rPr>
            </w:pPr>
            <w:r w:rsidRPr="002A7324">
              <w:rPr>
                <w:rFonts w:eastAsia="Times New Roman" w:cs="Times New Roman"/>
                <w:b/>
                <w:bCs/>
                <w:sz w:val="18"/>
                <w:szCs w:val="18"/>
              </w:rPr>
              <w:t>329,5</w:t>
            </w:r>
          </w:p>
        </w:tc>
      </w:tr>
    </w:tbl>
    <w:p w14:paraId="20F82421" w14:textId="77777777" w:rsidR="002A7324" w:rsidRPr="002A7324" w:rsidRDefault="002A7324" w:rsidP="002A7324">
      <w:pPr>
        <w:spacing w:after="240"/>
        <w:ind w:firstLine="0"/>
        <w:contextualSpacing/>
        <w:rPr>
          <w:rFonts w:eastAsia="Calibri" w:cs="Times New Roman"/>
          <w:sz w:val="18"/>
          <w:szCs w:val="18"/>
          <w:lang w:eastAsia="en-US"/>
        </w:rPr>
      </w:pPr>
      <w:r w:rsidRPr="002A7324">
        <w:rPr>
          <w:rFonts w:eastAsia="Calibri" w:cs="Times New Roman"/>
          <w:sz w:val="18"/>
          <w:szCs w:val="18"/>
          <w:vertAlign w:val="superscript"/>
          <w:lang w:eastAsia="en-US"/>
        </w:rPr>
        <w:t>1</w:t>
      </w:r>
      <w:r w:rsidRPr="002A7324">
        <w:rPr>
          <w:rFonts w:eastAsia="Calibri" w:cs="Times New Roman"/>
          <w:sz w:val="18"/>
          <w:szCs w:val="18"/>
          <w:lang w:eastAsia="en-US"/>
        </w:rPr>
        <w:t xml:space="preserve"> Neieskaitot iemaksas valsts </w:t>
      </w:r>
      <w:proofErr w:type="spellStart"/>
      <w:r w:rsidRPr="002A7324">
        <w:rPr>
          <w:rFonts w:eastAsia="Calibri" w:cs="Times New Roman"/>
          <w:sz w:val="18"/>
          <w:szCs w:val="18"/>
          <w:lang w:eastAsia="en-US"/>
        </w:rPr>
        <w:t>fondēto</w:t>
      </w:r>
      <w:proofErr w:type="spellEnd"/>
      <w:r w:rsidRPr="002A7324">
        <w:rPr>
          <w:rFonts w:eastAsia="Calibri" w:cs="Times New Roman"/>
          <w:sz w:val="18"/>
          <w:szCs w:val="18"/>
          <w:lang w:eastAsia="en-US"/>
        </w:rPr>
        <w:t xml:space="preserve"> pensiju shēmā.</w:t>
      </w:r>
    </w:p>
    <w:p w14:paraId="5F637775" w14:textId="77777777" w:rsidR="002A7324" w:rsidRPr="00984C93" w:rsidRDefault="002A7324" w:rsidP="00984C93">
      <w:pPr>
        <w:ind w:firstLine="0"/>
        <w:rPr>
          <w:rFonts w:eastAsia="Calibri" w:cs="Times New Roman"/>
          <w:sz w:val="18"/>
          <w:szCs w:val="18"/>
          <w:lang w:eastAsia="en-US"/>
        </w:rPr>
      </w:pPr>
    </w:p>
    <w:p w14:paraId="4C6318BF" w14:textId="49F69E83" w:rsidR="003F3FCD" w:rsidRPr="001E19C6" w:rsidRDefault="000548A5" w:rsidP="00863814">
      <w:pPr>
        <w:pStyle w:val="H2"/>
        <w:rPr>
          <w:rFonts w:eastAsia="Times New Roman"/>
        </w:rPr>
      </w:pPr>
      <w:bookmarkStart w:id="81" w:name="_Toc126236661"/>
      <w:r w:rsidRPr="001E19C6">
        <w:rPr>
          <w:rFonts w:eastAsia="Times New Roman"/>
        </w:rPr>
        <w:t>3.2. Kopbudžeta nodokļu ieņēmumi</w:t>
      </w:r>
      <w:bookmarkEnd w:id="81"/>
    </w:p>
    <w:p w14:paraId="47C47E37" w14:textId="77777777" w:rsidR="001E19C6" w:rsidRPr="001E19C6" w:rsidRDefault="001E19C6" w:rsidP="001E19C6">
      <w:pPr>
        <w:rPr>
          <w:rFonts w:eastAsia="Times New Roman" w:cs="Times New Roman"/>
          <w:color w:val="000000"/>
          <w:szCs w:val="24"/>
        </w:rPr>
      </w:pPr>
      <w:r w:rsidRPr="001E19C6">
        <w:rPr>
          <w:rFonts w:eastAsia="Calibri" w:cs="Times New Roman"/>
          <w:szCs w:val="24"/>
        </w:rPr>
        <w:t xml:space="preserve">2023. gada 1. pusgadā </w:t>
      </w:r>
      <w:r w:rsidRPr="001E19C6">
        <w:rPr>
          <w:rFonts w:eastAsia="Times New Roman" w:cs="Times New Roman"/>
          <w:color w:val="000000"/>
          <w:szCs w:val="24"/>
        </w:rPr>
        <w:t>kopbudžeta nodokļu ieņēmumi bija 6 209,5 milj. </w:t>
      </w:r>
      <w:proofErr w:type="spellStart"/>
      <w:r w:rsidRPr="001E19C6">
        <w:rPr>
          <w:rFonts w:eastAsia="Times New Roman" w:cs="Times New Roman"/>
          <w:i/>
          <w:iCs/>
          <w:color w:val="000000"/>
          <w:szCs w:val="24"/>
        </w:rPr>
        <w:t>euro</w:t>
      </w:r>
      <w:proofErr w:type="spellEnd"/>
      <w:r w:rsidRPr="001E19C6">
        <w:rPr>
          <w:rFonts w:eastAsia="Times New Roman" w:cs="Times New Roman"/>
          <w:color w:val="000000"/>
          <w:szCs w:val="24"/>
        </w:rPr>
        <w:t>, kas salīdzinot ar likumā “Par valsts budžetu 2023. gadam un budžeta ietvaru 2023., 2024. un 2025. gadam” noteikto plānu, ir par 272,9 milj. </w:t>
      </w:r>
      <w:proofErr w:type="spellStart"/>
      <w:r w:rsidRPr="001E19C6">
        <w:rPr>
          <w:rFonts w:eastAsia="Times New Roman" w:cs="Times New Roman"/>
          <w:i/>
          <w:iCs/>
          <w:color w:val="000000"/>
          <w:szCs w:val="24"/>
        </w:rPr>
        <w:t>euro</w:t>
      </w:r>
      <w:proofErr w:type="spellEnd"/>
      <w:r w:rsidRPr="001E19C6">
        <w:rPr>
          <w:rFonts w:eastAsia="Times New Roman" w:cs="Times New Roman"/>
          <w:color w:val="000000"/>
          <w:szCs w:val="24"/>
        </w:rPr>
        <w:t xml:space="preserve"> jeb 4,6 % vairāk. To galvenokārt ietekmēja </w:t>
      </w:r>
      <w:proofErr w:type="spellStart"/>
      <w:r w:rsidRPr="001E19C6">
        <w:rPr>
          <w:rFonts w:eastAsia="Times New Roman" w:cs="Times New Roman"/>
          <w:color w:val="000000"/>
          <w:szCs w:val="24"/>
        </w:rPr>
        <w:t>pārpilde</w:t>
      </w:r>
      <w:proofErr w:type="spellEnd"/>
      <w:r w:rsidRPr="001E19C6">
        <w:rPr>
          <w:rFonts w:eastAsia="Times New Roman" w:cs="Times New Roman"/>
          <w:color w:val="000000"/>
          <w:szCs w:val="24"/>
        </w:rPr>
        <w:t xml:space="preserve"> UIN jomā, ko ietekmēja sadalītās peļņas apmēra būtisks pieaugums (īpaši jūnijā). Tāpat ieņēmumi pārsniedza plānotos PVN un IIN jomā. Nodokļu ieņēmumu izpildē jāņem vērā, tas, ka martā ir notikusi VID konstatētās kļūdas labošana nodokļu savstarpējās segšanas ekonomiskās klasifikācijas kodiem maiņas maksājumu sagatavošanas algoritmā, kas visbūtiskāk ir ietekmējusi PVN un VSAOI ieņēmumus.</w:t>
      </w:r>
    </w:p>
    <w:p w14:paraId="582AD4FA" w14:textId="77777777" w:rsidR="001E19C6" w:rsidRPr="001E19C6" w:rsidRDefault="001E19C6" w:rsidP="001E19C6">
      <w:pPr>
        <w:rPr>
          <w:rFonts w:eastAsia="Times New Roman" w:cs="Times New Roman"/>
          <w:color w:val="000000"/>
          <w:szCs w:val="24"/>
        </w:rPr>
      </w:pPr>
      <w:r w:rsidRPr="001E19C6">
        <w:rPr>
          <w:rFonts w:eastAsiaTheme="minorHAnsi" w:cs="Times New Roman"/>
          <w:szCs w:val="24"/>
        </w:rPr>
        <w:t>Salīdzinot ar 2022. gada 1. pusgadu, kopbudžeta nodokļu ieņēmumi tika iekasēti par 698,6 milj. </w:t>
      </w:r>
      <w:proofErr w:type="spellStart"/>
      <w:r w:rsidRPr="001E19C6">
        <w:rPr>
          <w:rFonts w:eastAsiaTheme="minorHAnsi" w:cs="Times New Roman"/>
          <w:i/>
          <w:iCs/>
          <w:szCs w:val="24"/>
        </w:rPr>
        <w:t>euro</w:t>
      </w:r>
      <w:proofErr w:type="spellEnd"/>
      <w:r w:rsidRPr="001E19C6">
        <w:rPr>
          <w:rFonts w:eastAsiaTheme="minorHAnsi" w:cs="Times New Roman"/>
          <w:szCs w:val="24"/>
        </w:rPr>
        <w:t xml:space="preserve"> jeb 12,7 % vairāk, ko noteica darbaspēka nodokļu, PVN un UIN ieņēmumu būtiskais pieaugums. Darbaspēka nodokļu pieaugums saistāms ar darba samaksas fonda pieaugumu, kas sasniedza 14 %, turpretī nodarbināto skaits nav būtiski mainījies, paliekot iepriekšējā perioda līmenī. Arī PVN ieņēmumos vērojams kāpums, kas pamatā saistāms ar būtiski pieaugušajiem samaksātajiem nodokļiem tirdzniecības nozarē, ņemot vērā patēriņa cenu pieaugumu – 2023. gadā 1. pusgadā vidējais cenu līmenis bija par 15,5 % augstāks nekā 2021. gada 1. pusgadā. </w:t>
      </w:r>
      <w:r w:rsidRPr="001E19C6">
        <w:rPr>
          <w:rFonts w:eastAsia="Times New Roman" w:cs="Times New Roman"/>
          <w:color w:val="000000"/>
          <w:szCs w:val="24"/>
        </w:rPr>
        <w:t>UIN pieaugumu ietekmēja jau iepriekšminētais sadalītās peļņas apmēra pieaugums.</w:t>
      </w:r>
    </w:p>
    <w:p w14:paraId="7E396238" w14:textId="77777777" w:rsidR="001E19C6" w:rsidRPr="001E19C6" w:rsidRDefault="001E19C6" w:rsidP="001E19C6">
      <w:pPr>
        <w:rPr>
          <w:rFonts w:eastAsiaTheme="minorHAnsi" w:cs="Times New Roman"/>
          <w:szCs w:val="24"/>
          <w:highlight w:val="yellow"/>
        </w:rPr>
      </w:pPr>
      <w:r w:rsidRPr="001E19C6">
        <w:rPr>
          <w:rFonts w:eastAsiaTheme="minorHAnsi" w:cs="Times New Roman"/>
          <w:szCs w:val="24"/>
        </w:rPr>
        <w:t xml:space="preserve">Nodokļu ieņēmumu prognozes ir sagatavotas, pamatojoties uz vidēja termiņa makroekonomisko rādītāju prognozēm, kā arī, ņemot vērā 2023. gada pirmā pusgada izpildi, iepriekš pieņemtās izmaiņas likumdošanā un likumprojektu “Par valsts budžetu 2024. gadam un budžeta ietvaru 2024., 2025. un 2026. gadam” izstrādes gaitā MK atbalstītos pasākumus. </w:t>
      </w:r>
    </w:p>
    <w:p w14:paraId="3560A8E7" w14:textId="6D9436FE" w:rsidR="00AB59A8" w:rsidRPr="001E19C6" w:rsidRDefault="001E19C6" w:rsidP="001E19C6">
      <w:pPr>
        <w:rPr>
          <w:rFonts w:eastAsia="Times New Roman" w:cs="Times New Roman"/>
          <w:color w:val="000000"/>
          <w:szCs w:val="24"/>
        </w:rPr>
      </w:pPr>
      <w:r w:rsidRPr="001E19C6">
        <w:rPr>
          <w:rFonts w:eastAsia="Times New Roman" w:cs="Times New Roman"/>
          <w:color w:val="000000"/>
          <w:szCs w:val="24"/>
        </w:rPr>
        <w:lastRenderedPageBreak/>
        <w:t xml:space="preserve">Saskaņā ar </w:t>
      </w:r>
      <w:r w:rsidRPr="001E19C6">
        <w:rPr>
          <w:rFonts w:eastAsia="Calibri" w:cs="Times New Roman"/>
          <w:szCs w:val="24"/>
        </w:rPr>
        <w:t>likumprojektu</w:t>
      </w:r>
      <w:r w:rsidRPr="001E19C6">
        <w:rPr>
          <w:rFonts w:eastAsia="Times New Roman" w:cs="Times New Roman"/>
          <w:color w:val="000000"/>
          <w:szCs w:val="24"/>
        </w:rPr>
        <w:t xml:space="preserve"> “Par valsts budžetu 2024. gadam un budžeta ietvaru 2024., 2025. un 2026. gadam” 2024. gadā kopbudžeta nodokļu ieņēmumi tiek plānoti 13 805,9 milj. </w:t>
      </w:r>
      <w:proofErr w:type="spellStart"/>
      <w:r w:rsidRPr="001E19C6">
        <w:rPr>
          <w:rFonts w:eastAsia="Times New Roman" w:cs="Times New Roman"/>
          <w:i/>
          <w:iCs/>
          <w:color w:val="000000"/>
          <w:szCs w:val="24"/>
        </w:rPr>
        <w:t>euro</w:t>
      </w:r>
      <w:proofErr w:type="spellEnd"/>
      <w:r w:rsidRPr="001E19C6">
        <w:rPr>
          <w:rFonts w:eastAsia="Times New Roman" w:cs="Times New Roman"/>
          <w:color w:val="000000"/>
          <w:szCs w:val="24"/>
        </w:rPr>
        <w:t>, 2025. gadā 14 582,5 milj. </w:t>
      </w:r>
      <w:proofErr w:type="spellStart"/>
      <w:r w:rsidRPr="001E19C6">
        <w:rPr>
          <w:rFonts w:eastAsia="Times New Roman" w:cs="Times New Roman"/>
          <w:i/>
          <w:iCs/>
          <w:color w:val="000000"/>
          <w:szCs w:val="24"/>
        </w:rPr>
        <w:t>euro</w:t>
      </w:r>
      <w:proofErr w:type="spellEnd"/>
      <w:r w:rsidRPr="001E19C6">
        <w:rPr>
          <w:rFonts w:eastAsia="Times New Roman" w:cs="Times New Roman"/>
          <w:color w:val="000000"/>
          <w:szCs w:val="24"/>
        </w:rPr>
        <w:t xml:space="preserve"> un 2026. gadā 15 447,3 milj. </w:t>
      </w:r>
      <w:proofErr w:type="spellStart"/>
      <w:r w:rsidRPr="001E19C6">
        <w:rPr>
          <w:rFonts w:eastAsia="Times New Roman" w:cs="Times New Roman"/>
          <w:i/>
          <w:iCs/>
          <w:color w:val="000000"/>
          <w:szCs w:val="24"/>
        </w:rPr>
        <w:t>euro</w:t>
      </w:r>
      <w:proofErr w:type="spellEnd"/>
      <w:r w:rsidRPr="001E19C6">
        <w:rPr>
          <w:rFonts w:eastAsia="Times New Roman" w:cs="Times New Roman"/>
          <w:color w:val="000000"/>
          <w:szCs w:val="24"/>
        </w:rPr>
        <w:t xml:space="preserve"> apmērā (skat. 3.2. tabulu).</w:t>
      </w:r>
    </w:p>
    <w:p w14:paraId="0491786E" w14:textId="77777777" w:rsidR="001E19C6" w:rsidRPr="006C7F53" w:rsidRDefault="001E19C6" w:rsidP="001E19C6">
      <w:pPr>
        <w:pStyle w:val="Tabulasnosaukums"/>
      </w:pPr>
      <w:r w:rsidRPr="006C7F53">
        <w:t>3.2. tabula. Kopbudžeta nodokļu ieņēmumi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9"/>
        <w:gridCol w:w="906"/>
        <w:gridCol w:w="850"/>
        <w:gridCol w:w="850"/>
        <w:gridCol w:w="846"/>
      </w:tblGrid>
      <w:tr w:rsidR="0034370C" w:rsidRPr="006C7F53" w14:paraId="0F97B76F" w14:textId="77777777" w:rsidTr="00EE3763">
        <w:trPr>
          <w:cantSplit/>
          <w:trHeight w:val="20"/>
          <w:jc w:val="center"/>
        </w:trPr>
        <w:tc>
          <w:tcPr>
            <w:tcW w:w="3095" w:type="pct"/>
            <w:shd w:val="clear" w:color="auto" w:fill="8EAADB"/>
            <w:vAlign w:val="center"/>
          </w:tcPr>
          <w:p w14:paraId="5BC5CEDA" w14:textId="77777777" w:rsidR="001E19C6" w:rsidRPr="006C7F53" w:rsidRDefault="001E19C6" w:rsidP="005D673A">
            <w:pPr>
              <w:pStyle w:val="Tabulasgalvenesrinda"/>
            </w:pPr>
          </w:p>
        </w:tc>
        <w:tc>
          <w:tcPr>
            <w:tcW w:w="500" w:type="pct"/>
            <w:shd w:val="clear" w:color="auto" w:fill="8EAADB"/>
            <w:vAlign w:val="center"/>
          </w:tcPr>
          <w:p w14:paraId="4E9D788E" w14:textId="77777777" w:rsidR="001E19C6" w:rsidRPr="006C7F53" w:rsidRDefault="001E19C6" w:rsidP="005D673A">
            <w:pPr>
              <w:pStyle w:val="Tabulasgalvenesrinda"/>
              <w:rPr>
                <w:vertAlign w:val="superscript"/>
              </w:rPr>
            </w:pPr>
            <w:r w:rsidRPr="006C7F53">
              <w:t>2023</w:t>
            </w:r>
          </w:p>
        </w:tc>
        <w:tc>
          <w:tcPr>
            <w:tcW w:w="469" w:type="pct"/>
            <w:tcBorders>
              <w:bottom w:val="single" w:sz="4" w:space="0" w:color="auto"/>
            </w:tcBorders>
            <w:shd w:val="clear" w:color="auto" w:fill="8EAADB"/>
            <w:vAlign w:val="center"/>
          </w:tcPr>
          <w:p w14:paraId="0A26C6FE" w14:textId="77777777" w:rsidR="001E19C6" w:rsidRPr="006C7F53" w:rsidRDefault="001E19C6" w:rsidP="005D673A">
            <w:pPr>
              <w:pStyle w:val="Tabulasgalvenesrinda"/>
            </w:pPr>
            <w:r w:rsidRPr="006C7F53">
              <w:t>2024</w:t>
            </w:r>
          </w:p>
        </w:tc>
        <w:tc>
          <w:tcPr>
            <w:tcW w:w="469" w:type="pct"/>
            <w:tcBorders>
              <w:bottom w:val="single" w:sz="4" w:space="0" w:color="auto"/>
            </w:tcBorders>
            <w:shd w:val="clear" w:color="auto" w:fill="8EAADB"/>
            <w:vAlign w:val="center"/>
          </w:tcPr>
          <w:p w14:paraId="0CACA4DD" w14:textId="77777777" w:rsidR="001E19C6" w:rsidRPr="006C7F53" w:rsidRDefault="001E19C6" w:rsidP="005D673A">
            <w:pPr>
              <w:pStyle w:val="Tabulasgalvenesrinda"/>
            </w:pPr>
            <w:r w:rsidRPr="006C7F53">
              <w:t>2025</w:t>
            </w:r>
          </w:p>
        </w:tc>
        <w:tc>
          <w:tcPr>
            <w:tcW w:w="467" w:type="pct"/>
            <w:tcBorders>
              <w:bottom w:val="single" w:sz="4" w:space="0" w:color="auto"/>
            </w:tcBorders>
            <w:shd w:val="clear" w:color="auto" w:fill="8EAADB"/>
            <w:vAlign w:val="center"/>
          </w:tcPr>
          <w:p w14:paraId="563D7AAA" w14:textId="77777777" w:rsidR="001E19C6" w:rsidRPr="006C7F53" w:rsidRDefault="001E19C6" w:rsidP="005D673A">
            <w:pPr>
              <w:pStyle w:val="Tabulasgalvenesrinda"/>
            </w:pPr>
            <w:r w:rsidRPr="006C7F53">
              <w:t>2026</w:t>
            </w:r>
          </w:p>
        </w:tc>
      </w:tr>
      <w:tr w:rsidR="00A83895" w:rsidRPr="006C7F53" w14:paraId="49F628F3" w14:textId="77777777" w:rsidTr="00BB23B3">
        <w:trPr>
          <w:cantSplit/>
          <w:trHeight w:val="20"/>
          <w:jc w:val="center"/>
        </w:trPr>
        <w:tc>
          <w:tcPr>
            <w:tcW w:w="3095" w:type="pct"/>
            <w:vAlign w:val="center"/>
          </w:tcPr>
          <w:p w14:paraId="4A64D179" w14:textId="3EC98585" w:rsidR="001E19C6" w:rsidRPr="006C7F53" w:rsidRDefault="001E19C6" w:rsidP="002A7324">
            <w:pPr>
              <w:pStyle w:val="Tabulasteksts"/>
              <w:spacing w:after="0"/>
              <w:ind w:left="0"/>
              <w:rPr>
                <w:i/>
              </w:rPr>
            </w:pPr>
            <w:r w:rsidRPr="006C7F53">
              <w:t xml:space="preserve">Saskaņā ar </w:t>
            </w:r>
            <w:r w:rsidRPr="0060241C">
              <w:t>likumprojektu</w:t>
            </w:r>
            <w:r w:rsidRPr="006C7F53">
              <w:t xml:space="preserve"> “Par valsts budžetu 2024</w:t>
            </w:r>
            <w:r>
              <w:t>. g</w:t>
            </w:r>
            <w:r w:rsidRPr="006C7F53">
              <w:t>adam un budžeta ietvaru 2024., 2025. un</w:t>
            </w:r>
            <w:r>
              <w:t xml:space="preserve"> </w:t>
            </w:r>
            <w:r w:rsidRPr="006C7F53">
              <w:t>2026</w:t>
            </w:r>
            <w:r>
              <w:t>. g</w:t>
            </w:r>
            <w:r w:rsidRPr="006C7F53">
              <w:t>adam”,</w:t>
            </w:r>
            <w:r>
              <w:t> milj.</w:t>
            </w:r>
            <w:r w:rsidRPr="006C7F53">
              <w:rPr>
                <w:i/>
              </w:rPr>
              <w:t> </w:t>
            </w:r>
            <w:r w:rsidRPr="00770C40">
              <w:rPr>
                <w:i/>
              </w:rPr>
              <w:t>euro</w:t>
            </w:r>
          </w:p>
        </w:tc>
        <w:tc>
          <w:tcPr>
            <w:tcW w:w="500" w:type="pct"/>
            <w:tcBorders>
              <w:bottom w:val="single" w:sz="4" w:space="0" w:color="auto"/>
            </w:tcBorders>
            <w:vAlign w:val="center"/>
          </w:tcPr>
          <w:p w14:paraId="18C4F8FC" w14:textId="77777777" w:rsidR="001E19C6" w:rsidRPr="00A5253C" w:rsidRDefault="001E19C6" w:rsidP="00BB23B3">
            <w:pPr>
              <w:pStyle w:val="Tabulascipari"/>
              <w:keepNext/>
              <w:keepLines/>
              <w:spacing w:after="0"/>
              <w:ind w:left="0"/>
              <w:jc w:val="center"/>
              <w:rPr>
                <w:szCs w:val="18"/>
                <w:vertAlign w:val="superscript"/>
              </w:rPr>
            </w:pPr>
            <w:r w:rsidRPr="00A5253C">
              <w:rPr>
                <w:szCs w:val="18"/>
              </w:rPr>
              <w:t>12 678,1</w:t>
            </w:r>
            <w:r w:rsidRPr="00A5253C">
              <w:rPr>
                <w:szCs w:val="18"/>
                <w:vertAlign w:val="superscript"/>
              </w:rPr>
              <w:t>1</w:t>
            </w:r>
          </w:p>
        </w:tc>
        <w:tc>
          <w:tcPr>
            <w:tcW w:w="469" w:type="pct"/>
            <w:tcBorders>
              <w:top w:val="single" w:sz="4" w:space="0" w:color="auto"/>
              <w:left w:val="nil"/>
              <w:bottom w:val="single" w:sz="4" w:space="0" w:color="auto"/>
              <w:right w:val="single" w:sz="4" w:space="0" w:color="auto"/>
            </w:tcBorders>
            <w:shd w:val="clear" w:color="auto" w:fill="auto"/>
            <w:vAlign w:val="center"/>
          </w:tcPr>
          <w:p w14:paraId="57908FD9" w14:textId="77777777" w:rsidR="001E19C6" w:rsidRPr="00A5253C" w:rsidRDefault="001E19C6" w:rsidP="00BB23B3">
            <w:pPr>
              <w:pStyle w:val="Tabulascipari"/>
              <w:keepNext/>
              <w:keepLines/>
              <w:spacing w:after="0"/>
              <w:ind w:left="0"/>
              <w:jc w:val="center"/>
              <w:rPr>
                <w:szCs w:val="18"/>
              </w:rPr>
            </w:pPr>
            <w:r w:rsidRPr="00A5253C">
              <w:rPr>
                <w:szCs w:val="18"/>
              </w:rPr>
              <w:t>13 805,9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5FEB496D" w14:textId="77777777" w:rsidR="001E19C6" w:rsidRPr="00A5253C" w:rsidRDefault="001E19C6" w:rsidP="00BB23B3">
            <w:pPr>
              <w:pStyle w:val="Tabulascipari"/>
              <w:keepNext/>
              <w:keepLines/>
              <w:spacing w:after="0"/>
              <w:ind w:left="0"/>
              <w:jc w:val="center"/>
              <w:rPr>
                <w:szCs w:val="18"/>
              </w:rPr>
            </w:pPr>
            <w:r w:rsidRPr="00A5253C">
              <w:rPr>
                <w:szCs w:val="18"/>
              </w:rPr>
              <w:t>14 582,5</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14:paraId="606CD361" w14:textId="77777777" w:rsidR="001E19C6" w:rsidRPr="00A5253C" w:rsidRDefault="001E19C6" w:rsidP="00BB23B3">
            <w:pPr>
              <w:pStyle w:val="Tabulascipari"/>
              <w:keepNext/>
              <w:keepLines/>
              <w:spacing w:after="0"/>
              <w:ind w:left="0"/>
              <w:jc w:val="center"/>
              <w:rPr>
                <w:szCs w:val="18"/>
              </w:rPr>
            </w:pPr>
            <w:r w:rsidRPr="00A5253C">
              <w:rPr>
                <w:szCs w:val="18"/>
              </w:rPr>
              <w:t>15 447,3</w:t>
            </w:r>
          </w:p>
        </w:tc>
      </w:tr>
      <w:tr w:rsidR="00A83895" w:rsidRPr="006C7F53" w14:paraId="0ED383D7" w14:textId="77777777" w:rsidTr="00EE3763">
        <w:trPr>
          <w:cantSplit/>
          <w:trHeight w:val="227"/>
          <w:jc w:val="center"/>
        </w:trPr>
        <w:tc>
          <w:tcPr>
            <w:tcW w:w="3095" w:type="pct"/>
            <w:vAlign w:val="center"/>
          </w:tcPr>
          <w:p w14:paraId="038DBDA9" w14:textId="77777777" w:rsidR="001E19C6" w:rsidRPr="001E19C6" w:rsidRDefault="001E19C6" w:rsidP="00A83895">
            <w:pPr>
              <w:pStyle w:val="Tabulasteksts"/>
              <w:spacing w:after="0"/>
              <w:ind w:left="391"/>
              <w:jc w:val="both"/>
              <w:rPr>
                <w:i/>
                <w:iCs/>
                <w:szCs w:val="18"/>
              </w:rPr>
            </w:pPr>
            <w:r w:rsidRPr="001E19C6">
              <w:rPr>
                <w:i/>
                <w:iCs/>
                <w:szCs w:val="18"/>
              </w:rPr>
              <w:t>pret IKP, %</w:t>
            </w:r>
          </w:p>
        </w:tc>
        <w:tc>
          <w:tcPr>
            <w:tcW w:w="500" w:type="pct"/>
            <w:tcBorders>
              <w:top w:val="single" w:sz="4" w:space="0" w:color="auto"/>
              <w:left w:val="single" w:sz="4" w:space="0" w:color="auto"/>
              <w:bottom w:val="single" w:sz="4" w:space="0" w:color="auto"/>
              <w:right w:val="single" w:sz="4" w:space="0" w:color="auto"/>
            </w:tcBorders>
            <w:shd w:val="clear" w:color="auto" w:fill="auto"/>
          </w:tcPr>
          <w:p w14:paraId="6FB1A587" w14:textId="77777777" w:rsidR="001E19C6" w:rsidRPr="00A5253C" w:rsidRDefault="001E19C6" w:rsidP="00634C12">
            <w:pPr>
              <w:pStyle w:val="Tabulascipari"/>
              <w:keepNext/>
              <w:keepLines/>
              <w:spacing w:after="0"/>
              <w:ind w:left="0"/>
              <w:rPr>
                <w:i/>
                <w:iCs/>
                <w:color w:val="000000"/>
                <w:szCs w:val="18"/>
              </w:rPr>
            </w:pPr>
            <w:r w:rsidRPr="00A5253C">
              <w:rPr>
                <w:i/>
                <w:iCs/>
                <w:szCs w:val="18"/>
              </w:rPr>
              <w:t>29,4</w:t>
            </w:r>
          </w:p>
        </w:tc>
        <w:tc>
          <w:tcPr>
            <w:tcW w:w="469" w:type="pct"/>
            <w:tcBorders>
              <w:top w:val="single" w:sz="4" w:space="0" w:color="auto"/>
              <w:left w:val="nil"/>
              <w:bottom w:val="single" w:sz="4" w:space="0" w:color="auto"/>
              <w:right w:val="single" w:sz="4" w:space="0" w:color="auto"/>
            </w:tcBorders>
            <w:shd w:val="clear" w:color="auto" w:fill="auto"/>
          </w:tcPr>
          <w:p w14:paraId="0D282189" w14:textId="77777777" w:rsidR="001E19C6" w:rsidRPr="00A5253C" w:rsidRDefault="001E19C6" w:rsidP="00634C12">
            <w:pPr>
              <w:pStyle w:val="Tabulascipari"/>
              <w:keepNext/>
              <w:keepLines/>
              <w:spacing w:after="0"/>
              <w:ind w:left="0"/>
              <w:rPr>
                <w:i/>
                <w:iCs/>
                <w:szCs w:val="18"/>
              </w:rPr>
            </w:pPr>
            <w:r w:rsidRPr="00A5253C">
              <w:rPr>
                <w:i/>
                <w:iCs/>
                <w:szCs w:val="18"/>
              </w:rPr>
              <w:t>30,3</w:t>
            </w:r>
          </w:p>
        </w:tc>
        <w:tc>
          <w:tcPr>
            <w:tcW w:w="469" w:type="pct"/>
            <w:tcBorders>
              <w:top w:val="single" w:sz="4" w:space="0" w:color="auto"/>
              <w:left w:val="nil"/>
              <w:bottom w:val="single" w:sz="4" w:space="0" w:color="auto"/>
              <w:right w:val="single" w:sz="4" w:space="0" w:color="auto"/>
            </w:tcBorders>
            <w:shd w:val="clear" w:color="auto" w:fill="auto"/>
          </w:tcPr>
          <w:p w14:paraId="579B310D" w14:textId="77777777" w:rsidR="001E19C6" w:rsidRPr="00A5253C" w:rsidRDefault="001E19C6" w:rsidP="00634C12">
            <w:pPr>
              <w:pStyle w:val="Tabulascipari"/>
              <w:keepNext/>
              <w:keepLines/>
              <w:spacing w:after="0"/>
              <w:ind w:left="0"/>
              <w:rPr>
                <w:i/>
                <w:iCs/>
                <w:szCs w:val="18"/>
              </w:rPr>
            </w:pPr>
            <w:r w:rsidRPr="00A5253C">
              <w:rPr>
                <w:i/>
                <w:iCs/>
                <w:szCs w:val="18"/>
              </w:rPr>
              <w:t>30,2</w:t>
            </w:r>
          </w:p>
        </w:tc>
        <w:tc>
          <w:tcPr>
            <w:tcW w:w="467" w:type="pct"/>
            <w:tcBorders>
              <w:top w:val="single" w:sz="4" w:space="0" w:color="auto"/>
              <w:left w:val="nil"/>
              <w:bottom w:val="single" w:sz="4" w:space="0" w:color="auto"/>
              <w:right w:val="single" w:sz="4" w:space="0" w:color="auto"/>
            </w:tcBorders>
            <w:shd w:val="clear" w:color="auto" w:fill="auto"/>
          </w:tcPr>
          <w:p w14:paraId="77B5A6F9" w14:textId="77777777" w:rsidR="001E19C6" w:rsidRPr="00A5253C" w:rsidRDefault="001E19C6" w:rsidP="00634C12">
            <w:pPr>
              <w:pStyle w:val="Tabulascipari"/>
              <w:keepNext/>
              <w:keepLines/>
              <w:spacing w:after="0"/>
              <w:ind w:left="0"/>
              <w:rPr>
                <w:i/>
                <w:iCs/>
                <w:szCs w:val="18"/>
              </w:rPr>
            </w:pPr>
            <w:r w:rsidRPr="00A5253C">
              <w:rPr>
                <w:i/>
                <w:iCs/>
                <w:szCs w:val="18"/>
              </w:rPr>
              <w:t>30,2</w:t>
            </w:r>
          </w:p>
        </w:tc>
      </w:tr>
      <w:tr w:rsidR="00A83895" w:rsidRPr="006C7F53" w14:paraId="529B221A" w14:textId="77777777" w:rsidTr="00EE3763">
        <w:trPr>
          <w:cantSplit/>
          <w:trHeight w:val="20"/>
          <w:jc w:val="center"/>
        </w:trPr>
        <w:tc>
          <w:tcPr>
            <w:tcW w:w="3095" w:type="pct"/>
            <w:vAlign w:val="center"/>
          </w:tcPr>
          <w:p w14:paraId="63757970" w14:textId="2079BF11" w:rsidR="001E19C6" w:rsidRPr="00A5253C" w:rsidRDefault="00A5253C" w:rsidP="00A83895">
            <w:pPr>
              <w:pStyle w:val="Tabulasteksts"/>
              <w:spacing w:after="0"/>
              <w:ind w:left="0"/>
              <w:jc w:val="both"/>
              <w:rPr>
                <w:szCs w:val="18"/>
              </w:rPr>
            </w:pPr>
            <w:r>
              <w:rPr>
                <w:szCs w:val="18"/>
              </w:rPr>
              <w:t>S</w:t>
            </w:r>
            <w:r w:rsidR="001E19C6" w:rsidRPr="00A5253C">
              <w:rPr>
                <w:szCs w:val="18"/>
              </w:rPr>
              <w:t>alīdzinājumā ar likumu “Par valsts budžetu 2023. gadam un budžeta ietvaru 2023., 2024. un 2025. gadam”, milj. </w:t>
            </w:r>
            <w:r w:rsidR="001E19C6" w:rsidRPr="00280666">
              <w:rPr>
                <w:i/>
                <w:iCs/>
                <w:szCs w:val="18"/>
              </w:rPr>
              <w:t>euro</w:t>
            </w:r>
          </w:p>
        </w:tc>
        <w:tc>
          <w:tcPr>
            <w:tcW w:w="500" w:type="pct"/>
            <w:tcBorders>
              <w:top w:val="single" w:sz="4" w:space="0" w:color="auto"/>
              <w:left w:val="nil"/>
              <w:bottom w:val="single" w:sz="4" w:space="0" w:color="auto"/>
              <w:right w:val="single" w:sz="4" w:space="0" w:color="auto"/>
            </w:tcBorders>
            <w:shd w:val="clear" w:color="auto" w:fill="auto"/>
          </w:tcPr>
          <w:p w14:paraId="2CC0AF94" w14:textId="77777777" w:rsidR="001E19C6" w:rsidRPr="00A5253C" w:rsidRDefault="001E19C6" w:rsidP="00634C12">
            <w:pPr>
              <w:pStyle w:val="Tabulascipari"/>
              <w:keepNext/>
              <w:keepLines/>
              <w:spacing w:after="0"/>
              <w:ind w:left="0"/>
              <w:rPr>
                <w:i/>
                <w:iCs/>
                <w:szCs w:val="18"/>
              </w:rPr>
            </w:pPr>
            <w:r w:rsidRPr="00A5253C">
              <w:rPr>
                <w:i/>
                <w:iCs/>
                <w:szCs w:val="18"/>
              </w:rPr>
              <w:t>+391,4</w:t>
            </w:r>
          </w:p>
        </w:tc>
        <w:tc>
          <w:tcPr>
            <w:tcW w:w="469" w:type="pct"/>
            <w:tcBorders>
              <w:top w:val="single" w:sz="4" w:space="0" w:color="auto"/>
              <w:left w:val="single" w:sz="4" w:space="0" w:color="auto"/>
              <w:bottom w:val="single" w:sz="4" w:space="0" w:color="auto"/>
              <w:right w:val="single" w:sz="4" w:space="0" w:color="auto"/>
            </w:tcBorders>
            <w:shd w:val="clear" w:color="auto" w:fill="auto"/>
          </w:tcPr>
          <w:p w14:paraId="771C9E33" w14:textId="77777777" w:rsidR="001E19C6" w:rsidRPr="00A5253C" w:rsidRDefault="001E19C6" w:rsidP="00634C12">
            <w:pPr>
              <w:pStyle w:val="Tabulascipari"/>
              <w:keepNext/>
              <w:keepLines/>
              <w:spacing w:after="0"/>
              <w:ind w:left="0"/>
              <w:rPr>
                <w:i/>
                <w:iCs/>
                <w:szCs w:val="18"/>
              </w:rPr>
            </w:pPr>
            <w:r w:rsidRPr="00A5253C">
              <w:rPr>
                <w:i/>
                <w:iCs/>
                <w:szCs w:val="18"/>
              </w:rPr>
              <w:t>+845,8</w:t>
            </w:r>
          </w:p>
        </w:tc>
        <w:tc>
          <w:tcPr>
            <w:tcW w:w="469" w:type="pct"/>
            <w:tcBorders>
              <w:top w:val="single" w:sz="4" w:space="0" w:color="auto"/>
              <w:left w:val="single" w:sz="4" w:space="0" w:color="auto"/>
              <w:bottom w:val="single" w:sz="4" w:space="0" w:color="auto"/>
              <w:right w:val="single" w:sz="4" w:space="0" w:color="auto"/>
            </w:tcBorders>
            <w:shd w:val="clear" w:color="auto" w:fill="auto"/>
          </w:tcPr>
          <w:p w14:paraId="1FEDF7C6" w14:textId="77777777" w:rsidR="001E19C6" w:rsidRPr="00A5253C" w:rsidRDefault="001E19C6" w:rsidP="00634C12">
            <w:pPr>
              <w:pStyle w:val="Tabulascipari"/>
              <w:keepNext/>
              <w:keepLines/>
              <w:spacing w:after="0"/>
              <w:ind w:left="0"/>
              <w:rPr>
                <w:i/>
                <w:iCs/>
                <w:szCs w:val="18"/>
              </w:rPr>
            </w:pPr>
            <w:r w:rsidRPr="00A5253C">
              <w:rPr>
                <w:i/>
                <w:iCs/>
                <w:szCs w:val="18"/>
              </w:rPr>
              <w:t>+946,0</w:t>
            </w:r>
          </w:p>
        </w:tc>
        <w:tc>
          <w:tcPr>
            <w:tcW w:w="467" w:type="pct"/>
            <w:tcBorders>
              <w:top w:val="single" w:sz="4" w:space="0" w:color="auto"/>
              <w:left w:val="single" w:sz="4" w:space="0" w:color="auto"/>
              <w:bottom w:val="single" w:sz="4" w:space="0" w:color="auto"/>
              <w:right w:val="single" w:sz="4" w:space="0" w:color="auto"/>
            </w:tcBorders>
            <w:shd w:val="clear" w:color="auto" w:fill="auto"/>
          </w:tcPr>
          <w:p w14:paraId="07473A7B" w14:textId="77777777" w:rsidR="001E19C6" w:rsidRPr="00A5253C" w:rsidRDefault="001E19C6" w:rsidP="00634C12">
            <w:pPr>
              <w:pStyle w:val="Tabulascipari"/>
              <w:keepNext/>
              <w:keepLines/>
              <w:spacing w:after="0"/>
              <w:ind w:left="0"/>
              <w:rPr>
                <w:i/>
                <w:iCs/>
                <w:szCs w:val="18"/>
              </w:rPr>
            </w:pPr>
            <w:r w:rsidRPr="00A5253C">
              <w:rPr>
                <w:i/>
                <w:iCs/>
                <w:szCs w:val="18"/>
              </w:rPr>
              <w:t>—</w:t>
            </w:r>
          </w:p>
        </w:tc>
      </w:tr>
      <w:tr w:rsidR="00A83895" w:rsidRPr="006C7F53" w14:paraId="3E20A207" w14:textId="77777777" w:rsidTr="00EE3763">
        <w:trPr>
          <w:cantSplit/>
          <w:trHeight w:val="20"/>
          <w:jc w:val="center"/>
        </w:trPr>
        <w:tc>
          <w:tcPr>
            <w:tcW w:w="3095" w:type="pct"/>
            <w:vAlign w:val="center"/>
          </w:tcPr>
          <w:p w14:paraId="247819BC" w14:textId="170B022D" w:rsidR="001E19C6" w:rsidRPr="00A5253C" w:rsidRDefault="00A5253C" w:rsidP="00A83895">
            <w:pPr>
              <w:pStyle w:val="Tabulasteksts"/>
              <w:spacing w:after="0"/>
              <w:ind w:left="0"/>
              <w:jc w:val="both"/>
              <w:rPr>
                <w:szCs w:val="18"/>
              </w:rPr>
            </w:pPr>
            <w:r>
              <w:rPr>
                <w:szCs w:val="18"/>
              </w:rPr>
              <w:t>S</w:t>
            </w:r>
            <w:r w:rsidR="001E19C6" w:rsidRPr="00A5253C">
              <w:rPr>
                <w:szCs w:val="18"/>
              </w:rPr>
              <w:t>alīdzinājumā ar likumu “Par valsts budžetu 2023. gadam un budžeta ietvaru 2023., 2024. un 2025. gadam”, %</w:t>
            </w:r>
          </w:p>
        </w:tc>
        <w:tc>
          <w:tcPr>
            <w:tcW w:w="500" w:type="pct"/>
            <w:tcBorders>
              <w:top w:val="single" w:sz="4" w:space="0" w:color="auto"/>
              <w:left w:val="nil"/>
              <w:bottom w:val="single" w:sz="4" w:space="0" w:color="auto"/>
              <w:right w:val="single" w:sz="4" w:space="0" w:color="auto"/>
            </w:tcBorders>
            <w:shd w:val="clear" w:color="auto" w:fill="auto"/>
          </w:tcPr>
          <w:p w14:paraId="2E80166B" w14:textId="77777777" w:rsidR="001E19C6" w:rsidRPr="00A5253C" w:rsidRDefault="001E19C6" w:rsidP="00634C12">
            <w:pPr>
              <w:pStyle w:val="Tabulascipari"/>
              <w:keepNext/>
              <w:keepLines/>
              <w:spacing w:after="0"/>
              <w:ind w:left="0"/>
              <w:rPr>
                <w:i/>
                <w:iCs/>
                <w:szCs w:val="18"/>
              </w:rPr>
            </w:pPr>
            <w:r w:rsidRPr="00A5253C">
              <w:rPr>
                <w:i/>
                <w:iCs/>
                <w:szCs w:val="18"/>
              </w:rPr>
              <w:t>+3,2</w:t>
            </w:r>
          </w:p>
        </w:tc>
        <w:tc>
          <w:tcPr>
            <w:tcW w:w="469" w:type="pct"/>
            <w:tcBorders>
              <w:top w:val="single" w:sz="4" w:space="0" w:color="auto"/>
              <w:left w:val="single" w:sz="4" w:space="0" w:color="auto"/>
              <w:bottom w:val="single" w:sz="4" w:space="0" w:color="auto"/>
              <w:right w:val="single" w:sz="4" w:space="0" w:color="auto"/>
            </w:tcBorders>
            <w:shd w:val="clear" w:color="auto" w:fill="auto"/>
          </w:tcPr>
          <w:p w14:paraId="02E8C78A" w14:textId="77777777" w:rsidR="001E19C6" w:rsidRPr="00A5253C" w:rsidRDefault="001E19C6" w:rsidP="00634C12">
            <w:pPr>
              <w:pStyle w:val="Tabulascipari"/>
              <w:keepNext/>
              <w:keepLines/>
              <w:spacing w:after="0"/>
              <w:ind w:left="0"/>
              <w:rPr>
                <w:i/>
                <w:iCs/>
                <w:szCs w:val="18"/>
              </w:rPr>
            </w:pPr>
            <w:r w:rsidRPr="00A5253C">
              <w:rPr>
                <w:i/>
                <w:iCs/>
                <w:szCs w:val="18"/>
              </w:rPr>
              <w:t>+6,5</w:t>
            </w:r>
          </w:p>
        </w:tc>
        <w:tc>
          <w:tcPr>
            <w:tcW w:w="469" w:type="pct"/>
            <w:tcBorders>
              <w:top w:val="single" w:sz="4" w:space="0" w:color="auto"/>
              <w:left w:val="single" w:sz="4" w:space="0" w:color="auto"/>
              <w:bottom w:val="single" w:sz="4" w:space="0" w:color="auto"/>
              <w:right w:val="single" w:sz="4" w:space="0" w:color="auto"/>
            </w:tcBorders>
            <w:shd w:val="clear" w:color="auto" w:fill="auto"/>
          </w:tcPr>
          <w:p w14:paraId="373BA33E" w14:textId="77777777" w:rsidR="001E19C6" w:rsidRPr="00A5253C" w:rsidRDefault="001E19C6" w:rsidP="00634C12">
            <w:pPr>
              <w:pStyle w:val="Tabulascipari"/>
              <w:keepNext/>
              <w:keepLines/>
              <w:spacing w:after="0"/>
              <w:ind w:left="0"/>
              <w:rPr>
                <w:i/>
                <w:iCs/>
                <w:szCs w:val="18"/>
              </w:rPr>
            </w:pPr>
            <w:r w:rsidRPr="00A5253C">
              <w:rPr>
                <w:i/>
                <w:iCs/>
                <w:szCs w:val="18"/>
              </w:rPr>
              <w:t>+6,9</w:t>
            </w:r>
          </w:p>
        </w:tc>
        <w:tc>
          <w:tcPr>
            <w:tcW w:w="467" w:type="pct"/>
            <w:tcBorders>
              <w:top w:val="single" w:sz="4" w:space="0" w:color="auto"/>
              <w:left w:val="single" w:sz="4" w:space="0" w:color="auto"/>
              <w:bottom w:val="single" w:sz="4" w:space="0" w:color="auto"/>
              <w:right w:val="single" w:sz="4" w:space="0" w:color="auto"/>
            </w:tcBorders>
            <w:shd w:val="clear" w:color="auto" w:fill="auto"/>
          </w:tcPr>
          <w:p w14:paraId="05F25E84" w14:textId="77777777" w:rsidR="001E19C6" w:rsidRPr="00A5253C" w:rsidRDefault="001E19C6" w:rsidP="00634C12">
            <w:pPr>
              <w:pStyle w:val="Tabulascipari"/>
              <w:keepNext/>
              <w:keepLines/>
              <w:spacing w:after="0"/>
              <w:ind w:left="0"/>
              <w:rPr>
                <w:i/>
                <w:iCs/>
                <w:szCs w:val="18"/>
              </w:rPr>
            </w:pPr>
            <w:r w:rsidRPr="00A5253C">
              <w:rPr>
                <w:i/>
                <w:iCs/>
                <w:szCs w:val="18"/>
              </w:rPr>
              <w:t>—</w:t>
            </w:r>
          </w:p>
        </w:tc>
      </w:tr>
    </w:tbl>
    <w:p w14:paraId="04F4C99A" w14:textId="77777777" w:rsidR="001E19C6" w:rsidRPr="006C7F53" w:rsidRDefault="001E19C6" w:rsidP="001E19C6">
      <w:pPr>
        <w:pStyle w:val="Piezme"/>
      </w:pPr>
      <w:r w:rsidRPr="006C7F53">
        <w:rPr>
          <w:vertAlign w:val="superscript"/>
        </w:rPr>
        <w:t>1</w:t>
      </w:r>
      <w:r w:rsidRPr="006C7F53">
        <w:t> Prognoze</w:t>
      </w:r>
    </w:p>
    <w:p w14:paraId="5655CA14" w14:textId="77777777" w:rsidR="0048510B" w:rsidRPr="0038459F" w:rsidRDefault="0048510B" w:rsidP="001E19C6">
      <w:pPr>
        <w:widowControl w:val="0"/>
        <w:ind w:firstLine="0"/>
        <w:rPr>
          <w:rFonts w:eastAsia="Times New Roman" w:cs="Times New Roman"/>
          <w:color w:val="000000"/>
          <w:highlight w:val="lightGray"/>
        </w:rPr>
      </w:pPr>
    </w:p>
    <w:p w14:paraId="13897F69" w14:textId="77777777" w:rsidR="00A6117C" w:rsidRPr="006C7F53" w:rsidRDefault="00A6117C" w:rsidP="00A6117C">
      <w:pPr>
        <w:rPr>
          <w:rFonts w:eastAsia="Times New Roman" w:cs="Times New Roman"/>
          <w:color w:val="000000"/>
          <w:szCs w:val="24"/>
        </w:rPr>
      </w:pPr>
      <w:r w:rsidRPr="006C7F53">
        <w:rPr>
          <w:rFonts w:eastAsia="Times New Roman" w:cs="Times New Roman"/>
          <w:color w:val="000000"/>
          <w:szCs w:val="24"/>
        </w:rPr>
        <w:t>Informācija par kopbudžeta nodokļu ieņēmumiem sadalījumā pa veidiem laika periodā no 2023. līdz 2026</w:t>
      </w:r>
      <w:r>
        <w:rPr>
          <w:rFonts w:eastAsia="Times New Roman" w:cs="Times New Roman"/>
          <w:color w:val="000000"/>
          <w:szCs w:val="24"/>
        </w:rPr>
        <w:t>. g</w:t>
      </w:r>
      <w:r w:rsidRPr="006C7F53">
        <w:rPr>
          <w:rFonts w:eastAsia="Times New Roman" w:cs="Times New Roman"/>
          <w:color w:val="000000"/>
          <w:szCs w:val="24"/>
        </w:rPr>
        <w:t>adam ir sniegta 3.3. tabulā.</w:t>
      </w:r>
    </w:p>
    <w:p w14:paraId="5421CCE2" w14:textId="4BB4C50F" w:rsidR="00435820" w:rsidRPr="0063382B" w:rsidRDefault="00435820" w:rsidP="0063382B">
      <w:pPr>
        <w:widowControl w:val="0"/>
        <w:jc w:val="right"/>
        <w:rPr>
          <w:rFonts w:eastAsia="Times New Roman" w:cs="Times New Roman"/>
          <w:b/>
          <w:i/>
          <w:color w:val="000000"/>
        </w:rPr>
      </w:pPr>
      <w:r w:rsidRPr="0063382B">
        <w:rPr>
          <w:rFonts w:eastAsia="Times New Roman" w:cs="Times New Roman"/>
          <w:b/>
          <w:i/>
          <w:color w:val="000000"/>
        </w:rPr>
        <w:t>3.</w:t>
      </w:r>
      <w:r w:rsidR="001F0D85" w:rsidRPr="0063382B">
        <w:rPr>
          <w:rFonts w:eastAsia="Times New Roman" w:cs="Times New Roman"/>
          <w:b/>
          <w:i/>
          <w:color w:val="000000"/>
        </w:rPr>
        <w:t xml:space="preserve">3. </w:t>
      </w:r>
      <w:r w:rsidRPr="0063382B">
        <w:rPr>
          <w:rFonts w:eastAsia="Times New Roman" w:cs="Times New Roman"/>
          <w:b/>
          <w:i/>
          <w:color w:val="000000"/>
        </w:rPr>
        <w:t>tabula. Kopbudžeta nodokļu ieņēmumi, milj. </w:t>
      </w:r>
      <w:proofErr w:type="spellStart"/>
      <w:r w:rsidRPr="0063382B">
        <w:rPr>
          <w:rFonts w:eastAsia="Times New Roman" w:cs="Times New Roman"/>
          <w:b/>
          <w:i/>
          <w:color w:val="000000"/>
        </w:rPr>
        <w:t>euro</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7"/>
        <w:gridCol w:w="906"/>
        <w:gridCol w:w="906"/>
        <w:gridCol w:w="906"/>
        <w:gridCol w:w="906"/>
      </w:tblGrid>
      <w:tr w:rsidR="00435820" w:rsidRPr="0063382B" w14:paraId="501CE121" w14:textId="77777777" w:rsidTr="00435820">
        <w:trPr>
          <w:cantSplit/>
          <w:trHeight w:val="20"/>
        </w:trPr>
        <w:tc>
          <w:tcPr>
            <w:tcW w:w="3000" w:type="pct"/>
            <w:shd w:val="clear" w:color="auto" w:fill="8EAADB"/>
            <w:vAlign w:val="center"/>
            <w:hideMark/>
          </w:tcPr>
          <w:p w14:paraId="2FBDD8BD" w14:textId="77777777" w:rsidR="00435820" w:rsidRPr="0063382B" w:rsidRDefault="00435820" w:rsidP="0063382B">
            <w:pPr>
              <w:keepNext/>
              <w:keepLines/>
              <w:spacing w:before="100" w:beforeAutospacing="1" w:after="100" w:afterAutospacing="1"/>
              <w:ind w:firstLine="0"/>
              <w:contextualSpacing/>
              <w:jc w:val="center"/>
              <w:rPr>
                <w:rFonts w:eastAsia="Times New Roman" w:cs="Times New Roman"/>
                <w:b/>
                <w:bCs/>
                <w:sz w:val="18"/>
                <w:szCs w:val="24"/>
              </w:rPr>
            </w:pPr>
          </w:p>
        </w:tc>
        <w:tc>
          <w:tcPr>
            <w:tcW w:w="500" w:type="pct"/>
            <w:shd w:val="clear" w:color="auto" w:fill="8EAADB"/>
            <w:vAlign w:val="center"/>
            <w:hideMark/>
          </w:tcPr>
          <w:p w14:paraId="21308DF3" w14:textId="2FFFEC5C" w:rsidR="00435820" w:rsidRPr="0063382B" w:rsidRDefault="00435820" w:rsidP="0063382B">
            <w:pPr>
              <w:keepNext/>
              <w:keepLines/>
              <w:spacing w:before="100" w:beforeAutospacing="1" w:after="100" w:afterAutospacing="1"/>
              <w:ind w:firstLine="0"/>
              <w:contextualSpacing/>
              <w:jc w:val="center"/>
              <w:rPr>
                <w:rFonts w:eastAsia="Times New Roman" w:cs="Times New Roman"/>
                <w:b/>
                <w:bCs/>
                <w:sz w:val="18"/>
                <w:szCs w:val="24"/>
              </w:rPr>
            </w:pPr>
            <w:r w:rsidRPr="0063382B">
              <w:rPr>
                <w:rFonts w:eastAsia="Times New Roman" w:cs="Times New Roman"/>
                <w:b/>
                <w:bCs/>
                <w:sz w:val="18"/>
                <w:szCs w:val="24"/>
              </w:rPr>
              <w:t>202</w:t>
            </w:r>
            <w:r w:rsidR="0063382B" w:rsidRPr="0063382B">
              <w:rPr>
                <w:rFonts w:eastAsia="Times New Roman" w:cs="Times New Roman"/>
                <w:b/>
                <w:bCs/>
                <w:sz w:val="18"/>
                <w:szCs w:val="24"/>
              </w:rPr>
              <w:t>3</w:t>
            </w:r>
            <w:r w:rsidRPr="0063382B">
              <w:rPr>
                <w:rFonts w:eastAsia="Times New Roman" w:cs="Times New Roman"/>
                <w:b/>
                <w:bCs/>
                <w:sz w:val="18"/>
                <w:szCs w:val="24"/>
                <w:vertAlign w:val="superscript"/>
              </w:rPr>
              <w:t>1</w:t>
            </w:r>
          </w:p>
        </w:tc>
        <w:tc>
          <w:tcPr>
            <w:tcW w:w="500" w:type="pct"/>
            <w:shd w:val="clear" w:color="auto" w:fill="8EAADB"/>
            <w:vAlign w:val="center"/>
            <w:hideMark/>
          </w:tcPr>
          <w:p w14:paraId="5EC25B19" w14:textId="1CC0A369" w:rsidR="00435820" w:rsidRPr="0063382B" w:rsidRDefault="00435820" w:rsidP="0063382B">
            <w:pPr>
              <w:keepNext/>
              <w:keepLines/>
              <w:spacing w:before="100" w:beforeAutospacing="1" w:after="100" w:afterAutospacing="1"/>
              <w:ind w:firstLine="0"/>
              <w:contextualSpacing/>
              <w:jc w:val="center"/>
              <w:rPr>
                <w:rFonts w:eastAsia="Times New Roman" w:cs="Times New Roman"/>
                <w:b/>
                <w:bCs/>
                <w:sz w:val="18"/>
                <w:szCs w:val="24"/>
              </w:rPr>
            </w:pPr>
            <w:r w:rsidRPr="0063382B">
              <w:rPr>
                <w:rFonts w:eastAsia="Times New Roman" w:cs="Times New Roman"/>
                <w:b/>
                <w:bCs/>
                <w:sz w:val="18"/>
                <w:szCs w:val="24"/>
              </w:rPr>
              <w:t>202</w:t>
            </w:r>
            <w:r w:rsidR="0063382B" w:rsidRPr="0063382B">
              <w:rPr>
                <w:rFonts w:eastAsia="Times New Roman" w:cs="Times New Roman"/>
                <w:b/>
                <w:bCs/>
                <w:sz w:val="18"/>
                <w:szCs w:val="24"/>
              </w:rPr>
              <w:t>4</w:t>
            </w:r>
          </w:p>
        </w:tc>
        <w:tc>
          <w:tcPr>
            <w:tcW w:w="500" w:type="pct"/>
            <w:shd w:val="clear" w:color="auto" w:fill="8EAADB"/>
            <w:vAlign w:val="center"/>
            <w:hideMark/>
          </w:tcPr>
          <w:p w14:paraId="612DB448" w14:textId="1D9D7737" w:rsidR="00435820" w:rsidRPr="0063382B" w:rsidRDefault="00435820" w:rsidP="0063382B">
            <w:pPr>
              <w:keepNext/>
              <w:keepLines/>
              <w:spacing w:before="100" w:beforeAutospacing="1" w:after="100" w:afterAutospacing="1"/>
              <w:ind w:firstLine="0"/>
              <w:contextualSpacing/>
              <w:jc w:val="center"/>
              <w:rPr>
                <w:rFonts w:eastAsia="Times New Roman" w:cs="Times New Roman"/>
                <w:b/>
                <w:bCs/>
                <w:sz w:val="18"/>
                <w:szCs w:val="24"/>
              </w:rPr>
            </w:pPr>
            <w:r w:rsidRPr="0063382B">
              <w:rPr>
                <w:rFonts w:eastAsia="Times New Roman" w:cs="Times New Roman"/>
                <w:b/>
                <w:bCs/>
                <w:sz w:val="18"/>
                <w:szCs w:val="24"/>
              </w:rPr>
              <w:t>202</w:t>
            </w:r>
            <w:r w:rsidR="0063382B" w:rsidRPr="0063382B">
              <w:rPr>
                <w:rFonts w:eastAsia="Times New Roman" w:cs="Times New Roman"/>
                <w:b/>
                <w:bCs/>
                <w:sz w:val="18"/>
                <w:szCs w:val="24"/>
              </w:rPr>
              <w:t>5</w:t>
            </w:r>
          </w:p>
        </w:tc>
        <w:tc>
          <w:tcPr>
            <w:tcW w:w="500" w:type="pct"/>
            <w:shd w:val="clear" w:color="auto" w:fill="8EAADB"/>
            <w:noWrap/>
            <w:vAlign w:val="center"/>
            <w:hideMark/>
          </w:tcPr>
          <w:p w14:paraId="316A2512" w14:textId="5AFFB384" w:rsidR="00435820" w:rsidRPr="0063382B" w:rsidRDefault="00435820" w:rsidP="0063382B">
            <w:pPr>
              <w:keepNext/>
              <w:keepLines/>
              <w:spacing w:before="100" w:beforeAutospacing="1" w:after="100" w:afterAutospacing="1"/>
              <w:ind w:firstLine="0"/>
              <w:contextualSpacing/>
              <w:jc w:val="center"/>
              <w:rPr>
                <w:rFonts w:eastAsia="Times New Roman" w:cs="Times New Roman"/>
                <w:b/>
                <w:bCs/>
                <w:sz w:val="18"/>
                <w:szCs w:val="24"/>
              </w:rPr>
            </w:pPr>
            <w:r w:rsidRPr="0063382B">
              <w:rPr>
                <w:rFonts w:eastAsia="Times New Roman" w:cs="Times New Roman"/>
                <w:b/>
                <w:bCs/>
                <w:sz w:val="18"/>
                <w:szCs w:val="24"/>
              </w:rPr>
              <w:t>202</w:t>
            </w:r>
            <w:r w:rsidR="0063382B" w:rsidRPr="0063382B">
              <w:rPr>
                <w:rFonts w:eastAsia="Times New Roman" w:cs="Times New Roman"/>
                <w:b/>
                <w:bCs/>
                <w:sz w:val="18"/>
                <w:szCs w:val="24"/>
              </w:rPr>
              <w:t>6</w:t>
            </w:r>
          </w:p>
        </w:tc>
      </w:tr>
      <w:tr w:rsidR="0063382B" w:rsidRPr="0063382B" w14:paraId="3A5C9C7D" w14:textId="77777777" w:rsidTr="00106688">
        <w:trPr>
          <w:cantSplit/>
          <w:trHeight w:val="20"/>
        </w:trPr>
        <w:tc>
          <w:tcPr>
            <w:tcW w:w="3000" w:type="pct"/>
            <w:shd w:val="clear" w:color="auto" w:fill="D9E2F3"/>
            <w:vAlign w:val="center"/>
          </w:tcPr>
          <w:p w14:paraId="7EF594AA" w14:textId="77777777" w:rsidR="0063382B" w:rsidRPr="0063382B" w:rsidRDefault="0063382B" w:rsidP="0063382B">
            <w:pPr>
              <w:keepNext/>
              <w:keepLines/>
              <w:spacing w:before="100" w:beforeAutospacing="1" w:after="100" w:afterAutospacing="1"/>
              <w:ind w:firstLine="0"/>
              <w:contextualSpacing/>
              <w:jc w:val="left"/>
              <w:rPr>
                <w:rFonts w:eastAsia="Times New Roman" w:cs="Times New Roman"/>
                <w:sz w:val="18"/>
                <w:szCs w:val="24"/>
              </w:rPr>
            </w:pPr>
            <w:r w:rsidRPr="0063382B">
              <w:rPr>
                <w:rFonts w:eastAsia="Times New Roman" w:cs="Times New Roman"/>
                <w:sz w:val="18"/>
                <w:szCs w:val="24"/>
              </w:rPr>
              <w:t>Tiešie nodokļi</w:t>
            </w:r>
          </w:p>
        </w:tc>
        <w:tc>
          <w:tcPr>
            <w:tcW w:w="500" w:type="pct"/>
            <w:shd w:val="clear" w:color="auto" w:fill="D9E2F3"/>
            <w:vAlign w:val="center"/>
          </w:tcPr>
          <w:p w14:paraId="2E552A41" w14:textId="0EB60179"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7 241,1</w:t>
            </w:r>
          </w:p>
        </w:tc>
        <w:tc>
          <w:tcPr>
            <w:tcW w:w="500" w:type="pct"/>
            <w:shd w:val="clear" w:color="auto" w:fill="D9E2F3"/>
            <w:vAlign w:val="center"/>
          </w:tcPr>
          <w:p w14:paraId="1442DA0E" w14:textId="35364B1E"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8 112,6</w:t>
            </w:r>
          </w:p>
        </w:tc>
        <w:tc>
          <w:tcPr>
            <w:tcW w:w="500" w:type="pct"/>
            <w:shd w:val="clear" w:color="auto" w:fill="D9E2F3"/>
            <w:vAlign w:val="center"/>
          </w:tcPr>
          <w:p w14:paraId="63B407C7" w14:textId="5186AD5F"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8 537,1</w:t>
            </w:r>
          </w:p>
        </w:tc>
        <w:tc>
          <w:tcPr>
            <w:tcW w:w="500" w:type="pct"/>
            <w:shd w:val="clear" w:color="auto" w:fill="D9E2F3"/>
            <w:vAlign w:val="center"/>
          </w:tcPr>
          <w:p w14:paraId="0C9B3C15" w14:textId="7E0511D8"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9 043,9</w:t>
            </w:r>
          </w:p>
        </w:tc>
      </w:tr>
      <w:tr w:rsidR="0063382B" w:rsidRPr="0063382B" w14:paraId="25B9C61F" w14:textId="77777777" w:rsidTr="003B3D5E">
        <w:trPr>
          <w:cantSplit/>
          <w:trHeight w:val="20"/>
        </w:trPr>
        <w:tc>
          <w:tcPr>
            <w:tcW w:w="3000" w:type="pct"/>
            <w:shd w:val="clear" w:color="auto" w:fill="auto"/>
            <w:vAlign w:val="center"/>
            <w:hideMark/>
          </w:tcPr>
          <w:p w14:paraId="0DEC3D5B"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IIN</w:t>
            </w:r>
          </w:p>
        </w:tc>
        <w:tc>
          <w:tcPr>
            <w:tcW w:w="500" w:type="pct"/>
            <w:shd w:val="clear" w:color="auto" w:fill="auto"/>
            <w:vAlign w:val="center"/>
          </w:tcPr>
          <w:p w14:paraId="3AFA8CA6" w14:textId="70B0871B"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2 421,0</w:t>
            </w:r>
          </w:p>
        </w:tc>
        <w:tc>
          <w:tcPr>
            <w:tcW w:w="500" w:type="pct"/>
            <w:shd w:val="clear" w:color="auto" w:fill="auto"/>
            <w:vAlign w:val="center"/>
          </w:tcPr>
          <w:p w14:paraId="38F285CF" w14:textId="0017B6BC"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2 634,7</w:t>
            </w:r>
          </w:p>
        </w:tc>
        <w:tc>
          <w:tcPr>
            <w:tcW w:w="500" w:type="pct"/>
            <w:shd w:val="clear" w:color="auto" w:fill="auto"/>
            <w:vAlign w:val="center"/>
          </w:tcPr>
          <w:p w14:paraId="4B04374E" w14:textId="668418D6"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2 805,9</w:t>
            </w:r>
          </w:p>
        </w:tc>
        <w:tc>
          <w:tcPr>
            <w:tcW w:w="500" w:type="pct"/>
            <w:shd w:val="clear" w:color="auto" w:fill="auto"/>
            <w:vAlign w:val="center"/>
          </w:tcPr>
          <w:p w14:paraId="7BCA94C2" w14:textId="1396DC58"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3 005,8</w:t>
            </w:r>
          </w:p>
        </w:tc>
      </w:tr>
      <w:tr w:rsidR="0063382B" w:rsidRPr="0063382B" w14:paraId="59AF02FD" w14:textId="77777777" w:rsidTr="003B3D5E">
        <w:trPr>
          <w:cantSplit/>
          <w:trHeight w:val="20"/>
        </w:trPr>
        <w:tc>
          <w:tcPr>
            <w:tcW w:w="3000" w:type="pct"/>
            <w:shd w:val="clear" w:color="auto" w:fill="auto"/>
            <w:vAlign w:val="center"/>
            <w:hideMark/>
          </w:tcPr>
          <w:p w14:paraId="62F25F9D"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VSAOI</w:t>
            </w:r>
            <w:r w:rsidRPr="0063382B">
              <w:rPr>
                <w:rFonts w:eastAsia="Times New Roman" w:cs="Times New Roman"/>
                <w:i/>
                <w:iCs/>
                <w:sz w:val="18"/>
                <w:szCs w:val="24"/>
                <w:vertAlign w:val="superscript"/>
              </w:rPr>
              <w:t>2</w:t>
            </w:r>
          </w:p>
        </w:tc>
        <w:tc>
          <w:tcPr>
            <w:tcW w:w="500" w:type="pct"/>
            <w:shd w:val="clear" w:color="auto" w:fill="auto"/>
            <w:vAlign w:val="center"/>
          </w:tcPr>
          <w:p w14:paraId="074AE766" w14:textId="313E5847"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4 085,1</w:t>
            </w:r>
          </w:p>
        </w:tc>
        <w:tc>
          <w:tcPr>
            <w:tcW w:w="500" w:type="pct"/>
            <w:shd w:val="clear" w:color="auto" w:fill="auto"/>
            <w:vAlign w:val="center"/>
          </w:tcPr>
          <w:p w14:paraId="5F9BF3F8" w14:textId="452FBBAA"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4 544,7</w:t>
            </w:r>
          </w:p>
        </w:tc>
        <w:tc>
          <w:tcPr>
            <w:tcW w:w="500" w:type="pct"/>
            <w:shd w:val="clear" w:color="auto" w:fill="auto"/>
            <w:vAlign w:val="center"/>
          </w:tcPr>
          <w:p w14:paraId="7CEB489B" w14:textId="3EEA623C"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4 832,5</w:t>
            </w:r>
          </w:p>
        </w:tc>
        <w:tc>
          <w:tcPr>
            <w:tcW w:w="500" w:type="pct"/>
            <w:shd w:val="clear" w:color="auto" w:fill="auto"/>
            <w:vAlign w:val="center"/>
          </w:tcPr>
          <w:p w14:paraId="694D6881" w14:textId="3D9BD4AE"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5 129,0</w:t>
            </w:r>
          </w:p>
        </w:tc>
      </w:tr>
      <w:tr w:rsidR="0063382B" w:rsidRPr="0063382B" w14:paraId="0B2A7928" w14:textId="77777777" w:rsidTr="003B3D5E">
        <w:trPr>
          <w:cantSplit/>
          <w:trHeight w:val="20"/>
        </w:trPr>
        <w:tc>
          <w:tcPr>
            <w:tcW w:w="3000" w:type="pct"/>
            <w:shd w:val="clear" w:color="auto" w:fill="auto"/>
            <w:vAlign w:val="center"/>
            <w:hideMark/>
          </w:tcPr>
          <w:p w14:paraId="2A1293DB" w14:textId="202284D4"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UIN</w:t>
            </w:r>
          </w:p>
        </w:tc>
        <w:tc>
          <w:tcPr>
            <w:tcW w:w="500" w:type="pct"/>
            <w:shd w:val="clear" w:color="auto" w:fill="auto"/>
            <w:vAlign w:val="center"/>
          </w:tcPr>
          <w:p w14:paraId="25BEFA46" w14:textId="57ED7DFF"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500,0</w:t>
            </w:r>
          </w:p>
        </w:tc>
        <w:tc>
          <w:tcPr>
            <w:tcW w:w="500" w:type="pct"/>
            <w:shd w:val="clear" w:color="auto" w:fill="auto"/>
            <w:vAlign w:val="center"/>
          </w:tcPr>
          <w:p w14:paraId="2A940E5F" w14:textId="32141745"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695,7</w:t>
            </w:r>
          </w:p>
        </w:tc>
        <w:tc>
          <w:tcPr>
            <w:tcW w:w="500" w:type="pct"/>
            <w:shd w:val="clear" w:color="auto" w:fill="auto"/>
            <w:vAlign w:val="center"/>
          </w:tcPr>
          <w:p w14:paraId="0CF81C2B" w14:textId="32B3DE02"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659,0</w:t>
            </w:r>
          </w:p>
        </w:tc>
        <w:tc>
          <w:tcPr>
            <w:tcW w:w="500" w:type="pct"/>
            <w:shd w:val="clear" w:color="auto" w:fill="auto"/>
            <w:vAlign w:val="center"/>
          </w:tcPr>
          <w:p w14:paraId="255D664E" w14:textId="1BD848F1"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667,0</w:t>
            </w:r>
          </w:p>
        </w:tc>
      </w:tr>
      <w:tr w:rsidR="0063382B" w:rsidRPr="0063382B" w14:paraId="41BF04F9" w14:textId="77777777" w:rsidTr="003B3D5E">
        <w:trPr>
          <w:cantSplit/>
          <w:trHeight w:val="20"/>
        </w:trPr>
        <w:tc>
          <w:tcPr>
            <w:tcW w:w="3000" w:type="pct"/>
            <w:shd w:val="clear" w:color="auto" w:fill="auto"/>
            <w:vAlign w:val="center"/>
            <w:hideMark/>
          </w:tcPr>
          <w:p w14:paraId="7776BD8F"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Nekustamā īpašuma nodoklis</w:t>
            </w:r>
          </w:p>
        </w:tc>
        <w:tc>
          <w:tcPr>
            <w:tcW w:w="500" w:type="pct"/>
            <w:shd w:val="clear" w:color="auto" w:fill="auto"/>
            <w:vAlign w:val="center"/>
          </w:tcPr>
          <w:p w14:paraId="21530279" w14:textId="7D1E8F55"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235,0</w:t>
            </w:r>
          </w:p>
        </w:tc>
        <w:tc>
          <w:tcPr>
            <w:tcW w:w="500" w:type="pct"/>
            <w:shd w:val="clear" w:color="auto" w:fill="auto"/>
            <w:vAlign w:val="center"/>
          </w:tcPr>
          <w:p w14:paraId="0892A89D" w14:textId="41AFF6E5"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237,4</w:t>
            </w:r>
          </w:p>
        </w:tc>
        <w:tc>
          <w:tcPr>
            <w:tcW w:w="500" w:type="pct"/>
            <w:shd w:val="clear" w:color="auto" w:fill="auto"/>
            <w:vAlign w:val="center"/>
          </w:tcPr>
          <w:p w14:paraId="7D5B3B8A" w14:textId="01B1E593"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239,7</w:t>
            </w:r>
          </w:p>
        </w:tc>
        <w:tc>
          <w:tcPr>
            <w:tcW w:w="500" w:type="pct"/>
            <w:shd w:val="clear" w:color="auto" w:fill="auto"/>
            <w:vAlign w:val="center"/>
          </w:tcPr>
          <w:p w14:paraId="3008194A" w14:textId="222EDF0C"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242,1</w:t>
            </w:r>
          </w:p>
        </w:tc>
      </w:tr>
      <w:tr w:rsidR="0063382B" w:rsidRPr="0063382B" w14:paraId="626E65C4" w14:textId="77777777" w:rsidTr="00E012A3">
        <w:trPr>
          <w:cantSplit/>
          <w:trHeight w:val="20"/>
        </w:trPr>
        <w:tc>
          <w:tcPr>
            <w:tcW w:w="3000" w:type="pct"/>
            <w:shd w:val="clear" w:color="auto" w:fill="D9E2F3"/>
            <w:vAlign w:val="center"/>
          </w:tcPr>
          <w:p w14:paraId="582E9D2C" w14:textId="77777777" w:rsidR="0063382B" w:rsidRPr="0063382B" w:rsidRDefault="0063382B" w:rsidP="0063382B">
            <w:pPr>
              <w:keepNext/>
              <w:keepLines/>
              <w:spacing w:before="100" w:beforeAutospacing="1" w:after="100" w:afterAutospacing="1"/>
              <w:ind w:firstLine="0"/>
              <w:contextualSpacing/>
              <w:jc w:val="left"/>
              <w:rPr>
                <w:rFonts w:eastAsia="Times New Roman" w:cs="Times New Roman"/>
                <w:sz w:val="18"/>
                <w:szCs w:val="24"/>
              </w:rPr>
            </w:pPr>
            <w:r w:rsidRPr="0063382B">
              <w:rPr>
                <w:rFonts w:eastAsia="Times New Roman" w:cs="Times New Roman"/>
                <w:sz w:val="18"/>
                <w:szCs w:val="24"/>
              </w:rPr>
              <w:t>Netiešie nodokļi</w:t>
            </w:r>
          </w:p>
        </w:tc>
        <w:tc>
          <w:tcPr>
            <w:tcW w:w="500" w:type="pct"/>
            <w:shd w:val="clear" w:color="auto" w:fill="D9E2F3"/>
            <w:vAlign w:val="center"/>
          </w:tcPr>
          <w:p w14:paraId="0F507D39" w14:textId="6AF443CE"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5 322,3</w:t>
            </w:r>
          </w:p>
        </w:tc>
        <w:tc>
          <w:tcPr>
            <w:tcW w:w="500" w:type="pct"/>
            <w:shd w:val="clear" w:color="auto" w:fill="D9E2F3"/>
            <w:vAlign w:val="center"/>
          </w:tcPr>
          <w:p w14:paraId="1DE0BE30" w14:textId="47BA0201"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5 564,5</w:t>
            </w:r>
          </w:p>
        </w:tc>
        <w:tc>
          <w:tcPr>
            <w:tcW w:w="500" w:type="pct"/>
            <w:shd w:val="clear" w:color="auto" w:fill="D9E2F3"/>
            <w:vAlign w:val="center"/>
          </w:tcPr>
          <w:p w14:paraId="51ED000B" w14:textId="7D3F667C"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5 900,7</w:t>
            </w:r>
          </w:p>
        </w:tc>
        <w:tc>
          <w:tcPr>
            <w:tcW w:w="500" w:type="pct"/>
            <w:shd w:val="clear" w:color="auto" w:fill="D9E2F3"/>
            <w:vAlign w:val="center"/>
          </w:tcPr>
          <w:p w14:paraId="0C278037" w14:textId="63F6891A"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6 244,9</w:t>
            </w:r>
          </w:p>
        </w:tc>
      </w:tr>
      <w:tr w:rsidR="0063382B" w:rsidRPr="0063382B" w14:paraId="31EF1494" w14:textId="77777777" w:rsidTr="003B3D5E">
        <w:trPr>
          <w:cantSplit/>
          <w:trHeight w:val="20"/>
        </w:trPr>
        <w:tc>
          <w:tcPr>
            <w:tcW w:w="3000" w:type="pct"/>
            <w:shd w:val="clear" w:color="auto" w:fill="auto"/>
            <w:vAlign w:val="center"/>
            <w:hideMark/>
          </w:tcPr>
          <w:p w14:paraId="4042FB5A"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PVN</w:t>
            </w:r>
          </w:p>
        </w:tc>
        <w:tc>
          <w:tcPr>
            <w:tcW w:w="500" w:type="pct"/>
            <w:shd w:val="clear" w:color="auto" w:fill="auto"/>
            <w:vAlign w:val="center"/>
          </w:tcPr>
          <w:p w14:paraId="64B17BCB" w14:textId="26C72D75"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3 930,7</w:t>
            </w:r>
          </w:p>
        </w:tc>
        <w:tc>
          <w:tcPr>
            <w:tcW w:w="500" w:type="pct"/>
            <w:shd w:val="clear" w:color="auto" w:fill="auto"/>
            <w:vAlign w:val="center"/>
          </w:tcPr>
          <w:p w14:paraId="07E6FB42" w14:textId="046888E7"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4 110,8</w:t>
            </w:r>
          </w:p>
        </w:tc>
        <w:tc>
          <w:tcPr>
            <w:tcW w:w="500" w:type="pct"/>
            <w:shd w:val="clear" w:color="auto" w:fill="auto"/>
            <w:vAlign w:val="center"/>
          </w:tcPr>
          <w:p w14:paraId="4341C4A7" w14:textId="1A2C5C1E"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4 369,4</w:t>
            </w:r>
          </w:p>
        </w:tc>
        <w:tc>
          <w:tcPr>
            <w:tcW w:w="500" w:type="pct"/>
            <w:shd w:val="clear" w:color="auto" w:fill="auto"/>
            <w:vAlign w:val="center"/>
          </w:tcPr>
          <w:p w14:paraId="4D2224EA" w14:textId="71C5552B"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4 633,2</w:t>
            </w:r>
          </w:p>
        </w:tc>
      </w:tr>
      <w:tr w:rsidR="0063382B" w:rsidRPr="0063382B" w14:paraId="7B7BC819" w14:textId="77777777" w:rsidTr="003B3D5E">
        <w:trPr>
          <w:cantSplit/>
          <w:trHeight w:val="20"/>
        </w:trPr>
        <w:tc>
          <w:tcPr>
            <w:tcW w:w="3000" w:type="pct"/>
            <w:shd w:val="clear" w:color="auto" w:fill="auto"/>
            <w:vAlign w:val="center"/>
            <w:hideMark/>
          </w:tcPr>
          <w:p w14:paraId="3BF53700"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Akcīzes nodoklis</w:t>
            </w:r>
          </w:p>
        </w:tc>
        <w:tc>
          <w:tcPr>
            <w:tcW w:w="500" w:type="pct"/>
            <w:shd w:val="clear" w:color="auto" w:fill="auto"/>
            <w:vAlign w:val="center"/>
          </w:tcPr>
          <w:p w14:paraId="494BCE8B" w14:textId="425FDE3A"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1 198,4</w:t>
            </w:r>
          </w:p>
        </w:tc>
        <w:tc>
          <w:tcPr>
            <w:tcW w:w="500" w:type="pct"/>
            <w:shd w:val="clear" w:color="auto" w:fill="auto"/>
            <w:vAlign w:val="center"/>
          </w:tcPr>
          <w:p w14:paraId="7C3F98A3" w14:textId="27996FA0"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1 246,6</w:t>
            </w:r>
          </w:p>
        </w:tc>
        <w:tc>
          <w:tcPr>
            <w:tcW w:w="500" w:type="pct"/>
            <w:shd w:val="clear" w:color="auto" w:fill="auto"/>
            <w:vAlign w:val="center"/>
          </w:tcPr>
          <w:p w14:paraId="2ECFA5DE" w14:textId="1A6190AB"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1 317,1</w:t>
            </w:r>
          </w:p>
        </w:tc>
        <w:tc>
          <w:tcPr>
            <w:tcW w:w="500" w:type="pct"/>
            <w:shd w:val="clear" w:color="auto" w:fill="auto"/>
            <w:vAlign w:val="center"/>
          </w:tcPr>
          <w:p w14:paraId="6F1B0AD7" w14:textId="59AA4F74"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1 389,0</w:t>
            </w:r>
          </w:p>
        </w:tc>
      </w:tr>
      <w:tr w:rsidR="0063382B" w:rsidRPr="0063382B" w14:paraId="49D1CF94" w14:textId="77777777" w:rsidTr="003B3D5E">
        <w:trPr>
          <w:cantSplit/>
          <w:trHeight w:val="20"/>
        </w:trPr>
        <w:tc>
          <w:tcPr>
            <w:tcW w:w="3000" w:type="pct"/>
            <w:shd w:val="clear" w:color="auto" w:fill="auto"/>
            <w:vAlign w:val="center"/>
            <w:hideMark/>
          </w:tcPr>
          <w:p w14:paraId="56B859CC"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Transportlīdzekļu ekspluatācijas nodoklis</w:t>
            </w:r>
          </w:p>
        </w:tc>
        <w:tc>
          <w:tcPr>
            <w:tcW w:w="500" w:type="pct"/>
            <w:shd w:val="clear" w:color="auto" w:fill="auto"/>
            <w:vAlign w:val="center"/>
          </w:tcPr>
          <w:p w14:paraId="7959C48B" w14:textId="0A5BF26C"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102,9</w:t>
            </w:r>
          </w:p>
        </w:tc>
        <w:tc>
          <w:tcPr>
            <w:tcW w:w="500" w:type="pct"/>
            <w:shd w:val="clear" w:color="auto" w:fill="auto"/>
            <w:vAlign w:val="center"/>
          </w:tcPr>
          <w:p w14:paraId="03D5F5BF" w14:textId="50972D95"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105,3</w:t>
            </w:r>
          </w:p>
        </w:tc>
        <w:tc>
          <w:tcPr>
            <w:tcW w:w="500" w:type="pct"/>
            <w:shd w:val="clear" w:color="auto" w:fill="auto"/>
            <w:vAlign w:val="center"/>
          </w:tcPr>
          <w:p w14:paraId="42414D92" w14:textId="249B74E4"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108,6</w:t>
            </w:r>
          </w:p>
        </w:tc>
        <w:tc>
          <w:tcPr>
            <w:tcW w:w="500" w:type="pct"/>
            <w:shd w:val="clear" w:color="auto" w:fill="auto"/>
            <w:vAlign w:val="center"/>
          </w:tcPr>
          <w:p w14:paraId="5E49A1D2" w14:textId="0012AD03"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112,0</w:t>
            </w:r>
          </w:p>
        </w:tc>
      </w:tr>
      <w:tr w:rsidR="0063382B" w:rsidRPr="0063382B" w14:paraId="00C9672E" w14:textId="77777777" w:rsidTr="003B3D5E">
        <w:trPr>
          <w:cantSplit/>
          <w:trHeight w:val="20"/>
        </w:trPr>
        <w:tc>
          <w:tcPr>
            <w:tcW w:w="3000" w:type="pct"/>
            <w:shd w:val="clear" w:color="auto" w:fill="auto"/>
            <w:vAlign w:val="center"/>
            <w:hideMark/>
          </w:tcPr>
          <w:p w14:paraId="111535E3"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Uzņēmumu vieglo transportlīdzekļu nodoklis</w:t>
            </w:r>
          </w:p>
        </w:tc>
        <w:tc>
          <w:tcPr>
            <w:tcW w:w="500" w:type="pct"/>
            <w:shd w:val="clear" w:color="auto" w:fill="auto"/>
            <w:vAlign w:val="center"/>
          </w:tcPr>
          <w:p w14:paraId="75C10620" w14:textId="4B3E4E63"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29,1</w:t>
            </w:r>
          </w:p>
        </w:tc>
        <w:tc>
          <w:tcPr>
            <w:tcW w:w="500" w:type="pct"/>
            <w:shd w:val="clear" w:color="auto" w:fill="auto"/>
            <w:vAlign w:val="center"/>
          </w:tcPr>
          <w:p w14:paraId="0914F077" w14:textId="566D793B"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33,4</w:t>
            </w:r>
          </w:p>
        </w:tc>
        <w:tc>
          <w:tcPr>
            <w:tcW w:w="500" w:type="pct"/>
            <w:shd w:val="clear" w:color="auto" w:fill="auto"/>
            <w:vAlign w:val="center"/>
          </w:tcPr>
          <w:p w14:paraId="0359BC02" w14:textId="202E559A"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33,7</w:t>
            </w:r>
          </w:p>
        </w:tc>
        <w:tc>
          <w:tcPr>
            <w:tcW w:w="500" w:type="pct"/>
            <w:shd w:val="clear" w:color="auto" w:fill="auto"/>
            <w:vAlign w:val="center"/>
          </w:tcPr>
          <w:p w14:paraId="248E43BD" w14:textId="2F2356BB"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34,2</w:t>
            </w:r>
          </w:p>
        </w:tc>
      </w:tr>
      <w:tr w:rsidR="0063382B" w:rsidRPr="0063382B" w14:paraId="0B438CAF" w14:textId="77777777" w:rsidTr="003B3D5E">
        <w:trPr>
          <w:cantSplit/>
          <w:trHeight w:val="20"/>
        </w:trPr>
        <w:tc>
          <w:tcPr>
            <w:tcW w:w="3000" w:type="pct"/>
            <w:shd w:val="clear" w:color="auto" w:fill="auto"/>
            <w:vAlign w:val="center"/>
            <w:hideMark/>
          </w:tcPr>
          <w:p w14:paraId="4988080F"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Muitas nodoklis</w:t>
            </w:r>
          </w:p>
        </w:tc>
        <w:tc>
          <w:tcPr>
            <w:tcW w:w="500" w:type="pct"/>
            <w:shd w:val="clear" w:color="auto" w:fill="auto"/>
            <w:vAlign w:val="center"/>
          </w:tcPr>
          <w:p w14:paraId="02A9F1B5" w14:textId="49607462"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61,2</w:t>
            </w:r>
          </w:p>
        </w:tc>
        <w:tc>
          <w:tcPr>
            <w:tcW w:w="500" w:type="pct"/>
            <w:shd w:val="clear" w:color="auto" w:fill="auto"/>
            <w:vAlign w:val="center"/>
          </w:tcPr>
          <w:p w14:paraId="4CAA6BEB" w14:textId="68EA98B0"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68,4</w:t>
            </w:r>
          </w:p>
        </w:tc>
        <w:tc>
          <w:tcPr>
            <w:tcW w:w="500" w:type="pct"/>
            <w:shd w:val="clear" w:color="auto" w:fill="auto"/>
            <w:vAlign w:val="center"/>
          </w:tcPr>
          <w:p w14:paraId="40FAF4EF" w14:textId="4607686E"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71,9</w:t>
            </w:r>
          </w:p>
        </w:tc>
        <w:tc>
          <w:tcPr>
            <w:tcW w:w="500" w:type="pct"/>
            <w:shd w:val="clear" w:color="auto" w:fill="auto"/>
            <w:vAlign w:val="center"/>
          </w:tcPr>
          <w:p w14:paraId="76934824" w14:textId="5A7499DE"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76,5</w:t>
            </w:r>
          </w:p>
        </w:tc>
      </w:tr>
      <w:tr w:rsidR="0063382B" w:rsidRPr="0063382B" w14:paraId="4CA7DFB5" w14:textId="77777777" w:rsidTr="00E012A3">
        <w:trPr>
          <w:cantSplit/>
          <w:trHeight w:val="20"/>
        </w:trPr>
        <w:tc>
          <w:tcPr>
            <w:tcW w:w="3000" w:type="pct"/>
            <w:shd w:val="clear" w:color="auto" w:fill="D9E2F3"/>
            <w:vAlign w:val="center"/>
          </w:tcPr>
          <w:p w14:paraId="3978D5F0" w14:textId="77777777" w:rsidR="0063382B" w:rsidRPr="0063382B" w:rsidRDefault="0063382B" w:rsidP="0063382B">
            <w:pPr>
              <w:keepNext/>
              <w:keepLines/>
              <w:spacing w:before="100" w:beforeAutospacing="1" w:after="100" w:afterAutospacing="1"/>
              <w:ind w:firstLine="0"/>
              <w:contextualSpacing/>
              <w:jc w:val="left"/>
              <w:rPr>
                <w:rFonts w:eastAsia="Times New Roman" w:cs="Times New Roman"/>
                <w:sz w:val="18"/>
                <w:szCs w:val="24"/>
              </w:rPr>
            </w:pPr>
            <w:r w:rsidRPr="0063382B">
              <w:rPr>
                <w:rFonts w:eastAsia="Times New Roman" w:cs="Times New Roman"/>
                <w:sz w:val="18"/>
                <w:szCs w:val="24"/>
              </w:rPr>
              <w:t>Pārējie nodokļi</w:t>
            </w:r>
          </w:p>
        </w:tc>
        <w:tc>
          <w:tcPr>
            <w:tcW w:w="500" w:type="pct"/>
            <w:shd w:val="clear" w:color="auto" w:fill="D9E2F3"/>
            <w:vAlign w:val="center"/>
          </w:tcPr>
          <w:p w14:paraId="6BB43326" w14:textId="1822AE10"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114,7</w:t>
            </w:r>
          </w:p>
        </w:tc>
        <w:tc>
          <w:tcPr>
            <w:tcW w:w="500" w:type="pct"/>
            <w:shd w:val="clear" w:color="auto" w:fill="D9E2F3"/>
            <w:vAlign w:val="center"/>
          </w:tcPr>
          <w:p w14:paraId="7B1B2646" w14:textId="0F5080A8"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128,8</w:t>
            </w:r>
          </w:p>
        </w:tc>
        <w:tc>
          <w:tcPr>
            <w:tcW w:w="500" w:type="pct"/>
            <w:shd w:val="clear" w:color="auto" w:fill="D9E2F3"/>
            <w:vAlign w:val="center"/>
          </w:tcPr>
          <w:p w14:paraId="5B9833CE" w14:textId="0F8BC239"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144,7</w:t>
            </w:r>
          </w:p>
        </w:tc>
        <w:tc>
          <w:tcPr>
            <w:tcW w:w="500" w:type="pct"/>
            <w:shd w:val="clear" w:color="auto" w:fill="D9E2F3"/>
            <w:vAlign w:val="center"/>
          </w:tcPr>
          <w:p w14:paraId="790840B9" w14:textId="3D0E110D" w:rsidR="0063382B" w:rsidRPr="0063382B" w:rsidRDefault="0063382B" w:rsidP="0063382B">
            <w:pPr>
              <w:spacing w:before="100" w:beforeAutospacing="1" w:after="100" w:afterAutospacing="1"/>
              <w:ind w:firstLine="0"/>
              <w:contextualSpacing/>
              <w:jc w:val="right"/>
              <w:rPr>
                <w:rFonts w:eastAsia="Times New Roman" w:cs="Times New Roman"/>
                <w:b/>
                <w:bCs/>
                <w:i/>
                <w:iCs/>
                <w:sz w:val="18"/>
                <w:szCs w:val="24"/>
              </w:rPr>
            </w:pPr>
            <w:r w:rsidRPr="0063382B">
              <w:rPr>
                <w:b/>
                <w:bCs/>
                <w:i/>
                <w:iCs/>
                <w:sz w:val="18"/>
                <w:szCs w:val="18"/>
              </w:rPr>
              <w:t>158,5</w:t>
            </w:r>
          </w:p>
        </w:tc>
      </w:tr>
      <w:tr w:rsidR="0063382B" w:rsidRPr="0063382B" w14:paraId="67E5A869" w14:textId="77777777" w:rsidTr="003B3D5E">
        <w:trPr>
          <w:cantSplit/>
          <w:trHeight w:val="20"/>
        </w:trPr>
        <w:tc>
          <w:tcPr>
            <w:tcW w:w="3000" w:type="pct"/>
            <w:shd w:val="clear" w:color="auto" w:fill="auto"/>
            <w:vAlign w:val="center"/>
            <w:hideMark/>
          </w:tcPr>
          <w:p w14:paraId="5F3E0F2C"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Dabas resursu nodoklis</w:t>
            </w:r>
          </w:p>
        </w:tc>
        <w:tc>
          <w:tcPr>
            <w:tcW w:w="500" w:type="pct"/>
            <w:shd w:val="clear" w:color="auto" w:fill="auto"/>
            <w:vAlign w:val="center"/>
          </w:tcPr>
          <w:p w14:paraId="6AD904D1" w14:textId="255CC43A"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64,0</w:t>
            </w:r>
          </w:p>
        </w:tc>
        <w:tc>
          <w:tcPr>
            <w:tcW w:w="500" w:type="pct"/>
            <w:shd w:val="clear" w:color="auto" w:fill="auto"/>
            <w:vAlign w:val="center"/>
          </w:tcPr>
          <w:p w14:paraId="229AAD1B" w14:textId="2DC1BF1A"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74,0</w:t>
            </w:r>
          </w:p>
        </w:tc>
        <w:tc>
          <w:tcPr>
            <w:tcW w:w="500" w:type="pct"/>
            <w:shd w:val="clear" w:color="auto" w:fill="auto"/>
            <w:vAlign w:val="center"/>
          </w:tcPr>
          <w:p w14:paraId="22EF9CEF" w14:textId="61A6BED9"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89,4</w:t>
            </w:r>
          </w:p>
        </w:tc>
        <w:tc>
          <w:tcPr>
            <w:tcW w:w="500" w:type="pct"/>
            <w:shd w:val="clear" w:color="auto" w:fill="auto"/>
            <w:vAlign w:val="center"/>
          </w:tcPr>
          <w:p w14:paraId="5D64322C" w14:textId="4344B86D"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102,6</w:t>
            </w:r>
          </w:p>
        </w:tc>
      </w:tr>
      <w:tr w:rsidR="0063382B" w:rsidRPr="0063382B" w14:paraId="41641A01" w14:textId="77777777" w:rsidTr="003B3D5E">
        <w:trPr>
          <w:cantSplit/>
          <w:trHeight w:val="20"/>
        </w:trPr>
        <w:tc>
          <w:tcPr>
            <w:tcW w:w="3000" w:type="pct"/>
            <w:shd w:val="clear" w:color="auto" w:fill="auto"/>
            <w:vAlign w:val="center"/>
            <w:hideMark/>
          </w:tcPr>
          <w:p w14:paraId="707AA998"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Izložu un azartspēļu nodoklis</w:t>
            </w:r>
          </w:p>
        </w:tc>
        <w:tc>
          <w:tcPr>
            <w:tcW w:w="500" w:type="pct"/>
            <w:shd w:val="clear" w:color="auto" w:fill="auto"/>
            <w:vAlign w:val="center"/>
          </w:tcPr>
          <w:p w14:paraId="2CC92A2D" w14:textId="1E9AE412"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45,6</w:t>
            </w:r>
          </w:p>
        </w:tc>
        <w:tc>
          <w:tcPr>
            <w:tcW w:w="500" w:type="pct"/>
            <w:shd w:val="clear" w:color="auto" w:fill="auto"/>
            <w:vAlign w:val="center"/>
          </w:tcPr>
          <w:p w14:paraId="3C63C0DD" w14:textId="363C02D1"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49,7</w:t>
            </w:r>
          </w:p>
        </w:tc>
        <w:tc>
          <w:tcPr>
            <w:tcW w:w="500" w:type="pct"/>
            <w:shd w:val="clear" w:color="auto" w:fill="auto"/>
            <w:vAlign w:val="center"/>
          </w:tcPr>
          <w:p w14:paraId="59EAA0D2" w14:textId="678BB4C1"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50,1</w:t>
            </w:r>
          </w:p>
        </w:tc>
        <w:tc>
          <w:tcPr>
            <w:tcW w:w="500" w:type="pct"/>
            <w:shd w:val="clear" w:color="auto" w:fill="auto"/>
            <w:vAlign w:val="center"/>
          </w:tcPr>
          <w:p w14:paraId="19287D85" w14:textId="6D0D1AD2"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50,6</w:t>
            </w:r>
          </w:p>
        </w:tc>
      </w:tr>
      <w:tr w:rsidR="0063382B" w:rsidRPr="0063382B" w14:paraId="3E8ECF51" w14:textId="77777777" w:rsidTr="003B3D5E">
        <w:trPr>
          <w:cantSplit/>
          <w:trHeight w:val="20"/>
        </w:trPr>
        <w:tc>
          <w:tcPr>
            <w:tcW w:w="3000" w:type="pct"/>
            <w:shd w:val="clear" w:color="auto" w:fill="auto"/>
            <w:vAlign w:val="center"/>
            <w:hideMark/>
          </w:tcPr>
          <w:p w14:paraId="3846652A" w14:textId="77777777" w:rsidR="0063382B" w:rsidRPr="0063382B" w:rsidRDefault="0063382B" w:rsidP="0063382B">
            <w:pPr>
              <w:keepNext/>
              <w:keepLines/>
              <w:spacing w:before="100" w:beforeAutospacing="1" w:after="100" w:afterAutospacing="1"/>
              <w:ind w:left="720" w:firstLine="0"/>
              <w:contextualSpacing/>
              <w:jc w:val="left"/>
              <w:rPr>
                <w:rFonts w:eastAsia="Times New Roman" w:cs="Times New Roman"/>
                <w:i/>
                <w:iCs/>
                <w:sz w:val="18"/>
                <w:szCs w:val="24"/>
              </w:rPr>
            </w:pPr>
            <w:r w:rsidRPr="0063382B">
              <w:rPr>
                <w:rFonts w:eastAsia="Times New Roman" w:cs="Times New Roman"/>
                <w:i/>
                <w:iCs/>
                <w:sz w:val="18"/>
                <w:szCs w:val="24"/>
              </w:rPr>
              <w:t>Elektroenerģijas nodoklis</w:t>
            </w:r>
          </w:p>
        </w:tc>
        <w:tc>
          <w:tcPr>
            <w:tcW w:w="500" w:type="pct"/>
            <w:shd w:val="clear" w:color="auto" w:fill="auto"/>
            <w:vAlign w:val="center"/>
          </w:tcPr>
          <w:p w14:paraId="7FA3DD10" w14:textId="45CC32EF"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5,1</w:t>
            </w:r>
          </w:p>
        </w:tc>
        <w:tc>
          <w:tcPr>
            <w:tcW w:w="500" w:type="pct"/>
            <w:shd w:val="clear" w:color="auto" w:fill="auto"/>
            <w:vAlign w:val="center"/>
          </w:tcPr>
          <w:p w14:paraId="4C64A2BA" w14:textId="116CEE03"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5,2</w:t>
            </w:r>
          </w:p>
        </w:tc>
        <w:tc>
          <w:tcPr>
            <w:tcW w:w="500" w:type="pct"/>
            <w:shd w:val="clear" w:color="auto" w:fill="auto"/>
            <w:vAlign w:val="center"/>
          </w:tcPr>
          <w:p w14:paraId="4BC39369" w14:textId="0DADA527"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5,2</w:t>
            </w:r>
          </w:p>
        </w:tc>
        <w:tc>
          <w:tcPr>
            <w:tcW w:w="500" w:type="pct"/>
            <w:shd w:val="clear" w:color="auto" w:fill="auto"/>
            <w:vAlign w:val="center"/>
          </w:tcPr>
          <w:p w14:paraId="28FAF4D1" w14:textId="40408E5C" w:rsidR="0063382B" w:rsidRPr="0063382B" w:rsidRDefault="0063382B" w:rsidP="0063382B">
            <w:pPr>
              <w:spacing w:before="100" w:beforeAutospacing="1" w:after="100" w:afterAutospacing="1"/>
              <w:ind w:firstLine="0"/>
              <w:contextualSpacing/>
              <w:jc w:val="right"/>
              <w:rPr>
                <w:rFonts w:eastAsia="Times New Roman" w:cs="Times New Roman"/>
                <w:i/>
                <w:iCs/>
                <w:sz w:val="18"/>
                <w:szCs w:val="24"/>
              </w:rPr>
            </w:pPr>
            <w:r w:rsidRPr="0063382B">
              <w:rPr>
                <w:i/>
                <w:iCs/>
                <w:sz w:val="18"/>
                <w:szCs w:val="18"/>
              </w:rPr>
              <w:t>5,3</w:t>
            </w:r>
          </w:p>
        </w:tc>
      </w:tr>
    </w:tbl>
    <w:p w14:paraId="07B424A8" w14:textId="330904A7" w:rsidR="00435820" w:rsidRPr="0063382B" w:rsidRDefault="00435820" w:rsidP="0063382B">
      <w:pPr>
        <w:spacing w:after="0"/>
        <w:ind w:left="425" w:firstLine="0"/>
        <w:contextualSpacing/>
        <w:rPr>
          <w:rFonts w:eastAsia="Calibri" w:cs="Times New Roman"/>
          <w:sz w:val="18"/>
          <w:szCs w:val="18"/>
          <w:lang w:eastAsia="en-US"/>
        </w:rPr>
      </w:pPr>
      <w:r w:rsidRPr="0063382B">
        <w:rPr>
          <w:rFonts w:eastAsia="Calibri" w:cs="Times New Roman"/>
          <w:sz w:val="18"/>
          <w:szCs w:val="18"/>
          <w:vertAlign w:val="superscript"/>
          <w:lang w:eastAsia="en-US"/>
        </w:rPr>
        <w:t>1</w:t>
      </w:r>
      <w:r w:rsidRPr="0063382B">
        <w:rPr>
          <w:rFonts w:eastAsia="Calibri" w:cs="Times New Roman"/>
          <w:sz w:val="18"/>
          <w:szCs w:val="18"/>
          <w:lang w:eastAsia="en-US"/>
        </w:rPr>
        <w:t> </w:t>
      </w:r>
      <w:r w:rsidR="002076CF">
        <w:rPr>
          <w:rFonts w:eastAsia="Calibri" w:cs="Times New Roman"/>
          <w:sz w:val="18"/>
          <w:szCs w:val="18"/>
          <w:lang w:eastAsia="en-US"/>
        </w:rPr>
        <w:t>Prognoze</w:t>
      </w:r>
    </w:p>
    <w:p w14:paraId="6B2A7A52" w14:textId="31228400" w:rsidR="00A6117C" w:rsidRPr="0063382B" w:rsidRDefault="00435820" w:rsidP="0063382B">
      <w:pPr>
        <w:spacing w:after="0"/>
        <w:ind w:left="425" w:firstLine="0"/>
        <w:contextualSpacing/>
        <w:rPr>
          <w:rFonts w:eastAsia="Calibri" w:cs="Times New Roman"/>
          <w:sz w:val="18"/>
          <w:szCs w:val="18"/>
          <w:lang w:eastAsia="en-US"/>
        </w:rPr>
      </w:pPr>
      <w:r w:rsidRPr="0063382B">
        <w:rPr>
          <w:rFonts w:eastAsia="Calibri" w:cs="Times New Roman"/>
          <w:sz w:val="18"/>
          <w:szCs w:val="18"/>
          <w:vertAlign w:val="superscript"/>
          <w:lang w:eastAsia="en-US"/>
        </w:rPr>
        <w:t>2</w:t>
      </w:r>
      <w:r w:rsidRPr="0063382B">
        <w:rPr>
          <w:rFonts w:eastAsia="Calibri" w:cs="Times New Roman"/>
          <w:sz w:val="18"/>
          <w:szCs w:val="18"/>
          <w:lang w:eastAsia="en-US"/>
        </w:rPr>
        <w:t xml:space="preserve"> Neieskaitot iemaksas valsts </w:t>
      </w:r>
      <w:proofErr w:type="spellStart"/>
      <w:r w:rsidRPr="0063382B">
        <w:rPr>
          <w:rFonts w:eastAsia="Calibri" w:cs="Times New Roman"/>
          <w:sz w:val="18"/>
          <w:szCs w:val="18"/>
          <w:lang w:eastAsia="en-US"/>
        </w:rPr>
        <w:t>fondēto</w:t>
      </w:r>
      <w:proofErr w:type="spellEnd"/>
      <w:r w:rsidRPr="0063382B">
        <w:rPr>
          <w:rFonts w:eastAsia="Calibri" w:cs="Times New Roman"/>
          <w:sz w:val="18"/>
          <w:szCs w:val="18"/>
          <w:lang w:eastAsia="en-US"/>
        </w:rPr>
        <w:t xml:space="preserve"> pensiju shēmā.</w:t>
      </w:r>
    </w:p>
    <w:p w14:paraId="79BDC9E3" w14:textId="77777777" w:rsidR="00A6117C" w:rsidRPr="0038459F" w:rsidRDefault="00A6117C" w:rsidP="0063382B">
      <w:pPr>
        <w:spacing w:after="0"/>
        <w:ind w:firstLine="0"/>
        <w:contextualSpacing/>
        <w:rPr>
          <w:rFonts w:eastAsia="Calibri" w:cs="Times New Roman"/>
          <w:sz w:val="18"/>
          <w:szCs w:val="18"/>
          <w:highlight w:val="lightGray"/>
          <w:lang w:eastAsia="en-US"/>
        </w:rPr>
      </w:pPr>
    </w:p>
    <w:p w14:paraId="3C084703" w14:textId="3AC9E703" w:rsidR="006C567F" w:rsidRPr="0063382B" w:rsidRDefault="006C567F" w:rsidP="00DB14A4">
      <w:pPr>
        <w:pStyle w:val="H3"/>
      </w:pPr>
      <w:bookmarkStart w:id="82" w:name="_Toc126236662"/>
      <w:bookmarkStart w:id="83" w:name="_Toc103590594"/>
      <w:r w:rsidRPr="0063382B">
        <w:t>3.2.1. Tiešie nodokļi</w:t>
      </w:r>
      <w:bookmarkEnd w:id="82"/>
    </w:p>
    <w:p w14:paraId="0721D31E" w14:textId="77777777" w:rsidR="0063382B" w:rsidRPr="007A3498" w:rsidRDefault="0063382B" w:rsidP="0063382B">
      <w:pPr>
        <w:rPr>
          <w:rFonts w:eastAsia="Times New Roman" w:cs="Times New Roman"/>
          <w:color w:val="000000"/>
          <w:szCs w:val="24"/>
        </w:rPr>
      </w:pPr>
      <w:r w:rsidRPr="007A3498">
        <w:rPr>
          <w:rFonts w:eastAsia="Times New Roman" w:cs="Times New Roman"/>
          <w:color w:val="000000"/>
          <w:szCs w:val="24"/>
        </w:rPr>
        <w:t>2023</w:t>
      </w:r>
      <w:r>
        <w:rPr>
          <w:rFonts w:eastAsia="Times New Roman" w:cs="Times New Roman"/>
          <w:color w:val="000000"/>
          <w:szCs w:val="24"/>
        </w:rPr>
        <w:t>. g</w:t>
      </w:r>
      <w:r w:rsidRPr="007A3498">
        <w:rPr>
          <w:rFonts w:eastAsia="Times New Roman" w:cs="Times New Roman"/>
          <w:color w:val="000000"/>
          <w:szCs w:val="24"/>
        </w:rPr>
        <w:t>ada 1.</w:t>
      </w:r>
      <w:r>
        <w:rPr>
          <w:rFonts w:eastAsia="Times New Roman" w:cs="Times New Roman"/>
          <w:color w:val="000000"/>
          <w:szCs w:val="24"/>
        </w:rPr>
        <w:t> </w:t>
      </w:r>
      <w:r w:rsidRPr="007A3498">
        <w:rPr>
          <w:rFonts w:eastAsia="Times New Roman" w:cs="Times New Roman"/>
          <w:color w:val="000000"/>
          <w:szCs w:val="24"/>
        </w:rPr>
        <w:t>pusgadā tiešo nodokļu ieņēmumi bija 3 535,0</w:t>
      </w:r>
      <w:r>
        <w:rPr>
          <w:rFonts w:eastAsia="Times New Roman" w:cs="Times New Roman"/>
          <w:color w:val="000000"/>
          <w:szCs w:val="24"/>
        </w:rPr>
        <w:t> milj.</w:t>
      </w:r>
      <w:r w:rsidRPr="007A349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7A3498">
        <w:rPr>
          <w:rFonts w:eastAsia="Times New Roman" w:cs="Times New Roman"/>
          <w:color w:val="000000"/>
          <w:szCs w:val="24"/>
        </w:rPr>
        <w:t>, kas salīdzinot ar plānu, bija par 185,2</w:t>
      </w:r>
      <w:r>
        <w:rPr>
          <w:rFonts w:eastAsia="Times New Roman" w:cs="Times New Roman"/>
          <w:color w:val="000000"/>
          <w:szCs w:val="24"/>
        </w:rPr>
        <w:t> milj.</w:t>
      </w:r>
      <w:r w:rsidRPr="007A349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7A3498">
        <w:rPr>
          <w:rFonts w:eastAsia="Times New Roman" w:cs="Times New Roman"/>
          <w:color w:val="000000"/>
          <w:szCs w:val="24"/>
        </w:rPr>
        <w:t xml:space="preserve"> jeb 5,5 % vairāk, kur lielākās </w:t>
      </w:r>
      <w:proofErr w:type="spellStart"/>
      <w:r w:rsidRPr="007A3498">
        <w:rPr>
          <w:rFonts w:eastAsia="Times New Roman" w:cs="Times New Roman"/>
          <w:color w:val="000000"/>
          <w:szCs w:val="24"/>
        </w:rPr>
        <w:t>pārpildes</w:t>
      </w:r>
      <w:proofErr w:type="spellEnd"/>
      <w:r w:rsidRPr="007A3498">
        <w:rPr>
          <w:rFonts w:eastAsia="Times New Roman" w:cs="Times New Roman"/>
          <w:color w:val="000000"/>
          <w:szCs w:val="24"/>
        </w:rPr>
        <w:t xml:space="preserve"> bija UIN un PVN ieņēmumiem. Salīdzinot ar 2022</w:t>
      </w:r>
      <w:r>
        <w:rPr>
          <w:rFonts w:eastAsia="Times New Roman" w:cs="Times New Roman"/>
          <w:color w:val="000000"/>
          <w:szCs w:val="24"/>
        </w:rPr>
        <w:t>. g</w:t>
      </w:r>
      <w:r w:rsidRPr="007A3498">
        <w:rPr>
          <w:rFonts w:eastAsia="Times New Roman" w:cs="Times New Roman"/>
          <w:color w:val="000000"/>
          <w:szCs w:val="24"/>
        </w:rPr>
        <w:t>ada attiecīgo periodu, tiešo nodokļu ieņēmumi tika iekasēti par 356,2</w:t>
      </w:r>
      <w:r>
        <w:rPr>
          <w:rFonts w:eastAsia="Times New Roman" w:cs="Times New Roman"/>
          <w:color w:val="000000"/>
          <w:szCs w:val="24"/>
        </w:rPr>
        <w:t> milj.</w:t>
      </w:r>
      <w:r w:rsidRPr="007A349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7A3498">
        <w:rPr>
          <w:rFonts w:eastAsia="Times New Roman" w:cs="Times New Roman"/>
          <w:color w:val="000000"/>
          <w:szCs w:val="24"/>
        </w:rPr>
        <w:t xml:space="preserve"> jeb 11,2 % vairāk. </w:t>
      </w:r>
    </w:p>
    <w:p w14:paraId="37ACE510" w14:textId="77777777" w:rsidR="0063382B" w:rsidRPr="007A3498" w:rsidRDefault="0063382B" w:rsidP="0063382B">
      <w:pPr>
        <w:rPr>
          <w:rFonts w:eastAsia="Times New Roman" w:cs="Times New Roman"/>
          <w:color w:val="000000"/>
          <w:szCs w:val="24"/>
        </w:rPr>
      </w:pPr>
      <w:r w:rsidRPr="007A3498">
        <w:rPr>
          <w:rFonts w:eastAsia="Times New Roman" w:cs="Times New Roman"/>
          <w:color w:val="000000"/>
          <w:szCs w:val="24"/>
        </w:rPr>
        <w:t xml:space="preserve">Saskaņā ar </w:t>
      </w:r>
      <w:r w:rsidRPr="0060241C">
        <w:rPr>
          <w:rFonts w:eastAsia="Calibri" w:cs="Times New Roman"/>
          <w:szCs w:val="24"/>
        </w:rPr>
        <w:t>likumprojektu</w:t>
      </w:r>
      <w:r w:rsidRPr="007A3498">
        <w:rPr>
          <w:rFonts w:eastAsia="Times New Roman" w:cs="Times New Roman"/>
          <w:color w:val="000000"/>
          <w:szCs w:val="24"/>
        </w:rPr>
        <w:t xml:space="preserve"> “Par valsts budžetu 2024</w:t>
      </w:r>
      <w:r>
        <w:rPr>
          <w:rFonts w:eastAsia="Times New Roman" w:cs="Times New Roman"/>
          <w:color w:val="000000"/>
          <w:szCs w:val="24"/>
        </w:rPr>
        <w:t>. g</w:t>
      </w:r>
      <w:r w:rsidRPr="007A3498">
        <w:rPr>
          <w:rFonts w:eastAsia="Times New Roman" w:cs="Times New Roman"/>
          <w:color w:val="000000"/>
          <w:szCs w:val="24"/>
        </w:rPr>
        <w:t>adam un budžeta ietvaru 2024., 2025. un 2026</w:t>
      </w:r>
      <w:r>
        <w:rPr>
          <w:rFonts w:eastAsia="Times New Roman" w:cs="Times New Roman"/>
          <w:color w:val="000000"/>
          <w:szCs w:val="24"/>
        </w:rPr>
        <w:t>. g</w:t>
      </w:r>
      <w:r w:rsidRPr="007A3498">
        <w:rPr>
          <w:rFonts w:eastAsia="Times New Roman" w:cs="Times New Roman"/>
          <w:color w:val="000000"/>
          <w:szCs w:val="24"/>
        </w:rPr>
        <w:t>adam” tiek plānots, ka 2024</w:t>
      </w:r>
      <w:r>
        <w:rPr>
          <w:rFonts w:eastAsia="Times New Roman" w:cs="Times New Roman"/>
          <w:color w:val="000000"/>
          <w:szCs w:val="24"/>
        </w:rPr>
        <w:t>. g</w:t>
      </w:r>
      <w:r w:rsidRPr="007A3498">
        <w:rPr>
          <w:rFonts w:eastAsia="Times New Roman" w:cs="Times New Roman"/>
          <w:color w:val="000000"/>
          <w:szCs w:val="24"/>
        </w:rPr>
        <w:t>adā tiešo nodokļu ieņēmumi veidos 58,8 % no visiem kopbudžeta nodokļiem, kas ir par 1,6 procentpunktiem vairāk nekā prognozēts 2023</w:t>
      </w:r>
      <w:r>
        <w:rPr>
          <w:rFonts w:eastAsia="Times New Roman" w:cs="Times New Roman"/>
          <w:color w:val="000000"/>
          <w:szCs w:val="24"/>
        </w:rPr>
        <w:t>. g</w:t>
      </w:r>
      <w:r w:rsidRPr="007A3498">
        <w:rPr>
          <w:rFonts w:eastAsia="Times New Roman" w:cs="Times New Roman"/>
          <w:color w:val="000000"/>
          <w:szCs w:val="24"/>
        </w:rPr>
        <w:t>ad</w:t>
      </w:r>
      <w:r>
        <w:rPr>
          <w:rFonts w:eastAsia="Times New Roman" w:cs="Times New Roman"/>
          <w:color w:val="000000"/>
          <w:szCs w:val="24"/>
        </w:rPr>
        <w:t>am</w:t>
      </w:r>
      <w:r w:rsidRPr="007A3498">
        <w:rPr>
          <w:rFonts w:eastAsia="Times New Roman" w:cs="Times New Roman"/>
          <w:color w:val="000000"/>
          <w:szCs w:val="24"/>
        </w:rPr>
        <w:t>. Informācija par tiešo nodokļu sadalījumu ir sniegta 3.1. attēlā.</w:t>
      </w:r>
    </w:p>
    <w:p w14:paraId="10228E3F" w14:textId="6E8C6743" w:rsidR="00815DDD" w:rsidRPr="0038459F" w:rsidRDefault="0063382B" w:rsidP="00AB59A8">
      <w:pPr>
        <w:keepNext/>
        <w:spacing w:after="0"/>
        <w:ind w:firstLine="0"/>
        <w:contextualSpacing/>
        <w:jc w:val="center"/>
        <w:rPr>
          <w:rFonts w:eastAsia="Calibri" w:cs="Times New Roman"/>
          <w:szCs w:val="24"/>
          <w:highlight w:val="lightGray"/>
        </w:rPr>
      </w:pPr>
      <w:r>
        <w:rPr>
          <w:noProof/>
        </w:rPr>
        <w:lastRenderedPageBreak/>
        <w:drawing>
          <wp:inline distT="0" distB="0" distL="0" distR="0" wp14:anchorId="52F39973" wp14:editId="509D5F84">
            <wp:extent cx="5276850" cy="4076700"/>
            <wp:effectExtent l="0" t="0" r="0" b="0"/>
            <wp:docPr id="1668009952" name="Chart 1">
              <a:extLst xmlns:a="http://schemas.openxmlformats.org/drawingml/2006/main">
                <a:ext uri="{FF2B5EF4-FFF2-40B4-BE49-F238E27FC236}">
                  <a16:creationId xmlns:a16="http://schemas.microsoft.com/office/drawing/2014/main" id="{DEB6795B-C80D-281D-242A-EC8EB545D1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48C9BC2" w14:textId="27B72627" w:rsidR="0063382B" w:rsidRPr="0063382B" w:rsidRDefault="0063382B" w:rsidP="0063382B">
      <w:pPr>
        <w:pStyle w:val="Piezme"/>
        <w:keepNext/>
        <w:keepLines/>
      </w:pPr>
      <w:r w:rsidRPr="0063382B">
        <w:rPr>
          <w:vertAlign w:val="superscript"/>
        </w:rPr>
        <w:t>1</w:t>
      </w:r>
      <w:r w:rsidRPr="0063382B">
        <w:t xml:space="preserve"> Neieskaitot iemaksas valsts </w:t>
      </w:r>
      <w:proofErr w:type="spellStart"/>
      <w:r w:rsidRPr="0063382B">
        <w:t>fondēto</w:t>
      </w:r>
      <w:proofErr w:type="spellEnd"/>
      <w:r w:rsidRPr="0063382B">
        <w:t xml:space="preserve"> pensiju shēmā.</w:t>
      </w:r>
    </w:p>
    <w:p w14:paraId="755B52B3" w14:textId="361509FD" w:rsidR="0063382B" w:rsidRPr="0063382B" w:rsidRDefault="00815DDD" w:rsidP="0063382B">
      <w:pPr>
        <w:spacing w:after="240"/>
        <w:rPr>
          <w:rFonts w:eastAsia="Calibri" w:cs="Times New Roman"/>
          <w:b/>
          <w:bCs/>
          <w:i/>
          <w:iCs/>
          <w:szCs w:val="24"/>
        </w:rPr>
      </w:pPr>
      <w:r w:rsidRPr="0063382B">
        <w:rPr>
          <w:rFonts w:eastAsia="Calibri" w:cs="Times New Roman"/>
          <w:b/>
          <w:bCs/>
          <w:i/>
          <w:iCs/>
          <w:szCs w:val="24"/>
        </w:rPr>
        <w:t>3.1. att. Tiešo nodokļu sadalījums kopbudžeta nodokļu ieņēmumos 202</w:t>
      </w:r>
      <w:r w:rsidR="0063382B" w:rsidRPr="0063382B">
        <w:rPr>
          <w:rFonts w:eastAsia="Calibri" w:cs="Times New Roman"/>
          <w:b/>
          <w:bCs/>
          <w:i/>
          <w:iCs/>
          <w:szCs w:val="24"/>
        </w:rPr>
        <w:t>4</w:t>
      </w:r>
      <w:r w:rsidRPr="0063382B">
        <w:rPr>
          <w:rFonts w:eastAsia="Calibri" w:cs="Times New Roman"/>
          <w:b/>
          <w:bCs/>
          <w:i/>
          <w:iCs/>
          <w:szCs w:val="24"/>
        </w:rPr>
        <w:t>.gadā, %</w:t>
      </w:r>
    </w:p>
    <w:p w14:paraId="39488966" w14:textId="77777777" w:rsidR="0063382B" w:rsidRPr="00625401" w:rsidRDefault="0063382B" w:rsidP="0063382B">
      <w:pPr>
        <w:rPr>
          <w:rFonts w:eastAsia="Times New Roman" w:cs="Times New Roman"/>
          <w:color w:val="000000"/>
          <w:szCs w:val="24"/>
        </w:rPr>
      </w:pPr>
      <w:r w:rsidRPr="00625401">
        <w:rPr>
          <w:rFonts w:eastAsia="Times New Roman" w:cs="Times New Roman"/>
          <w:color w:val="000000"/>
          <w:szCs w:val="24"/>
        </w:rPr>
        <w:t>2024</w:t>
      </w:r>
      <w:r>
        <w:rPr>
          <w:rFonts w:eastAsia="Times New Roman" w:cs="Times New Roman"/>
          <w:color w:val="000000"/>
          <w:szCs w:val="24"/>
        </w:rPr>
        <w:t>. g</w:t>
      </w:r>
      <w:r w:rsidRPr="00625401">
        <w:rPr>
          <w:rFonts w:eastAsia="Times New Roman" w:cs="Times New Roman"/>
          <w:color w:val="000000"/>
          <w:szCs w:val="24"/>
        </w:rPr>
        <w:t>adā tiešo nodokļu ieņēmumu īpatsvars IKP tiek prognozēts 17,8 %, kas ir par 1,0 procentpunktu vairāk nekā 2023</w:t>
      </w:r>
      <w:r>
        <w:rPr>
          <w:rFonts w:eastAsia="Times New Roman" w:cs="Times New Roman"/>
          <w:color w:val="000000"/>
          <w:szCs w:val="24"/>
        </w:rPr>
        <w:t>. g</w:t>
      </w:r>
      <w:r w:rsidRPr="00625401">
        <w:rPr>
          <w:rFonts w:eastAsia="Times New Roman" w:cs="Times New Roman"/>
          <w:color w:val="000000"/>
          <w:szCs w:val="24"/>
        </w:rPr>
        <w:t>adā. Īpatsvara pieaugums vērojams visās nodokļu kategorijās, izņemot nekustamā īpašuma nodokli.</w:t>
      </w:r>
    </w:p>
    <w:p w14:paraId="2ECBE68C" w14:textId="77777777" w:rsidR="0063382B" w:rsidRPr="00625401" w:rsidRDefault="0063382B" w:rsidP="0063382B">
      <w:pPr>
        <w:rPr>
          <w:rFonts w:eastAsia="Times New Roman" w:cs="Times New Roman"/>
          <w:color w:val="000000"/>
          <w:szCs w:val="24"/>
        </w:rPr>
      </w:pPr>
      <w:r w:rsidRPr="00625401">
        <w:rPr>
          <w:rFonts w:eastAsia="Times New Roman" w:cs="Times New Roman"/>
          <w:color w:val="000000"/>
          <w:szCs w:val="24"/>
        </w:rPr>
        <w:t xml:space="preserve">Saskaņā ar </w:t>
      </w:r>
      <w:r w:rsidRPr="0060241C">
        <w:rPr>
          <w:rFonts w:eastAsia="Calibri" w:cs="Times New Roman"/>
          <w:szCs w:val="24"/>
        </w:rPr>
        <w:t>likumprojektu</w:t>
      </w:r>
      <w:r w:rsidRPr="00625401">
        <w:rPr>
          <w:rFonts w:eastAsia="Times New Roman" w:cs="Times New Roman"/>
          <w:color w:val="000000"/>
          <w:szCs w:val="24"/>
        </w:rPr>
        <w:t xml:space="preserve"> “Par valsts budžetu 2024</w:t>
      </w:r>
      <w:r>
        <w:rPr>
          <w:rFonts w:eastAsia="Times New Roman" w:cs="Times New Roman"/>
          <w:color w:val="000000"/>
          <w:szCs w:val="24"/>
        </w:rPr>
        <w:t>. g</w:t>
      </w:r>
      <w:r w:rsidRPr="00625401">
        <w:rPr>
          <w:rFonts w:eastAsia="Times New Roman" w:cs="Times New Roman"/>
          <w:color w:val="000000"/>
          <w:szCs w:val="24"/>
        </w:rPr>
        <w:t>adam un budžeta ietvaru 2024., 2025. un 2026</w:t>
      </w:r>
      <w:r>
        <w:rPr>
          <w:rFonts w:eastAsia="Times New Roman" w:cs="Times New Roman"/>
          <w:color w:val="000000"/>
          <w:szCs w:val="24"/>
        </w:rPr>
        <w:t>. g</w:t>
      </w:r>
      <w:r w:rsidRPr="00625401">
        <w:rPr>
          <w:rFonts w:eastAsia="Times New Roman" w:cs="Times New Roman"/>
          <w:color w:val="000000"/>
          <w:szCs w:val="24"/>
        </w:rPr>
        <w:t>adam” 2024</w:t>
      </w:r>
      <w:r>
        <w:rPr>
          <w:rFonts w:eastAsia="Times New Roman" w:cs="Times New Roman"/>
          <w:color w:val="000000"/>
          <w:szCs w:val="24"/>
        </w:rPr>
        <w:t>. g</w:t>
      </w:r>
      <w:r w:rsidRPr="00625401">
        <w:rPr>
          <w:rFonts w:eastAsia="Times New Roman" w:cs="Times New Roman"/>
          <w:color w:val="000000"/>
          <w:szCs w:val="24"/>
        </w:rPr>
        <w:t>adā tiešo nodokļu ieņēmumi tiek plānoti 8 112,6</w:t>
      </w:r>
      <w:r>
        <w:rPr>
          <w:rFonts w:eastAsia="Times New Roman" w:cs="Times New Roman"/>
          <w:color w:val="000000"/>
          <w:szCs w:val="24"/>
        </w:rPr>
        <w:t> milj.</w:t>
      </w:r>
      <w:r w:rsidRPr="00625401">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25401">
        <w:rPr>
          <w:rFonts w:eastAsia="Times New Roman" w:cs="Times New Roman"/>
          <w:color w:val="000000"/>
          <w:szCs w:val="24"/>
        </w:rPr>
        <w:t>, 2025</w:t>
      </w:r>
      <w:r>
        <w:rPr>
          <w:rFonts w:eastAsia="Times New Roman" w:cs="Times New Roman"/>
          <w:color w:val="000000"/>
          <w:szCs w:val="24"/>
        </w:rPr>
        <w:t>. g</w:t>
      </w:r>
      <w:r w:rsidRPr="00625401">
        <w:rPr>
          <w:rFonts w:eastAsia="Times New Roman" w:cs="Times New Roman"/>
          <w:color w:val="000000"/>
          <w:szCs w:val="24"/>
        </w:rPr>
        <w:t>adā 8 537,</w:t>
      </w:r>
      <w:r>
        <w:rPr>
          <w:rFonts w:eastAsia="Times New Roman" w:cs="Times New Roman"/>
          <w:color w:val="000000"/>
          <w:szCs w:val="24"/>
        </w:rPr>
        <w:t>1 milj.</w:t>
      </w:r>
      <w:r w:rsidRPr="00625401">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25401">
        <w:rPr>
          <w:rFonts w:eastAsia="Times New Roman" w:cs="Times New Roman"/>
          <w:color w:val="000000"/>
          <w:szCs w:val="24"/>
        </w:rPr>
        <w:t xml:space="preserve"> un 2026</w:t>
      </w:r>
      <w:r>
        <w:rPr>
          <w:rFonts w:eastAsia="Times New Roman" w:cs="Times New Roman"/>
          <w:color w:val="000000"/>
          <w:szCs w:val="24"/>
        </w:rPr>
        <w:t>. g</w:t>
      </w:r>
      <w:r w:rsidRPr="00625401">
        <w:rPr>
          <w:rFonts w:eastAsia="Times New Roman" w:cs="Times New Roman"/>
          <w:color w:val="000000"/>
          <w:szCs w:val="24"/>
        </w:rPr>
        <w:t>adā 9 04</w:t>
      </w:r>
      <w:r>
        <w:rPr>
          <w:rFonts w:eastAsia="Times New Roman" w:cs="Times New Roman"/>
          <w:color w:val="000000"/>
          <w:szCs w:val="24"/>
        </w:rPr>
        <w:t>3</w:t>
      </w:r>
      <w:r w:rsidRPr="00625401">
        <w:rPr>
          <w:rFonts w:eastAsia="Times New Roman" w:cs="Times New Roman"/>
          <w:color w:val="000000"/>
          <w:szCs w:val="24"/>
        </w:rPr>
        <w:t>,</w:t>
      </w:r>
      <w:r>
        <w:rPr>
          <w:rFonts w:eastAsia="Times New Roman" w:cs="Times New Roman"/>
          <w:color w:val="000000"/>
          <w:szCs w:val="24"/>
        </w:rPr>
        <w:t>9 milj.</w:t>
      </w:r>
      <w:r w:rsidRPr="00625401">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25401">
        <w:rPr>
          <w:rFonts w:eastAsia="Times New Roman" w:cs="Times New Roman"/>
          <w:color w:val="000000"/>
          <w:szCs w:val="24"/>
        </w:rPr>
        <w:t xml:space="preserve"> apmērā (skat. 3.4. tabulu).</w:t>
      </w:r>
    </w:p>
    <w:p w14:paraId="103A1504" w14:textId="77777777" w:rsidR="005E595C" w:rsidRPr="005E595C" w:rsidRDefault="005E595C" w:rsidP="005E595C">
      <w:pPr>
        <w:keepNext/>
        <w:keepLines/>
        <w:spacing w:before="240" w:after="0"/>
        <w:ind w:firstLine="0"/>
        <w:jc w:val="right"/>
        <w:rPr>
          <w:rFonts w:eastAsia="Calibri" w:cs="Times New Roman"/>
          <w:b/>
          <w:i/>
          <w:szCs w:val="24"/>
        </w:rPr>
      </w:pPr>
      <w:r w:rsidRPr="005E595C">
        <w:rPr>
          <w:rFonts w:eastAsia="Calibri" w:cs="Times New Roman"/>
          <w:b/>
          <w:i/>
          <w:szCs w:val="24"/>
        </w:rPr>
        <w:t>3.4. tabula. Tiešo nodokļu ieņēmumi, milj. </w:t>
      </w:r>
      <w:proofErr w:type="spellStart"/>
      <w:r w:rsidRPr="005E595C">
        <w:rPr>
          <w:rFonts w:eastAsia="Calibri" w:cs="Times New Roman"/>
          <w:b/>
          <w:i/>
          <w:szCs w:val="24"/>
        </w:rPr>
        <w:t>euro</w:t>
      </w:r>
      <w:proofErr w:type="spellEnd"/>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4"/>
        <w:gridCol w:w="851"/>
        <w:gridCol w:w="851"/>
        <w:gridCol w:w="851"/>
        <w:gridCol w:w="847"/>
      </w:tblGrid>
      <w:tr w:rsidR="005E595C" w:rsidRPr="005E595C" w14:paraId="00963663" w14:textId="77777777" w:rsidTr="00A30215">
        <w:trPr>
          <w:cantSplit/>
          <w:trHeight w:hRule="exact" w:val="227"/>
          <w:jc w:val="center"/>
        </w:trPr>
        <w:tc>
          <w:tcPr>
            <w:tcW w:w="3114" w:type="pct"/>
            <w:shd w:val="clear" w:color="auto" w:fill="8EAADB"/>
            <w:vAlign w:val="center"/>
          </w:tcPr>
          <w:p w14:paraId="1F44F92C" w14:textId="77777777" w:rsidR="005E595C" w:rsidRPr="005E595C" w:rsidRDefault="005E595C" w:rsidP="005E595C">
            <w:pPr>
              <w:keepNext/>
              <w:keepLines/>
              <w:spacing w:after="0"/>
              <w:ind w:firstLine="0"/>
              <w:contextualSpacing/>
              <w:jc w:val="center"/>
              <w:rPr>
                <w:rFonts w:eastAsia="Times New Roman" w:cs="Times New Roman"/>
                <w:b/>
                <w:bCs/>
                <w:sz w:val="18"/>
                <w:szCs w:val="18"/>
              </w:rPr>
            </w:pPr>
          </w:p>
        </w:tc>
        <w:tc>
          <w:tcPr>
            <w:tcW w:w="472" w:type="pct"/>
            <w:shd w:val="clear" w:color="auto" w:fill="8EAADB"/>
            <w:vAlign w:val="center"/>
          </w:tcPr>
          <w:p w14:paraId="3417C1BC" w14:textId="77777777" w:rsidR="005E595C" w:rsidRPr="005E595C" w:rsidRDefault="005E595C" w:rsidP="005E595C">
            <w:pPr>
              <w:keepNext/>
              <w:keepLines/>
              <w:spacing w:after="0"/>
              <w:ind w:firstLine="0"/>
              <w:contextualSpacing/>
              <w:jc w:val="center"/>
              <w:rPr>
                <w:rFonts w:eastAsia="Times New Roman" w:cs="Times New Roman"/>
                <w:b/>
                <w:bCs/>
                <w:sz w:val="18"/>
                <w:szCs w:val="18"/>
              </w:rPr>
            </w:pPr>
            <w:r w:rsidRPr="005E595C">
              <w:rPr>
                <w:rFonts w:eastAsia="Times New Roman" w:cs="Times New Roman"/>
                <w:b/>
                <w:bCs/>
                <w:sz w:val="18"/>
                <w:szCs w:val="18"/>
              </w:rPr>
              <w:t>2023</w:t>
            </w:r>
          </w:p>
        </w:tc>
        <w:tc>
          <w:tcPr>
            <w:tcW w:w="472" w:type="pct"/>
            <w:tcBorders>
              <w:bottom w:val="single" w:sz="4" w:space="0" w:color="auto"/>
            </w:tcBorders>
            <w:shd w:val="clear" w:color="auto" w:fill="8EAADB"/>
            <w:vAlign w:val="center"/>
          </w:tcPr>
          <w:p w14:paraId="0E701E58" w14:textId="77777777" w:rsidR="005E595C" w:rsidRPr="005E595C" w:rsidRDefault="005E595C" w:rsidP="005E595C">
            <w:pPr>
              <w:keepNext/>
              <w:keepLines/>
              <w:spacing w:after="0"/>
              <w:ind w:firstLine="0"/>
              <w:contextualSpacing/>
              <w:jc w:val="center"/>
              <w:rPr>
                <w:rFonts w:eastAsia="Times New Roman" w:cs="Times New Roman"/>
                <w:b/>
                <w:bCs/>
                <w:sz w:val="18"/>
                <w:szCs w:val="18"/>
              </w:rPr>
            </w:pPr>
            <w:r w:rsidRPr="005E595C">
              <w:rPr>
                <w:rFonts w:eastAsia="Times New Roman" w:cs="Times New Roman"/>
                <w:b/>
                <w:bCs/>
                <w:sz w:val="18"/>
                <w:szCs w:val="18"/>
              </w:rPr>
              <w:t>2024</w:t>
            </w:r>
          </w:p>
        </w:tc>
        <w:tc>
          <w:tcPr>
            <w:tcW w:w="472" w:type="pct"/>
            <w:tcBorders>
              <w:bottom w:val="single" w:sz="4" w:space="0" w:color="auto"/>
            </w:tcBorders>
            <w:shd w:val="clear" w:color="auto" w:fill="8EAADB"/>
            <w:vAlign w:val="center"/>
          </w:tcPr>
          <w:p w14:paraId="7E48CFA9" w14:textId="77777777" w:rsidR="005E595C" w:rsidRPr="005E595C" w:rsidRDefault="005E595C" w:rsidP="005E595C">
            <w:pPr>
              <w:keepNext/>
              <w:keepLines/>
              <w:spacing w:after="0"/>
              <w:ind w:firstLine="0"/>
              <w:contextualSpacing/>
              <w:jc w:val="center"/>
              <w:rPr>
                <w:rFonts w:eastAsia="Times New Roman" w:cs="Times New Roman"/>
                <w:b/>
                <w:bCs/>
                <w:sz w:val="18"/>
                <w:szCs w:val="18"/>
              </w:rPr>
            </w:pPr>
            <w:r w:rsidRPr="005E595C">
              <w:rPr>
                <w:rFonts w:eastAsia="Times New Roman" w:cs="Times New Roman"/>
                <w:b/>
                <w:bCs/>
                <w:sz w:val="18"/>
                <w:szCs w:val="18"/>
              </w:rPr>
              <w:t>2025</w:t>
            </w:r>
          </w:p>
        </w:tc>
        <w:tc>
          <w:tcPr>
            <w:tcW w:w="470" w:type="pct"/>
            <w:tcBorders>
              <w:bottom w:val="single" w:sz="4" w:space="0" w:color="auto"/>
            </w:tcBorders>
            <w:shd w:val="clear" w:color="auto" w:fill="8EAADB"/>
            <w:vAlign w:val="center"/>
          </w:tcPr>
          <w:p w14:paraId="4A53815A" w14:textId="77777777" w:rsidR="005E595C" w:rsidRPr="005E595C" w:rsidRDefault="005E595C" w:rsidP="005E595C">
            <w:pPr>
              <w:keepNext/>
              <w:keepLines/>
              <w:spacing w:after="0"/>
              <w:ind w:firstLine="0"/>
              <w:contextualSpacing/>
              <w:jc w:val="center"/>
              <w:rPr>
                <w:rFonts w:eastAsia="Times New Roman" w:cs="Times New Roman"/>
                <w:b/>
                <w:bCs/>
                <w:sz w:val="18"/>
                <w:szCs w:val="18"/>
              </w:rPr>
            </w:pPr>
            <w:r w:rsidRPr="005E595C">
              <w:rPr>
                <w:rFonts w:eastAsia="Times New Roman" w:cs="Times New Roman"/>
                <w:b/>
                <w:bCs/>
                <w:sz w:val="18"/>
                <w:szCs w:val="18"/>
              </w:rPr>
              <w:t>2026</w:t>
            </w:r>
          </w:p>
        </w:tc>
      </w:tr>
      <w:tr w:rsidR="005E595C" w:rsidRPr="005E595C" w14:paraId="35E0FD9F" w14:textId="77777777" w:rsidTr="00BB23B3">
        <w:trPr>
          <w:cantSplit/>
          <w:trHeight w:hRule="exact" w:val="454"/>
          <w:jc w:val="center"/>
        </w:trPr>
        <w:tc>
          <w:tcPr>
            <w:tcW w:w="3114" w:type="pct"/>
            <w:vAlign w:val="center"/>
          </w:tcPr>
          <w:p w14:paraId="1DB11B88" w14:textId="77777777" w:rsidR="005E595C" w:rsidRPr="005E595C" w:rsidRDefault="005E595C" w:rsidP="002A7324">
            <w:pPr>
              <w:keepNext/>
              <w:keepLines/>
              <w:spacing w:after="0"/>
              <w:ind w:firstLine="0"/>
              <w:contextualSpacing/>
              <w:jc w:val="left"/>
              <w:rPr>
                <w:rFonts w:eastAsia="Times New Roman" w:cs="Times New Roman"/>
                <w:i/>
                <w:sz w:val="18"/>
                <w:szCs w:val="18"/>
              </w:rPr>
            </w:pPr>
            <w:r w:rsidRPr="005E595C">
              <w:rPr>
                <w:rFonts w:eastAsia="Times New Roman" w:cs="Times New Roman"/>
                <w:sz w:val="18"/>
                <w:szCs w:val="18"/>
              </w:rPr>
              <w:t>Saskaņā ar likumprojektu “Par valsts budžetu 2024. gadam un budžeta ietvaru 2024., 2025. un 2026. gadam”, milj.</w:t>
            </w:r>
            <w:r w:rsidRPr="005E595C">
              <w:rPr>
                <w:rFonts w:eastAsia="Times New Roman" w:cs="Times New Roman"/>
                <w:i/>
                <w:sz w:val="18"/>
                <w:szCs w:val="18"/>
              </w:rPr>
              <w:t> </w:t>
            </w:r>
            <w:proofErr w:type="spellStart"/>
            <w:r w:rsidRPr="005E595C">
              <w:rPr>
                <w:rFonts w:eastAsia="Times New Roman" w:cs="Times New Roman"/>
                <w:i/>
                <w:sz w:val="18"/>
                <w:szCs w:val="18"/>
              </w:rPr>
              <w:t>euro</w:t>
            </w:r>
            <w:proofErr w:type="spellEnd"/>
          </w:p>
        </w:tc>
        <w:tc>
          <w:tcPr>
            <w:tcW w:w="472" w:type="pct"/>
            <w:tcBorders>
              <w:bottom w:val="single" w:sz="4" w:space="0" w:color="auto"/>
            </w:tcBorders>
            <w:vAlign w:val="center"/>
          </w:tcPr>
          <w:p w14:paraId="2E79E04A" w14:textId="77777777" w:rsidR="005E595C" w:rsidRPr="005E595C" w:rsidRDefault="005E595C" w:rsidP="00BB23B3">
            <w:pPr>
              <w:keepNext/>
              <w:keepLines/>
              <w:spacing w:after="0"/>
              <w:ind w:firstLine="0"/>
              <w:contextualSpacing/>
              <w:jc w:val="center"/>
              <w:rPr>
                <w:rFonts w:eastAsia="Times New Roman" w:cs="Times New Roman"/>
                <w:sz w:val="18"/>
                <w:szCs w:val="18"/>
                <w:vertAlign w:val="superscript"/>
              </w:rPr>
            </w:pPr>
            <w:r w:rsidRPr="005E595C">
              <w:rPr>
                <w:rFonts w:eastAsia="Times New Roman" w:cs="Times New Roman"/>
                <w:sz w:val="18"/>
                <w:szCs w:val="18"/>
              </w:rPr>
              <w:t>7 241,1</w:t>
            </w:r>
            <w:r w:rsidRPr="005E595C">
              <w:rPr>
                <w:rFonts w:eastAsia="Times New Roman" w:cs="Times New Roman"/>
                <w:sz w:val="18"/>
                <w:szCs w:val="18"/>
                <w:vertAlign w:val="superscript"/>
              </w:rPr>
              <w:t>1</w:t>
            </w:r>
          </w:p>
        </w:tc>
        <w:tc>
          <w:tcPr>
            <w:tcW w:w="472" w:type="pct"/>
            <w:tcBorders>
              <w:top w:val="single" w:sz="4" w:space="0" w:color="auto"/>
              <w:left w:val="nil"/>
              <w:bottom w:val="single" w:sz="4" w:space="0" w:color="auto"/>
              <w:right w:val="single" w:sz="4" w:space="0" w:color="auto"/>
            </w:tcBorders>
            <w:shd w:val="clear" w:color="auto" w:fill="auto"/>
            <w:vAlign w:val="center"/>
          </w:tcPr>
          <w:p w14:paraId="149E387C" w14:textId="77777777" w:rsidR="005E595C" w:rsidRPr="005E595C" w:rsidRDefault="005E595C" w:rsidP="00BB23B3">
            <w:pPr>
              <w:keepNext/>
              <w:keepLines/>
              <w:spacing w:after="0"/>
              <w:ind w:firstLine="0"/>
              <w:contextualSpacing/>
              <w:jc w:val="center"/>
              <w:rPr>
                <w:rFonts w:eastAsia="Times New Roman" w:cs="Times New Roman"/>
                <w:sz w:val="18"/>
                <w:szCs w:val="18"/>
              </w:rPr>
            </w:pPr>
            <w:r w:rsidRPr="005E595C">
              <w:rPr>
                <w:rFonts w:eastAsia="Times New Roman" w:cs="Times New Roman"/>
                <w:sz w:val="18"/>
                <w:szCs w:val="18"/>
              </w:rPr>
              <w:t>8 112,6</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14E9B4B8" w14:textId="77777777" w:rsidR="005E595C" w:rsidRPr="005E595C" w:rsidRDefault="005E595C" w:rsidP="00BB23B3">
            <w:pPr>
              <w:keepNext/>
              <w:keepLines/>
              <w:spacing w:after="0"/>
              <w:ind w:firstLine="0"/>
              <w:contextualSpacing/>
              <w:jc w:val="center"/>
              <w:rPr>
                <w:rFonts w:eastAsia="Times New Roman" w:cs="Times New Roman"/>
                <w:sz w:val="18"/>
                <w:szCs w:val="18"/>
              </w:rPr>
            </w:pPr>
            <w:r w:rsidRPr="005E595C">
              <w:rPr>
                <w:rFonts w:eastAsia="Times New Roman" w:cs="Times New Roman"/>
                <w:sz w:val="18"/>
                <w:szCs w:val="18"/>
              </w:rPr>
              <w:t>8 537,1</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64C6B37F" w14:textId="77777777" w:rsidR="005E595C" w:rsidRPr="005E595C" w:rsidRDefault="005E595C" w:rsidP="00BB23B3">
            <w:pPr>
              <w:keepNext/>
              <w:keepLines/>
              <w:spacing w:after="0"/>
              <w:ind w:firstLine="0"/>
              <w:contextualSpacing/>
              <w:jc w:val="center"/>
              <w:rPr>
                <w:rFonts w:eastAsia="Times New Roman" w:cs="Times New Roman"/>
                <w:sz w:val="18"/>
                <w:szCs w:val="18"/>
              </w:rPr>
            </w:pPr>
            <w:r w:rsidRPr="005E595C">
              <w:rPr>
                <w:rFonts w:eastAsia="Times New Roman" w:cs="Times New Roman"/>
                <w:sz w:val="18"/>
                <w:szCs w:val="18"/>
              </w:rPr>
              <w:t>9 043,9</w:t>
            </w:r>
          </w:p>
        </w:tc>
      </w:tr>
      <w:tr w:rsidR="005E595C" w:rsidRPr="005E595C" w14:paraId="06FED4AB" w14:textId="77777777" w:rsidTr="00A30215">
        <w:trPr>
          <w:cantSplit/>
          <w:trHeight w:hRule="exact" w:val="227"/>
          <w:jc w:val="center"/>
        </w:trPr>
        <w:tc>
          <w:tcPr>
            <w:tcW w:w="3114" w:type="pct"/>
            <w:vAlign w:val="center"/>
          </w:tcPr>
          <w:p w14:paraId="136E7CE7" w14:textId="77777777" w:rsidR="005E595C" w:rsidRPr="005E595C" w:rsidRDefault="005E595C" w:rsidP="00A83895">
            <w:pPr>
              <w:keepNext/>
              <w:keepLines/>
              <w:spacing w:after="0"/>
              <w:ind w:left="720" w:firstLine="0"/>
              <w:contextualSpacing/>
              <w:rPr>
                <w:rFonts w:eastAsia="Times New Roman" w:cs="Times New Roman"/>
                <w:i/>
                <w:iCs/>
                <w:sz w:val="18"/>
                <w:szCs w:val="18"/>
              </w:rPr>
            </w:pPr>
            <w:r w:rsidRPr="005E595C">
              <w:rPr>
                <w:rFonts w:eastAsia="Times New Roman" w:cs="Times New Roman"/>
                <w:i/>
                <w:iCs/>
                <w:sz w:val="18"/>
                <w:szCs w:val="18"/>
              </w:rPr>
              <w:t>pret IKP, %</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10BA6FFB" w14:textId="77777777" w:rsidR="005E595C" w:rsidRPr="005E595C" w:rsidRDefault="005E595C" w:rsidP="00476C92">
            <w:pPr>
              <w:keepNext/>
              <w:keepLines/>
              <w:spacing w:after="0"/>
              <w:ind w:firstLine="0"/>
              <w:contextualSpacing/>
              <w:jc w:val="right"/>
              <w:rPr>
                <w:rFonts w:eastAsia="Times New Roman" w:cs="Times New Roman"/>
                <w:i/>
                <w:iCs/>
                <w:color w:val="000000"/>
                <w:sz w:val="18"/>
                <w:szCs w:val="18"/>
              </w:rPr>
            </w:pPr>
            <w:r w:rsidRPr="005E595C">
              <w:rPr>
                <w:rFonts w:eastAsia="Times New Roman" w:cs="Times New Roman"/>
                <w:i/>
                <w:iCs/>
                <w:sz w:val="18"/>
                <w:szCs w:val="18"/>
              </w:rPr>
              <w:t>16,8</w:t>
            </w:r>
          </w:p>
        </w:tc>
        <w:tc>
          <w:tcPr>
            <w:tcW w:w="472" w:type="pct"/>
            <w:tcBorders>
              <w:top w:val="single" w:sz="4" w:space="0" w:color="auto"/>
              <w:left w:val="nil"/>
              <w:bottom w:val="single" w:sz="4" w:space="0" w:color="auto"/>
              <w:right w:val="single" w:sz="4" w:space="0" w:color="auto"/>
            </w:tcBorders>
            <w:shd w:val="clear" w:color="auto" w:fill="auto"/>
          </w:tcPr>
          <w:p w14:paraId="5B669D4A" w14:textId="77777777" w:rsidR="005E595C" w:rsidRPr="005E595C" w:rsidRDefault="005E595C" w:rsidP="00476C92">
            <w:pPr>
              <w:keepNext/>
              <w:keepLines/>
              <w:spacing w:after="0"/>
              <w:ind w:firstLine="0"/>
              <w:contextualSpacing/>
              <w:jc w:val="right"/>
              <w:rPr>
                <w:rFonts w:eastAsia="Times New Roman" w:cs="Times New Roman"/>
                <w:i/>
                <w:iCs/>
                <w:sz w:val="18"/>
                <w:szCs w:val="18"/>
              </w:rPr>
            </w:pPr>
            <w:r w:rsidRPr="005E595C">
              <w:rPr>
                <w:rFonts w:eastAsia="Times New Roman" w:cs="Times New Roman"/>
                <w:i/>
                <w:iCs/>
                <w:sz w:val="18"/>
                <w:szCs w:val="18"/>
              </w:rPr>
              <w:t>17,8</w:t>
            </w:r>
          </w:p>
        </w:tc>
        <w:tc>
          <w:tcPr>
            <w:tcW w:w="472" w:type="pct"/>
            <w:tcBorders>
              <w:top w:val="single" w:sz="4" w:space="0" w:color="auto"/>
              <w:left w:val="nil"/>
              <w:bottom w:val="single" w:sz="4" w:space="0" w:color="auto"/>
              <w:right w:val="single" w:sz="4" w:space="0" w:color="auto"/>
            </w:tcBorders>
            <w:shd w:val="clear" w:color="auto" w:fill="auto"/>
          </w:tcPr>
          <w:p w14:paraId="0AAD0710" w14:textId="77777777" w:rsidR="005E595C" w:rsidRPr="005E595C" w:rsidRDefault="005E595C" w:rsidP="00476C92">
            <w:pPr>
              <w:keepNext/>
              <w:keepLines/>
              <w:spacing w:after="0"/>
              <w:ind w:firstLine="0"/>
              <w:contextualSpacing/>
              <w:jc w:val="right"/>
              <w:rPr>
                <w:rFonts w:eastAsia="Times New Roman" w:cs="Times New Roman"/>
                <w:i/>
                <w:iCs/>
                <w:sz w:val="18"/>
                <w:szCs w:val="18"/>
              </w:rPr>
            </w:pPr>
            <w:r w:rsidRPr="005E595C">
              <w:rPr>
                <w:rFonts w:eastAsia="Times New Roman" w:cs="Times New Roman"/>
                <w:i/>
                <w:iCs/>
                <w:sz w:val="18"/>
                <w:szCs w:val="18"/>
              </w:rPr>
              <w:t>17,7</w:t>
            </w:r>
          </w:p>
        </w:tc>
        <w:tc>
          <w:tcPr>
            <w:tcW w:w="470" w:type="pct"/>
            <w:tcBorders>
              <w:top w:val="single" w:sz="4" w:space="0" w:color="auto"/>
              <w:left w:val="nil"/>
              <w:bottom w:val="single" w:sz="4" w:space="0" w:color="auto"/>
              <w:right w:val="single" w:sz="4" w:space="0" w:color="auto"/>
            </w:tcBorders>
            <w:shd w:val="clear" w:color="auto" w:fill="auto"/>
          </w:tcPr>
          <w:p w14:paraId="2AF4A8DC" w14:textId="77777777" w:rsidR="005E595C" w:rsidRPr="005E595C" w:rsidRDefault="005E595C" w:rsidP="00476C92">
            <w:pPr>
              <w:keepNext/>
              <w:keepLines/>
              <w:spacing w:after="0"/>
              <w:ind w:firstLine="0"/>
              <w:contextualSpacing/>
              <w:jc w:val="right"/>
              <w:rPr>
                <w:rFonts w:eastAsia="Times New Roman" w:cs="Times New Roman"/>
                <w:i/>
                <w:iCs/>
                <w:sz w:val="18"/>
                <w:szCs w:val="18"/>
              </w:rPr>
            </w:pPr>
            <w:r w:rsidRPr="005E595C">
              <w:rPr>
                <w:rFonts w:eastAsia="Times New Roman" w:cs="Times New Roman"/>
                <w:i/>
                <w:iCs/>
                <w:sz w:val="18"/>
                <w:szCs w:val="18"/>
              </w:rPr>
              <w:t>17,7</w:t>
            </w:r>
          </w:p>
        </w:tc>
      </w:tr>
      <w:tr w:rsidR="005E595C" w:rsidRPr="005E595C" w14:paraId="32036BE1" w14:textId="77777777" w:rsidTr="00A30215">
        <w:trPr>
          <w:cantSplit/>
          <w:trHeight w:hRule="exact" w:val="454"/>
          <w:jc w:val="center"/>
        </w:trPr>
        <w:tc>
          <w:tcPr>
            <w:tcW w:w="3114" w:type="pct"/>
            <w:vAlign w:val="center"/>
          </w:tcPr>
          <w:p w14:paraId="7931684D" w14:textId="7D485177" w:rsidR="005E595C" w:rsidRPr="005E595C" w:rsidRDefault="005E595C" w:rsidP="00A83895">
            <w:pPr>
              <w:keepNext/>
              <w:keepLines/>
              <w:spacing w:after="0"/>
              <w:ind w:firstLine="0"/>
              <w:contextualSpacing/>
              <w:rPr>
                <w:rFonts w:eastAsia="Times New Roman" w:cs="Times New Roman"/>
                <w:sz w:val="18"/>
                <w:szCs w:val="18"/>
              </w:rPr>
            </w:pPr>
            <w:r w:rsidRPr="005E595C">
              <w:rPr>
                <w:rFonts w:eastAsia="Times New Roman" w:cs="Times New Roman"/>
                <w:sz w:val="18"/>
                <w:szCs w:val="18"/>
              </w:rPr>
              <w:t>Salīdzinājumā ar likumu “Par valsts budžetu 2023. gadam un budžeta ietvaru 2023., 2024. un 2025. gadam”, milj. </w:t>
            </w:r>
            <w:proofErr w:type="spellStart"/>
            <w:r w:rsidRPr="00272F14">
              <w:rPr>
                <w:rFonts w:eastAsia="Times New Roman" w:cs="Times New Roman"/>
                <w:i/>
                <w:iCs/>
                <w:sz w:val="18"/>
                <w:szCs w:val="18"/>
              </w:rPr>
              <w:t>euro</w:t>
            </w:r>
            <w:proofErr w:type="spellEnd"/>
          </w:p>
        </w:tc>
        <w:tc>
          <w:tcPr>
            <w:tcW w:w="472" w:type="pct"/>
            <w:tcBorders>
              <w:top w:val="single" w:sz="4" w:space="0" w:color="auto"/>
              <w:left w:val="nil"/>
              <w:bottom w:val="single" w:sz="4" w:space="0" w:color="auto"/>
              <w:right w:val="single" w:sz="4" w:space="0" w:color="auto"/>
            </w:tcBorders>
            <w:shd w:val="clear" w:color="auto" w:fill="auto"/>
          </w:tcPr>
          <w:p w14:paraId="777B5D69" w14:textId="77777777" w:rsidR="005E595C" w:rsidRPr="005E595C" w:rsidRDefault="005E595C" w:rsidP="00476C92">
            <w:pPr>
              <w:keepNext/>
              <w:keepLines/>
              <w:spacing w:after="0"/>
              <w:ind w:firstLine="0"/>
              <w:contextualSpacing/>
              <w:jc w:val="right"/>
              <w:rPr>
                <w:rFonts w:eastAsia="Times New Roman" w:cs="Times New Roman"/>
                <w:sz w:val="18"/>
                <w:szCs w:val="18"/>
              </w:rPr>
            </w:pPr>
            <w:r w:rsidRPr="005E595C">
              <w:rPr>
                <w:rFonts w:eastAsia="Times New Roman" w:cs="Times New Roman"/>
                <w:sz w:val="18"/>
                <w:szCs w:val="18"/>
              </w:rPr>
              <w:t>+253,4</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52BB86B2" w14:textId="77777777" w:rsidR="005E595C" w:rsidRPr="005E595C" w:rsidRDefault="005E595C" w:rsidP="00476C92">
            <w:pPr>
              <w:keepNext/>
              <w:keepLines/>
              <w:spacing w:after="0"/>
              <w:ind w:firstLine="0"/>
              <w:contextualSpacing/>
              <w:jc w:val="right"/>
              <w:rPr>
                <w:rFonts w:eastAsia="Times New Roman" w:cs="Times New Roman"/>
                <w:sz w:val="18"/>
                <w:szCs w:val="18"/>
              </w:rPr>
            </w:pPr>
            <w:r w:rsidRPr="005E595C">
              <w:rPr>
                <w:rFonts w:eastAsia="Times New Roman" w:cs="Times New Roman"/>
                <w:sz w:val="18"/>
                <w:szCs w:val="18"/>
              </w:rPr>
              <w:t>+686,6</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7F2B36BF" w14:textId="77777777" w:rsidR="005E595C" w:rsidRPr="005E595C" w:rsidRDefault="005E595C" w:rsidP="00476C92">
            <w:pPr>
              <w:keepNext/>
              <w:keepLines/>
              <w:spacing w:after="0"/>
              <w:ind w:firstLine="0"/>
              <w:contextualSpacing/>
              <w:jc w:val="right"/>
              <w:rPr>
                <w:rFonts w:eastAsia="Times New Roman" w:cs="Times New Roman"/>
                <w:sz w:val="18"/>
                <w:szCs w:val="18"/>
              </w:rPr>
            </w:pPr>
            <w:r w:rsidRPr="005E595C">
              <w:rPr>
                <w:rFonts w:eastAsia="Times New Roman" w:cs="Times New Roman"/>
                <w:sz w:val="18"/>
                <w:szCs w:val="18"/>
              </w:rPr>
              <w:t>+737,0</w:t>
            </w:r>
          </w:p>
        </w:tc>
        <w:tc>
          <w:tcPr>
            <w:tcW w:w="470" w:type="pct"/>
            <w:tcBorders>
              <w:top w:val="single" w:sz="4" w:space="0" w:color="auto"/>
              <w:left w:val="single" w:sz="4" w:space="0" w:color="auto"/>
              <w:bottom w:val="single" w:sz="4" w:space="0" w:color="auto"/>
              <w:right w:val="single" w:sz="4" w:space="0" w:color="auto"/>
            </w:tcBorders>
            <w:shd w:val="clear" w:color="auto" w:fill="auto"/>
          </w:tcPr>
          <w:p w14:paraId="37E046A8" w14:textId="77777777" w:rsidR="005E595C" w:rsidRPr="005E595C" w:rsidRDefault="005E595C" w:rsidP="00476C92">
            <w:pPr>
              <w:keepNext/>
              <w:keepLines/>
              <w:spacing w:after="0"/>
              <w:ind w:firstLine="0"/>
              <w:contextualSpacing/>
              <w:jc w:val="right"/>
              <w:rPr>
                <w:rFonts w:eastAsia="Times New Roman" w:cs="Times New Roman"/>
                <w:sz w:val="18"/>
                <w:szCs w:val="18"/>
              </w:rPr>
            </w:pPr>
            <w:r w:rsidRPr="005E595C">
              <w:rPr>
                <w:rFonts w:eastAsia="Times New Roman" w:cs="Times New Roman"/>
                <w:sz w:val="18"/>
                <w:szCs w:val="18"/>
              </w:rPr>
              <w:t>—</w:t>
            </w:r>
          </w:p>
        </w:tc>
      </w:tr>
      <w:tr w:rsidR="005E595C" w:rsidRPr="005E595C" w14:paraId="173F8F7E" w14:textId="77777777" w:rsidTr="00A30215">
        <w:trPr>
          <w:cantSplit/>
          <w:trHeight w:hRule="exact" w:val="454"/>
          <w:jc w:val="center"/>
        </w:trPr>
        <w:tc>
          <w:tcPr>
            <w:tcW w:w="3114" w:type="pct"/>
            <w:vAlign w:val="center"/>
          </w:tcPr>
          <w:p w14:paraId="484E7034" w14:textId="3B6C1816" w:rsidR="005E595C" w:rsidRPr="005E595C" w:rsidRDefault="005E595C" w:rsidP="00A83895">
            <w:pPr>
              <w:keepNext/>
              <w:keepLines/>
              <w:spacing w:after="0"/>
              <w:ind w:firstLine="0"/>
              <w:contextualSpacing/>
              <w:rPr>
                <w:rFonts w:eastAsia="Times New Roman" w:cs="Times New Roman"/>
                <w:sz w:val="18"/>
                <w:szCs w:val="18"/>
              </w:rPr>
            </w:pPr>
            <w:r w:rsidRPr="005E595C">
              <w:rPr>
                <w:rFonts w:eastAsia="Times New Roman" w:cs="Times New Roman"/>
                <w:sz w:val="18"/>
                <w:szCs w:val="18"/>
              </w:rPr>
              <w:t>Salīdzinājumā ar likumu “Par valsts budžetu 2023. gadam un budžeta ietvaru 2023., 2024. un 2025. gadam”, %</w:t>
            </w:r>
          </w:p>
        </w:tc>
        <w:tc>
          <w:tcPr>
            <w:tcW w:w="472" w:type="pct"/>
            <w:tcBorders>
              <w:top w:val="single" w:sz="4" w:space="0" w:color="auto"/>
              <w:left w:val="nil"/>
              <w:bottom w:val="single" w:sz="4" w:space="0" w:color="auto"/>
              <w:right w:val="single" w:sz="4" w:space="0" w:color="auto"/>
            </w:tcBorders>
            <w:shd w:val="clear" w:color="auto" w:fill="auto"/>
          </w:tcPr>
          <w:p w14:paraId="04335017" w14:textId="77777777" w:rsidR="005E595C" w:rsidRPr="005E595C" w:rsidRDefault="005E595C" w:rsidP="00476C92">
            <w:pPr>
              <w:keepNext/>
              <w:keepLines/>
              <w:spacing w:after="0"/>
              <w:ind w:firstLine="0"/>
              <w:contextualSpacing/>
              <w:jc w:val="right"/>
              <w:rPr>
                <w:rFonts w:eastAsia="Times New Roman" w:cs="Times New Roman"/>
                <w:sz w:val="18"/>
                <w:szCs w:val="18"/>
              </w:rPr>
            </w:pPr>
            <w:r w:rsidRPr="005E595C">
              <w:rPr>
                <w:rFonts w:eastAsia="Times New Roman" w:cs="Times New Roman"/>
                <w:sz w:val="18"/>
                <w:szCs w:val="18"/>
              </w:rPr>
              <w:t>+3,6</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3F9423A0" w14:textId="77777777" w:rsidR="005E595C" w:rsidRPr="005E595C" w:rsidRDefault="005E595C" w:rsidP="00476C92">
            <w:pPr>
              <w:keepNext/>
              <w:keepLines/>
              <w:spacing w:after="0"/>
              <w:ind w:firstLine="0"/>
              <w:contextualSpacing/>
              <w:jc w:val="right"/>
              <w:rPr>
                <w:rFonts w:eastAsia="Times New Roman" w:cs="Times New Roman"/>
                <w:sz w:val="18"/>
                <w:szCs w:val="18"/>
              </w:rPr>
            </w:pPr>
            <w:r w:rsidRPr="005E595C">
              <w:rPr>
                <w:rFonts w:eastAsia="Times New Roman" w:cs="Times New Roman"/>
                <w:sz w:val="18"/>
                <w:szCs w:val="18"/>
              </w:rPr>
              <w:t>+9,2</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31277D7A" w14:textId="77777777" w:rsidR="005E595C" w:rsidRPr="005E595C" w:rsidRDefault="005E595C" w:rsidP="00476C92">
            <w:pPr>
              <w:keepNext/>
              <w:keepLines/>
              <w:spacing w:after="0"/>
              <w:ind w:firstLine="0"/>
              <w:contextualSpacing/>
              <w:jc w:val="right"/>
              <w:rPr>
                <w:rFonts w:eastAsia="Times New Roman" w:cs="Times New Roman"/>
                <w:sz w:val="18"/>
                <w:szCs w:val="18"/>
              </w:rPr>
            </w:pPr>
            <w:r w:rsidRPr="005E595C">
              <w:rPr>
                <w:rFonts w:eastAsia="Times New Roman" w:cs="Times New Roman"/>
                <w:sz w:val="18"/>
                <w:szCs w:val="18"/>
              </w:rPr>
              <w:t>+9,5</w:t>
            </w:r>
          </w:p>
        </w:tc>
        <w:tc>
          <w:tcPr>
            <w:tcW w:w="470" w:type="pct"/>
            <w:tcBorders>
              <w:top w:val="single" w:sz="4" w:space="0" w:color="auto"/>
              <w:left w:val="single" w:sz="4" w:space="0" w:color="auto"/>
              <w:bottom w:val="single" w:sz="4" w:space="0" w:color="auto"/>
              <w:right w:val="single" w:sz="4" w:space="0" w:color="auto"/>
            </w:tcBorders>
            <w:shd w:val="clear" w:color="auto" w:fill="auto"/>
          </w:tcPr>
          <w:p w14:paraId="53058EAE" w14:textId="77777777" w:rsidR="005E595C" w:rsidRPr="005E595C" w:rsidRDefault="005E595C" w:rsidP="00476C92">
            <w:pPr>
              <w:keepNext/>
              <w:keepLines/>
              <w:spacing w:after="0"/>
              <w:ind w:firstLine="0"/>
              <w:contextualSpacing/>
              <w:jc w:val="right"/>
              <w:rPr>
                <w:rFonts w:eastAsia="Times New Roman" w:cs="Times New Roman"/>
                <w:sz w:val="18"/>
                <w:szCs w:val="18"/>
              </w:rPr>
            </w:pPr>
            <w:r w:rsidRPr="005E595C">
              <w:rPr>
                <w:rFonts w:eastAsia="Times New Roman" w:cs="Times New Roman"/>
                <w:sz w:val="18"/>
                <w:szCs w:val="18"/>
              </w:rPr>
              <w:t>—</w:t>
            </w:r>
          </w:p>
        </w:tc>
      </w:tr>
    </w:tbl>
    <w:p w14:paraId="7C7085EC" w14:textId="77777777" w:rsidR="005E595C" w:rsidRPr="005E595C" w:rsidRDefault="005E595C" w:rsidP="00272F14">
      <w:pPr>
        <w:spacing w:after="240"/>
        <w:ind w:left="391" w:firstLine="0"/>
        <w:contextualSpacing/>
        <w:rPr>
          <w:rFonts w:eastAsia="Calibri" w:cs="Times New Roman"/>
          <w:sz w:val="16"/>
          <w:szCs w:val="16"/>
          <w:lang w:eastAsia="en-US"/>
        </w:rPr>
      </w:pPr>
      <w:r w:rsidRPr="005E595C">
        <w:rPr>
          <w:rFonts w:eastAsia="Calibri" w:cs="Times New Roman"/>
          <w:sz w:val="18"/>
          <w:szCs w:val="18"/>
          <w:vertAlign w:val="superscript"/>
          <w:lang w:eastAsia="en-US"/>
        </w:rPr>
        <w:t>1</w:t>
      </w:r>
      <w:r w:rsidRPr="005E595C">
        <w:rPr>
          <w:rFonts w:eastAsia="Calibri" w:cs="Times New Roman"/>
          <w:sz w:val="18"/>
          <w:szCs w:val="18"/>
          <w:lang w:eastAsia="en-US"/>
        </w:rPr>
        <w:t> Prognoze</w:t>
      </w:r>
    </w:p>
    <w:p w14:paraId="15157CAC" w14:textId="77777777" w:rsidR="005E595C" w:rsidRPr="0038459F" w:rsidRDefault="005E595C" w:rsidP="0097121F">
      <w:pPr>
        <w:spacing w:after="0"/>
        <w:ind w:left="425" w:firstLine="0"/>
        <w:contextualSpacing/>
        <w:rPr>
          <w:rFonts w:eastAsia="Calibri" w:cs="Times New Roman"/>
          <w:sz w:val="18"/>
          <w:szCs w:val="18"/>
          <w:highlight w:val="lightGray"/>
        </w:rPr>
      </w:pPr>
    </w:p>
    <w:p w14:paraId="58064E79" w14:textId="77777777" w:rsidR="00815DDD" w:rsidRPr="003D4387" w:rsidRDefault="00815DDD" w:rsidP="0097121F">
      <w:pPr>
        <w:keepNext/>
        <w:keepLines/>
        <w:spacing w:before="240" w:after="240"/>
        <w:ind w:firstLine="0"/>
        <w:jc w:val="center"/>
        <w:outlineLvl w:val="3"/>
        <w:rPr>
          <w:rFonts w:eastAsia="Times New Roman" w:cs="Times New Roman"/>
          <w:b/>
          <w:sz w:val="28"/>
          <w:lang w:eastAsia="en-US"/>
        </w:rPr>
      </w:pPr>
      <w:r w:rsidRPr="003D4387">
        <w:rPr>
          <w:rFonts w:eastAsia="Times New Roman" w:cs="Times New Roman"/>
          <w:b/>
          <w:sz w:val="28"/>
          <w:lang w:eastAsia="en-US"/>
        </w:rPr>
        <w:t>Iedzīvotāju ienākuma nodoklis</w:t>
      </w:r>
    </w:p>
    <w:p w14:paraId="150D531C" w14:textId="1769BFB6" w:rsidR="003D4387" w:rsidRPr="00E56D5D" w:rsidRDefault="003D4387" w:rsidP="003D4387">
      <w:pPr>
        <w:rPr>
          <w:rFonts w:eastAsia="Times New Roman" w:cs="Times New Roman"/>
          <w:color w:val="000000"/>
          <w:szCs w:val="24"/>
        </w:rPr>
      </w:pPr>
      <w:r w:rsidRPr="00E56D5D">
        <w:rPr>
          <w:rFonts w:eastAsia="Times New Roman" w:cs="Times New Roman"/>
          <w:color w:val="000000"/>
          <w:szCs w:val="24"/>
        </w:rPr>
        <w:t>IIN ieņēmumus galvenokārt ietekmē tautsaimniecībā nodarbināto skaits, nodarbināto ienākumi, atvieglojumu apmērs, kā arī minimālā darba alga. Kopējie IIN ieņēmumi 2023</w:t>
      </w:r>
      <w:r>
        <w:rPr>
          <w:rFonts w:eastAsia="Times New Roman" w:cs="Times New Roman"/>
          <w:color w:val="000000"/>
          <w:szCs w:val="24"/>
        </w:rPr>
        <w:t>. g</w:t>
      </w:r>
      <w:r w:rsidRPr="00E56D5D">
        <w:rPr>
          <w:rFonts w:eastAsia="Times New Roman" w:cs="Times New Roman"/>
          <w:color w:val="000000"/>
          <w:szCs w:val="24"/>
        </w:rPr>
        <w:t>ada 1</w:t>
      </w:r>
      <w:r>
        <w:rPr>
          <w:rFonts w:eastAsia="Times New Roman" w:cs="Times New Roman"/>
          <w:color w:val="000000"/>
          <w:szCs w:val="24"/>
        </w:rPr>
        <w:t>. p</w:t>
      </w:r>
      <w:r w:rsidRPr="00E56D5D">
        <w:rPr>
          <w:rFonts w:eastAsia="Times New Roman" w:cs="Times New Roman"/>
          <w:color w:val="000000"/>
          <w:szCs w:val="24"/>
        </w:rPr>
        <w:t>usgadā bija 1 092,1</w:t>
      </w:r>
      <w:r>
        <w:rPr>
          <w:rFonts w:eastAsia="Times New Roman" w:cs="Times New Roman"/>
          <w:color w:val="000000"/>
          <w:szCs w:val="24"/>
        </w:rPr>
        <w:t> milj.</w:t>
      </w:r>
      <w:r w:rsidRPr="00E56D5D">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56D5D">
        <w:rPr>
          <w:rFonts w:eastAsia="Times New Roman" w:cs="Times New Roman"/>
          <w:color w:val="000000"/>
          <w:szCs w:val="24"/>
        </w:rPr>
        <w:t>, par 78,3</w:t>
      </w:r>
      <w:r>
        <w:rPr>
          <w:rFonts w:eastAsia="Times New Roman" w:cs="Times New Roman"/>
          <w:color w:val="000000"/>
          <w:szCs w:val="24"/>
        </w:rPr>
        <w:t> milj.</w:t>
      </w:r>
      <w:r w:rsidRPr="00E56D5D">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56D5D">
        <w:rPr>
          <w:rFonts w:eastAsia="Times New Roman" w:cs="Times New Roman"/>
          <w:color w:val="000000"/>
          <w:szCs w:val="24"/>
        </w:rPr>
        <w:t xml:space="preserve"> jeb 7,7 % vairāk kā 2022</w:t>
      </w:r>
      <w:r>
        <w:rPr>
          <w:rFonts w:eastAsia="Times New Roman" w:cs="Times New Roman"/>
          <w:color w:val="000000"/>
          <w:szCs w:val="24"/>
        </w:rPr>
        <w:t>. g</w:t>
      </w:r>
      <w:r w:rsidRPr="00E56D5D">
        <w:rPr>
          <w:rFonts w:eastAsia="Times New Roman" w:cs="Times New Roman"/>
          <w:color w:val="000000"/>
          <w:szCs w:val="24"/>
        </w:rPr>
        <w:t xml:space="preserve">ada attiecīgajā periodā. Ieņēmumu pieaugums pret iepriekšējo gadu pamatā saistās ar darba samaksas fonda pieaugumu, vienlaikus ieņēmumu pieaugumu samazināja atvieglojumu apmēru pieaugums. Nodarbināto skaits pēc informācijas no darba devēju ziņojumiem saglabājas </w:t>
      </w:r>
      <w:r w:rsidRPr="00E56D5D">
        <w:rPr>
          <w:rFonts w:eastAsia="Times New Roman" w:cs="Times New Roman"/>
          <w:color w:val="000000"/>
          <w:szCs w:val="24"/>
        </w:rPr>
        <w:lastRenderedPageBreak/>
        <w:t>aptuveni 2022</w:t>
      </w:r>
      <w:r>
        <w:rPr>
          <w:rFonts w:eastAsia="Times New Roman" w:cs="Times New Roman"/>
          <w:color w:val="000000"/>
          <w:szCs w:val="24"/>
        </w:rPr>
        <w:t>. g</w:t>
      </w:r>
      <w:r w:rsidRPr="00E56D5D">
        <w:rPr>
          <w:rFonts w:eastAsia="Times New Roman" w:cs="Times New Roman"/>
          <w:color w:val="000000"/>
          <w:szCs w:val="24"/>
        </w:rPr>
        <w:t>ada 1</w:t>
      </w:r>
      <w:r>
        <w:rPr>
          <w:rFonts w:eastAsia="Times New Roman" w:cs="Times New Roman"/>
          <w:color w:val="000000"/>
          <w:szCs w:val="24"/>
        </w:rPr>
        <w:t>. p</w:t>
      </w:r>
      <w:r w:rsidRPr="00E56D5D">
        <w:rPr>
          <w:rFonts w:eastAsia="Times New Roman" w:cs="Times New Roman"/>
          <w:color w:val="000000"/>
          <w:szCs w:val="24"/>
        </w:rPr>
        <w:t xml:space="preserve">usgada līmenī (samazinājums par 0,2 %), bet ir vērojams darba samaksas fonda apmēra pieaugums par 13,9 procentiem. Savukārt </w:t>
      </w:r>
      <w:r>
        <w:rPr>
          <w:rFonts w:eastAsia="Times New Roman" w:cs="Times New Roman"/>
          <w:color w:val="000000"/>
          <w:szCs w:val="24"/>
        </w:rPr>
        <w:t>pus</w:t>
      </w:r>
      <w:r w:rsidRPr="00E56D5D">
        <w:rPr>
          <w:rFonts w:eastAsia="Times New Roman" w:cs="Times New Roman"/>
          <w:color w:val="000000"/>
          <w:szCs w:val="24"/>
        </w:rPr>
        <w:t>gada plāns ir pārpildīts par 44</w:t>
      </w:r>
      <w:r>
        <w:rPr>
          <w:rFonts w:eastAsia="Times New Roman" w:cs="Times New Roman"/>
          <w:color w:val="000000"/>
          <w:szCs w:val="24"/>
        </w:rPr>
        <w:t> milj.</w:t>
      </w:r>
      <w:r w:rsidRPr="00E56D5D">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56D5D">
        <w:rPr>
          <w:rFonts w:eastAsia="Times New Roman" w:cs="Times New Roman"/>
          <w:color w:val="000000"/>
          <w:szCs w:val="24"/>
        </w:rPr>
        <w:t xml:space="preserve"> jeb 4,2 %, ko lielākoties ietekmēja straujāks darba algu pieaugums</w:t>
      </w:r>
      <w:r w:rsidR="00F62E0F">
        <w:rPr>
          <w:rFonts w:eastAsia="Times New Roman" w:cs="Times New Roman"/>
          <w:color w:val="000000"/>
          <w:szCs w:val="24"/>
        </w:rPr>
        <w:t>,</w:t>
      </w:r>
      <w:r w:rsidRPr="00E56D5D">
        <w:rPr>
          <w:rFonts w:eastAsia="Times New Roman" w:cs="Times New Roman"/>
          <w:color w:val="000000"/>
          <w:szCs w:val="24"/>
        </w:rPr>
        <w:t xml:space="preserve"> nekā tika plānots.</w:t>
      </w:r>
    </w:p>
    <w:p w14:paraId="3B3A0D53" w14:textId="602D08AC" w:rsidR="003D4387" w:rsidRPr="00E56D5D" w:rsidRDefault="003D4387" w:rsidP="003D4387">
      <w:pPr>
        <w:rPr>
          <w:rFonts w:eastAsia="Times New Roman" w:cs="Times New Roman"/>
          <w:color w:val="000000"/>
          <w:szCs w:val="24"/>
        </w:rPr>
      </w:pPr>
      <w:r w:rsidRPr="00E56D5D">
        <w:rPr>
          <w:rFonts w:eastAsia="Times New Roman" w:cs="Times New Roman"/>
          <w:color w:val="000000"/>
          <w:szCs w:val="24"/>
        </w:rPr>
        <w:t>Pēc CSP datiem 2023</w:t>
      </w:r>
      <w:r>
        <w:rPr>
          <w:rFonts w:eastAsia="Times New Roman" w:cs="Times New Roman"/>
          <w:color w:val="000000"/>
          <w:szCs w:val="24"/>
        </w:rPr>
        <w:t>. g</w:t>
      </w:r>
      <w:r w:rsidRPr="00E56D5D">
        <w:rPr>
          <w:rFonts w:eastAsia="Times New Roman" w:cs="Times New Roman"/>
          <w:color w:val="000000"/>
          <w:szCs w:val="24"/>
        </w:rPr>
        <w:t>ada 2</w:t>
      </w:r>
      <w:r>
        <w:rPr>
          <w:rFonts w:eastAsia="Times New Roman" w:cs="Times New Roman"/>
          <w:color w:val="000000"/>
          <w:szCs w:val="24"/>
        </w:rPr>
        <w:t>. c</w:t>
      </w:r>
      <w:r w:rsidRPr="00E56D5D">
        <w:rPr>
          <w:rFonts w:eastAsia="Times New Roman" w:cs="Times New Roman"/>
          <w:color w:val="000000"/>
          <w:szCs w:val="24"/>
        </w:rPr>
        <w:t>eturksnī strādājošo mēneša vidējā bruto darba samaksa bija 1 525 </w:t>
      </w:r>
      <w:proofErr w:type="spellStart"/>
      <w:r w:rsidRPr="00770C40">
        <w:rPr>
          <w:rFonts w:eastAsia="Times New Roman" w:cs="Times New Roman"/>
          <w:i/>
          <w:iCs/>
          <w:color w:val="000000"/>
          <w:szCs w:val="24"/>
        </w:rPr>
        <w:t>euro</w:t>
      </w:r>
      <w:proofErr w:type="spellEnd"/>
      <w:r w:rsidRPr="00E56D5D">
        <w:rPr>
          <w:rFonts w:eastAsia="Times New Roman" w:cs="Times New Roman"/>
          <w:color w:val="000000"/>
          <w:szCs w:val="24"/>
        </w:rPr>
        <w:t xml:space="preserve"> jeb par 12,0 % lielāka nekā 2022</w:t>
      </w:r>
      <w:r>
        <w:rPr>
          <w:rFonts w:eastAsia="Times New Roman" w:cs="Times New Roman"/>
          <w:color w:val="000000"/>
          <w:szCs w:val="24"/>
        </w:rPr>
        <w:t>. g</w:t>
      </w:r>
      <w:r w:rsidRPr="00E56D5D">
        <w:rPr>
          <w:rFonts w:eastAsia="Times New Roman" w:cs="Times New Roman"/>
          <w:color w:val="000000"/>
          <w:szCs w:val="24"/>
        </w:rPr>
        <w:t>ada 2</w:t>
      </w:r>
      <w:r>
        <w:rPr>
          <w:rFonts w:eastAsia="Times New Roman" w:cs="Times New Roman"/>
          <w:color w:val="000000"/>
          <w:szCs w:val="24"/>
        </w:rPr>
        <w:t>. c</w:t>
      </w:r>
      <w:r w:rsidRPr="00E56D5D">
        <w:rPr>
          <w:rFonts w:eastAsia="Times New Roman" w:cs="Times New Roman"/>
          <w:color w:val="000000"/>
          <w:szCs w:val="24"/>
        </w:rPr>
        <w:t>eturksnī. Saskaņā ar NVA informāciju reģistrētā bezdarba līmenis 2023</w:t>
      </w:r>
      <w:r>
        <w:rPr>
          <w:rFonts w:eastAsia="Times New Roman" w:cs="Times New Roman"/>
          <w:color w:val="000000"/>
          <w:szCs w:val="24"/>
        </w:rPr>
        <w:t>. g</w:t>
      </w:r>
      <w:r w:rsidRPr="00E56D5D">
        <w:rPr>
          <w:rFonts w:eastAsia="Times New Roman" w:cs="Times New Roman"/>
          <w:color w:val="000000"/>
          <w:szCs w:val="24"/>
        </w:rPr>
        <w:t>ada jūnijā bija 5,5 %, kas salīdzinājumā ar 2022</w:t>
      </w:r>
      <w:r>
        <w:rPr>
          <w:rFonts w:eastAsia="Times New Roman" w:cs="Times New Roman"/>
          <w:color w:val="000000"/>
          <w:szCs w:val="24"/>
        </w:rPr>
        <w:t>. g</w:t>
      </w:r>
      <w:r w:rsidRPr="00E56D5D">
        <w:rPr>
          <w:rFonts w:eastAsia="Times New Roman" w:cs="Times New Roman"/>
          <w:color w:val="000000"/>
          <w:szCs w:val="24"/>
        </w:rPr>
        <w:t xml:space="preserve">ada jūniju ir par 0,4 procentpunktiem mazāk. Pēc informācijas iesniegtajos darba devēju ziņojumos par </w:t>
      </w:r>
      <w:r w:rsidR="00F62E0F">
        <w:rPr>
          <w:rFonts w:eastAsia="Times New Roman" w:cs="Times New Roman"/>
          <w:color w:val="000000"/>
          <w:szCs w:val="24"/>
        </w:rPr>
        <w:t>VSAOI</w:t>
      </w:r>
      <w:r w:rsidRPr="00E56D5D">
        <w:rPr>
          <w:rFonts w:eastAsia="Times New Roman" w:cs="Times New Roman"/>
          <w:color w:val="000000"/>
          <w:szCs w:val="24"/>
        </w:rPr>
        <w:t xml:space="preserve"> un IIN, 2023</w:t>
      </w:r>
      <w:r>
        <w:rPr>
          <w:rFonts w:eastAsia="Times New Roman" w:cs="Times New Roman"/>
          <w:color w:val="000000"/>
          <w:szCs w:val="24"/>
        </w:rPr>
        <w:t>. g</w:t>
      </w:r>
      <w:r w:rsidRPr="00E56D5D">
        <w:rPr>
          <w:rFonts w:eastAsia="Times New Roman" w:cs="Times New Roman"/>
          <w:color w:val="000000"/>
          <w:szCs w:val="24"/>
        </w:rPr>
        <w:t>ada jūnijā ienākumus virs valstī noteiktās minimālās darba algas saņēma 78,7 % darba ņēmēju un to īpatsvars, salīdzinot ar 202</w:t>
      </w:r>
      <w:r>
        <w:rPr>
          <w:rFonts w:eastAsia="Times New Roman" w:cs="Times New Roman"/>
          <w:color w:val="000000"/>
          <w:szCs w:val="24"/>
        </w:rPr>
        <w:t>2. g</w:t>
      </w:r>
      <w:r w:rsidRPr="00E56D5D">
        <w:rPr>
          <w:rFonts w:eastAsia="Times New Roman" w:cs="Times New Roman"/>
          <w:color w:val="000000"/>
          <w:szCs w:val="24"/>
        </w:rPr>
        <w:t xml:space="preserve">ada </w:t>
      </w:r>
      <w:r>
        <w:rPr>
          <w:rFonts w:eastAsia="Times New Roman" w:cs="Times New Roman"/>
          <w:color w:val="000000"/>
          <w:szCs w:val="24"/>
        </w:rPr>
        <w:t>jūniju</w:t>
      </w:r>
      <w:r w:rsidRPr="00E56D5D">
        <w:rPr>
          <w:rFonts w:eastAsia="Times New Roman" w:cs="Times New Roman"/>
          <w:color w:val="000000"/>
          <w:szCs w:val="24"/>
        </w:rPr>
        <w:t>, ir palielinājies par 7,1 procentpunktiem (2022</w:t>
      </w:r>
      <w:r>
        <w:rPr>
          <w:rFonts w:eastAsia="Times New Roman" w:cs="Times New Roman"/>
          <w:color w:val="000000"/>
          <w:szCs w:val="24"/>
        </w:rPr>
        <w:t>. g</w:t>
      </w:r>
      <w:r w:rsidRPr="00E56D5D">
        <w:rPr>
          <w:rFonts w:eastAsia="Times New Roman" w:cs="Times New Roman"/>
          <w:color w:val="000000"/>
          <w:szCs w:val="24"/>
        </w:rPr>
        <w:t xml:space="preserve">adā minimālā darba alga bija 500 </w:t>
      </w:r>
      <w:proofErr w:type="spellStart"/>
      <w:r w:rsidRPr="00770C40">
        <w:rPr>
          <w:rFonts w:eastAsia="Times New Roman" w:cs="Times New Roman"/>
          <w:i/>
          <w:iCs/>
          <w:color w:val="000000"/>
          <w:szCs w:val="24"/>
        </w:rPr>
        <w:t>euro</w:t>
      </w:r>
      <w:proofErr w:type="spellEnd"/>
      <w:r w:rsidRPr="00E56D5D">
        <w:rPr>
          <w:rFonts w:eastAsia="Times New Roman" w:cs="Times New Roman"/>
          <w:color w:val="000000"/>
          <w:szCs w:val="24"/>
        </w:rPr>
        <w:t>, bet 2023</w:t>
      </w:r>
      <w:r>
        <w:rPr>
          <w:rFonts w:eastAsia="Times New Roman" w:cs="Times New Roman"/>
          <w:color w:val="000000"/>
          <w:szCs w:val="24"/>
        </w:rPr>
        <w:t>. g</w:t>
      </w:r>
      <w:r w:rsidRPr="00E56D5D">
        <w:rPr>
          <w:rFonts w:eastAsia="Times New Roman" w:cs="Times New Roman"/>
          <w:color w:val="000000"/>
          <w:szCs w:val="24"/>
        </w:rPr>
        <w:t xml:space="preserve">adā 620 </w:t>
      </w:r>
      <w:proofErr w:type="spellStart"/>
      <w:r w:rsidRPr="00770C40">
        <w:rPr>
          <w:rFonts w:eastAsia="Times New Roman" w:cs="Times New Roman"/>
          <w:i/>
          <w:iCs/>
          <w:color w:val="000000"/>
          <w:szCs w:val="24"/>
        </w:rPr>
        <w:t>euro</w:t>
      </w:r>
      <w:proofErr w:type="spellEnd"/>
      <w:r w:rsidRPr="00E56D5D">
        <w:rPr>
          <w:rFonts w:eastAsia="Times New Roman" w:cs="Times New Roman"/>
          <w:color w:val="000000"/>
          <w:szCs w:val="24"/>
        </w:rPr>
        <w:t xml:space="preserve"> mēnesī).</w:t>
      </w:r>
    </w:p>
    <w:p w14:paraId="3D1DF851" w14:textId="77777777" w:rsidR="003D4387" w:rsidRPr="00E56D5D" w:rsidRDefault="003D4387" w:rsidP="003D4387">
      <w:pPr>
        <w:rPr>
          <w:rFonts w:eastAsia="Times New Roman" w:cs="Times New Roman"/>
          <w:color w:val="000000"/>
          <w:szCs w:val="24"/>
        </w:rPr>
      </w:pPr>
      <w:r w:rsidRPr="00E56D5D">
        <w:rPr>
          <w:rFonts w:eastAsia="Times New Roman" w:cs="Times New Roman"/>
          <w:color w:val="000000"/>
          <w:szCs w:val="24"/>
        </w:rPr>
        <w:t xml:space="preserve">Saskaņā ar </w:t>
      </w:r>
      <w:r w:rsidRPr="0060241C">
        <w:rPr>
          <w:rFonts w:eastAsia="Calibri" w:cs="Times New Roman"/>
          <w:szCs w:val="24"/>
        </w:rPr>
        <w:t>likumprojektu</w:t>
      </w:r>
      <w:r w:rsidRPr="00E56D5D">
        <w:rPr>
          <w:rFonts w:eastAsia="Times New Roman" w:cs="Times New Roman"/>
          <w:color w:val="000000"/>
          <w:szCs w:val="24"/>
        </w:rPr>
        <w:t xml:space="preserve"> “Par valsts budžetu 2024</w:t>
      </w:r>
      <w:r>
        <w:rPr>
          <w:rFonts w:eastAsia="Times New Roman" w:cs="Times New Roman"/>
          <w:color w:val="000000"/>
          <w:szCs w:val="24"/>
        </w:rPr>
        <w:t>. g</w:t>
      </w:r>
      <w:r w:rsidRPr="00E56D5D">
        <w:rPr>
          <w:rFonts w:eastAsia="Times New Roman" w:cs="Times New Roman"/>
          <w:color w:val="000000"/>
          <w:szCs w:val="24"/>
        </w:rPr>
        <w:t>adam un budžeta ietvaru 2024., 2025. un 206</w:t>
      </w:r>
      <w:r>
        <w:rPr>
          <w:rFonts w:eastAsia="Times New Roman" w:cs="Times New Roman"/>
          <w:color w:val="000000"/>
          <w:szCs w:val="24"/>
        </w:rPr>
        <w:t>. g</w:t>
      </w:r>
      <w:r w:rsidRPr="00E56D5D">
        <w:rPr>
          <w:rFonts w:eastAsia="Times New Roman" w:cs="Times New Roman"/>
          <w:color w:val="000000"/>
          <w:szCs w:val="24"/>
        </w:rPr>
        <w:t>adam” 2024</w:t>
      </w:r>
      <w:r>
        <w:rPr>
          <w:rFonts w:eastAsia="Times New Roman" w:cs="Times New Roman"/>
          <w:color w:val="000000"/>
          <w:szCs w:val="24"/>
        </w:rPr>
        <w:t>. g</w:t>
      </w:r>
      <w:r w:rsidRPr="00E56D5D">
        <w:rPr>
          <w:rFonts w:eastAsia="Times New Roman" w:cs="Times New Roman"/>
          <w:color w:val="000000"/>
          <w:szCs w:val="24"/>
        </w:rPr>
        <w:t>adā IIN ieņēmumi tiek plānoti 2 634,7</w:t>
      </w:r>
      <w:r>
        <w:rPr>
          <w:rFonts w:eastAsia="Times New Roman" w:cs="Times New Roman"/>
          <w:color w:val="000000"/>
          <w:szCs w:val="24"/>
        </w:rPr>
        <w:t> milj.</w:t>
      </w:r>
      <w:r w:rsidRPr="00E56D5D">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56D5D">
        <w:rPr>
          <w:rFonts w:eastAsia="Times New Roman" w:cs="Times New Roman"/>
          <w:color w:val="000000"/>
          <w:szCs w:val="24"/>
        </w:rPr>
        <w:t>, 2025</w:t>
      </w:r>
      <w:r>
        <w:rPr>
          <w:rFonts w:eastAsia="Times New Roman" w:cs="Times New Roman"/>
          <w:color w:val="000000"/>
          <w:szCs w:val="24"/>
        </w:rPr>
        <w:t>. g</w:t>
      </w:r>
      <w:r w:rsidRPr="00E56D5D">
        <w:rPr>
          <w:rFonts w:eastAsia="Times New Roman" w:cs="Times New Roman"/>
          <w:color w:val="000000"/>
          <w:szCs w:val="24"/>
        </w:rPr>
        <w:t>adā 2 80</w:t>
      </w:r>
      <w:r>
        <w:rPr>
          <w:rFonts w:eastAsia="Times New Roman" w:cs="Times New Roman"/>
          <w:color w:val="000000"/>
          <w:szCs w:val="24"/>
        </w:rPr>
        <w:t>5</w:t>
      </w:r>
      <w:r w:rsidRPr="00E56D5D">
        <w:rPr>
          <w:rFonts w:eastAsia="Times New Roman" w:cs="Times New Roman"/>
          <w:color w:val="000000"/>
          <w:szCs w:val="24"/>
        </w:rPr>
        <w:t>,</w:t>
      </w:r>
      <w:r>
        <w:rPr>
          <w:rFonts w:eastAsia="Times New Roman" w:cs="Times New Roman"/>
          <w:color w:val="000000"/>
          <w:szCs w:val="24"/>
        </w:rPr>
        <w:t>9 milj.</w:t>
      </w:r>
      <w:r w:rsidRPr="00E56D5D">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56D5D">
        <w:rPr>
          <w:rFonts w:eastAsia="Times New Roman" w:cs="Times New Roman"/>
          <w:i/>
          <w:iCs/>
          <w:color w:val="000000"/>
          <w:szCs w:val="24"/>
        </w:rPr>
        <w:t xml:space="preserve"> </w:t>
      </w:r>
      <w:r w:rsidRPr="00E56D5D">
        <w:rPr>
          <w:rFonts w:eastAsia="Times New Roman" w:cs="Times New Roman"/>
          <w:color w:val="000000"/>
          <w:szCs w:val="24"/>
        </w:rPr>
        <w:t>un 2026</w:t>
      </w:r>
      <w:r>
        <w:rPr>
          <w:rFonts w:eastAsia="Times New Roman" w:cs="Times New Roman"/>
          <w:color w:val="000000"/>
          <w:szCs w:val="24"/>
        </w:rPr>
        <w:t>. g</w:t>
      </w:r>
      <w:r w:rsidRPr="00E56D5D">
        <w:rPr>
          <w:rFonts w:eastAsia="Times New Roman" w:cs="Times New Roman"/>
          <w:color w:val="000000"/>
          <w:szCs w:val="24"/>
        </w:rPr>
        <w:t>adā 3 00</w:t>
      </w:r>
      <w:r>
        <w:rPr>
          <w:rFonts w:eastAsia="Times New Roman" w:cs="Times New Roman"/>
          <w:color w:val="000000"/>
          <w:szCs w:val="24"/>
        </w:rPr>
        <w:t>5</w:t>
      </w:r>
      <w:r w:rsidRPr="00E56D5D">
        <w:rPr>
          <w:rFonts w:eastAsia="Times New Roman" w:cs="Times New Roman"/>
          <w:color w:val="000000"/>
          <w:szCs w:val="24"/>
        </w:rPr>
        <w:t>,</w:t>
      </w:r>
      <w:r>
        <w:rPr>
          <w:rFonts w:eastAsia="Times New Roman" w:cs="Times New Roman"/>
          <w:color w:val="000000"/>
          <w:szCs w:val="24"/>
        </w:rPr>
        <w:t>8 milj.</w:t>
      </w:r>
      <w:r w:rsidRPr="00E56D5D">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56D5D">
        <w:rPr>
          <w:rFonts w:eastAsia="Times New Roman" w:cs="Times New Roman"/>
          <w:color w:val="000000"/>
          <w:szCs w:val="24"/>
        </w:rPr>
        <w:t xml:space="preserve"> apmērā (skat. 3.5. tabulu).</w:t>
      </w:r>
    </w:p>
    <w:p w14:paraId="41CBFE69" w14:textId="77777777" w:rsidR="003D4387" w:rsidRPr="00E56D5D" w:rsidRDefault="003D4387" w:rsidP="003D4387">
      <w:pPr>
        <w:rPr>
          <w:rFonts w:eastAsia="Times New Roman" w:cs="Times New Roman"/>
          <w:color w:val="000000"/>
          <w:szCs w:val="24"/>
        </w:rPr>
      </w:pPr>
      <w:r w:rsidRPr="00E56D5D">
        <w:rPr>
          <w:rFonts w:eastAsia="Times New Roman" w:cs="Times New Roman"/>
          <w:color w:val="000000"/>
          <w:szCs w:val="24"/>
        </w:rPr>
        <w:t xml:space="preserve">IIN ieņēmumu plānu vidējā termiņā ietekmēs prognozētais darba samaksas fonda pieauguma temps, </w:t>
      </w:r>
      <w:r w:rsidRPr="00E56D5D">
        <w:rPr>
          <w:rFonts w:eastAsia="Calibri" w:cs="Times New Roman"/>
          <w:szCs w:val="24"/>
        </w:rPr>
        <w:t>2023</w:t>
      </w:r>
      <w:r>
        <w:rPr>
          <w:rFonts w:eastAsia="Calibri" w:cs="Times New Roman"/>
          <w:szCs w:val="24"/>
        </w:rPr>
        <w:t>. g</w:t>
      </w:r>
      <w:r w:rsidRPr="00E56D5D">
        <w:rPr>
          <w:rFonts w:eastAsia="Calibri" w:cs="Times New Roman"/>
          <w:szCs w:val="24"/>
        </w:rPr>
        <w:t>adā sagaidāmā izpilde</w:t>
      </w:r>
      <w:r w:rsidRPr="00E56D5D">
        <w:rPr>
          <w:rFonts w:eastAsia="Times New Roman" w:cs="Times New Roman"/>
          <w:color w:val="000000"/>
          <w:szCs w:val="24"/>
        </w:rPr>
        <w:t>, kā arī 3.1. sadaļā minētie pasākumi.</w:t>
      </w:r>
    </w:p>
    <w:p w14:paraId="4A66B381" w14:textId="77777777" w:rsidR="003D4387" w:rsidRPr="003D4387" w:rsidRDefault="003D4387" w:rsidP="003D4387">
      <w:pPr>
        <w:keepNext/>
        <w:keepLines/>
        <w:spacing w:before="240" w:after="0"/>
        <w:ind w:left="360" w:firstLine="0"/>
        <w:jc w:val="right"/>
        <w:rPr>
          <w:rFonts w:eastAsia="Calibri" w:cs="Times New Roman"/>
          <w:b/>
          <w:i/>
          <w:szCs w:val="24"/>
        </w:rPr>
      </w:pPr>
      <w:bookmarkStart w:id="84" w:name="_Hlk125622836"/>
      <w:bookmarkStart w:id="85" w:name="_Toc84756423"/>
      <w:r w:rsidRPr="003D4387">
        <w:rPr>
          <w:rFonts w:eastAsia="Calibri" w:cs="Times New Roman"/>
          <w:b/>
          <w:i/>
          <w:szCs w:val="24"/>
        </w:rPr>
        <w:t>3.5. tabula. IIN ieņēmumi</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0"/>
        <w:gridCol w:w="850"/>
        <w:gridCol w:w="850"/>
        <w:gridCol w:w="850"/>
        <w:gridCol w:w="845"/>
      </w:tblGrid>
      <w:tr w:rsidR="003D4387" w:rsidRPr="003D4387" w14:paraId="69543157" w14:textId="77777777" w:rsidTr="0034370C">
        <w:trPr>
          <w:cantSplit/>
          <w:trHeight w:hRule="exact" w:val="227"/>
          <w:jc w:val="center"/>
        </w:trPr>
        <w:tc>
          <w:tcPr>
            <w:tcW w:w="3115" w:type="pct"/>
            <w:shd w:val="clear" w:color="auto" w:fill="8EAADB"/>
            <w:vAlign w:val="center"/>
          </w:tcPr>
          <w:p w14:paraId="61012C56" w14:textId="77777777" w:rsidR="003D4387" w:rsidRPr="003D4387" w:rsidRDefault="003D4387" w:rsidP="003D4387">
            <w:pPr>
              <w:keepNext/>
              <w:keepLines/>
              <w:spacing w:after="0"/>
              <w:ind w:left="360" w:firstLine="0"/>
              <w:jc w:val="center"/>
              <w:rPr>
                <w:rFonts w:eastAsia="Times New Roman" w:cs="Times New Roman"/>
                <w:b/>
                <w:bCs/>
                <w:sz w:val="18"/>
                <w:szCs w:val="18"/>
              </w:rPr>
            </w:pPr>
          </w:p>
        </w:tc>
        <w:tc>
          <w:tcPr>
            <w:tcW w:w="472" w:type="pct"/>
            <w:shd w:val="clear" w:color="auto" w:fill="8EAADB"/>
            <w:vAlign w:val="center"/>
          </w:tcPr>
          <w:p w14:paraId="050EBC3B" w14:textId="77777777" w:rsidR="003D4387" w:rsidRPr="003D4387" w:rsidRDefault="003D4387" w:rsidP="003D4387">
            <w:pPr>
              <w:keepNext/>
              <w:keepLines/>
              <w:spacing w:after="0"/>
              <w:ind w:firstLine="0"/>
              <w:jc w:val="center"/>
              <w:rPr>
                <w:rFonts w:eastAsia="Times New Roman" w:cs="Times New Roman"/>
                <w:b/>
                <w:bCs/>
                <w:sz w:val="18"/>
                <w:szCs w:val="18"/>
              </w:rPr>
            </w:pPr>
            <w:r w:rsidRPr="003D4387">
              <w:rPr>
                <w:rFonts w:eastAsia="Times New Roman" w:cs="Times New Roman"/>
                <w:b/>
                <w:bCs/>
                <w:sz w:val="18"/>
                <w:szCs w:val="18"/>
              </w:rPr>
              <w:t>2023</w:t>
            </w:r>
          </w:p>
        </w:tc>
        <w:tc>
          <w:tcPr>
            <w:tcW w:w="472" w:type="pct"/>
            <w:tcBorders>
              <w:bottom w:val="single" w:sz="4" w:space="0" w:color="auto"/>
            </w:tcBorders>
            <w:shd w:val="clear" w:color="auto" w:fill="8EAADB"/>
            <w:vAlign w:val="center"/>
          </w:tcPr>
          <w:p w14:paraId="2157E6DF" w14:textId="77777777" w:rsidR="003D4387" w:rsidRPr="003D4387" w:rsidRDefault="003D4387" w:rsidP="003D4387">
            <w:pPr>
              <w:keepNext/>
              <w:keepLines/>
              <w:spacing w:after="0"/>
              <w:ind w:firstLine="0"/>
              <w:jc w:val="center"/>
              <w:rPr>
                <w:rFonts w:eastAsia="Times New Roman" w:cs="Times New Roman"/>
                <w:b/>
                <w:bCs/>
                <w:sz w:val="18"/>
                <w:szCs w:val="18"/>
              </w:rPr>
            </w:pPr>
            <w:r w:rsidRPr="003D4387">
              <w:rPr>
                <w:rFonts w:eastAsia="Times New Roman" w:cs="Times New Roman"/>
                <w:b/>
                <w:bCs/>
                <w:sz w:val="18"/>
                <w:szCs w:val="18"/>
              </w:rPr>
              <w:t>2024</w:t>
            </w:r>
          </w:p>
        </w:tc>
        <w:tc>
          <w:tcPr>
            <w:tcW w:w="472" w:type="pct"/>
            <w:tcBorders>
              <w:bottom w:val="single" w:sz="4" w:space="0" w:color="auto"/>
            </w:tcBorders>
            <w:shd w:val="clear" w:color="auto" w:fill="8EAADB"/>
            <w:vAlign w:val="center"/>
          </w:tcPr>
          <w:p w14:paraId="4440BEC5" w14:textId="77777777" w:rsidR="003D4387" w:rsidRPr="003D4387" w:rsidRDefault="003D4387" w:rsidP="003D4387">
            <w:pPr>
              <w:keepNext/>
              <w:keepLines/>
              <w:spacing w:after="0"/>
              <w:ind w:firstLine="0"/>
              <w:jc w:val="center"/>
              <w:rPr>
                <w:rFonts w:eastAsia="Times New Roman" w:cs="Times New Roman"/>
                <w:b/>
                <w:bCs/>
                <w:sz w:val="18"/>
                <w:szCs w:val="18"/>
              </w:rPr>
            </w:pPr>
            <w:r w:rsidRPr="003D4387">
              <w:rPr>
                <w:rFonts w:eastAsia="Times New Roman" w:cs="Times New Roman"/>
                <w:b/>
                <w:bCs/>
                <w:sz w:val="18"/>
                <w:szCs w:val="18"/>
              </w:rPr>
              <w:t>2025</w:t>
            </w:r>
          </w:p>
        </w:tc>
        <w:tc>
          <w:tcPr>
            <w:tcW w:w="469" w:type="pct"/>
            <w:tcBorders>
              <w:bottom w:val="single" w:sz="4" w:space="0" w:color="auto"/>
            </w:tcBorders>
            <w:shd w:val="clear" w:color="auto" w:fill="8EAADB"/>
            <w:vAlign w:val="center"/>
          </w:tcPr>
          <w:p w14:paraId="02E36988" w14:textId="77777777" w:rsidR="003D4387" w:rsidRPr="003D4387" w:rsidRDefault="003D4387" w:rsidP="003D4387">
            <w:pPr>
              <w:keepNext/>
              <w:keepLines/>
              <w:spacing w:after="0"/>
              <w:ind w:firstLine="0"/>
              <w:jc w:val="center"/>
              <w:rPr>
                <w:rFonts w:eastAsia="Times New Roman" w:cs="Times New Roman"/>
                <w:b/>
                <w:bCs/>
                <w:sz w:val="18"/>
                <w:szCs w:val="18"/>
              </w:rPr>
            </w:pPr>
            <w:r w:rsidRPr="003D4387">
              <w:rPr>
                <w:rFonts w:eastAsia="Times New Roman" w:cs="Times New Roman"/>
                <w:b/>
                <w:bCs/>
                <w:sz w:val="18"/>
                <w:szCs w:val="18"/>
              </w:rPr>
              <w:t>2026</w:t>
            </w:r>
          </w:p>
        </w:tc>
      </w:tr>
      <w:tr w:rsidR="003D4387" w:rsidRPr="003D4387" w14:paraId="322303FE" w14:textId="77777777" w:rsidTr="00BB23B3">
        <w:trPr>
          <w:cantSplit/>
          <w:trHeight w:hRule="exact" w:val="454"/>
          <w:jc w:val="center"/>
        </w:trPr>
        <w:tc>
          <w:tcPr>
            <w:tcW w:w="3115" w:type="pct"/>
            <w:vAlign w:val="center"/>
          </w:tcPr>
          <w:p w14:paraId="5DF5B384" w14:textId="77777777" w:rsidR="003D4387" w:rsidRPr="003D4387" w:rsidRDefault="003D4387" w:rsidP="002A7324">
            <w:pPr>
              <w:keepNext/>
              <w:keepLines/>
              <w:spacing w:after="0"/>
              <w:ind w:firstLine="0"/>
              <w:contextualSpacing/>
              <w:jc w:val="left"/>
              <w:rPr>
                <w:rFonts w:eastAsia="Times New Roman" w:cs="Times New Roman"/>
                <w:i/>
                <w:sz w:val="18"/>
                <w:szCs w:val="18"/>
              </w:rPr>
            </w:pPr>
            <w:r w:rsidRPr="003D4387">
              <w:rPr>
                <w:rFonts w:eastAsia="Times New Roman" w:cs="Times New Roman"/>
                <w:sz w:val="18"/>
                <w:szCs w:val="18"/>
              </w:rPr>
              <w:t>Saskaņā ar likumprojektu “Par valsts budžetu 2024. gadam un budžeta ietvaru 2024., 2025. un 2026. gadam”, milj.</w:t>
            </w:r>
            <w:r w:rsidRPr="003D4387">
              <w:rPr>
                <w:rFonts w:eastAsia="Times New Roman" w:cs="Times New Roman"/>
                <w:i/>
                <w:sz w:val="18"/>
                <w:szCs w:val="18"/>
              </w:rPr>
              <w:t> </w:t>
            </w:r>
            <w:proofErr w:type="spellStart"/>
            <w:r w:rsidRPr="003D4387">
              <w:rPr>
                <w:rFonts w:eastAsia="Times New Roman" w:cs="Times New Roman"/>
                <w:i/>
                <w:sz w:val="18"/>
                <w:szCs w:val="18"/>
              </w:rPr>
              <w:t>euro</w:t>
            </w:r>
            <w:proofErr w:type="spellEnd"/>
          </w:p>
        </w:tc>
        <w:tc>
          <w:tcPr>
            <w:tcW w:w="472" w:type="pct"/>
            <w:tcBorders>
              <w:bottom w:val="single" w:sz="4" w:space="0" w:color="auto"/>
            </w:tcBorders>
            <w:vAlign w:val="center"/>
          </w:tcPr>
          <w:p w14:paraId="35F4C8CA" w14:textId="77777777" w:rsidR="003D4387" w:rsidRPr="003D4387" w:rsidRDefault="003D4387" w:rsidP="00BB23B3">
            <w:pPr>
              <w:keepNext/>
              <w:keepLines/>
              <w:spacing w:after="0"/>
              <w:ind w:firstLine="0"/>
              <w:contextualSpacing/>
              <w:jc w:val="center"/>
              <w:rPr>
                <w:rFonts w:eastAsia="Times New Roman" w:cs="Times New Roman"/>
                <w:sz w:val="18"/>
                <w:szCs w:val="18"/>
                <w:vertAlign w:val="superscript"/>
              </w:rPr>
            </w:pPr>
            <w:r w:rsidRPr="003D4387">
              <w:rPr>
                <w:rFonts w:eastAsia="Times New Roman" w:cs="Times New Roman"/>
                <w:sz w:val="18"/>
                <w:szCs w:val="18"/>
              </w:rPr>
              <w:t>2 421,0</w:t>
            </w:r>
            <w:r w:rsidRPr="003D4387">
              <w:rPr>
                <w:rFonts w:eastAsia="Times New Roman" w:cs="Times New Roman"/>
                <w:sz w:val="18"/>
                <w:szCs w:val="18"/>
                <w:vertAlign w:val="superscript"/>
              </w:rPr>
              <w:t>1</w:t>
            </w:r>
          </w:p>
        </w:tc>
        <w:tc>
          <w:tcPr>
            <w:tcW w:w="472" w:type="pct"/>
            <w:tcBorders>
              <w:top w:val="single" w:sz="4" w:space="0" w:color="auto"/>
              <w:left w:val="nil"/>
              <w:bottom w:val="single" w:sz="4" w:space="0" w:color="auto"/>
              <w:right w:val="single" w:sz="4" w:space="0" w:color="auto"/>
            </w:tcBorders>
            <w:shd w:val="clear" w:color="auto" w:fill="auto"/>
            <w:vAlign w:val="center"/>
          </w:tcPr>
          <w:p w14:paraId="0AC7AE33" w14:textId="77777777" w:rsidR="003D4387" w:rsidRPr="003D4387" w:rsidRDefault="003D4387" w:rsidP="00BB23B3">
            <w:pPr>
              <w:keepNext/>
              <w:keepLines/>
              <w:spacing w:after="0"/>
              <w:ind w:firstLine="0"/>
              <w:contextualSpacing/>
              <w:jc w:val="center"/>
              <w:rPr>
                <w:rFonts w:eastAsia="Times New Roman" w:cs="Times New Roman"/>
                <w:sz w:val="18"/>
                <w:szCs w:val="18"/>
              </w:rPr>
            </w:pPr>
            <w:r w:rsidRPr="003D4387">
              <w:rPr>
                <w:rFonts w:eastAsia="Times New Roman" w:cs="Times New Roman"/>
                <w:sz w:val="18"/>
                <w:szCs w:val="18"/>
              </w:rPr>
              <w:t>2 634,7</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29729293" w14:textId="77777777" w:rsidR="003D4387" w:rsidRPr="003D4387" w:rsidRDefault="003D4387" w:rsidP="00BB23B3">
            <w:pPr>
              <w:keepNext/>
              <w:keepLines/>
              <w:spacing w:after="0"/>
              <w:ind w:firstLine="0"/>
              <w:contextualSpacing/>
              <w:jc w:val="center"/>
              <w:rPr>
                <w:rFonts w:eastAsia="Times New Roman" w:cs="Times New Roman"/>
                <w:sz w:val="18"/>
                <w:szCs w:val="18"/>
              </w:rPr>
            </w:pPr>
            <w:r w:rsidRPr="003D4387">
              <w:rPr>
                <w:rFonts w:eastAsia="Times New Roman" w:cs="Times New Roman"/>
                <w:sz w:val="18"/>
                <w:szCs w:val="18"/>
              </w:rPr>
              <w:t>2 805,9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2B6DE626" w14:textId="77777777" w:rsidR="003D4387" w:rsidRPr="003D4387" w:rsidRDefault="003D4387" w:rsidP="00BB23B3">
            <w:pPr>
              <w:keepNext/>
              <w:keepLines/>
              <w:spacing w:after="0"/>
              <w:ind w:firstLine="0"/>
              <w:contextualSpacing/>
              <w:jc w:val="center"/>
              <w:rPr>
                <w:rFonts w:eastAsia="Times New Roman" w:cs="Times New Roman"/>
                <w:sz w:val="18"/>
                <w:szCs w:val="18"/>
              </w:rPr>
            </w:pPr>
            <w:r w:rsidRPr="003D4387">
              <w:rPr>
                <w:rFonts w:eastAsia="Times New Roman" w:cs="Times New Roman"/>
                <w:sz w:val="18"/>
                <w:szCs w:val="18"/>
              </w:rPr>
              <w:t>3 005,8</w:t>
            </w:r>
          </w:p>
        </w:tc>
      </w:tr>
      <w:tr w:rsidR="003D4387" w:rsidRPr="003D4387" w14:paraId="60A9169C" w14:textId="77777777" w:rsidTr="0034370C">
        <w:trPr>
          <w:cantSplit/>
          <w:trHeight w:hRule="exact" w:val="227"/>
          <w:jc w:val="center"/>
        </w:trPr>
        <w:tc>
          <w:tcPr>
            <w:tcW w:w="3115" w:type="pct"/>
            <w:vAlign w:val="center"/>
          </w:tcPr>
          <w:p w14:paraId="045CE5FE" w14:textId="77777777" w:rsidR="003D4387" w:rsidRPr="003D4387" w:rsidRDefault="003D4387" w:rsidP="003D4387">
            <w:pPr>
              <w:keepNext/>
              <w:keepLines/>
              <w:spacing w:after="0"/>
              <w:ind w:left="360" w:firstLine="0"/>
              <w:contextualSpacing/>
              <w:jc w:val="left"/>
              <w:rPr>
                <w:rFonts w:eastAsia="Times New Roman" w:cs="Times New Roman"/>
                <w:i/>
                <w:iCs/>
                <w:sz w:val="18"/>
                <w:szCs w:val="18"/>
              </w:rPr>
            </w:pPr>
            <w:r w:rsidRPr="003D4387">
              <w:rPr>
                <w:rFonts w:eastAsia="Times New Roman" w:cs="Times New Roman"/>
                <w:i/>
                <w:iCs/>
                <w:sz w:val="18"/>
                <w:szCs w:val="18"/>
              </w:rPr>
              <w:t>pret IKP, %</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7AEFF605" w14:textId="77777777" w:rsidR="003D4387" w:rsidRPr="003D4387" w:rsidRDefault="003D4387" w:rsidP="00476C92">
            <w:pPr>
              <w:keepNext/>
              <w:keepLines/>
              <w:spacing w:after="0"/>
              <w:ind w:firstLine="0"/>
              <w:contextualSpacing/>
              <w:jc w:val="right"/>
              <w:rPr>
                <w:rFonts w:eastAsia="Times New Roman" w:cs="Times New Roman"/>
                <w:i/>
                <w:iCs/>
                <w:color w:val="000000"/>
                <w:sz w:val="18"/>
                <w:szCs w:val="18"/>
              </w:rPr>
            </w:pPr>
            <w:r w:rsidRPr="003D4387">
              <w:rPr>
                <w:rFonts w:eastAsia="Times New Roman" w:cs="Times New Roman"/>
                <w:i/>
                <w:iCs/>
                <w:sz w:val="18"/>
                <w:szCs w:val="18"/>
              </w:rPr>
              <w:t>5,6</w:t>
            </w:r>
          </w:p>
        </w:tc>
        <w:tc>
          <w:tcPr>
            <w:tcW w:w="472" w:type="pct"/>
            <w:tcBorders>
              <w:top w:val="single" w:sz="4" w:space="0" w:color="auto"/>
              <w:left w:val="nil"/>
              <w:bottom w:val="single" w:sz="4" w:space="0" w:color="auto"/>
              <w:right w:val="single" w:sz="4" w:space="0" w:color="auto"/>
            </w:tcBorders>
            <w:shd w:val="clear" w:color="auto" w:fill="auto"/>
          </w:tcPr>
          <w:p w14:paraId="62BE1939"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5,8</w:t>
            </w:r>
          </w:p>
        </w:tc>
        <w:tc>
          <w:tcPr>
            <w:tcW w:w="472" w:type="pct"/>
            <w:tcBorders>
              <w:top w:val="single" w:sz="4" w:space="0" w:color="auto"/>
              <w:left w:val="nil"/>
              <w:bottom w:val="single" w:sz="4" w:space="0" w:color="auto"/>
              <w:right w:val="single" w:sz="4" w:space="0" w:color="auto"/>
            </w:tcBorders>
            <w:shd w:val="clear" w:color="auto" w:fill="auto"/>
          </w:tcPr>
          <w:p w14:paraId="31DA7FD7"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5,8</w:t>
            </w:r>
          </w:p>
        </w:tc>
        <w:tc>
          <w:tcPr>
            <w:tcW w:w="469" w:type="pct"/>
            <w:tcBorders>
              <w:top w:val="single" w:sz="4" w:space="0" w:color="auto"/>
              <w:left w:val="nil"/>
              <w:bottom w:val="single" w:sz="4" w:space="0" w:color="auto"/>
              <w:right w:val="single" w:sz="4" w:space="0" w:color="auto"/>
            </w:tcBorders>
            <w:shd w:val="clear" w:color="auto" w:fill="auto"/>
          </w:tcPr>
          <w:p w14:paraId="266736AB"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5,9</w:t>
            </w:r>
          </w:p>
        </w:tc>
      </w:tr>
      <w:tr w:rsidR="003D4387" w:rsidRPr="003D4387" w14:paraId="2FB39045" w14:textId="77777777" w:rsidTr="0034370C">
        <w:trPr>
          <w:cantSplit/>
          <w:trHeight w:hRule="exact" w:val="454"/>
          <w:jc w:val="center"/>
        </w:trPr>
        <w:tc>
          <w:tcPr>
            <w:tcW w:w="3115" w:type="pct"/>
            <w:vAlign w:val="center"/>
          </w:tcPr>
          <w:p w14:paraId="51D54C5E" w14:textId="68886829" w:rsidR="003D4387" w:rsidRPr="003D4387" w:rsidRDefault="003D4387" w:rsidP="003D4387">
            <w:pPr>
              <w:keepNext/>
              <w:keepLines/>
              <w:spacing w:after="0"/>
              <w:ind w:firstLine="0"/>
              <w:contextualSpacing/>
              <w:jc w:val="left"/>
              <w:rPr>
                <w:rFonts w:eastAsia="Times New Roman" w:cs="Times New Roman"/>
                <w:sz w:val="18"/>
                <w:szCs w:val="18"/>
              </w:rPr>
            </w:pPr>
            <w:r>
              <w:rPr>
                <w:rFonts w:eastAsia="Times New Roman" w:cs="Times New Roman"/>
                <w:sz w:val="18"/>
                <w:szCs w:val="18"/>
              </w:rPr>
              <w:t>S</w:t>
            </w:r>
            <w:r w:rsidRPr="003D4387">
              <w:rPr>
                <w:rFonts w:eastAsia="Times New Roman" w:cs="Times New Roman"/>
                <w:sz w:val="18"/>
                <w:szCs w:val="18"/>
              </w:rPr>
              <w:t>alīdzinājumā ar likumu “Par valsts budžetu 2023. gadam un budžeta ietvaru 2023., 2024. un 2025. gadam”, milj. </w:t>
            </w:r>
            <w:proofErr w:type="spellStart"/>
            <w:r w:rsidRPr="00272F14">
              <w:rPr>
                <w:rFonts w:eastAsia="Times New Roman" w:cs="Times New Roman"/>
                <w:i/>
                <w:iCs/>
                <w:sz w:val="18"/>
                <w:szCs w:val="18"/>
              </w:rPr>
              <w:t>euro</w:t>
            </w:r>
            <w:proofErr w:type="spellEnd"/>
          </w:p>
        </w:tc>
        <w:tc>
          <w:tcPr>
            <w:tcW w:w="472" w:type="pct"/>
            <w:tcBorders>
              <w:top w:val="single" w:sz="4" w:space="0" w:color="auto"/>
              <w:left w:val="nil"/>
              <w:bottom w:val="single" w:sz="4" w:space="0" w:color="auto"/>
              <w:right w:val="single" w:sz="4" w:space="0" w:color="auto"/>
            </w:tcBorders>
            <w:shd w:val="clear" w:color="auto" w:fill="auto"/>
          </w:tcPr>
          <w:p w14:paraId="7EDF88FD"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+63,2</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60973FC1"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+126,3</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2575B40B"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+162,9</w:t>
            </w:r>
          </w:p>
        </w:tc>
        <w:tc>
          <w:tcPr>
            <w:tcW w:w="469" w:type="pct"/>
            <w:tcBorders>
              <w:top w:val="single" w:sz="4" w:space="0" w:color="auto"/>
              <w:left w:val="single" w:sz="4" w:space="0" w:color="auto"/>
              <w:bottom w:val="single" w:sz="4" w:space="0" w:color="auto"/>
              <w:right w:val="single" w:sz="4" w:space="0" w:color="auto"/>
            </w:tcBorders>
            <w:shd w:val="clear" w:color="auto" w:fill="auto"/>
          </w:tcPr>
          <w:p w14:paraId="2F88D72C"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w:t>
            </w:r>
          </w:p>
        </w:tc>
      </w:tr>
      <w:tr w:rsidR="003D4387" w:rsidRPr="003D4387" w14:paraId="2220BFF5" w14:textId="77777777" w:rsidTr="0034370C">
        <w:trPr>
          <w:cantSplit/>
          <w:trHeight w:hRule="exact" w:val="454"/>
          <w:jc w:val="center"/>
        </w:trPr>
        <w:tc>
          <w:tcPr>
            <w:tcW w:w="3115" w:type="pct"/>
            <w:vAlign w:val="center"/>
          </w:tcPr>
          <w:p w14:paraId="16B28661" w14:textId="33AE4C96" w:rsidR="003D4387" w:rsidRPr="003D4387" w:rsidRDefault="003D4387" w:rsidP="003D4387">
            <w:pPr>
              <w:keepNext/>
              <w:keepLines/>
              <w:spacing w:after="0"/>
              <w:ind w:firstLine="0"/>
              <w:contextualSpacing/>
              <w:jc w:val="left"/>
              <w:rPr>
                <w:rFonts w:eastAsia="Times New Roman" w:cs="Times New Roman"/>
                <w:sz w:val="18"/>
                <w:szCs w:val="18"/>
              </w:rPr>
            </w:pPr>
            <w:r>
              <w:rPr>
                <w:rFonts w:eastAsia="Times New Roman" w:cs="Times New Roman"/>
                <w:sz w:val="18"/>
                <w:szCs w:val="18"/>
              </w:rPr>
              <w:t>S</w:t>
            </w:r>
            <w:r w:rsidRPr="003D4387">
              <w:rPr>
                <w:rFonts w:eastAsia="Times New Roman" w:cs="Times New Roman"/>
                <w:sz w:val="18"/>
                <w:szCs w:val="18"/>
              </w:rPr>
              <w:t>alīdzinājumā ar likumu “Par valsts budžetu 2023. gadam un budžeta ietvaru 2023., 2024. un 2025. gadam”, %</w:t>
            </w:r>
          </w:p>
        </w:tc>
        <w:tc>
          <w:tcPr>
            <w:tcW w:w="472" w:type="pct"/>
            <w:tcBorders>
              <w:top w:val="single" w:sz="4" w:space="0" w:color="auto"/>
              <w:left w:val="nil"/>
              <w:bottom w:val="single" w:sz="4" w:space="0" w:color="auto"/>
              <w:right w:val="single" w:sz="4" w:space="0" w:color="auto"/>
            </w:tcBorders>
            <w:shd w:val="clear" w:color="auto" w:fill="auto"/>
          </w:tcPr>
          <w:p w14:paraId="59D9EC83"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+2,7</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18533D0D"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+5,0</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4C59DEEF"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+6,2</w:t>
            </w:r>
          </w:p>
        </w:tc>
        <w:tc>
          <w:tcPr>
            <w:tcW w:w="469" w:type="pct"/>
            <w:tcBorders>
              <w:top w:val="single" w:sz="4" w:space="0" w:color="auto"/>
              <w:left w:val="single" w:sz="4" w:space="0" w:color="auto"/>
              <w:bottom w:val="single" w:sz="4" w:space="0" w:color="auto"/>
              <w:right w:val="single" w:sz="4" w:space="0" w:color="auto"/>
            </w:tcBorders>
            <w:shd w:val="clear" w:color="auto" w:fill="auto"/>
          </w:tcPr>
          <w:p w14:paraId="2ECA4E0B" w14:textId="77777777" w:rsidR="003D4387" w:rsidRPr="003D4387" w:rsidRDefault="003D4387" w:rsidP="00476C92">
            <w:pPr>
              <w:keepNext/>
              <w:keepLines/>
              <w:spacing w:after="0"/>
              <w:ind w:firstLine="0"/>
              <w:contextualSpacing/>
              <w:jc w:val="right"/>
              <w:rPr>
                <w:rFonts w:eastAsia="Times New Roman" w:cs="Times New Roman"/>
                <w:i/>
                <w:iCs/>
                <w:sz w:val="18"/>
                <w:szCs w:val="18"/>
              </w:rPr>
            </w:pPr>
            <w:r w:rsidRPr="003D4387">
              <w:rPr>
                <w:rFonts w:eastAsia="Times New Roman" w:cs="Times New Roman"/>
                <w:i/>
                <w:iCs/>
                <w:sz w:val="18"/>
                <w:szCs w:val="18"/>
              </w:rPr>
              <w:t>—</w:t>
            </w:r>
          </w:p>
        </w:tc>
      </w:tr>
    </w:tbl>
    <w:p w14:paraId="5D70EA2D" w14:textId="77777777" w:rsidR="003D4387" w:rsidRPr="003D4387" w:rsidRDefault="003D4387" w:rsidP="00272F14">
      <w:pPr>
        <w:spacing w:after="240"/>
        <w:ind w:left="397" w:firstLine="0"/>
        <w:rPr>
          <w:rFonts w:eastAsia="Calibri" w:cs="Times New Roman"/>
          <w:sz w:val="18"/>
          <w:szCs w:val="18"/>
          <w:lang w:eastAsia="en-US"/>
        </w:rPr>
      </w:pPr>
      <w:r w:rsidRPr="003D4387">
        <w:rPr>
          <w:rFonts w:eastAsia="Calibri" w:cs="Times New Roman"/>
          <w:sz w:val="18"/>
          <w:szCs w:val="18"/>
          <w:vertAlign w:val="superscript"/>
          <w:lang w:eastAsia="en-US"/>
        </w:rPr>
        <w:t>1</w:t>
      </w:r>
      <w:r w:rsidRPr="003D4387">
        <w:rPr>
          <w:rFonts w:eastAsia="Calibri" w:cs="Times New Roman"/>
          <w:sz w:val="18"/>
          <w:szCs w:val="18"/>
          <w:lang w:eastAsia="en-US"/>
        </w:rPr>
        <w:t> Prognoze</w:t>
      </w:r>
    </w:p>
    <w:p w14:paraId="51479DD0" w14:textId="14C18D76" w:rsidR="00815DDD" w:rsidRPr="00571FAB" w:rsidRDefault="00815DDD" w:rsidP="0097121F">
      <w:pPr>
        <w:keepNext/>
        <w:keepLines/>
        <w:spacing w:before="240" w:after="240"/>
        <w:ind w:firstLine="0"/>
        <w:jc w:val="center"/>
        <w:outlineLvl w:val="3"/>
        <w:rPr>
          <w:rFonts w:eastAsia="Times New Roman" w:cs="Times New Roman"/>
          <w:b/>
          <w:sz w:val="28"/>
          <w:lang w:eastAsia="en-US"/>
        </w:rPr>
      </w:pPr>
      <w:r w:rsidRPr="00571FAB">
        <w:rPr>
          <w:rFonts w:eastAsia="Times New Roman" w:cs="Times New Roman"/>
          <w:b/>
          <w:sz w:val="28"/>
          <w:lang w:eastAsia="en-US"/>
        </w:rPr>
        <w:t>Valsts sociālās apdrošināšanas obligātās iemaksas</w:t>
      </w:r>
      <w:bookmarkEnd w:id="84"/>
      <w:r w:rsidRPr="00571FAB">
        <w:rPr>
          <w:rFonts w:eastAsia="Times New Roman" w:cs="Times New Roman"/>
          <w:b/>
          <w:sz w:val="28"/>
          <w:vertAlign w:val="superscript"/>
          <w:lang w:eastAsia="en-US"/>
        </w:rPr>
        <w:footnoteReference w:id="34"/>
      </w:r>
      <w:bookmarkEnd w:id="85"/>
      <w:r w:rsidRPr="00571FAB">
        <w:rPr>
          <w:rFonts w:eastAsia="Times New Roman" w:cs="Times New Roman"/>
          <w:b/>
          <w:sz w:val="28"/>
          <w:lang w:eastAsia="en-US"/>
        </w:rPr>
        <w:t xml:space="preserve"> </w:t>
      </w:r>
    </w:p>
    <w:p w14:paraId="1739CA00" w14:textId="3AB29F8D" w:rsidR="00571FAB" w:rsidRPr="00E31B07" w:rsidRDefault="00571FAB" w:rsidP="00571FAB">
      <w:pPr>
        <w:rPr>
          <w:rFonts w:eastAsia="Times New Roman" w:cs="Times New Roman"/>
          <w:color w:val="000000"/>
          <w:szCs w:val="24"/>
        </w:rPr>
      </w:pPr>
      <w:bookmarkStart w:id="86" w:name="_Hlk125622826"/>
      <w:bookmarkStart w:id="87" w:name="_Toc84756424"/>
      <w:r w:rsidRPr="00E31B07">
        <w:rPr>
          <w:rFonts w:eastAsia="Times New Roman" w:cs="Times New Roman"/>
          <w:color w:val="000000"/>
          <w:szCs w:val="24"/>
        </w:rPr>
        <w:t>VSAOI galvenokārt ietekmē tautsaimniecībā nodarbināto skaits, nodarbināto ienākumi un minimālā darba alga. VSAOI ieņēmumi 2023</w:t>
      </w:r>
      <w:r>
        <w:rPr>
          <w:rFonts w:eastAsia="Times New Roman" w:cs="Times New Roman"/>
          <w:color w:val="000000"/>
          <w:szCs w:val="24"/>
        </w:rPr>
        <w:t>. g</w:t>
      </w:r>
      <w:r w:rsidRPr="00E31B07">
        <w:rPr>
          <w:rFonts w:eastAsia="Times New Roman" w:cs="Times New Roman"/>
          <w:color w:val="000000"/>
          <w:szCs w:val="24"/>
        </w:rPr>
        <w:t>ada 1</w:t>
      </w:r>
      <w:r>
        <w:rPr>
          <w:rFonts w:eastAsia="Times New Roman" w:cs="Times New Roman"/>
          <w:color w:val="000000"/>
          <w:szCs w:val="24"/>
        </w:rPr>
        <w:t>. p</w:t>
      </w:r>
      <w:r w:rsidRPr="00E31B07">
        <w:rPr>
          <w:rFonts w:eastAsia="Times New Roman" w:cs="Times New Roman"/>
          <w:color w:val="000000"/>
          <w:szCs w:val="24"/>
        </w:rPr>
        <w:t>usgadā bija 1 954,9</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color w:val="000000"/>
          <w:szCs w:val="24"/>
        </w:rPr>
        <w:t>, par 143,6</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color w:val="000000"/>
          <w:szCs w:val="24"/>
        </w:rPr>
        <w:t xml:space="preserve"> jeb 7,9 % vairāk kā 2022</w:t>
      </w:r>
      <w:r>
        <w:rPr>
          <w:rFonts w:eastAsia="Times New Roman" w:cs="Times New Roman"/>
          <w:color w:val="000000"/>
          <w:szCs w:val="24"/>
        </w:rPr>
        <w:t>. g</w:t>
      </w:r>
      <w:r w:rsidRPr="00E31B07">
        <w:rPr>
          <w:rFonts w:eastAsia="Times New Roman" w:cs="Times New Roman"/>
          <w:color w:val="000000"/>
          <w:szCs w:val="24"/>
        </w:rPr>
        <w:t>ada attiecīgajā periodā. Iemaksu pieaugumu ietekmēja darba samaksas fonda pieaugums. 2023</w:t>
      </w:r>
      <w:r>
        <w:rPr>
          <w:rFonts w:eastAsia="Times New Roman" w:cs="Times New Roman"/>
          <w:color w:val="000000"/>
          <w:szCs w:val="24"/>
        </w:rPr>
        <w:t>. g</w:t>
      </w:r>
      <w:r w:rsidRPr="00E31B07">
        <w:rPr>
          <w:rFonts w:eastAsia="Times New Roman" w:cs="Times New Roman"/>
          <w:color w:val="000000"/>
          <w:szCs w:val="24"/>
        </w:rPr>
        <w:t>ada 1</w:t>
      </w:r>
      <w:r>
        <w:rPr>
          <w:rFonts w:eastAsia="Times New Roman" w:cs="Times New Roman"/>
          <w:color w:val="000000"/>
          <w:szCs w:val="24"/>
        </w:rPr>
        <w:t>. p</w:t>
      </w:r>
      <w:r w:rsidRPr="00E31B07">
        <w:rPr>
          <w:rFonts w:eastAsia="Times New Roman" w:cs="Times New Roman"/>
          <w:color w:val="000000"/>
          <w:szCs w:val="24"/>
        </w:rPr>
        <w:t>usgadā VSAOI valsts pamatbudžetā veselības finansēšanai bija 67,9</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i/>
          <w:iCs/>
          <w:color w:val="000000"/>
          <w:szCs w:val="24"/>
        </w:rPr>
        <w:t>,</w:t>
      </w:r>
      <w:r w:rsidRPr="00E31B07">
        <w:rPr>
          <w:rFonts w:eastAsia="Times New Roman" w:cs="Times New Roman"/>
          <w:color w:val="000000"/>
          <w:szCs w:val="24"/>
        </w:rPr>
        <w:t xml:space="preserve"> kas ir par 5,7</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color w:val="000000"/>
          <w:szCs w:val="24"/>
        </w:rPr>
        <w:t xml:space="preserve"> jeb 9,2 % vairāk nekā pērn. </w:t>
      </w:r>
    </w:p>
    <w:bookmarkEnd w:id="86"/>
    <w:p w14:paraId="1F0717E0" w14:textId="77777777" w:rsidR="00571FAB" w:rsidRPr="00E31B07" w:rsidRDefault="00571FAB" w:rsidP="00571FAB">
      <w:pPr>
        <w:rPr>
          <w:rFonts w:eastAsia="Times New Roman" w:cs="Times New Roman"/>
          <w:color w:val="000000"/>
          <w:szCs w:val="24"/>
        </w:rPr>
      </w:pPr>
      <w:r w:rsidRPr="00E31B07">
        <w:rPr>
          <w:rFonts w:eastAsia="Times New Roman" w:cs="Times New Roman"/>
          <w:color w:val="000000"/>
          <w:szCs w:val="24"/>
        </w:rPr>
        <w:t>2023</w:t>
      </w:r>
      <w:r>
        <w:rPr>
          <w:rFonts w:eastAsia="Times New Roman" w:cs="Times New Roman"/>
          <w:color w:val="000000"/>
          <w:szCs w:val="24"/>
        </w:rPr>
        <w:t>. g</w:t>
      </w:r>
      <w:r w:rsidRPr="00E31B07">
        <w:rPr>
          <w:rFonts w:eastAsia="Times New Roman" w:cs="Times New Roman"/>
          <w:color w:val="000000"/>
          <w:szCs w:val="24"/>
        </w:rPr>
        <w:t>ada 1</w:t>
      </w:r>
      <w:r>
        <w:rPr>
          <w:rFonts w:eastAsia="Times New Roman" w:cs="Times New Roman"/>
          <w:color w:val="000000"/>
          <w:szCs w:val="24"/>
        </w:rPr>
        <w:t>. p</w:t>
      </w:r>
      <w:r w:rsidRPr="00E31B07">
        <w:rPr>
          <w:rFonts w:eastAsia="Times New Roman" w:cs="Times New Roman"/>
          <w:color w:val="000000"/>
          <w:szCs w:val="24"/>
        </w:rPr>
        <w:t>usgadā VSAOI plānu pārsniedza par 12,1</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color w:val="000000"/>
          <w:szCs w:val="24"/>
        </w:rPr>
        <w:t xml:space="preserve"> jeb plāna izpilde bija 100,6 %, ko ietekmēja VID konstatētās kļūdas labošana. Bez minētajiem labojumiem VSAOI ieņēmumi būtu par 67,6</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i/>
          <w:iCs/>
          <w:color w:val="000000"/>
          <w:szCs w:val="24"/>
        </w:rPr>
        <w:t xml:space="preserve"> </w:t>
      </w:r>
      <w:r w:rsidRPr="00E31B07">
        <w:rPr>
          <w:rFonts w:eastAsia="Times New Roman" w:cs="Times New Roman"/>
          <w:color w:val="000000"/>
          <w:szCs w:val="24"/>
        </w:rPr>
        <w:t>lielāki.</w:t>
      </w:r>
    </w:p>
    <w:p w14:paraId="6E2BB6DA" w14:textId="77777777" w:rsidR="00571FAB" w:rsidRPr="00E31B07" w:rsidRDefault="00571FAB" w:rsidP="00571FAB">
      <w:pPr>
        <w:rPr>
          <w:rFonts w:eastAsia="Times New Roman" w:cs="Times New Roman"/>
          <w:color w:val="000000"/>
          <w:szCs w:val="24"/>
        </w:rPr>
      </w:pPr>
      <w:r w:rsidRPr="00E31B07">
        <w:rPr>
          <w:rFonts w:eastAsia="Times New Roman" w:cs="Times New Roman"/>
          <w:color w:val="000000"/>
          <w:szCs w:val="24"/>
        </w:rPr>
        <w:t xml:space="preserve">Saskaņā ar </w:t>
      </w:r>
      <w:r w:rsidRPr="0060241C">
        <w:rPr>
          <w:rFonts w:eastAsia="Calibri" w:cs="Times New Roman"/>
          <w:szCs w:val="24"/>
        </w:rPr>
        <w:t>likumprojektu</w:t>
      </w:r>
      <w:r w:rsidRPr="00E31B07">
        <w:rPr>
          <w:rFonts w:eastAsia="Times New Roman" w:cs="Times New Roman"/>
          <w:color w:val="000000"/>
          <w:szCs w:val="24"/>
        </w:rPr>
        <w:t xml:space="preserve"> “Par valsts budžetu 2024</w:t>
      </w:r>
      <w:r>
        <w:rPr>
          <w:rFonts w:eastAsia="Times New Roman" w:cs="Times New Roman"/>
          <w:color w:val="000000"/>
          <w:szCs w:val="24"/>
        </w:rPr>
        <w:t>. g</w:t>
      </w:r>
      <w:r w:rsidRPr="00E31B07">
        <w:rPr>
          <w:rFonts w:eastAsia="Times New Roman" w:cs="Times New Roman"/>
          <w:color w:val="000000"/>
          <w:szCs w:val="24"/>
        </w:rPr>
        <w:t>adam un budžeta ietvaru 2024., 2025. un 2026</w:t>
      </w:r>
      <w:r>
        <w:rPr>
          <w:rFonts w:eastAsia="Times New Roman" w:cs="Times New Roman"/>
          <w:color w:val="000000"/>
          <w:szCs w:val="24"/>
        </w:rPr>
        <w:t>. g</w:t>
      </w:r>
      <w:r w:rsidRPr="00E31B07">
        <w:rPr>
          <w:rFonts w:eastAsia="Times New Roman" w:cs="Times New Roman"/>
          <w:color w:val="000000"/>
          <w:szCs w:val="24"/>
        </w:rPr>
        <w:t>adam” 2024</w:t>
      </w:r>
      <w:r>
        <w:rPr>
          <w:rFonts w:eastAsia="Times New Roman" w:cs="Times New Roman"/>
          <w:color w:val="000000"/>
          <w:szCs w:val="24"/>
        </w:rPr>
        <w:t>. g</w:t>
      </w:r>
      <w:r w:rsidRPr="00E31B07">
        <w:rPr>
          <w:rFonts w:eastAsia="Times New Roman" w:cs="Times New Roman"/>
          <w:color w:val="000000"/>
          <w:szCs w:val="24"/>
        </w:rPr>
        <w:t>adā VSAOI ieņēmumi valsts speciālajā budžetā tiek plānoti 4 544,7</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color w:val="000000"/>
          <w:szCs w:val="24"/>
        </w:rPr>
        <w:t>, 2025</w:t>
      </w:r>
      <w:r>
        <w:rPr>
          <w:rFonts w:eastAsia="Times New Roman" w:cs="Times New Roman"/>
          <w:color w:val="000000"/>
          <w:szCs w:val="24"/>
        </w:rPr>
        <w:t>. g</w:t>
      </w:r>
      <w:r w:rsidRPr="00E31B07">
        <w:rPr>
          <w:rFonts w:eastAsia="Times New Roman" w:cs="Times New Roman"/>
          <w:color w:val="000000"/>
          <w:szCs w:val="24"/>
        </w:rPr>
        <w:t>adā 4 832,5</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color w:val="000000"/>
          <w:szCs w:val="24"/>
        </w:rPr>
        <w:t xml:space="preserve"> un 2026</w:t>
      </w:r>
      <w:r>
        <w:rPr>
          <w:rFonts w:eastAsia="Times New Roman" w:cs="Times New Roman"/>
          <w:color w:val="000000"/>
          <w:szCs w:val="24"/>
        </w:rPr>
        <w:t>. g</w:t>
      </w:r>
      <w:r w:rsidRPr="00E31B07">
        <w:rPr>
          <w:rFonts w:eastAsia="Times New Roman" w:cs="Times New Roman"/>
          <w:color w:val="000000"/>
          <w:szCs w:val="24"/>
        </w:rPr>
        <w:t>adā 5 129,0</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color w:val="000000"/>
          <w:szCs w:val="24"/>
        </w:rPr>
        <w:t xml:space="preserve"> apmērā (skat. 3.6. tabulu). VSAOI ieņēmumu plānu ietekmēs prognozētais darba samaksas fonda pieauguma temps, </w:t>
      </w:r>
      <w:r w:rsidRPr="00E31B07">
        <w:rPr>
          <w:rFonts w:eastAsia="Calibri" w:cs="Times New Roman"/>
          <w:szCs w:val="24"/>
        </w:rPr>
        <w:t>2023</w:t>
      </w:r>
      <w:r>
        <w:rPr>
          <w:rFonts w:eastAsia="Calibri" w:cs="Times New Roman"/>
          <w:szCs w:val="24"/>
        </w:rPr>
        <w:t>. g</w:t>
      </w:r>
      <w:r w:rsidRPr="00E31B07">
        <w:rPr>
          <w:rFonts w:eastAsia="Calibri" w:cs="Times New Roman"/>
          <w:szCs w:val="24"/>
        </w:rPr>
        <w:t>adā sagaidāmā izpilde</w:t>
      </w:r>
      <w:r w:rsidRPr="00E31B07">
        <w:rPr>
          <w:rFonts w:eastAsia="Times New Roman" w:cs="Times New Roman"/>
          <w:color w:val="000000"/>
          <w:szCs w:val="24"/>
        </w:rPr>
        <w:t>, kā arī 3.1. sadaļā minētie pasākumi.</w:t>
      </w:r>
    </w:p>
    <w:p w14:paraId="28023F3F" w14:textId="77777777" w:rsidR="00571FAB" w:rsidRPr="00571FAB" w:rsidRDefault="00571FAB" w:rsidP="00571FAB">
      <w:pPr>
        <w:keepNext/>
        <w:keepLines/>
        <w:spacing w:before="240" w:after="0"/>
        <w:ind w:left="360" w:firstLine="0"/>
        <w:jc w:val="right"/>
        <w:rPr>
          <w:rFonts w:eastAsia="Calibri" w:cs="Times New Roman"/>
          <w:b/>
          <w:i/>
          <w:szCs w:val="24"/>
        </w:rPr>
      </w:pPr>
      <w:r w:rsidRPr="00571FAB">
        <w:rPr>
          <w:rFonts w:eastAsia="Calibri" w:cs="Times New Roman"/>
          <w:b/>
          <w:i/>
          <w:szCs w:val="24"/>
        </w:rPr>
        <w:lastRenderedPageBreak/>
        <w:t>3.6. tabula. VSAOI</w:t>
      </w:r>
      <w:r w:rsidRPr="00571FAB">
        <w:rPr>
          <w:rFonts w:eastAsia="Calibri" w:cs="Times New Roman"/>
          <w:b/>
          <w:i/>
          <w:szCs w:val="24"/>
          <w:vertAlign w:val="superscript"/>
        </w:rPr>
        <w:t>1</w:t>
      </w:r>
      <w:r w:rsidRPr="00571FAB">
        <w:rPr>
          <w:rFonts w:eastAsia="Calibri" w:cs="Times New Roman"/>
          <w:b/>
          <w:i/>
          <w:szCs w:val="24"/>
        </w:rPr>
        <w:t xml:space="preserve"> ieņēmumi</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14"/>
        <w:gridCol w:w="851"/>
        <w:gridCol w:w="851"/>
        <w:gridCol w:w="851"/>
        <w:gridCol w:w="847"/>
      </w:tblGrid>
      <w:tr w:rsidR="00363FD1" w:rsidRPr="00571FAB" w14:paraId="37FF80F0" w14:textId="77777777" w:rsidTr="00A30215">
        <w:trPr>
          <w:cantSplit/>
          <w:trHeight w:hRule="exact" w:val="227"/>
          <w:jc w:val="center"/>
        </w:trPr>
        <w:tc>
          <w:tcPr>
            <w:tcW w:w="3114" w:type="pct"/>
            <w:shd w:val="clear" w:color="auto" w:fill="8EAADB"/>
            <w:vAlign w:val="center"/>
          </w:tcPr>
          <w:p w14:paraId="6CEB8E71" w14:textId="77777777" w:rsidR="00571FAB" w:rsidRDefault="00571FAB" w:rsidP="00571FAB">
            <w:pPr>
              <w:keepNext/>
              <w:keepLines/>
              <w:spacing w:before="100" w:beforeAutospacing="1" w:after="100" w:afterAutospacing="1"/>
              <w:ind w:firstLine="0"/>
              <w:contextualSpacing/>
              <w:jc w:val="left"/>
              <w:rPr>
                <w:rFonts w:eastAsia="Times New Roman" w:cs="Times New Roman"/>
                <w:sz w:val="18"/>
                <w:szCs w:val="24"/>
              </w:rPr>
            </w:pPr>
          </w:p>
          <w:p w14:paraId="79412E19" w14:textId="77777777" w:rsidR="00C251DC" w:rsidRPr="00571FAB" w:rsidRDefault="00C251DC" w:rsidP="00571FAB">
            <w:pPr>
              <w:keepNext/>
              <w:keepLines/>
              <w:spacing w:before="100" w:beforeAutospacing="1" w:after="100" w:afterAutospacing="1"/>
              <w:ind w:firstLine="0"/>
              <w:contextualSpacing/>
              <w:jc w:val="left"/>
              <w:rPr>
                <w:rFonts w:eastAsia="Times New Roman" w:cs="Times New Roman"/>
                <w:sz w:val="18"/>
                <w:szCs w:val="24"/>
              </w:rPr>
            </w:pPr>
          </w:p>
        </w:tc>
        <w:tc>
          <w:tcPr>
            <w:tcW w:w="472" w:type="pct"/>
            <w:shd w:val="clear" w:color="auto" w:fill="8EAADB"/>
            <w:vAlign w:val="center"/>
          </w:tcPr>
          <w:p w14:paraId="54926998" w14:textId="77777777" w:rsidR="00571FAB" w:rsidRPr="00571FAB" w:rsidRDefault="00571FAB" w:rsidP="00571FAB">
            <w:pPr>
              <w:keepNext/>
              <w:keepLines/>
              <w:spacing w:before="100" w:beforeAutospacing="1" w:after="100" w:afterAutospacing="1"/>
              <w:ind w:firstLine="0"/>
              <w:contextualSpacing/>
              <w:jc w:val="center"/>
              <w:rPr>
                <w:rFonts w:eastAsia="Times New Roman" w:cs="Times New Roman"/>
                <w:b/>
                <w:bCs/>
                <w:sz w:val="18"/>
                <w:szCs w:val="24"/>
              </w:rPr>
            </w:pPr>
            <w:r w:rsidRPr="00571FAB">
              <w:rPr>
                <w:rFonts w:eastAsia="Times New Roman" w:cs="Times New Roman"/>
                <w:b/>
                <w:bCs/>
                <w:sz w:val="18"/>
                <w:szCs w:val="24"/>
              </w:rPr>
              <w:t>2023</w:t>
            </w:r>
          </w:p>
        </w:tc>
        <w:tc>
          <w:tcPr>
            <w:tcW w:w="472" w:type="pct"/>
            <w:tcBorders>
              <w:bottom w:val="single" w:sz="4" w:space="0" w:color="auto"/>
            </w:tcBorders>
            <w:shd w:val="clear" w:color="auto" w:fill="8EAADB"/>
            <w:vAlign w:val="center"/>
          </w:tcPr>
          <w:p w14:paraId="0FE9D772" w14:textId="77777777" w:rsidR="00571FAB" w:rsidRPr="00571FAB" w:rsidRDefault="00571FAB" w:rsidP="00571FAB">
            <w:pPr>
              <w:keepNext/>
              <w:keepLines/>
              <w:spacing w:before="100" w:beforeAutospacing="1" w:after="100" w:afterAutospacing="1"/>
              <w:ind w:firstLine="0"/>
              <w:contextualSpacing/>
              <w:jc w:val="center"/>
              <w:rPr>
                <w:rFonts w:eastAsia="Times New Roman" w:cs="Times New Roman"/>
                <w:b/>
                <w:bCs/>
                <w:sz w:val="18"/>
                <w:szCs w:val="24"/>
              </w:rPr>
            </w:pPr>
            <w:r w:rsidRPr="00571FAB">
              <w:rPr>
                <w:rFonts w:eastAsia="Times New Roman" w:cs="Times New Roman"/>
                <w:b/>
                <w:bCs/>
                <w:sz w:val="18"/>
                <w:szCs w:val="24"/>
              </w:rPr>
              <w:t>2024</w:t>
            </w:r>
          </w:p>
        </w:tc>
        <w:tc>
          <w:tcPr>
            <w:tcW w:w="472" w:type="pct"/>
            <w:tcBorders>
              <w:bottom w:val="single" w:sz="4" w:space="0" w:color="auto"/>
            </w:tcBorders>
            <w:shd w:val="clear" w:color="auto" w:fill="8EAADB"/>
            <w:vAlign w:val="center"/>
          </w:tcPr>
          <w:p w14:paraId="18FAE11F" w14:textId="77777777" w:rsidR="00571FAB" w:rsidRPr="00571FAB" w:rsidRDefault="00571FAB" w:rsidP="00571FAB">
            <w:pPr>
              <w:keepNext/>
              <w:keepLines/>
              <w:spacing w:before="100" w:beforeAutospacing="1" w:after="100" w:afterAutospacing="1"/>
              <w:ind w:firstLine="0"/>
              <w:contextualSpacing/>
              <w:jc w:val="center"/>
              <w:rPr>
                <w:rFonts w:eastAsia="Times New Roman" w:cs="Times New Roman"/>
                <w:b/>
                <w:bCs/>
                <w:sz w:val="18"/>
                <w:szCs w:val="24"/>
              </w:rPr>
            </w:pPr>
            <w:r w:rsidRPr="00571FAB">
              <w:rPr>
                <w:rFonts w:eastAsia="Times New Roman" w:cs="Times New Roman"/>
                <w:b/>
                <w:bCs/>
                <w:sz w:val="18"/>
                <w:szCs w:val="24"/>
              </w:rPr>
              <w:t>2025</w:t>
            </w:r>
          </w:p>
        </w:tc>
        <w:tc>
          <w:tcPr>
            <w:tcW w:w="470" w:type="pct"/>
            <w:tcBorders>
              <w:bottom w:val="single" w:sz="4" w:space="0" w:color="auto"/>
            </w:tcBorders>
            <w:shd w:val="clear" w:color="auto" w:fill="8EAADB"/>
            <w:vAlign w:val="center"/>
          </w:tcPr>
          <w:p w14:paraId="6B9B1848" w14:textId="77777777" w:rsidR="00571FAB" w:rsidRPr="00571FAB" w:rsidRDefault="00571FAB" w:rsidP="00571FAB">
            <w:pPr>
              <w:keepNext/>
              <w:keepLines/>
              <w:spacing w:before="100" w:beforeAutospacing="1" w:after="100" w:afterAutospacing="1"/>
              <w:ind w:firstLine="0"/>
              <w:contextualSpacing/>
              <w:jc w:val="center"/>
              <w:rPr>
                <w:rFonts w:eastAsia="Times New Roman" w:cs="Times New Roman"/>
                <w:b/>
                <w:bCs/>
                <w:sz w:val="18"/>
                <w:szCs w:val="24"/>
              </w:rPr>
            </w:pPr>
            <w:r w:rsidRPr="00571FAB">
              <w:rPr>
                <w:rFonts w:eastAsia="Times New Roman" w:cs="Times New Roman"/>
                <w:b/>
                <w:bCs/>
                <w:sz w:val="18"/>
                <w:szCs w:val="24"/>
              </w:rPr>
              <w:t>2026</w:t>
            </w:r>
          </w:p>
        </w:tc>
      </w:tr>
      <w:tr w:rsidR="00363FD1" w:rsidRPr="00571FAB" w14:paraId="24F3404C" w14:textId="77777777" w:rsidTr="00BB23B3">
        <w:trPr>
          <w:cantSplit/>
          <w:trHeight w:hRule="exact" w:val="454"/>
          <w:jc w:val="center"/>
        </w:trPr>
        <w:tc>
          <w:tcPr>
            <w:tcW w:w="3114" w:type="pct"/>
            <w:vAlign w:val="center"/>
          </w:tcPr>
          <w:p w14:paraId="6002378D" w14:textId="77777777" w:rsidR="00571FAB" w:rsidRPr="00571FAB" w:rsidRDefault="00571FAB" w:rsidP="002A7324">
            <w:pPr>
              <w:keepNext/>
              <w:keepLines/>
              <w:spacing w:before="100" w:beforeAutospacing="1" w:after="100" w:afterAutospacing="1"/>
              <w:ind w:firstLine="0"/>
              <w:contextualSpacing/>
              <w:jc w:val="left"/>
              <w:rPr>
                <w:rFonts w:eastAsia="Times New Roman" w:cs="Times New Roman"/>
                <w:sz w:val="18"/>
                <w:szCs w:val="24"/>
              </w:rPr>
            </w:pPr>
            <w:r w:rsidRPr="00571FAB">
              <w:rPr>
                <w:rFonts w:eastAsia="Times New Roman" w:cs="Times New Roman"/>
                <w:sz w:val="18"/>
                <w:szCs w:val="24"/>
              </w:rPr>
              <w:t>Saskaņā ar likumprojektu “Par valsts budžetu 2024. gadam un budžeta ietvaru 2024., 2025. un 2026. gadam”, milj. </w:t>
            </w:r>
            <w:proofErr w:type="spellStart"/>
            <w:r w:rsidRPr="00272F14">
              <w:rPr>
                <w:rFonts w:eastAsia="Times New Roman" w:cs="Times New Roman"/>
                <w:i/>
                <w:iCs/>
                <w:sz w:val="18"/>
                <w:szCs w:val="24"/>
              </w:rPr>
              <w:t>euro</w:t>
            </w:r>
            <w:proofErr w:type="spellEnd"/>
          </w:p>
        </w:tc>
        <w:tc>
          <w:tcPr>
            <w:tcW w:w="472" w:type="pct"/>
            <w:tcBorders>
              <w:bottom w:val="single" w:sz="4" w:space="0" w:color="auto"/>
            </w:tcBorders>
            <w:vAlign w:val="center"/>
          </w:tcPr>
          <w:p w14:paraId="5019F72F" w14:textId="77777777" w:rsidR="00571FAB" w:rsidRPr="00571FAB" w:rsidRDefault="00571FAB" w:rsidP="00BB23B3">
            <w:pPr>
              <w:keepNext/>
              <w:keepLines/>
              <w:spacing w:after="0"/>
              <w:ind w:firstLine="0"/>
              <w:contextualSpacing/>
              <w:jc w:val="center"/>
              <w:rPr>
                <w:rFonts w:eastAsia="Times New Roman" w:cs="Times New Roman"/>
                <w:sz w:val="18"/>
                <w:szCs w:val="24"/>
              </w:rPr>
            </w:pPr>
            <w:r w:rsidRPr="00571FAB">
              <w:rPr>
                <w:rFonts w:eastAsia="Times New Roman" w:cs="Times New Roman"/>
                <w:sz w:val="18"/>
                <w:szCs w:val="24"/>
              </w:rPr>
              <w:t>4 085,12</w:t>
            </w:r>
          </w:p>
        </w:tc>
        <w:tc>
          <w:tcPr>
            <w:tcW w:w="472" w:type="pct"/>
            <w:tcBorders>
              <w:top w:val="single" w:sz="4" w:space="0" w:color="auto"/>
              <w:left w:val="nil"/>
              <w:bottom w:val="single" w:sz="4" w:space="0" w:color="auto"/>
              <w:right w:val="single" w:sz="4" w:space="0" w:color="auto"/>
            </w:tcBorders>
            <w:shd w:val="clear" w:color="auto" w:fill="auto"/>
            <w:vAlign w:val="center"/>
          </w:tcPr>
          <w:p w14:paraId="0F2CB38C" w14:textId="77777777" w:rsidR="00571FAB" w:rsidRPr="00571FAB" w:rsidRDefault="00571FAB" w:rsidP="00BB23B3">
            <w:pPr>
              <w:keepNext/>
              <w:keepLines/>
              <w:spacing w:after="0"/>
              <w:ind w:firstLine="0"/>
              <w:contextualSpacing/>
              <w:jc w:val="center"/>
              <w:rPr>
                <w:rFonts w:eastAsia="Times New Roman" w:cs="Times New Roman"/>
                <w:sz w:val="18"/>
                <w:szCs w:val="24"/>
              </w:rPr>
            </w:pPr>
            <w:r w:rsidRPr="00571FAB">
              <w:rPr>
                <w:rFonts w:eastAsia="Times New Roman" w:cs="Times New Roman"/>
                <w:sz w:val="18"/>
                <w:szCs w:val="24"/>
              </w:rPr>
              <w:t>4 544,7</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40F0C3CC" w14:textId="77777777" w:rsidR="00571FAB" w:rsidRPr="00571FAB" w:rsidRDefault="00571FAB" w:rsidP="00BB23B3">
            <w:pPr>
              <w:keepNext/>
              <w:keepLines/>
              <w:spacing w:after="0"/>
              <w:ind w:firstLine="0"/>
              <w:contextualSpacing/>
              <w:jc w:val="center"/>
              <w:rPr>
                <w:rFonts w:eastAsia="Times New Roman" w:cs="Times New Roman"/>
                <w:sz w:val="18"/>
                <w:szCs w:val="24"/>
              </w:rPr>
            </w:pPr>
            <w:r w:rsidRPr="00571FAB">
              <w:rPr>
                <w:rFonts w:eastAsia="Times New Roman" w:cs="Times New Roman"/>
                <w:sz w:val="18"/>
                <w:szCs w:val="24"/>
              </w:rPr>
              <w:t>4 832,5</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6F943CF4" w14:textId="77777777" w:rsidR="00571FAB" w:rsidRPr="00571FAB" w:rsidRDefault="00571FAB" w:rsidP="00BB23B3">
            <w:pPr>
              <w:keepNext/>
              <w:keepLines/>
              <w:spacing w:after="0"/>
              <w:ind w:firstLine="0"/>
              <w:contextualSpacing/>
              <w:jc w:val="center"/>
              <w:rPr>
                <w:rFonts w:eastAsia="Times New Roman" w:cs="Times New Roman"/>
                <w:sz w:val="18"/>
                <w:szCs w:val="24"/>
              </w:rPr>
            </w:pPr>
            <w:r w:rsidRPr="00571FAB">
              <w:rPr>
                <w:rFonts w:eastAsia="Times New Roman" w:cs="Times New Roman"/>
                <w:sz w:val="18"/>
                <w:szCs w:val="24"/>
              </w:rPr>
              <w:t>5 129,0</w:t>
            </w:r>
          </w:p>
        </w:tc>
      </w:tr>
      <w:tr w:rsidR="00363FD1" w:rsidRPr="00571FAB" w14:paraId="4229244E" w14:textId="77777777" w:rsidTr="00A30215">
        <w:trPr>
          <w:cantSplit/>
          <w:trHeight w:hRule="exact" w:val="227"/>
          <w:jc w:val="center"/>
        </w:trPr>
        <w:tc>
          <w:tcPr>
            <w:tcW w:w="3114" w:type="pct"/>
            <w:vAlign w:val="center"/>
          </w:tcPr>
          <w:p w14:paraId="22F66D91" w14:textId="77777777" w:rsidR="00571FAB" w:rsidRPr="00571FAB" w:rsidRDefault="00571FAB" w:rsidP="00571FAB">
            <w:pPr>
              <w:keepNext/>
              <w:keepLines/>
              <w:spacing w:before="100" w:beforeAutospacing="1" w:after="100" w:afterAutospacing="1"/>
              <w:ind w:left="357" w:firstLine="0"/>
              <w:contextualSpacing/>
              <w:jc w:val="left"/>
              <w:rPr>
                <w:rFonts w:eastAsia="Times New Roman" w:cs="Times New Roman"/>
                <w:i/>
                <w:iCs/>
                <w:sz w:val="18"/>
                <w:szCs w:val="24"/>
              </w:rPr>
            </w:pPr>
            <w:r w:rsidRPr="00571FAB">
              <w:rPr>
                <w:rFonts w:eastAsia="Times New Roman" w:cs="Times New Roman"/>
                <w:i/>
                <w:iCs/>
                <w:sz w:val="18"/>
                <w:szCs w:val="24"/>
              </w:rPr>
              <w:t>pret IKP, %</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62D611DD"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9,5</w:t>
            </w:r>
          </w:p>
        </w:tc>
        <w:tc>
          <w:tcPr>
            <w:tcW w:w="472" w:type="pct"/>
            <w:tcBorders>
              <w:top w:val="single" w:sz="4" w:space="0" w:color="auto"/>
              <w:left w:val="nil"/>
              <w:bottom w:val="single" w:sz="4" w:space="0" w:color="auto"/>
              <w:right w:val="single" w:sz="4" w:space="0" w:color="auto"/>
            </w:tcBorders>
            <w:shd w:val="clear" w:color="auto" w:fill="auto"/>
          </w:tcPr>
          <w:p w14:paraId="49784259"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10,0</w:t>
            </w:r>
          </w:p>
        </w:tc>
        <w:tc>
          <w:tcPr>
            <w:tcW w:w="472" w:type="pct"/>
            <w:tcBorders>
              <w:top w:val="single" w:sz="4" w:space="0" w:color="auto"/>
              <w:left w:val="nil"/>
              <w:bottom w:val="single" w:sz="4" w:space="0" w:color="auto"/>
              <w:right w:val="single" w:sz="4" w:space="0" w:color="auto"/>
            </w:tcBorders>
            <w:shd w:val="clear" w:color="auto" w:fill="auto"/>
          </w:tcPr>
          <w:p w14:paraId="25961BDD"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10,0</w:t>
            </w:r>
          </w:p>
        </w:tc>
        <w:tc>
          <w:tcPr>
            <w:tcW w:w="470" w:type="pct"/>
            <w:tcBorders>
              <w:top w:val="single" w:sz="4" w:space="0" w:color="auto"/>
              <w:left w:val="nil"/>
              <w:bottom w:val="single" w:sz="4" w:space="0" w:color="auto"/>
              <w:right w:val="single" w:sz="4" w:space="0" w:color="auto"/>
            </w:tcBorders>
            <w:shd w:val="clear" w:color="auto" w:fill="auto"/>
          </w:tcPr>
          <w:p w14:paraId="0AB7A45C"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10,0</w:t>
            </w:r>
          </w:p>
        </w:tc>
      </w:tr>
      <w:tr w:rsidR="00363FD1" w:rsidRPr="00571FAB" w14:paraId="150CF6CA" w14:textId="77777777" w:rsidTr="00A30215">
        <w:trPr>
          <w:cantSplit/>
          <w:trHeight w:hRule="exact" w:val="454"/>
          <w:jc w:val="center"/>
        </w:trPr>
        <w:tc>
          <w:tcPr>
            <w:tcW w:w="3114" w:type="pct"/>
            <w:vAlign w:val="center"/>
          </w:tcPr>
          <w:p w14:paraId="3F6297BB" w14:textId="71BA750F" w:rsidR="00571FAB" w:rsidRPr="00571FAB" w:rsidRDefault="00571FAB" w:rsidP="00571FAB">
            <w:pPr>
              <w:keepNext/>
              <w:keepLines/>
              <w:spacing w:before="100" w:beforeAutospacing="1" w:after="100" w:afterAutospacing="1"/>
              <w:ind w:firstLine="0"/>
              <w:contextualSpacing/>
              <w:jc w:val="left"/>
              <w:rPr>
                <w:rFonts w:eastAsia="Times New Roman" w:cs="Times New Roman"/>
                <w:sz w:val="18"/>
                <w:szCs w:val="24"/>
              </w:rPr>
            </w:pPr>
            <w:r w:rsidRPr="00571FAB">
              <w:rPr>
                <w:rFonts w:eastAsia="Times New Roman" w:cs="Times New Roman"/>
                <w:sz w:val="18"/>
                <w:szCs w:val="24"/>
              </w:rPr>
              <w:t>Salīdzinājumā ar likumu “Par valsts budžetu 2023. gadam un budžeta ietvaru 2023., 2024. un 2025. gadam”, milj. </w:t>
            </w:r>
            <w:proofErr w:type="spellStart"/>
            <w:r w:rsidRPr="00272F14">
              <w:rPr>
                <w:rFonts w:eastAsia="Times New Roman" w:cs="Times New Roman"/>
                <w:i/>
                <w:iCs/>
                <w:sz w:val="18"/>
                <w:szCs w:val="24"/>
              </w:rPr>
              <w:t>euro</w:t>
            </w:r>
            <w:proofErr w:type="spellEnd"/>
          </w:p>
        </w:tc>
        <w:tc>
          <w:tcPr>
            <w:tcW w:w="472" w:type="pct"/>
            <w:tcBorders>
              <w:top w:val="single" w:sz="4" w:space="0" w:color="auto"/>
              <w:left w:val="nil"/>
              <w:bottom w:val="single" w:sz="4" w:space="0" w:color="auto"/>
              <w:right w:val="single" w:sz="4" w:space="0" w:color="auto"/>
            </w:tcBorders>
            <w:shd w:val="clear" w:color="auto" w:fill="auto"/>
          </w:tcPr>
          <w:p w14:paraId="4463C124"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+87,9</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41F5649C"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+282,2</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7E21890A"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+357,7</w:t>
            </w:r>
          </w:p>
        </w:tc>
        <w:tc>
          <w:tcPr>
            <w:tcW w:w="470" w:type="pct"/>
            <w:tcBorders>
              <w:top w:val="single" w:sz="4" w:space="0" w:color="auto"/>
              <w:left w:val="single" w:sz="4" w:space="0" w:color="auto"/>
              <w:bottom w:val="single" w:sz="4" w:space="0" w:color="auto"/>
              <w:right w:val="single" w:sz="4" w:space="0" w:color="auto"/>
            </w:tcBorders>
            <w:shd w:val="clear" w:color="auto" w:fill="auto"/>
          </w:tcPr>
          <w:p w14:paraId="679332B3"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w:t>
            </w:r>
          </w:p>
        </w:tc>
      </w:tr>
      <w:tr w:rsidR="00363FD1" w:rsidRPr="00571FAB" w14:paraId="5F12F981" w14:textId="77777777" w:rsidTr="00A30215">
        <w:trPr>
          <w:cantSplit/>
          <w:trHeight w:hRule="exact" w:val="454"/>
          <w:jc w:val="center"/>
        </w:trPr>
        <w:tc>
          <w:tcPr>
            <w:tcW w:w="3114" w:type="pct"/>
            <w:vAlign w:val="center"/>
          </w:tcPr>
          <w:p w14:paraId="2D645D3B" w14:textId="70FBE1FB" w:rsidR="00571FAB" w:rsidRPr="00571FAB" w:rsidRDefault="00571FAB" w:rsidP="00571FAB">
            <w:pPr>
              <w:keepNext/>
              <w:keepLines/>
              <w:spacing w:before="100" w:beforeAutospacing="1" w:after="100" w:afterAutospacing="1"/>
              <w:ind w:firstLine="0"/>
              <w:contextualSpacing/>
              <w:jc w:val="left"/>
              <w:rPr>
                <w:rFonts w:eastAsia="Times New Roman" w:cs="Times New Roman"/>
                <w:sz w:val="18"/>
                <w:szCs w:val="24"/>
              </w:rPr>
            </w:pPr>
            <w:r w:rsidRPr="00571FAB">
              <w:rPr>
                <w:rFonts w:eastAsia="Times New Roman" w:cs="Times New Roman"/>
                <w:sz w:val="18"/>
                <w:szCs w:val="24"/>
              </w:rPr>
              <w:t>Salīdzinājumā ar likumu “Par valsts budžetu 2023. gadam un budžeta ietvaru 2023., 2024. un 2025. gadam”, %</w:t>
            </w:r>
          </w:p>
        </w:tc>
        <w:tc>
          <w:tcPr>
            <w:tcW w:w="472" w:type="pct"/>
            <w:tcBorders>
              <w:top w:val="single" w:sz="4" w:space="0" w:color="auto"/>
              <w:left w:val="nil"/>
              <w:bottom w:val="single" w:sz="4" w:space="0" w:color="auto"/>
              <w:right w:val="single" w:sz="4" w:space="0" w:color="auto"/>
            </w:tcBorders>
            <w:shd w:val="clear" w:color="auto" w:fill="auto"/>
          </w:tcPr>
          <w:p w14:paraId="7E595C99"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+2,2</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45425451"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+6,6</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1CA96F49"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+8,0</w:t>
            </w:r>
          </w:p>
        </w:tc>
        <w:tc>
          <w:tcPr>
            <w:tcW w:w="470" w:type="pct"/>
            <w:tcBorders>
              <w:top w:val="single" w:sz="4" w:space="0" w:color="auto"/>
              <w:left w:val="single" w:sz="4" w:space="0" w:color="auto"/>
              <w:bottom w:val="single" w:sz="4" w:space="0" w:color="auto"/>
              <w:right w:val="single" w:sz="4" w:space="0" w:color="auto"/>
            </w:tcBorders>
            <w:shd w:val="clear" w:color="auto" w:fill="auto"/>
          </w:tcPr>
          <w:p w14:paraId="2B1EFE6A" w14:textId="77777777" w:rsidR="00571FAB" w:rsidRPr="00BB23B3" w:rsidRDefault="00571FAB" w:rsidP="00476C92">
            <w:pPr>
              <w:keepNext/>
              <w:keepLines/>
              <w:spacing w:after="0"/>
              <w:ind w:firstLine="0"/>
              <w:contextualSpacing/>
              <w:jc w:val="right"/>
              <w:rPr>
                <w:rFonts w:eastAsia="Times New Roman" w:cs="Times New Roman"/>
                <w:i/>
                <w:iCs/>
                <w:sz w:val="18"/>
                <w:szCs w:val="24"/>
              </w:rPr>
            </w:pPr>
            <w:r w:rsidRPr="00BB23B3">
              <w:rPr>
                <w:rFonts w:eastAsia="Times New Roman" w:cs="Times New Roman"/>
                <w:i/>
                <w:iCs/>
                <w:sz w:val="18"/>
                <w:szCs w:val="24"/>
              </w:rPr>
              <w:t>—</w:t>
            </w:r>
          </w:p>
        </w:tc>
      </w:tr>
    </w:tbl>
    <w:p w14:paraId="75FAB143" w14:textId="77777777" w:rsidR="00571FAB" w:rsidRPr="00272F14" w:rsidRDefault="00571FAB" w:rsidP="00272F14">
      <w:pPr>
        <w:keepNext/>
        <w:keepLines/>
        <w:spacing w:after="0"/>
        <w:ind w:left="397" w:firstLine="0"/>
        <w:rPr>
          <w:rFonts w:eastAsia="Calibri" w:cs="Times New Roman"/>
          <w:sz w:val="18"/>
          <w:szCs w:val="18"/>
          <w:lang w:eastAsia="en-US"/>
        </w:rPr>
      </w:pPr>
      <w:r w:rsidRPr="00272F14">
        <w:rPr>
          <w:rFonts w:eastAsia="Calibri" w:cs="Times New Roman"/>
          <w:sz w:val="18"/>
          <w:szCs w:val="18"/>
          <w:vertAlign w:val="superscript"/>
          <w:lang w:eastAsia="en-US"/>
        </w:rPr>
        <w:t>1</w:t>
      </w:r>
      <w:r w:rsidRPr="00272F14">
        <w:rPr>
          <w:rFonts w:eastAsia="Calibri" w:cs="Times New Roman"/>
          <w:sz w:val="18"/>
          <w:szCs w:val="18"/>
          <w:lang w:eastAsia="en-US"/>
        </w:rPr>
        <w:t xml:space="preserve"> Neieskaitot iemaksas valsts </w:t>
      </w:r>
      <w:proofErr w:type="spellStart"/>
      <w:r w:rsidRPr="00272F14">
        <w:rPr>
          <w:rFonts w:eastAsia="Calibri" w:cs="Times New Roman"/>
          <w:sz w:val="18"/>
          <w:szCs w:val="18"/>
          <w:lang w:eastAsia="en-US"/>
        </w:rPr>
        <w:t>fondēto</w:t>
      </w:r>
      <w:proofErr w:type="spellEnd"/>
      <w:r w:rsidRPr="00272F14">
        <w:rPr>
          <w:rFonts w:eastAsia="Calibri" w:cs="Times New Roman"/>
          <w:sz w:val="18"/>
          <w:szCs w:val="18"/>
          <w:lang w:eastAsia="en-US"/>
        </w:rPr>
        <w:t xml:space="preserve"> pensiju shēmā.</w:t>
      </w:r>
    </w:p>
    <w:p w14:paraId="05E2A587" w14:textId="7CA8E334" w:rsidR="00571FAB" w:rsidRPr="00272F14" w:rsidRDefault="00571FAB" w:rsidP="00272F14">
      <w:pPr>
        <w:spacing w:after="240"/>
        <w:ind w:left="397" w:firstLine="0"/>
        <w:rPr>
          <w:rFonts w:eastAsia="Calibri" w:cs="Times New Roman"/>
          <w:sz w:val="18"/>
          <w:szCs w:val="18"/>
          <w:lang w:eastAsia="en-US"/>
        </w:rPr>
      </w:pPr>
      <w:r w:rsidRPr="00272F14">
        <w:rPr>
          <w:rFonts w:eastAsia="Calibri" w:cs="Times New Roman"/>
          <w:sz w:val="18"/>
          <w:szCs w:val="18"/>
          <w:vertAlign w:val="superscript"/>
          <w:lang w:eastAsia="en-US"/>
        </w:rPr>
        <w:t>2</w:t>
      </w:r>
      <w:r w:rsidRPr="00272F14">
        <w:rPr>
          <w:rFonts w:eastAsia="Calibri" w:cs="Times New Roman"/>
          <w:sz w:val="18"/>
          <w:szCs w:val="18"/>
          <w:lang w:eastAsia="en-US"/>
        </w:rPr>
        <w:t> Prognoze</w:t>
      </w:r>
    </w:p>
    <w:p w14:paraId="5CC2635F" w14:textId="77777777" w:rsidR="00571FAB" w:rsidRPr="00E31B07" w:rsidRDefault="00571FAB" w:rsidP="00571FAB">
      <w:pPr>
        <w:rPr>
          <w:rFonts w:eastAsia="Times New Roman" w:cs="Times New Roman"/>
          <w:color w:val="000000"/>
          <w:szCs w:val="24"/>
        </w:rPr>
      </w:pPr>
      <w:r w:rsidRPr="00E31B07">
        <w:rPr>
          <w:rFonts w:eastAsia="Times New Roman" w:cs="Times New Roman"/>
          <w:color w:val="000000"/>
          <w:szCs w:val="24"/>
        </w:rPr>
        <w:t>VSAOI pamatbudžetā veselības finansēšanai 202</w:t>
      </w:r>
      <w:r>
        <w:rPr>
          <w:rFonts w:eastAsia="Times New Roman" w:cs="Times New Roman"/>
          <w:color w:val="000000"/>
          <w:szCs w:val="24"/>
        </w:rPr>
        <w:t>4. g</w:t>
      </w:r>
      <w:r w:rsidRPr="00E31B07">
        <w:rPr>
          <w:rFonts w:eastAsia="Times New Roman" w:cs="Times New Roman"/>
          <w:color w:val="000000"/>
          <w:szCs w:val="24"/>
        </w:rPr>
        <w:t>adā tiek plānotas 157,4</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color w:val="000000"/>
          <w:szCs w:val="24"/>
        </w:rPr>
        <w:t>euro</w:t>
      </w:r>
      <w:proofErr w:type="spellEnd"/>
      <w:r w:rsidRPr="00E31B07">
        <w:rPr>
          <w:rFonts w:eastAsia="Times New Roman" w:cs="Times New Roman"/>
          <w:color w:val="000000"/>
          <w:szCs w:val="24"/>
        </w:rPr>
        <w:t xml:space="preserve"> apmērā, 202</w:t>
      </w:r>
      <w:r>
        <w:rPr>
          <w:rFonts w:eastAsia="Times New Roman" w:cs="Times New Roman"/>
          <w:color w:val="000000"/>
          <w:szCs w:val="24"/>
        </w:rPr>
        <w:t>5. g</w:t>
      </w:r>
      <w:r w:rsidRPr="00E31B07">
        <w:rPr>
          <w:rFonts w:eastAsia="Times New Roman" w:cs="Times New Roman"/>
          <w:color w:val="000000"/>
          <w:szCs w:val="24"/>
        </w:rPr>
        <w:t>adā 167,3</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color w:val="000000"/>
          <w:szCs w:val="24"/>
        </w:rPr>
        <w:t xml:space="preserve"> un 202</w:t>
      </w:r>
      <w:r>
        <w:rPr>
          <w:rFonts w:eastAsia="Times New Roman" w:cs="Times New Roman"/>
          <w:color w:val="000000"/>
          <w:szCs w:val="24"/>
        </w:rPr>
        <w:t>6. g</w:t>
      </w:r>
      <w:r w:rsidRPr="00E31B07">
        <w:rPr>
          <w:rFonts w:eastAsia="Times New Roman" w:cs="Times New Roman"/>
          <w:color w:val="000000"/>
          <w:szCs w:val="24"/>
        </w:rPr>
        <w:t>adā 177,5</w:t>
      </w:r>
      <w:r>
        <w:rPr>
          <w:rFonts w:eastAsia="Times New Roman" w:cs="Times New Roman"/>
          <w:color w:val="000000"/>
          <w:szCs w:val="24"/>
        </w:rPr>
        <w:t> milj.</w:t>
      </w:r>
      <w:r w:rsidRPr="00E31B07">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E31B07">
        <w:rPr>
          <w:rFonts w:eastAsia="Times New Roman" w:cs="Times New Roman"/>
          <w:color w:val="000000"/>
          <w:szCs w:val="24"/>
        </w:rPr>
        <w:t>.</w:t>
      </w:r>
    </w:p>
    <w:p w14:paraId="6AA7A5C5" w14:textId="77777777" w:rsidR="00815DDD" w:rsidRPr="00272F14" w:rsidRDefault="00815DDD" w:rsidP="0097121F">
      <w:pPr>
        <w:keepNext/>
        <w:keepLines/>
        <w:spacing w:before="240" w:after="240"/>
        <w:ind w:firstLine="0"/>
        <w:jc w:val="center"/>
        <w:outlineLvl w:val="3"/>
        <w:rPr>
          <w:rFonts w:eastAsia="Times New Roman" w:cs="Times New Roman"/>
          <w:b/>
          <w:sz w:val="28"/>
          <w:lang w:eastAsia="en-US"/>
        </w:rPr>
      </w:pPr>
      <w:r w:rsidRPr="00272F14">
        <w:rPr>
          <w:rFonts w:eastAsia="Times New Roman" w:cs="Times New Roman"/>
          <w:b/>
          <w:sz w:val="28"/>
          <w:lang w:eastAsia="en-US"/>
        </w:rPr>
        <w:t>Uzņēmumu ienākuma nodoklis</w:t>
      </w:r>
      <w:bookmarkEnd w:id="87"/>
    </w:p>
    <w:p w14:paraId="4976C153" w14:textId="77777777" w:rsidR="00276690" w:rsidRPr="00602648" w:rsidRDefault="00276690" w:rsidP="00276690">
      <w:pPr>
        <w:rPr>
          <w:rFonts w:eastAsia="Times New Roman" w:cs="Times New Roman"/>
          <w:color w:val="000000"/>
          <w:szCs w:val="24"/>
        </w:rPr>
      </w:pPr>
      <w:r w:rsidRPr="00602648">
        <w:rPr>
          <w:rFonts w:eastAsia="Times New Roman" w:cs="Times New Roman"/>
          <w:color w:val="000000"/>
          <w:szCs w:val="24"/>
        </w:rPr>
        <w:t>UIN ieņēmumi 2023</w:t>
      </w:r>
      <w:r>
        <w:rPr>
          <w:rFonts w:eastAsia="Times New Roman" w:cs="Times New Roman"/>
          <w:color w:val="000000"/>
          <w:szCs w:val="24"/>
        </w:rPr>
        <w:t>. g</w:t>
      </w:r>
      <w:r w:rsidRPr="00602648">
        <w:rPr>
          <w:rFonts w:eastAsia="Times New Roman" w:cs="Times New Roman"/>
          <w:color w:val="000000"/>
          <w:szCs w:val="24"/>
        </w:rPr>
        <w:t>ada 1</w:t>
      </w:r>
      <w:r>
        <w:rPr>
          <w:rFonts w:eastAsia="Times New Roman" w:cs="Times New Roman"/>
          <w:color w:val="000000"/>
          <w:szCs w:val="24"/>
        </w:rPr>
        <w:t>. p</w:t>
      </w:r>
      <w:r w:rsidRPr="00602648">
        <w:rPr>
          <w:rFonts w:eastAsia="Times New Roman" w:cs="Times New Roman"/>
          <w:color w:val="000000"/>
          <w:szCs w:val="24"/>
        </w:rPr>
        <w:t>usgadā bija 331,8</w:t>
      </w:r>
      <w:r>
        <w:rPr>
          <w:rFonts w:eastAsia="Times New Roman" w:cs="Times New Roman"/>
          <w:color w:val="000000"/>
          <w:szCs w:val="24"/>
        </w:rPr>
        <w:t> milj.</w:t>
      </w:r>
      <w:r w:rsidRPr="0060264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02648">
        <w:rPr>
          <w:rFonts w:eastAsia="Times New Roman" w:cs="Times New Roman"/>
          <w:color w:val="000000"/>
          <w:szCs w:val="24"/>
        </w:rPr>
        <w:t>, kas salīdzinājumā ar 2022</w:t>
      </w:r>
      <w:r>
        <w:rPr>
          <w:rFonts w:eastAsia="Times New Roman" w:cs="Times New Roman"/>
          <w:color w:val="000000"/>
          <w:szCs w:val="24"/>
        </w:rPr>
        <w:t>. g</w:t>
      </w:r>
      <w:r w:rsidRPr="00602648">
        <w:rPr>
          <w:rFonts w:eastAsia="Times New Roman" w:cs="Times New Roman"/>
          <w:color w:val="000000"/>
          <w:szCs w:val="24"/>
        </w:rPr>
        <w:t>ada attiecīgo periodu ir palielinājušies par 119,3</w:t>
      </w:r>
      <w:r>
        <w:rPr>
          <w:rFonts w:eastAsia="Times New Roman" w:cs="Times New Roman"/>
          <w:color w:val="000000"/>
          <w:szCs w:val="24"/>
        </w:rPr>
        <w:t> milj.</w:t>
      </w:r>
      <w:r w:rsidRPr="0060264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02648">
        <w:rPr>
          <w:rFonts w:eastAsia="Times New Roman" w:cs="Times New Roman"/>
          <w:color w:val="000000"/>
          <w:szCs w:val="24"/>
        </w:rPr>
        <w:t xml:space="preserve"> jeb par 56,2 procentiem. Ieņēmumu palielinājums skaidrojams ar sadalītās pelņas apmēra pieaugumu, vienlaikus samazinoties līdz 2018</w:t>
      </w:r>
      <w:r>
        <w:rPr>
          <w:rFonts w:eastAsia="Times New Roman" w:cs="Times New Roman"/>
          <w:color w:val="000000"/>
          <w:szCs w:val="24"/>
        </w:rPr>
        <w:t>. g</w:t>
      </w:r>
      <w:r w:rsidRPr="00602648">
        <w:rPr>
          <w:rFonts w:eastAsia="Times New Roman" w:cs="Times New Roman"/>
          <w:color w:val="000000"/>
          <w:szCs w:val="24"/>
        </w:rPr>
        <w:t>adam gūt</w:t>
      </w:r>
      <w:r>
        <w:rPr>
          <w:rFonts w:eastAsia="Times New Roman" w:cs="Times New Roman"/>
          <w:color w:val="000000"/>
          <w:szCs w:val="24"/>
        </w:rPr>
        <w:t>ās</w:t>
      </w:r>
      <w:r w:rsidRPr="00602648">
        <w:rPr>
          <w:rFonts w:eastAsia="Times New Roman" w:cs="Times New Roman"/>
          <w:color w:val="000000"/>
          <w:szCs w:val="24"/>
        </w:rPr>
        <w:t xml:space="preserve"> peļņas apmēram (par šādas peļņas sadali nodoklis netiek piemērots). 2023</w:t>
      </w:r>
      <w:r>
        <w:rPr>
          <w:rFonts w:eastAsia="Times New Roman" w:cs="Times New Roman"/>
          <w:color w:val="000000"/>
          <w:szCs w:val="24"/>
        </w:rPr>
        <w:t>. g</w:t>
      </w:r>
      <w:r w:rsidRPr="00602648">
        <w:rPr>
          <w:rFonts w:eastAsia="Times New Roman" w:cs="Times New Roman"/>
          <w:color w:val="000000"/>
          <w:szCs w:val="24"/>
        </w:rPr>
        <w:t>ada 1</w:t>
      </w:r>
      <w:r>
        <w:rPr>
          <w:rFonts w:eastAsia="Times New Roman" w:cs="Times New Roman"/>
          <w:color w:val="000000"/>
          <w:szCs w:val="24"/>
        </w:rPr>
        <w:t>. p</w:t>
      </w:r>
      <w:r w:rsidRPr="00602648">
        <w:rPr>
          <w:rFonts w:eastAsia="Times New Roman" w:cs="Times New Roman"/>
          <w:color w:val="000000"/>
          <w:szCs w:val="24"/>
        </w:rPr>
        <w:t>usgada plāns pārpildīts par 117,7</w:t>
      </w:r>
      <w:r>
        <w:rPr>
          <w:rFonts w:eastAsia="Times New Roman" w:cs="Times New Roman"/>
          <w:color w:val="000000"/>
          <w:szCs w:val="24"/>
        </w:rPr>
        <w:t> milj.</w:t>
      </w:r>
      <w:r w:rsidRPr="0060264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02648">
        <w:rPr>
          <w:rFonts w:eastAsia="Times New Roman" w:cs="Times New Roman"/>
          <w:color w:val="000000"/>
          <w:szCs w:val="24"/>
        </w:rPr>
        <w:t xml:space="preserve"> jeb 55,0 %, kā iemeslu minot sadalītās pelņas apmēra pieaugumu, kas pieaug straujāk par iepriekš prognozēto. </w:t>
      </w:r>
    </w:p>
    <w:p w14:paraId="6BE37407" w14:textId="77777777" w:rsidR="00276690" w:rsidRPr="00602648" w:rsidRDefault="00276690" w:rsidP="00276690">
      <w:pPr>
        <w:rPr>
          <w:rFonts w:eastAsia="Times New Roman" w:cs="Times New Roman"/>
          <w:color w:val="000000"/>
          <w:szCs w:val="24"/>
        </w:rPr>
      </w:pPr>
      <w:r w:rsidRPr="00602648">
        <w:rPr>
          <w:rFonts w:eastAsia="Times New Roman" w:cs="Times New Roman"/>
          <w:color w:val="000000"/>
          <w:szCs w:val="24"/>
        </w:rPr>
        <w:t>Kopš 2018</w:t>
      </w:r>
      <w:r>
        <w:rPr>
          <w:rFonts w:eastAsia="Times New Roman" w:cs="Times New Roman"/>
          <w:color w:val="000000"/>
          <w:szCs w:val="24"/>
        </w:rPr>
        <w:t>. g</w:t>
      </w:r>
      <w:r w:rsidRPr="00602648">
        <w:rPr>
          <w:rFonts w:eastAsia="Times New Roman" w:cs="Times New Roman"/>
          <w:color w:val="000000"/>
          <w:szCs w:val="24"/>
        </w:rPr>
        <w:t>ada UIN piedzīvoja būtiskas pārmaiņas – nodoklis tiek maksāts peļņas sadales un tai pielīdzināmos gadījumos. 2023</w:t>
      </w:r>
      <w:r>
        <w:rPr>
          <w:rFonts w:eastAsia="Times New Roman" w:cs="Times New Roman"/>
          <w:color w:val="000000"/>
          <w:szCs w:val="24"/>
        </w:rPr>
        <w:t>. g</w:t>
      </w:r>
      <w:r w:rsidRPr="00602648">
        <w:rPr>
          <w:rFonts w:eastAsia="Times New Roman" w:cs="Times New Roman"/>
          <w:color w:val="000000"/>
          <w:szCs w:val="24"/>
        </w:rPr>
        <w:t>ada 1</w:t>
      </w:r>
      <w:r>
        <w:rPr>
          <w:rFonts w:eastAsia="Times New Roman" w:cs="Times New Roman"/>
          <w:color w:val="000000"/>
          <w:szCs w:val="24"/>
        </w:rPr>
        <w:t>. p</w:t>
      </w:r>
      <w:r w:rsidRPr="00602648">
        <w:rPr>
          <w:rFonts w:eastAsia="Times New Roman" w:cs="Times New Roman"/>
          <w:color w:val="000000"/>
          <w:szCs w:val="24"/>
        </w:rPr>
        <w:t>usgadā visvairāk deklarētas dividendes vai dividendēm pielīdzinātas izmaksas 1 803,4</w:t>
      </w:r>
      <w:r>
        <w:rPr>
          <w:rFonts w:eastAsia="Times New Roman" w:cs="Times New Roman"/>
          <w:color w:val="000000"/>
          <w:szCs w:val="24"/>
        </w:rPr>
        <w:t> milj.</w:t>
      </w:r>
      <w:r w:rsidRPr="0060264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02648">
        <w:rPr>
          <w:rFonts w:eastAsia="Times New Roman" w:cs="Times New Roman"/>
          <w:color w:val="000000"/>
          <w:szCs w:val="24"/>
        </w:rPr>
        <w:t>, bet nosacīti sadalītā peļņa 64,1</w:t>
      </w:r>
      <w:r>
        <w:rPr>
          <w:rFonts w:eastAsia="Times New Roman" w:cs="Times New Roman"/>
          <w:color w:val="000000"/>
          <w:szCs w:val="24"/>
        </w:rPr>
        <w:t> milj.</w:t>
      </w:r>
      <w:r w:rsidRPr="0060264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02648">
        <w:rPr>
          <w:rFonts w:eastAsia="Times New Roman" w:cs="Times New Roman"/>
          <w:color w:val="000000"/>
          <w:szCs w:val="24"/>
        </w:rPr>
        <w:t xml:space="preserve"> apmērā.</w:t>
      </w:r>
    </w:p>
    <w:p w14:paraId="0FE71972" w14:textId="77777777" w:rsidR="00276690" w:rsidRPr="00602648" w:rsidRDefault="00276690" w:rsidP="00276690">
      <w:pPr>
        <w:rPr>
          <w:rFonts w:eastAsia="Times New Roman" w:cs="Times New Roman"/>
          <w:color w:val="000000"/>
          <w:szCs w:val="24"/>
        </w:rPr>
      </w:pPr>
      <w:r w:rsidRPr="00602648">
        <w:rPr>
          <w:rFonts w:eastAsia="Times New Roman" w:cs="Times New Roman"/>
          <w:color w:val="000000"/>
          <w:szCs w:val="24"/>
        </w:rPr>
        <w:t xml:space="preserve">Saskaņā ar </w:t>
      </w:r>
      <w:r w:rsidRPr="0060241C">
        <w:rPr>
          <w:rFonts w:eastAsia="Calibri" w:cs="Times New Roman"/>
          <w:szCs w:val="24"/>
        </w:rPr>
        <w:t>likumprojektu</w:t>
      </w:r>
      <w:r w:rsidRPr="00602648">
        <w:rPr>
          <w:rFonts w:eastAsia="Times New Roman" w:cs="Times New Roman"/>
          <w:color w:val="000000"/>
          <w:szCs w:val="24"/>
        </w:rPr>
        <w:t xml:space="preserve"> “Par valsts budžetu 2024</w:t>
      </w:r>
      <w:r>
        <w:rPr>
          <w:rFonts w:eastAsia="Times New Roman" w:cs="Times New Roman"/>
          <w:color w:val="000000"/>
          <w:szCs w:val="24"/>
        </w:rPr>
        <w:t>. g</w:t>
      </w:r>
      <w:r w:rsidRPr="00602648">
        <w:rPr>
          <w:rFonts w:eastAsia="Times New Roman" w:cs="Times New Roman"/>
          <w:color w:val="000000"/>
          <w:szCs w:val="24"/>
        </w:rPr>
        <w:t>adam un budžeta ietvaru 2024., 2025. un 2026</w:t>
      </w:r>
      <w:r>
        <w:rPr>
          <w:rFonts w:eastAsia="Times New Roman" w:cs="Times New Roman"/>
          <w:color w:val="000000"/>
          <w:szCs w:val="24"/>
        </w:rPr>
        <w:t>. g</w:t>
      </w:r>
      <w:r w:rsidRPr="00602648">
        <w:rPr>
          <w:rFonts w:eastAsia="Times New Roman" w:cs="Times New Roman"/>
          <w:color w:val="000000"/>
          <w:szCs w:val="24"/>
        </w:rPr>
        <w:t>adam” 2024</w:t>
      </w:r>
      <w:r>
        <w:rPr>
          <w:rFonts w:eastAsia="Times New Roman" w:cs="Times New Roman"/>
          <w:color w:val="000000"/>
          <w:szCs w:val="24"/>
        </w:rPr>
        <w:t>. g</w:t>
      </w:r>
      <w:r w:rsidRPr="00602648">
        <w:rPr>
          <w:rFonts w:eastAsia="Times New Roman" w:cs="Times New Roman"/>
          <w:color w:val="000000"/>
          <w:szCs w:val="24"/>
        </w:rPr>
        <w:t>adā UIN ieņēmumi tiek plānoti 695,7</w:t>
      </w:r>
      <w:r>
        <w:rPr>
          <w:rFonts w:eastAsia="Times New Roman" w:cs="Times New Roman"/>
          <w:color w:val="000000"/>
          <w:szCs w:val="24"/>
        </w:rPr>
        <w:t> milj.</w:t>
      </w:r>
      <w:r w:rsidRPr="0060264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02648">
        <w:rPr>
          <w:rFonts w:eastAsia="Times New Roman" w:cs="Times New Roman"/>
          <w:color w:val="000000"/>
          <w:szCs w:val="24"/>
        </w:rPr>
        <w:t>, 2025</w:t>
      </w:r>
      <w:r>
        <w:rPr>
          <w:rFonts w:eastAsia="Times New Roman" w:cs="Times New Roman"/>
          <w:color w:val="000000"/>
          <w:szCs w:val="24"/>
        </w:rPr>
        <w:t>. g</w:t>
      </w:r>
      <w:r w:rsidRPr="00602648">
        <w:rPr>
          <w:rFonts w:eastAsia="Times New Roman" w:cs="Times New Roman"/>
          <w:color w:val="000000"/>
          <w:szCs w:val="24"/>
        </w:rPr>
        <w:t>adā 659,0</w:t>
      </w:r>
      <w:r>
        <w:rPr>
          <w:rFonts w:eastAsia="Times New Roman" w:cs="Times New Roman"/>
          <w:color w:val="000000"/>
          <w:szCs w:val="24"/>
        </w:rPr>
        <w:t> milj.</w:t>
      </w:r>
      <w:r w:rsidRPr="0060264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02648">
        <w:rPr>
          <w:rFonts w:eastAsia="Times New Roman" w:cs="Times New Roman"/>
          <w:color w:val="000000"/>
          <w:szCs w:val="24"/>
        </w:rPr>
        <w:t xml:space="preserve"> un 2026</w:t>
      </w:r>
      <w:r>
        <w:rPr>
          <w:rFonts w:eastAsia="Times New Roman" w:cs="Times New Roman"/>
          <w:color w:val="000000"/>
          <w:szCs w:val="24"/>
        </w:rPr>
        <w:t>. g</w:t>
      </w:r>
      <w:r w:rsidRPr="00602648">
        <w:rPr>
          <w:rFonts w:eastAsia="Times New Roman" w:cs="Times New Roman"/>
          <w:color w:val="000000"/>
          <w:szCs w:val="24"/>
        </w:rPr>
        <w:t>adā 667,0</w:t>
      </w:r>
      <w:r>
        <w:rPr>
          <w:rFonts w:eastAsia="Times New Roman" w:cs="Times New Roman"/>
          <w:color w:val="000000"/>
          <w:szCs w:val="24"/>
        </w:rPr>
        <w:t> milj.</w:t>
      </w:r>
      <w:r w:rsidRPr="00602648">
        <w:rPr>
          <w:rFonts w:eastAsia="Times New Roman" w:cs="Times New Roman"/>
          <w:color w:val="000000"/>
          <w:szCs w:val="24"/>
        </w:rPr>
        <w:t> </w:t>
      </w:r>
      <w:proofErr w:type="spellStart"/>
      <w:r w:rsidRPr="00770C40">
        <w:rPr>
          <w:rFonts w:eastAsia="Times New Roman" w:cs="Times New Roman"/>
          <w:i/>
          <w:iCs/>
          <w:color w:val="000000"/>
          <w:szCs w:val="24"/>
        </w:rPr>
        <w:t>euro</w:t>
      </w:r>
      <w:proofErr w:type="spellEnd"/>
      <w:r w:rsidRPr="00602648">
        <w:rPr>
          <w:rFonts w:eastAsia="Times New Roman" w:cs="Times New Roman"/>
          <w:color w:val="000000"/>
          <w:szCs w:val="24"/>
        </w:rPr>
        <w:t xml:space="preserve"> apmērā (skat. 3.7. tabulu). UIN ieņēmumu plānu vidējā termiņā galvenokārt ietekmēs nodokļa apmēra par peļņas sadali pieauguma tendences, </w:t>
      </w:r>
      <w:r w:rsidRPr="00602648">
        <w:rPr>
          <w:rFonts w:eastAsia="Calibri" w:cs="Times New Roman"/>
          <w:szCs w:val="24"/>
        </w:rPr>
        <w:t>2023</w:t>
      </w:r>
      <w:r>
        <w:rPr>
          <w:rFonts w:eastAsia="Calibri" w:cs="Times New Roman"/>
          <w:szCs w:val="24"/>
        </w:rPr>
        <w:t>. g</w:t>
      </w:r>
      <w:r w:rsidRPr="00602648">
        <w:rPr>
          <w:rFonts w:eastAsia="Calibri" w:cs="Times New Roman"/>
          <w:szCs w:val="24"/>
        </w:rPr>
        <w:t>adā sagaidāmā izpilde</w:t>
      </w:r>
      <w:r w:rsidRPr="00602648">
        <w:rPr>
          <w:rFonts w:eastAsia="Times New Roman" w:cs="Times New Roman"/>
          <w:color w:val="000000"/>
          <w:szCs w:val="24"/>
        </w:rPr>
        <w:t>, kā arī 3.1. sadaļā minētie pasākumi.</w:t>
      </w:r>
    </w:p>
    <w:p w14:paraId="5296173A" w14:textId="6CE3A7A3" w:rsidR="00937B81" w:rsidRPr="00272F14" w:rsidRDefault="00815DDD" w:rsidP="00937B81">
      <w:pPr>
        <w:widowControl w:val="0"/>
        <w:jc w:val="right"/>
        <w:rPr>
          <w:rFonts w:eastAsia="Times New Roman" w:cs="Times New Roman"/>
          <w:b/>
          <w:i/>
          <w:color w:val="000000"/>
        </w:rPr>
      </w:pPr>
      <w:r w:rsidRPr="00272F14">
        <w:rPr>
          <w:rFonts w:eastAsia="Times New Roman" w:cs="Times New Roman"/>
          <w:b/>
          <w:i/>
          <w:color w:val="000000"/>
        </w:rPr>
        <w:t xml:space="preserve">3.7. tabula. </w:t>
      </w:r>
      <w:r w:rsidR="00F47D0B" w:rsidRPr="00272F14">
        <w:rPr>
          <w:rFonts w:eastAsia="Times New Roman" w:cs="Times New Roman"/>
          <w:b/>
          <w:i/>
          <w:color w:val="000000"/>
        </w:rPr>
        <w:t>UIN</w:t>
      </w:r>
      <w:r w:rsidRPr="00272F14">
        <w:rPr>
          <w:rFonts w:eastAsia="Times New Roman" w:cs="Times New Roman"/>
          <w:b/>
          <w:i/>
          <w:color w:val="000000"/>
        </w:rPr>
        <w:t xml:space="preserve"> ieņēmumi</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56"/>
        <w:gridCol w:w="851"/>
        <w:gridCol w:w="851"/>
        <w:gridCol w:w="851"/>
        <w:gridCol w:w="847"/>
      </w:tblGrid>
      <w:tr w:rsidR="00937B81" w:rsidRPr="004A3BF6" w14:paraId="2178932C" w14:textId="77777777" w:rsidTr="00A30215">
        <w:trPr>
          <w:cantSplit/>
          <w:trHeight w:hRule="exact" w:val="227"/>
          <w:jc w:val="center"/>
        </w:trPr>
        <w:tc>
          <w:tcPr>
            <w:tcW w:w="3102" w:type="pct"/>
            <w:shd w:val="clear" w:color="auto" w:fill="8EAADB"/>
            <w:vAlign w:val="center"/>
          </w:tcPr>
          <w:p w14:paraId="6305EA41" w14:textId="77777777" w:rsidR="00937B81" w:rsidRPr="004A3BF6" w:rsidRDefault="00937B81" w:rsidP="005D673A">
            <w:pPr>
              <w:pStyle w:val="Tabulasgalvenesrinda"/>
            </w:pPr>
          </w:p>
        </w:tc>
        <w:tc>
          <w:tcPr>
            <w:tcW w:w="475" w:type="pct"/>
            <w:shd w:val="clear" w:color="auto" w:fill="8EAADB"/>
            <w:vAlign w:val="center"/>
          </w:tcPr>
          <w:p w14:paraId="74F8A5D0" w14:textId="77777777" w:rsidR="00937B81" w:rsidRPr="00937B81" w:rsidRDefault="00937B81" w:rsidP="005D673A">
            <w:pPr>
              <w:pStyle w:val="Tabulasgalvenesrinda"/>
            </w:pPr>
            <w:r w:rsidRPr="00937B81">
              <w:t>2023</w:t>
            </w:r>
          </w:p>
        </w:tc>
        <w:tc>
          <w:tcPr>
            <w:tcW w:w="475" w:type="pct"/>
            <w:tcBorders>
              <w:bottom w:val="single" w:sz="4" w:space="0" w:color="auto"/>
            </w:tcBorders>
            <w:shd w:val="clear" w:color="auto" w:fill="8EAADB"/>
            <w:vAlign w:val="center"/>
          </w:tcPr>
          <w:p w14:paraId="01FE137A" w14:textId="77777777" w:rsidR="00937B81" w:rsidRPr="00937B81" w:rsidRDefault="00937B81" w:rsidP="005D673A">
            <w:pPr>
              <w:pStyle w:val="Tabulasgalvenesrinda"/>
            </w:pPr>
            <w:r w:rsidRPr="00937B81">
              <w:t>2024</w:t>
            </w:r>
          </w:p>
        </w:tc>
        <w:tc>
          <w:tcPr>
            <w:tcW w:w="475" w:type="pct"/>
            <w:tcBorders>
              <w:bottom w:val="single" w:sz="4" w:space="0" w:color="auto"/>
            </w:tcBorders>
            <w:shd w:val="clear" w:color="auto" w:fill="8EAADB"/>
            <w:vAlign w:val="center"/>
          </w:tcPr>
          <w:p w14:paraId="0B3DECFD" w14:textId="77777777" w:rsidR="00937B81" w:rsidRPr="00937B81" w:rsidRDefault="00937B81" w:rsidP="005D673A">
            <w:pPr>
              <w:pStyle w:val="Tabulasgalvenesrinda"/>
            </w:pPr>
            <w:r w:rsidRPr="00937B81">
              <w:t>2025</w:t>
            </w:r>
          </w:p>
        </w:tc>
        <w:tc>
          <w:tcPr>
            <w:tcW w:w="473" w:type="pct"/>
            <w:tcBorders>
              <w:bottom w:val="single" w:sz="4" w:space="0" w:color="auto"/>
            </w:tcBorders>
            <w:shd w:val="clear" w:color="auto" w:fill="8EAADB"/>
            <w:vAlign w:val="center"/>
          </w:tcPr>
          <w:p w14:paraId="61B96C32" w14:textId="77777777" w:rsidR="00937B81" w:rsidRPr="00937B81" w:rsidRDefault="00937B81" w:rsidP="005D673A">
            <w:pPr>
              <w:pStyle w:val="Tabulasgalvenesrinda"/>
            </w:pPr>
            <w:r w:rsidRPr="00937B81">
              <w:t>2026</w:t>
            </w:r>
          </w:p>
        </w:tc>
      </w:tr>
      <w:tr w:rsidR="00937B81" w:rsidRPr="004A3BF6" w14:paraId="04F2199D" w14:textId="77777777" w:rsidTr="00BB23B3">
        <w:trPr>
          <w:cantSplit/>
          <w:trHeight w:hRule="exact" w:val="454"/>
          <w:jc w:val="center"/>
        </w:trPr>
        <w:tc>
          <w:tcPr>
            <w:tcW w:w="3102" w:type="pct"/>
            <w:vAlign w:val="center"/>
          </w:tcPr>
          <w:p w14:paraId="29B2C173" w14:textId="77777777" w:rsidR="00937B81" w:rsidRPr="00937B81" w:rsidRDefault="00937B81" w:rsidP="002A7324">
            <w:pPr>
              <w:pStyle w:val="Tabulasteksts"/>
              <w:ind w:left="0"/>
              <w:rPr>
                <w:i/>
                <w:szCs w:val="18"/>
              </w:rPr>
            </w:pPr>
            <w:r w:rsidRPr="00937B81">
              <w:rPr>
                <w:szCs w:val="18"/>
              </w:rPr>
              <w:t>Saskaņā ar likumprojektu “Par valsts budžetu 2024. gadam un budžeta ietvaru 2024., 2025. un 2026. gadam”, milj.</w:t>
            </w:r>
            <w:r w:rsidRPr="00937B81">
              <w:rPr>
                <w:i/>
                <w:szCs w:val="18"/>
              </w:rPr>
              <w:t> euro</w:t>
            </w:r>
          </w:p>
        </w:tc>
        <w:tc>
          <w:tcPr>
            <w:tcW w:w="475" w:type="pct"/>
            <w:tcBorders>
              <w:bottom w:val="single" w:sz="4" w:space="0" w:color="auto"/>
            </w:tcBorders>
            <w:vAlign w:val="center"/>
          </w:tcPr>
          <w:p w14:paraId="49B410AC" w14:textId="77777777" w:rsidR="00937B81" w:rsidRPr="00937B81" w:rsidRDefault="00937B81" w:rsidP="00BB23B3">
            <w:pPr>
              <w:pStyle w:val="Tabulascipari"/>
              <w:keepNext/>
              <w:keepLines/>
              <w:ind w:left="0"/>
              <w:jc w:val="center"/>
              <w:rPr>
                <w:szCs w:val="18"/>
                <w:vertAlign w:val="superscript"/>
              </w:rPr>
            </w:pPr>
            <w:r w:rsidRPr="00937B81">
              <w:rPr>
                <w:szCs w:val="18"/>
              </w:rPr>
              <w:t>500,0</w:t>
            </w:r>
            <w:r w:rsidRPr="00937B81">
              <w:rPr>
                <w:szCs w:val="18"/>
                <w:vertAlign w:val="superscript"/>
              </w:rPr>
              <w:t>1</w:t>
            </w:r>
          </w:p>
        </w:tc>
        <w:tc>
          <w:tcPr>
            <w:tcW w:w="475" w:type="pct"/>
            <w:tcBorders>
              <w:top w:val="single" w:sz="4" w:space="0" w:color="auto"/>
              <w:left w:val="nil"/>
              <w:bottom w:val="single" w:sz="4" w:space="0" w:color="auto"/>
              <w:right w:val="single" w:sz="4" w:space="0" w:color="auto"/>
            </w:tcBorders>
            <w:shd w:val="clear" w:color="auto" w:fill="auto"/>
            <w:vAlign w:val="center"/>
          </w:tcPr>
          <w:p w14:paraId="1BF083A8" w14:textId="77777777" w:rsidR="00937B81" w:rsidRPr="00937B81" w:rsidRDefault="00937B81" w:rsidP="00BB23B3">
            <w:pPr>
              <w:pStyle w:val="Tabulascipari"/>
              <w:keepNext/>
              <w:keepLines/>
              <w:ind w:left="0"/>
              <w:jc w:val="center"/>
              <w:rPr>
                <w:szCs w:val="18"/>
              </w:rPr>
            </w:pPr>
            <w:r w:rsidRPr="00937B81">
              <w:rPr>
                <w:szCs w:val="18"/>
              </w:rPr>
              <w:t>695,7</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4F79075" w14:textId="77777777" w:rsidR="00937B81" w:rsidRPr="00937B81" w:rsidRDefault="00937B81" w:rsidP="00BB23B3">
            <w:pPr>
              <w:pStyle w:val="Tabulascipari"/>
              <w:keepNext/>
              <w:keepLines/>
              <w:ind w:left="0"/>
              <w:jc w:val="center"/>
              <w:rPr>
                <w:szCs w:val="18"/>
              </w:rPr>
            </w:pPr>
            <w:r w:rsidRPr="00937B81">
              <w:rPr>
                <w:szCs w:val="18"/>
              </w:rPr>
              <w:t>659,0</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14:paraId="586DBCD5" w14:textId="77777777" w:rsidR="00937B81" w:rsidRPr="00937B81" w:rsidRDefault="00937B81" w:rsidP="00BB23B3">
            <w:pPr>
              <w:pStyle w:val="Tabulascipari"/>
              <w:keepNext/>
              <w:keepLines/>
              <w:ind w:left="0"/>
              <w:jc w:val="center"/>
              <w:rPr>
                <w:szCs w:val="18"/>
              </w:rPr>
            </w:pPr>
            <w:r w:rsidRPr="00937B81">
              <w:rPr>
                <w:szCs w:val="18"/>
              </w:rPr>
              <w:t>667,0</w:t>
            </w:r>
          </w:p>
        </w:tc>
      </w:tr>
      <w:tr w:rsidR="00937B81" w:rsidRPr="004A3BF6" w14:paraId="40A0482A" w14:textId="77777777" w:rsidTr="00A30215">
        <w:trPr>
          <w:cantSplit/>
          <w:trHeight w:hRule="exact" w:val="227"/>
          <w:jc w:val="center"/>
        </w:trPr>
        <w:tc>
          <w:tcPr>
            <w:tcW w:w="3102" w:type="pct"/>
            <w:vAlign w:val="center"/>
          </w:tcPr>
          <w:p w14:paraId="56CD5488" w14:textId="77777777" w:rsidR="00937B81" w:rsidRPr="00937B81" w:rsidRDefault="00937B81" w:rsidP="00937B81">
            <w:pPr>
              <w:pStyle w:val="Tabulasteksts"/>
              <w:rPr>
                <w:i/>
                <w:iCs/>
                <w:szCs w:val="18"/>
              </w:rPr>
            </w:pPr>
            <w:r w:rsidRPr="00937B81">
              <w:rPr>
                <w:i/>
                <w:iCs/>
                <w:szCs w:val="18"/>
              </w:rPr>
              <w:t>pret IKP, %</w:t>
            </w:r>
          </w:p>
        </w:tc>
        <w:tc>
          <w:tcPr>
            <w:tcW w:w="475" w:type="pct"/>
            <w:tcBorders>
              <w:top w:val="single" w:sz="4" w:space="0" w:color="auto"/>
              <w:left w:val="single" w:sz="4" w:space="0" w:color="auto"/>
              <w:bottom w:val="single" w:sz="4" w:space="0" w:color="auto"/>
              <w:right w:val="single" w:sz="4" w:space="0" w:color="auto"/>
            </w:tcBorders>
            <w:shd w:val="clear" w:color="auto" w:fill="auto"/>
          </w:tcPr>
          <w:p w14:paraId="1E30BD99" w14:textId="77777777" w:rsidR="00937B81" w:rsidRPr="00937B81" w:rsidRDefault="00937B81" w:rsidP="00476C92">
            <w:pPr>
              <w:pStyle w:val="Tabulascipari"/>
              <w:keepNext/>
              <w:keepLines/>
              <w:ind w:left="0"/>
              <w:rPr>
                <w:i/>
                <w:iCs/>
                <w:color w:val="000000"/>
                <w:szCs w:val="18"/>
              </w:rPr>
            </w:pPr>
            <w:r w:rsidRPr="00937B81">
              <w:rPr>
                <w:i/>
                <w:iCs/>
                <w:szCs w:val="18"/>
              </w:rPr>
              <w:t>1,2</w:t>
            </w:r>
          </w:p>
        </w:tc>
        <w:tc>
          <w:tcPr>
            <w:tcW w:w="475" w:type="pct"/>
            <w:tcBorders>
              <w:top w:val="single" w:sz="4" w:space="0" w:color="auto"/>
              <w:left w:val="nil"/>
              <w:bottom w:val="single" w:sz="4" w:space="0" w:color="auto"/>
              <w:right w:val="single" w:sz="4" w:space="0" w:color="auto"/>
            </w:tcBorders>
            <w:shd w:val="clear" w:color="auto" w:fill="auto"/>
          </w:tcPr>
          <w:p w14:paraId="4EE66867" w14:textId="77777777" w:rsidR="00937B81" w:rsidRPr="00937B81" w:rsidRDefault="00937B81" w:rsidP="00476C92">
            <w:pPr>
              <w:pStyle w:val="Tabulascipari"/>
              <w:keepNext/>
              <w:keepLines/>
              <w:ind w:left="0"/>
              <w:rPr>
                <w:i/>
                <w:iCs/>
                <w:szCs w:val="18"/>
              </w:rPr>
            </w:pPr>
            <w:r w:rsidRPr="00937B81">
              <w:rPr>
                <w:i/>
                <w:iCs/>
                <w:szCs w:val="18"/>
              </w:rPr>
              <w:t>1,5</w:t>
            </w:r>
          </w:p>
        </w:tc>
        <w:tc>
          <w:tcPr>
            <w:tcW w:w="475" w:type="pct"/>
            <w:tcBorders>
              <w:top w:val="single" w:sz="4" w:space="0" w:color="auto"/>
              <w:left w:val="nil"/>
              <w:bottom w:val="single" w:sz="4" w:space="0" w:color="auto"/>
              <w:right w:val="single" w:sz="4" w:space="0" w:color="auto"/>
            </w:tcBorders>
            <w:shd w:val="clear" w:color="auto" w:fill="auto"/>
          </w:tcPr>
          <w:p w14:paraId="78401EBE" w14:textId="77777777" w:rsidR="00937B81" w:rsidRPr="00937B81" w:rsidRDefault="00937B81" w:rsidP="00476C92">
            <w:pPr>
              <w:pStyle w:val="Tabulascipari"/>
              <w:keepNext/>
              <w:keepLines/>
              <w:ind w:left="0"/>
              <w:rPr>
                <w:i/>
                <w:iCs/>
                <w:szCs w:val="18"/>
              </w:rPr>
            </w:pPr>
            <w:r w:rsidRPr="00937B81">
              <w:rPr>
                <w:i/>
                <w:iCs/>
                <w:szCs w:val="18"/>
              </w:rPr>
              <w:t>1,4</w:t>
            </w:r>
          </w:p>
        </w:tc>
        <w:tc>
          <w:tcPr>
            <w:tcW w:w="473" w:type="pct"/>
            <w:tcBorders>
              <w:top w:val="single" w:sz="4" w:space="0" w:color="auto"/>
              <w:left w:val="nil"/>
              <w:bottom w:val="single" w:sz="4" w:space="0" w:color="auto"/>
              <w:right w:val="single" w:sz="4" w:space="0" w:color="auto"/>
            </w:tcBorders>
            <w:shd w:val="clear" w:color="auto" w:fill="auto"/>
          </w:tcPr>
          <w:p w14:paraId="4EE84B5F" w14:textId="77777777" w:rsidR="00937B81" w:rsidRPr="00937B81" w:rsidRDefault="00937B81" w:rsidP="00476C92">
            <w:pPr>
              <w:pStyle w:val="Tabulascipari"/>
              <w:keepNext/>
              <w:keepLines/>
              <w:ind w:left="0"/>
              <w:rPr>
                <w:i/>
                <w:iCs/>
                <w:szCs w:val="18"/>
              </w:rPr>
            </w:pPr>
            <w:r w:rsidRPr="00937B81">
              <w:rPr>
                <w:i/>
                <w:iCs/>
                <w:szCs w:val="18"/>
              </w:rPr>
              <w:t>1,3</w:t>
            </w:r>
          </w:p>
        </w:tc>
      </w:tr>
      <w:tr w:rsidR="00937B81" w:rsidRPr="004A3BF6" w14:paraId="325262DA" w14:textId="77777777" w:rsidTr="00A30215">
        <w:trPr>
          <w:cantSplit/>
          <w:trHeight w:hRule="exact" w:val="454"/>
          <w:jc w:val="center"/>
        </w:trPr>
        <w:tc>
          <w:tcPr>
            <w:tcW w:w="3102" w:type="pct"/>
            <w:vAlign w:val="center"/>
          </w:tcPr>
          <w:p w14:paraId="5FFD4620" w14:textId="7845A902" w:rsidR="00937B81" w:rsidRPr="00937B81" w:rsidRDefault="00937B81" w:rsidP="00937B81">
            <w:pPr>
              <w:pStyle w:val="Tabulasteksts"/>
              <w:ind w:left="0"/>
              <w:rPr>
                <w:szCs w:val="18"/>
              </w:rPr>
            </w:pPr>
            <w:r w:rsidRPr="00937B81">
              <w:rPr>
                <w:szCs w:val="18"/>
              </w:rPr>
              <w:t>Salīdzinājumā ar likumu “Par valsts budžetu 2023. gadam un budžeta ietvaru 2023., 2024. un 2025. gadam”, milj. </w:t>
            </w:r>
            <w:r w:rsidRPr="00272F14">
              <w:rPr>
                <w:i/>
                <w:iCs/>
                <w:szCs w:val="18"/>
              </w:rPr>
              <w:t>euro</w:t>
            </w:r>
          </w:p>
        </w:tc>
        <w:tc>
          <w:tcPr>
            <w:tcW w:w="475" w:type="pct"/>
            <w:tcBorders>
              <w:top w:val="single" w:sz="4" w:space="0" w:color="auto"/>
              <w:left w:val="nil"/>
              <w:bottom w:val="single" w:sz="4" w:space="0" w:color="auto"/>
              <w:right w:val="single" w:sz="4" w:space="0" w:color="auto"/>
            </w:tcBorders>
            <w:shd w:val="clear" w:color="auto" w:fill="auto"/>
          </w:tcPr>
          <w:p w14:paraId="127835C9" w14:textId="77777777" w:rsidR="00937B81" w:rsidRPr="00937B81" w:rsidRDefault="00937B81" w:rsidP="00476C92">
            <w:pPr>
              <w:pStyle w:val="Tabulascipari"/>
              <w:keepNext/>
              <w:keepLines/>
              <w:ind w:left="0"/>
              <w:rPr>
                <w:i/>
                <w:iCs/>
                <w:szCs w:val="18"/>
              </w:rPr>
            </w:pPr>
            <w:r w:rsidRPr="00937B81">
              <w:rPr>
                <w:i/>
                <w:iCs/>
                <w:szCs w:val="18"/>
              </w:rPr>
              <w:t>+98,0</w:t>
            </w:r>
          </w:p>
        </w:tc>
        <w:tc>
          <w:tcPr>
            <w:tcW w:w="475" w:type="pct"/>
            <w:tcBorders>
              <w:top w:val="single" w:sz="4" w:space="0" w:color="auto"/>
              <w:left w:val="single" w:sz="4" w:space="0" w:color="auto"/>
              <w:bottom w:val="single" w:sz="4" w:space="0" w:color="auto"/>
              <w:right w:val="single" w:sz="4" w:space="0" w:color="auto"/>
            </w:tcBorders>
            <w:shd w:val="clear" w:color="auto" w:fill="auto"/>
          </w:tcPr>
          <w:p w14:paraId="28B412AC" w14:textId="77777777" w:rsidR="00937B81" w:rsidRPr="00937B81" w:rsidRDefault="00937B81" w:rsidP="00476C92">
            <w:pPr>
              <w:pStyle w:val="Tabulascipari"/>
              <w:keepNext/>
              <w:keepLines/>
              <w:ind w:left="0"/>
              <w:rPr>
                <w:i/>
                <w:iCs/>
                <w:szCs w:val="18"/>
              </w:rPr>
            </w:pPr>
            <w:r w:rsidRPr="00937B81">
              <w:rPr>
                <w:i/>
                <w:iCs/>
                <w:szCs w:val="18"/>
              </w:rPr>
              <w:t>+273,7</w:t>
            </w:r>
          </w:p>
        </w:tc>
        <w:tc>
          <w:tcPr>
            <w:tcW w:w="475" w:type="pct"/>
            <w:tcBorders>
              <w:top w:val="single" w:sz="4" w:space="0" w:color="auto"/>
              <w:left w:val="single" w:sz="4" w:space="0" w:color="auto"/>
              <w:bottom w:val="single" w:sz="4" w:space="0" w:color="auto"/>
              <w:right w:val="single" w:sz="4" w:space="0" w:color="auto"/>
            </w:tcBorders>
            <w:shd w:val="clear" w:color="auto" w:fill="auto"/>
          </w:tcPr>
          <w:p w14:paraId="1F3D223C" w14:textId="77777777" w:rsidR="00937B81" w:rsidRPr="00937B81" w:rsidRDefault="00937B81" w:rsidP="00476C92">
            <w:pPr>
              <w:pStyle w:val="Tabulascipari"/>
              <w:keepNext/>
              <w:keepLines/>
              <w:ind w:left="0"/>
              <w:rPr>
                <w:i/>
                <w:iCs/>
                <w:szCs w:val="18"/>
              </w:rPr>
            </w:pPr>
            <w:r w:rsidRPr="00937B81">
              <w:rPr>
                <w:i/>
                <w:iCs/>
                <w:szCs w:val="18"/>
              </w:rPr>
              <w:t>+212,0</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75711CC" w14:textId="77777777" w:rsidR="00937B81" w:rsidRPr="00937B81" w:rsidRDefault="00937B81" w:rsidP="00476C92">
            <w:pPr>
              <w:pStyle w:val="Tabulascipari"/>
              <w:keepNext/>
              <w:keepLines/>
              <w:ind w:left="0"/>
              <w:rPr>
                <w:i/>
                <w:iCs/>
                <w:szCs w:val="18"/>
              </w:rPr>
            </w:pPr>
            <w:r w:rsidRPr="00937B81">
              <w:rPr>
                <w:i/>
                <w:iCs/>
                <w:szCs w:val="18"/>
              </w:rPr>
              <w:t>—</w:t>
            </w:r>
          </w:p>
        </w:tc>
      </w:tr>
      <w:tr w:rsidR="00937B81" w:rsidRPr="004A3BF6" w14:paraId="2BE286D9" w14:textId="77777777" w:rsidTr="00A30215">
        <w:trPr>
          <w:cantSplit/>
          <w:trHeight w:hRule="exact" w:val="454"/>
          <w:jc w:val="center"/>
        </w:trPr>
        <w:tc>
          <w:tcPr>
            <w:tcW w:w="3102" w:type="pct"/>
            <w:vAlign w:val="center"/>
          </w:tcPr>
          <w:p w14:paraId="1DA71153" w14:textId="58377213" w:rsidR="00937B81" w:rsidRPr="00937B81" w:rsidRDefault="00937B81" w:rsidP="00937B81">
            <w:pPr>
              <w:pStyle w:val="Tabulasteksts"/>
              <w:ind w:left="0"/>
              <w:rPr>
                <w:szCs w:val="18"/>
              </w:rPr>
            </w:pPr>
            <w:r w:rsidRPr="00937B81">
              <w:rPr>
                <w:szCs w:val="18"/>
              </w:rPr>
              <w:t>Salīdzinājumā ar likumu “Par valsts budžetu 2023. gadam un budžeta ietvaru 2023., 2024. un 2025. gadam”, %</w:t>
            </w:r>
          </w:p>
        </w:tc>
        <w:tc>
          <w:tcPr>
            <w:tcW w:w="475" w:type="pct"/>
            <w:tcBorders>
              <w:top w:val="single" w:sz="4" w:space="0" w:color="auto"/>
              <w:left w:val="nil"/>
              <w:bottom w:val="single" w:sz="4" w:space="0" w:color="auto"/>
              <w:right w:val="single" w:sz="4" w:space="0" w:color="auto"/>
            </w:tcBorders>
            <w:shd w:val="clear" w:color="auto" w:fill="auto"/>
          </w:tcPr>
          <w:p w14:paraId="2D50659C" w14:textId="77777777" w:rsidR="00937B81" w:rsidRPr="00937B81" w:rsidRDefault="00937B81" w:rsidP="00476C92">
            <w:pPr>
              <w:pStyle w:val="Tabulascipari"/>
              <w:keepNext/>
              <w:keepLines/>
              <w:ind w:left="0"/>
              <w:rPr>
                <w:i/>
                <w:iCs/>
                <w:szCs w:val="18"/>
              </w:rPr>
            </w:pPr>
            <w:r w:rsidRPr="00937B81">
              <w:rPr>
                <w:i/>
                <w:iCs/>
                <w:szCs w:val="18"/>
              </w:rPr>
              <w:t>+24,4</w:t>
            </w:r>
          </w:p>
        </w:tc>
        <w:tc>
          <w:tcPr>
            <w:tcW w:w="475" w:type="pct"/>
            <w:tcBorders>
              <w:top w:val="single" w:sz="4" w:space="0" w:color="auto"/>
              <w:left w:val="single" w:sz="4" w:space="0" w:color="auto"/>
              <w:bottom w:val="single" w:sz="4" w:space="0" w:color="auto"/>
              <w:right w:val="single" w:sz="4" w:space="0" w:color="auto"/>
            </w:tcBorders>
            <w:shd w:val="clear" w:color="auto" w:fill="auto"/>
          </w:tcPr>
          <w:p w14:paraId="0056DDF4" w14:textId="77777777" w:rsidR="00937B81" w:rsidRPr="00937B81" w:rsidRDefault="00937B81" w:rsidP="00476C92">
            <w:pPr>
              <w:pStyle w:val="Tabulascipari"/>
              <w:keepNext/>
              <w:keepLines/>
              <w:ind w:left="0"/>
              <w:rPr>
                <w:i/>
                <w:iCs/>
                <w:szCs w:val="18"/>
              </w:rPr>
            </w:pPr>
            <w:r w:rsidRPr="00937B81">
              <w:rPr>
                <w:i/>
                <w:iCs/>
                <w:szCs w:val="18"/>
              </w:rPr>
              <w:t>+64,9</w:t>
            </w:r>
          </w:p>
        </w:tc>
        <w:tc>
          <w:tcPr>
            <w:tcW w:w="475" w:type="pct"/>
            <w:tcBorders>
              <w:top w:val="single" w:sz="4" w:space="0" w:color="auto"/>
              <w:left w:val="single" w:sz="4" w:space="0" w:color="auto"/>
              <w:bottom w:val="single" w:sz="4" w:space="0" w:color="auto"/>
              <w:right w:val="single" w:sz="4" w:space="0" w:color="auto"/>
            </w:tcBorders>
            <w:shd w:val="clear" w:color="auto" w:fill="auto"/>
          </w:tcPr>
          <w:p w14:paraId="1F8D89AC" w14:textId="77777777" w:rsidR="00937B81" w:rsidRPr="00937B81" w:rsidRDefault="00937B81" w:rsidP="00476C92">
            <w:pPr>
              <w:pStyle w:val="Tabulascipari"/>
              <w:keepNext/>
              <w:keepLines/>
              <w:ind w:left="0"/>
              <w:rPr>
                <w:i/>
                <w:iCs/>
                <w:szCs w:val="18"/>
              </w:rPr>
            </w:pPr>
            <w:r w:rsidRPr="00937B81">
              <w:rPr>
                <w:i/>
                <w:iCs/>
                <w:szCs w:val="18"/>
              </w:rPr>
              <w:t>+47,4</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3E74F86" w14:textId="77777777" w:rsidR="00937B81" w:rsidRPr="00937B81" w:rsidRDefault="00937B81" w:rsidP="00476C92">
            <w:pPr>
              <w:pStyle w:val="Tabulascipari"/>
              <w:keepNext/>
              <w:keepLines/>
              <w:ind w:left="0"/>
              <w:rPr>
                <w:i/>
                <w:iCs/>
                <w:szCs w:val="18"/>
              </w:rPr>
            </w:pPr>
            <w:r w:rsidRPr="00937B81">
              <w:rPr>
                <w:i/>
                <w:iCs/>
                <w:szCs w:val="18"/>
              </w:rPr>
              <w:t>—</w:t>
            </w:r>
          </w:p>
        </w:tc>
      </w:tr>
    </w:tbl>
    <w:p w14:paraId="2C5BEB08" w14:textId="77777777" w:rsidR="00937B81" w:rsidRPr="004A3BF6" w:rsidRDefault="00937B81" w:rsidP="00937B81">
      <w:pPr>
        <w:pStyle w:val="Piezme"/>
      </w:pPr>
      <w:r w:rsidRPr="004A3BF6">
        <w:rPr>
          <w:vertAlign w:val="superscript"/>
        </w:rPr>
        <w:t>1</w:t>
      </w:r>
      <w:r w:rsidRPr="004A3BF6">
        <w:t> Prognoze</w:t>
      </w:r>
    </w:p>
    <w:p w14:paraId="541D8EA9" w14:textId="77777777" w:rsidR="00815DDD" w:rsidRPr="00272F14" w:rsidRDefault="00815DDD" w:rsidP="0097121F">
      <w:pPr>
        <w:keepNext/>
        <w:keepLines/>
        <w:spacing w:before="240" w:after="240"/>
        <w:ind w:firstLine="0"/>
        <w:jc w:val="center"/>
        <w:outlineLvl w:val="3"/>
        <w:rPr>
          <w:rFonts w:eastAsia="Times New Roman" w:cs="Times New Roman"/>
          <w:b/>
          <w:sz w:val="28"/>
          <w:lang w:eastAsia="en-US"/>
        </w:rPr>
      </w:pPr>
      <w:r w:rsidRPr="00272F14">
        <w:rPr>
          <w:rFonts w:eastAsia="Times New Roman" w:cs="Times New Roman"/>
          <w:b/>
          <w:sz w:val="28"/>
          <w:lang w:eastAsia="en-US"/>
        </w:rPr>
        <w:t>Nekustamā īpašuma nodoklis</w:t>
      </w:r>
    </w:p>
    <w:p w14:paraId="31EC11F5" w14:textId="77777777" w:rsidR="00276690" w:rsidRPr="002C60EE" w:rsidRDefault="00276690" w:rsidP="00276690">
      <w:r w:rsidRPr="002C60EE">
        <w:t>Nekustamā īpašuma nodokļa ieņēmumi 2023.</w:t>
      </w:r>
      <w:r>
        <w:rPr>
          <w:b/>
          <w:i/>
        </w:rPr>
        <w:t> </w:t>
      </w:r>
      <w:r w:rsidRPr="002C60EE">
        <w:t>gada 1.</w:t>
      </w:r>
      <w:r>
        <w:rPr>
          <w:b/>
          <w:i/>
        </w:rPr>
        <w:t> </w:t>
      </w:r>
      <w:r w:rsidRPr="002C60EE">
        <w:t>pusgadā bija 156,1</w:t>
      </w:r>
      <w:r>
        <w:rPr>
          <w:b/>
          <w:i/>
        </w:rPr>
        <w:t> </w:t>
      </w:r>
      <w:r w:rsidRPr="002C60EE">
        <w:t>milj.</w:t>
      </w:r>
      <w:r>
        <w:rPr>
          <w:b/>
          <w:i/>
        </w:rPr>
        <w:t> </w:t>
      </w:r>
      <w:proofErr w:type="spellStart"/>
      <w:r w:rsidRPr="00276690">
        <w:rPr>
          <w:i/>
          <w:iCs/>
        </w:rPr>
        <w:t>euro</w:t>
      </w:r>
      <w:proofErr w:type="spellEnd"/>
      <w:r w:rsidRPr="002C60EE">
        <w:t>, kas, salīdzinot ar plānoto, ir par 11,2</w:t>
      </w:r>
      <w:r>
        <w:rPr>
          <w:b/>
          <w:i/>
        </w:rPr>
        <w:t> </w:t>
      </w:r>
      <w:r w:rsidRPr="002C60EE">
        <w:t xml:space="preserve">milj. </w:t>
      </w:r>
      <w:proofErr w:type="spellStart"/>
      <w:r w:rsidRPr="00770C40">
        <w:t>euro</w:t>
      </w:r>
      <w:proofErr w:type="spellEnd"/>
      <w:r w:rsidRPr="002C60EE">
        <w:t xml:space="preserve"> jeb 7,8</w:t>
      </w:r>
      <w:r>
        <w:rPr>
          <w:b/>
          <w:i/>
        </w:rPr>
        <w:t> </w:t>
      </w:r>
      <w:r w:rsidRPr="002C60EE">
        <w:t>% vairāk. Salīdzinot ar 2022.</w:t>
      </w:r>
      <w:r>
        <w:rPr>
          <w:b/>
          <w:i/>
        </w:rPr>
        <w:t> </w:t>
      </w:r>
      <w:r w:rsidRPr="002C60EE">
        <w:t>gada 1.</w:t>
      </w:r>
      <w:r>
        <w:rPr>
          <w:b/>
          <w:i/>
        </w:rPr>
        <w:t> </w:t>
      </w:r>
      <w:r w:rsidRPr="002C60EE">
        <w:t>pusgadu, nekustamā īpašuma nodoklis iekasēts par 15,0</w:t>
      </w:r>
      <w:r>
        <w:rPr>
          <w:b/>
          <w:i/>
        </w:rPr>
        <w:t> </w:t>
      </w:r>
      <w:r w:rsidRPr="002C60EE">
        <w:t>milj.</w:t>
      </w:r>
      <w:r>
        <w:rPr>
          <w:b/>
          <w:i/>
        </w:rPr>
        <w:t> </w:t>
      </w:r>
      <w:proofErr w:type="spellStart"/>
      <w:r w:rsidRPr="00276690">
        <w:rPr>
          <w:i/>
          <w:iCs/>
        </w:rPr>
        <w:t>euro</w:t>
      </w:r>
      <w:proofErr w:type="spellEnd"/>
      <w:r w:rsidRPr="002C60EE">
        <w:t xml:space="preserve"> jeb 10,6</w:t>
      </w:r>
      <w:r>
        <w:rPr>
          <w:b/>
          <w:i/>
        </w:rPr>
        <w:t> </w:t>
      </w:r>
      <w:r w:rsidRPr="002C60EE">
        <w:t xml:space="preserve">% vairāk </w:t>
      </w:r>
      <w:r w:rsidRPr="00B95819">
        <w:t>(t.sk., par zemi par +5,5</w:t>
      </w:r>
      <w:r>
        <w:rPr>
          <w:b/>
          <w:i/>
        </w:rPr>
        <w:t> </w:t>
      </w:r>
      <w:r w:rsidRPr="00B95819">
        <w:t>milj.</w:t>
      </w:r>
      <w:r>
        <w:rPr>
          <w:b/>
          <w:i/>
        </w:rPr>
        <w:t> </w:t>
      </w:r>
      <w:proofErr w:type="spellStart"/>
      <w:r w:rsidRPr="00276690">
        <w:rPr>
          <w:i/>
          <w:iCs/>
        </w:rPr>
        <w:t>euro</w:t>
      </w:r>
      <w:proofErr w:type="spellEnd"/>
      <w:r w:rsidRPr="00276690">
        <w:rPr>
          <w:i/>
          <w:iCs/>
        </w:rPr>
        <w:t>,</w:t>
      </w:r>
      <w:r w:rsidRPr="00B95819">
        <w:t xml:space="preserve"> par ēkām par +6,7</w:t>
      </w:r>
      <w:r>
        <w:rPr>
          <w:b/>
          <w:i/>
        </w:rPr>
        <w:t> </w:t>
      </w:r>
      <w:r w:rsidRPr="00B95819">
        <w:t>milj.</w:t>
      </w:r>
      <w:r>
        <w:rPr>
          <w:b/>
          <w:i/>
        </w:rPr>
        <w:t> </w:t>
      </w:r>
      <w:proofErr w:type="spellStart"/>
      <w:r w:rsidRPr="00276690">
        <w:rPr>
          <w:i/>
          <w:iCs/>
        </w:rPr>
        <w:t>euro</w:t>
      </w:r>
      <w:proofErr w:type="spellEnd"/>
      <w:r w:rsidRPr="00B95819">
        <w:t xml:space="preserve"> un par mājokļiem par +2,8</w:t>
      </w:r>
      <w:r>
        <w:rPr>
          <w:b/>
          <w:i/>
        </w:rPr>
        <w:t> </w:t>
      </w:r>
      <w:r w:rsidRPr="00B95819">
        <w:t>milj.</w:t>
      </w:r>
      <w:r w:rsidRPr="00276690">
        <w:rPr>
          <w:b/>
          <w:i/>
          <w:iCs/>
        </w:rPr>
        <w:t> </w:t>
      </w:r>
      <w:proofErr w:type="spellStart"/>
      <w:r w:rsidRPr="00276690">
        <w:rPr>
          <w:i/>
          <w:iCs/>
        </w:rPr>
        <w:t>euro</w:t>
      </w:r>
      <w:proofErr w:type="spellEnd"/>
      <w:r w:rsidRPr="00B95819">
        <w:t>).</w:t>
      </w:r>
    </w:p>
    <w:p w14:paraId="4879A963" w14:textId="18D81726" w:rsidR="00276690" w:rsidRPr="002C60EE" w:rsidRDefault="00276690" w:rsidP="00276690">
      <w:r w:rsidRPr="002C60EE">
        <w:t xml:space="preserve">Nekustamā īpašuma nodokļa ieņēmumu pieaugums pret iepriekšējo gadu skaidrojams ar to, ka ir pieaugusi </w:t>
      </w:r>
      <w:r w:rsidR="0070738F" w:rsidRPr="002C60EE">
        <w:t>kadastrāl</w:t>
      </w:r>
      <w:r w:rsidR="0070738F">
        <w:t>o</w:t>
      </w:r>
      <w:r w:rsidR="0070738F" w:rsidRPr="002C60EE">
        <w:t xml:space="preserve"> vērtīb</w:t>
      </w:r>
      <w:r w:rsidR="0070738F">
        <w:t>u</w:t>
      </w:r>
      <w:r w:rsidR="0070738F" w:rsidRPr="002C60EE">
        <w:t xml:space="preserve"> </w:t>
      </w:r>
      <w:r w:rsidRPr="002C60EE">
        <w:t xml:space="preserve">kopsumma. Saskaņā ar Valsts zemes dienesta </w:t>
      </w:r>
      <w:r w:rsidRPr="002C60EE">
        <w:lastRenderedPageBreak/>
        <w:t>informāciju 2023.</w:t>
      </w:r>
      <w:r>
        <w:t> </w:t>
      </w:r>
      <w:r w:rsidRPr="002C60EE">
        <w:t>gadā kadastrālo vērtību kopsummas pieaugums</w:t>
      </w:r>
      <w:r w:rsidRPr="00EC49B3">
        <w:rPr>
          <w:i/>
        </w:rPr>
        <w:t xml:space="preserve"> </w:t>
      </w:r>
      <w:r w:rsidRPr="002C60EE">
        <w:t>ēkām (t.sk. mājokļi) bija 1,3%,</w:t>
      </w:r>
      <w:r>
        <w:rPr>
          <w:b/>
          <w:i/>
        </w:rPr>
        <w:t xml:space="preserve"> </w:t>
      </w:r>
      <w:r w:rsidRPr="002C60EE">
        <w:t>inženierbūvēm 3,9%, savukārt zemei tā samazinājās par 0,1</w:t>
      </w:r>
      <w:r>
        <w:t> </w:t>
      </w:r>
      <w:r w:rsidRPr="002C60EE">
        <w:t xml:space="preserve">procentu. </w:t>
      </w:r>
    </w:p>
    <w:p w14:paraId="7E641C71" w14:textId="77777777" w:rsidR="00276690" w:rsidRPr="002C60EE" w:rsidRDefault="00276690" w:rsidP="00276690">
      <w:r w:rsidRPr="002C60EE">
        <w:t xml:space="preserve">Lai arī kadastrālo vērtību bāze ir “iesaldēta”, tās ir mainījušās, jo Kadastra informācijas sistēmā reģistrēti gan jauni nekustamā īpašuma objekti, gan veiktas izmaiņas objektu raksturojošos datos. Piemēram, zemei pašvaldība mainījusi lietošanas mērķi vai kadastrālās uzmērīšanas rezultātā mainījušies apgrūtinājumi vai pēc meža inventarizācijas noteikti citi meža zemes saimnieciskās darbības ierobežojumi u.tml. </w:t>
      </w:r>
    </w:p>
    <w:p w14:paraId="132F12CC" w14:textId="0C5202A8" w:rsidR="0048510B" w:rsidRPr="00276690" w:rsidRDefault="00276690" w:rsidP="00276690">
      <w:r w:rsidRPr="002C60EE">
        <w:t>Saskaņā ar likumu “Par valsts budžetu 2024.</w:t>
      </w:r>
      <w:r>
        <w:t> </w:t>
      </w:r>
      <w:r w:rsidRPr="002C60EE">
        <w:t>gadam un budžeta ietvaru 2024., 2025. un 2026.</w:t>
      </w:r>
      <w:r>
        <w:t> </w:t>
      </w:r>
      <w:r w:rsidRPr="002C60EE">
        <w:t>gadam” 2024.</w:t>
      </w:r>
      <w:r>
        <w:t> </w:t>
      </w:r>
      <w:r w:rsidRPr="002C60EE">
        <w:t xml:space="preserve">gadā nekustamā īpašuma nodokļa ieņēmumi tiek plānoti </w:t>
      </w:r>
      <w:r w:rsidRPr="00855A27">
        <w:t>237,4</w:t>
      </w:r>
      <w:r>
        <w:t> </w:t>
      </w:r>
      <w:r w:rsidRPr="00855A27">
        <w:t>milj.</w:t>
      </w:r>
      <w:r>
        <w:t> </w:t>
      </w:r>
      <w:proofErr w:type="spellStart"/>
      <w:r w:rsidRPr="00EC49B3">
        <w:rPr>
          <w:i/>
          <w:iCs/>
        </w:rPr>
        <w:t>euro</w:t>
      </w:r>
      <w:proofErr w:type="spellEnd"/>
      <w:r w:rsidRPr="00855A27">
        <w:t>, 2025.</w:t>
      </w:r>
      <w:r>
        <w:t> </w:t>
      </w:r>
      <w:r w:rsidRPr="00855A27">
        <w:t>gadā 239,7</w:t>
      </w:r>
      <w:r>
        <w:t> </w:t>
      </w:r>
      <w:r w:rsidRPr="00855A27">
        <w:t>milj.</w:t>
      </w:r>
      <w:r>
        <w:t> </w:t>
      </w:r>
      <w:proofErr w:type="spellStart"/>
      <w:r w:rsidRPr="00EC49B3">
        <w:rPr>
          <w:i/>
          <w:iCs/>
        </w:rPr>
        <w:t>euro</w:t>
      </w:r>
      <w:proofErr w:type="spellEnd"/>
      <w:r w:rsidRPr="00855A27">
        <w:t xml:space="preserve"> un 2026.</w:t>
      </w:r>
      <w:r>
        <w:t> </w:t>
      </w:r>
      <w:r w:rsidRPr="00855A27">
        <w:t>gadā 242,1</w:t>
      </w:r>
      <w:r>
        <w:t> </w:t>
      </w:r>
      <w:r w:rsidRPr="00855A27">
        <w:t>milj.</w:t>
      </w:r>
      <w:r>
        <w:t> </w:t>
      </w:r>
      <w:proofErr w:type="spellStart"/>
      <w:r w:rsidRPr="00EC49B3">
        <w:rPr>
          <w:i/>
          <w:iCs/>
        </w:rPr>
        <w:t>euro</w:t>
      </w:r>
      <w:proofErr w:type="spellEnd"/>
      <w:r w:rsidRPr="00855A27">
        <w:t xml:space="preserve"> apmērā (skat. 3.8.</w:t>
      </w:r>
      <w:r>
        <w:t> </w:t>
      </w:r>
      <w:r w:rsidRPr="00855A27">
        <w:t>tabulu). Nekustamā īpašuma nodokļa ieņēmumu plānā ņemta vērā 2023.</w:t>
      </w:r>
      <w:r>
        <w:t> </w:t>
      </w:r>
      <w:r w:rsidRPr="00855A27">
        <w:t>gada sagaidāmā izpilde, pašvaldību prognozes un prognozētie nekustamā īpašuma nodokļa parādu maksājumi.</w:t>
      </w:r>
    </w:p>
    <w:p w14:paraId="5F6452D3" w14:textId="77777777" w:rsidR="00465A26" w:rsidRPr="00855A27" w:rsidRDefault="00465A26" w:rsidP="00465A26">
      <w:pPr>
        <w:pStyle w:val="Tabulasnosaukums"/>
      </w:pPr>
      <w:bookmarkStart w:id="88" w:name="_Toc126236663"/>
      <w:r w:rsidRPr="00855A27">
        <w:t>3.8. tabula. Nekustamā īpašuma nodokļa ieņēmumi</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4"/>
        <w:gridCol w:w="851"/>
        <w:gridCol w:w="851"/>
        <w:gridCol w:w="851"/>
        <w:gridCol w:w="847"/>
      </w:tblGrid>
      <w:tr w:rsidR="00465A26" w:rsidRPr="004A3BF6" w14:paraId="51B927CD" w14:textId="77777777" w:rsidTr="00A30215">
        <w:trPr>
          <w:cantSplit/>
          <w:trHeight w:hRule="exact" w:val="227"/>
          <w:jc w:val="center"/>
        </w:trPr>
        <w:tc>
          <w:tcPr>
            <w:tcW w:w="3114" w:type="pct"/>
            <w:shd w:val="clear" w:color="auto" w:fill="8EAADB"/>
            <w:vAlign w:val="center"/>
          </w:tcPr>
          <w:p w14:paraId="26CA597F" w14:textId="77777777" w:rsidR="00465A26" w:rsidRPr="00855A27" w:rsidRDefault="00465A26" w:rsidP="005D673A">
            <w:pPr>
              <w:pStyle w:val="Tabulasgalvenesrinda"/>
            </w:pPr>
          </w:p>
        </w:tc>
        <w:tc>
          <w:tcPr>
            <w:tcW w:w="472" w:type="pct"/>
            <w:shd w:val="clear" w:color="auto" w:fill="8EAADB"/>
            <w:vAlign w:val="center"/>
          </w:tcPr>
          <w:p w14:paraId="3BD825BE" w14:textId="77777777" w:rsidR="00465A26" w:rsidRPr="00855A27" w:rsidRDefault="00465A26" w:rsidP="005D673A">
            <w:pPr>
              <w:pStyle w:val="Tabulasgalvenesrinda"/>
            </w:pPr>
            <w:r w:rsidRPr="00855A27">
              <w:t>2023</w:t>
            </w:r>
          </w:p>
        </w:tc>
        <w:tc>
          <w:tcPr>
            <w:tcW w:w="472" w:type="pct"/>
            <w:tcBorders>
              <w:bottom w:val="single" w:sz="4" w:space="0" w:color="auto"/>
            </w:tcBorders>
            <w:shd w:val="clear" w:color="auto" w:fill="8EAADB"/>
            <w:vAlign w:val="center"/>
          </w:tcPr>
          <w:p w14:paraId="6E2CC43C" w14:textId="77777777" w:rsidR="00465A26" w:rsidRPr="00855A27" w:rsidRDefault="00465A26" w:rsidP="005D673A">
            <w:pPr>
              <w:pStyle w:val="Tabulasgalvenesrinda"/>
            </w:pPr>
            <w:r w:rsidRPr="00855A27">
              <w:t>2024</w:t>
            </w:r>
          </w:p>
        </w:tc>
        <w:tc>
          <w:tcPr>
            <w:tcW w:w="472" w:type="pct"/>
            <w:tcBorders>
              <w:bottom w:val="single" w:sz="4" w:space="0" w:color="auto"/>
            </w:tcBorders>
            <w:shd w:val="clear" w:color="auto" w:fill="8EAADB"/>
            <w:vAlign w:val="center"/>
          </w:tcPr>
          <w:p w14:paraId="4671264F" w14:textId="77777777" w:rsidR="00465A26" w:rsidRPr="00855A27" w:rsidRDefault="00465A26" w:rsidP="005D673A">
            <w:pPr>
              <w:pStyle w:val="Tabulasgalvenesrinda"/>
            </w:pPr>
            <w:r w:rsidRPr="00855A27">
              <w:t>2025</w:t>
            </w:r>
          </w:p>
        </w:tc>
        <w:tc>
          <w:tcPr>
            <w:tcW w:w="470" w:type="pct"/>
            <w:tcBorders>
              <w:bottom w:val="single" w:sz="4" w:space="0" w:color="auto"/>
            </w:tcBorders>
            <w:shd w:val="clear" w:color="auto" w:fill="8EAADB"/>
            <w:vAlign w:val="center"/>
          </w:tcPr>
          <w:p w14:paraId="7DD78FEB" w14:textId="77777777" w:rsidR="00465A26" w:rsidRPr="004A3BF6" w:rsidRDefault="00465A26" w:rsidP="005D673A">
            <w:pPr>
              <w:pStyle w:val="Tabulasgalvenesrinda"/>
            </w:pPr>
            <w:r w:rsidRPr="00855A27">
              <w:t>2026</w:t>
            </w:r>
          </w:p>
        </w:tc>
      </w:tr>
      <w:tr w:rsidR="00465A26" w:rsidRPr="004A3BF6" w14:paraId="22AB60B3" w14:textId="77777777" w:rsidTr="00BB23B3">
        <w:trPr>
          <w:cantSplit/>
          <w:trHeight w:hRule="exact" w:val="454"/>
          <w:jc w:val="center"/>
        </w:trPr>
        <w:tc>
          <w:tcPr>
            <w:tcW w:w="3114" w:type="pct"/>
            <w:vAlign w:val="center"/>
          </w:tcPr>
          <w:p w14:paraId="4738C002" w14:textId="77777777" w:rsidR="00465A26" w:rsidRPr="004A3BF6" w:rsidRDefault="00465A26" w:rsidP="002A7324">
            <w:pPr>
              <w:pStyle w:val="Tabulasteksts"/>
              <w:ind w:left="0"/>
              <w:rPr>
                <w:i/>
              </w:rPr>
            </w:pPr>
            <w:r w:rsidRPr="004A3BF6">
              <w:t xml:space="preserve">Saskaņā ar </w:t>
            </w:r>
            <w:r w:rsidRPr="0060241C">
              <w:t>likumprojektu</w:t>
            </w:r>
            <w:r w:rsidRPr="004A3BF6">
              <w:t xml:space="preserve"> “Par valsts budžetu 2024</w:t>
            </w:r>
            <w:r>
              <w:t>. g</w:t>
            </w:r>
            <w:r w:rsidRPr="004A3BF6">
              <w:t>adam un budžeta ietvaru 2024., 2025. un 2026</w:t>
            </w:r>
            <w:r>
              <w:t>. g</w:t>
            </w:r>
            <w:r w:rsidRPr="004A3BF6">
              <w:t>adam”,</w:t>
            </w:r>
            <w:r>
              <w:t> milj.</w:t>
            </w:r>
            <w:r w:rsidRPr="004A3BF6">
              <w:rPr>
                <w:i/>
              </w:rPr>
              <w:t> </w:t>
            </w:r>
            <w:r w:rsidRPr="00770C40">
              <w:rPr>
                <w:i/>
              </w:rPr>
              <w:t>euro</w:t>
            </w:r>
          </w:p>
        </w:tc>
        <w:tc>
          <w:tcPr>
            <w:tcW w:w="472" w:type="pct"/>
            <w:tcBorders>
              <w:bottom w:val="single" w:sz="4" w:space="0" w:color="auto"/>
            </w:tcBorders>
            <w:vAlign w:val="center"/>
          </w:tcPr>
          <w:p w14:paraId="672AF314" w14:textId="77777777" w:rsidR="00465A26" w:rsidRPr="004A3BF6" w:rsidRDefault="00465A26" w:rsidP="00BB23B3">
            <w:pPr>
              <w:pStyle w:val="Tabulascipari"/>
              <w:keepNext/>
              <w:keepLines/>
              <w:spacing w:after="0"/>
              <w:ind w:left="0"/>
              <w:jc w:val="center"/>
            </w:pPr>
            <w:r w:rsidRPr="002C60EE">
              <w:t>235,0</w:t>
            </w:r>
            <w:r>
              <w:rPr>
                <w:vertAlign w:val="superscript"/>
              </w:rPr>
              <w:t>1</w:t>
            </w:r>
          </w:p>
        </w:tc>
        <w:tc>
          <w:tcPr>
            <w:tcW w:w="472" w:type="pct"/>
            <w:tcBorders>
              <w:top w:val="single" w:sz="4" w:space="0" w:color="auto"/>
              <w:left w:val="nil"/>
              <w:bottom w:val="single" w:sz="4" w:space="0" w:color="auto"/>
              <w:right w:val="single" w:sz="4" w:space="0" w:color="auto"/>
            </w:tcBorders>
            <w:shd w:val="clear" w:color="auto" w:fill="auto"/>
            <w:vAlign w:val="center"/>
          </w:tcPr>
          <w:p w14:paraId="75BC24BF" w14:textId="77777777" w:rsidR="00465A26" w:rsidRPr="004A3BF6" w:rsidRDefault="00465A26" w:rsidP="00BB23B3">
            <w:pPr>
              <w:pStyle w:val="Tabulascipari"/>
              <w:keepNext/>
              <w:keepLines/>
              <w:spacing w:after="0"/>
              <w:ind w:left="0"/>
              <w:jc w:val="center"/>
            </w:pPr>
            <w:r w:rsidRPr="002C60EE">
              <w:t>237,4</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4DDAB576" w14:textId="77777777" w:rsidR="00465A26" w:rsidRPr="004A3BF6" w:rsidRDefault="00465A26" w:rsidP="00BB23B3">
            <w:pPr>
              <w:pStyle w:val="Tabulascipari"/>
              <w:keepNext/>
              <w:keepLines/>
              <w:spacing w:after="0"/>
              <w:ind w:left="0"/>
              <w:jc w:val="center"/>
            </w:pPr>
            <w:r w:rsidRPr="002C60EE">
              <w:t>239,7</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5A70564B" w14:textId="77777777" w:rsidR="00465A26" w:rsidRPr="004A3BF6" w:rsidRDefault="00465A26" w:rsidP="00BB23B3">
            <w:pPr>
              <w:pStyle w:val="Tabulascipari"/>
              <w:keepNext/>
              <w:keepLines/>
              <w:spacing w:after="0"/>
              <w:ind w:left="0"/>
              <w:jc w:val="center"/>
            </w:pPr>
            <w:r w:rsidRPr="002C60EE">
              <w:t>242,1</w:t>
            </w:r>
          </w:p>
        </w:tc>
      </w:tr>
      <w:tr w:rsidR="00465A26" w:rsidRPr="004A3BF6" w14:paraId="05AE8F57" w14:textId="77777777" w:rsidTr="00A30215">
        <w:trPr>
          <w:cantSplit/>
          <w:trHeight w:hRule="exact" w:val="227"/>
          <w:jc w:val="center"/>
        </w:trPr>
        <w:tc>
          <w:tcPr>
            <w:tcW w:w="3114" w:type="pct"/>
            <w:vAlign w:val="center"/>
          </w:tcPr>
          <w:p w14:paraId="23A98A9F" w14:textId="77777777" w:rsidR="00465A26" w:rsidRPr="004A3BF6" w:rsidRDefault="00465A26" w:rsidP="00465A26">
            <w:pPr>
              <w:pStyle w:val="Tabulasteksts"/>
              <w:rPr>
                <w:i/>
                <w:iCs/>
              </w:rPr>
            </w:pPr>
            <w:r w:rsidRPr="004A3BF6">
              <w:rPr>
                <w:i/>
                <w:iCs/>
                <w:sz w:val="16"/>
                <w:szCs w:val="16"/>
              </w:rPr>
              <w:t>pret IKP,</w:t>
            </w:r>
            <w:r>
              <w:rPr>
                <w:i/>
                <w:iCs/>
                <w:sz w:val="16"/>
                <w:szCs w:val="16"/>
              </w:rPr>
              <w:t> %</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3A37B633"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0,54</w:t>
            </w:r>
          </w:p>
        </w:tc>
        <w:tc>
          <w:tcPr>
            <w:tcW w:w="472" w:type="pct"/>
            <w:tcBorders>
              <w:top w:val="single" w:sz="4" w:space="0" w:color="auto"/>
              <w:left w:val="nil"/>
              <w:bottom w:val="single" w:sz="4" w:space="0" w:color="auto"/>
              <w:right w:val="single" w:sz="4" w:space="0" w:color="auto"/>
            </w:tcBorders>
            <w:shd w:val="clear" w:color="auto" w:fill="auto"/>
          </w:tcPr>
          <w:p w14:paraId="0655A476"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0,52</w:t>
            </w:r>
          </w:p>
        </w:tc>
        <w:tc>
          <w:tcPr>
            <w:tcW w:w="472" w:type="pct"/>
            <w:tcBorders>
              <w:top w:val="single" w:sz="4" w:space="0" w:color="auto"/>
              <w:left w:val="nil"/>
              <w:bottom w:val="single" w:sz="4" w:space="0" w:color="auto"/>
              <w:right w:val="single" w:sz="4" w:space="0" w:color="auto"/>
            </w:tcBorders>
            <w:shd w:val="clear" w:color="auto" w:fill="auto"/>
          </w:tcPr>
          <w:p w14:paraId="1E9305DB"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0,50</w:t>
            </w:r>
          </w:p>
        </w:tc>
        <w:tc>
          <w:tcPr>
            <w:tcW w:w="470" w:type="pct"/>
            <w:tcBorders>
              <w:top w:val="single" w:sz="4" w:space="0" w:color="auto"/>
              <w:left w:val="nil"/>
              <w:bottom w:val="single" w:sz="4" w:space="0" w:color="auto"/>
              <w:right w:val="single" w:sz="4" w:space="0" w:color="auto"/>
            </w:tcBorders>
            <w:shd w:val="clear" w:color="auto" w:fill="auto"/>
          </w:tcPr>
          <w:p w14:paraId="095464E0"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0,47</w:t>
            </w:r>
          </w:p>
        </w:tc>
      </w:tr>
      <w:tr w:rsidR="00465A26" w:rsidRPr="004A3BF6" w14:paraId="2807C1EC" w14:textId="77777777" w:rsidTr="00A30215">
        <w:trPr>
          <w:cantSplit/>
          <w:trHeight w:hRule="exact" w:val="454"/>
          <w:jc w:val="center"/>
        </w:trPr>
        <w:tc>
          <w:tcPr>
            <w:tcW w:w="3114" w:type="pct"/>
            <w:vAlign w:val="center"/>
          </w:tcPr>
          <w:p w14:paraId="14BDA54B" w14:textId="51DE7944" w:rsidR="00465A26" w:rsidRPr="00937B81" w:rsidRDefault="00465A26" w:rsidP="00465A26">
            <w:pPr>
              <w:pStyle w:val="Tabulasteksts"/>
              <w:ind w:left="0"/>
            </w:pPr>
            <w:r w:rsidRPr="00937B81">
              <w:t>Salīdzinājumā ar likumu “Par valsts budžetu 2023. gadam un budžeta ietvaru 2023., 2024. un 2025. gadam”, milj. </w:t>
            </w:r>
            <w:r w:rsidRPr="00272F14">
              <w:rPr>
                <w:i/>
                <w:iCs/>
              </w:rPr>
              <w:t>euro</w:t>
            </w:r>
          </w:p>
        </w:tc>
        <w:tc>
          <w:tcPr>
            <w:tcW w:w="472" w:type="pct"/>
            <w:tcBorders>
              <w:top w:val="single" w:sz="4" w:space="0" w:color="auto"/>
              <w:left w:val="nil"/>
              <w:bottom w:val="single" w:sz="4" w:space="0" w:color="auto"/>
              <w:right w:val="single" w:sz="4" w:space="0" w:color="auto"/>
            </w:tcBorders>
            <w:shd w:val="clear" w:color="auto" w:fill="auto"/>
          </w:tcPr>
          <w:p w14:paraId="4A7AF9EC"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+4,3</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6AD2BE1B"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+4,4</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31D3F6D0"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+4,4</w:t>
            </w:r>
          </w:p>
        </w:tc>
        <w:tc>
          <w:tcPr>
            <w:tcW w:w="470" w:type="pct"/>
            <w:tcBorders>
              <w:top w:val="single" w:sz="4" w:space="0" w:color="auto"/>
              <w:left w:val="single" w:sz="4" w:space="0" w:color="auto"/>
              <w:bottom w:val="single" w:sz="4" w:space="0" w:color="auto"/>
              <w:right w:val="single" w:sz="4" w:space="0" w:color="auto"/>
            </w:tcBorders>
            <w:shd w:val="clear" w:color="auto" w:fill="auto"/>
          </w:tcPr>
          <w:p w14:paraId="2BB05DB5"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w:t>
            </w:r>
          </w:p>
        </w:tc>
      </w:tr>
      <w:tr w:rsidR="00465A26" w:rsidRPr="004A3BF6" w14:paraId="47EDC7B3" w14:textId="77777777" w:rsidTr="00A30215">
        <w:trPr>
          <w:cantSplit/>
          <w:trHeight w:hRule="exact" w:val="454"/>
          <w:jc w:val="center"/>
        </w:trPr>
        <w:tc>
          <w:tcPr>
            <w:tcW w:w="3114" w:type="pct"/>
            <w:vAlign w:val="center"/>
          </w:tcPr>
          <w:p w14:paraId="4CA7340E" w14:textId="2DCFF438" w:rsidR="00465A26" w:rsidRPr="004A3BF6" w:rsidRDefault="00465A26" w:rsidP="00465A26">
            <w:pPr>
              <w:pStyle w:val="Tabulasteksts"/>
              <w:ind w:left="0"/>
            </w:pPr>
            <w:r w:rsidRPr="00937B81">
              <w:t>Salīdzinājumā ar likumu “Par valsts budžetu 2023. gadam un budžeta ietvaru 2023., 2024. un 2025. gadam”, %</w:t>
            </w:r>
          </w:p>
        </w:tc>
        <w:tc>
          <w:tcPr>
            <w:tcW w:w="472" w:type="pct"/>
            <w:tcBorders>
              <w:top w:val="single" w:sz="4" w:space="0" w:color="auto"/>
              <w:left w:val="nil"/>
              <w:bottom w:val="single" w:sz="4" w:space="0" w:color="auto"/>
              <w:right w:val="single" w:sz="4" w:space="0" w:color="auto"/>
            </w:tcBorders>
            <w:shd w:val="clear" w:color="auto" w:fill="auto"/>
          </w:tcPr>
          <w:p w14:paraId="4584D534"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+1,9</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13F3F6BF"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+1,9</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114DC279"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+1,9</w:t>
            </w:r>
          </w:p>
        </w:tc>
        <w:tc>
          <w:tcPr>
            <w:tcW w:w="470" w:type="pct"/>
            <w:tcBorders>
              <w:top w:val="single" w:sz="4" w:space="0" w:color="auto"/>
              <w:left w:val="single" w:sz="4" w:space="0" w:color="auto"/>
              <w:bottom w:val="single" w:sz="4" w:space="0" w:color="auto"/>
              <w:right w:val="single" w:sz="4" w:space="0" w:color="auto"/>
            </w:tcBorders>
            <w:shd w:val="clear" w:color="auto" w:fill="auto"/>
          </w:tcPr>
          <w:p w14:paraId="6F2A6190" w14:textId="77777777" w:rsidR="00465A26" w:rsidRPr="00EC49B3" w:rsidRDefault="00465A26" w:rsidP="00476C92">
            <w:pPr>
              <w:pStyle w:val="Tabulascipari"/>
              <w:keepNext/>
              <w:keepLines/>
              <w:spacing w:after="0"/>
              <w:ind w:left="0"/>
              <w:rPr>
                <w:i/>
                <w:iCs/>
                <w:sz w:val="16"/>
                <w:szCs w:val="16"/>
              </w:rPr>
            </w:pPr>
            <w:r w:rsidRPr="00EC49B3">
              <w:rPr>
                <w:i/>
                <w:iCs/>
                <w:sz w:val="16"/>
                <w:szCs w:val="16"/>
              </w:rPr>
              <w:t>—</w:t>
            </w:r>
          </w:p>
        </w:tc>
      </w:tr>
    </w:tbl>
    <w:p w14:paraId="0812F792" w14:textId="77777777" w:rsidR="00465A26" w:rsidRPr="004A3BF6" w:rsidRDefault="00465A26" w:rsidP="00465A26">
      <w:pPr>
        <w:pStyle w:val="Piezme"/>
      </w:pPr>
      <w:r w:rsidRPr="004A3BF6">
        <w:rPr>
          <w:vertAlign w:val="superscript"/>
        </w:rPr>
        <w:t>1</w:t>
      </w:r>
      <w:r w:rsidRPr="004A3BF6">
        <w:t> Prognoze</w:t>
      </w:r>
    </w:p>
    <w:p w14:paraId="249921BF" w14:textId="72FA2A7D" w:rsidR="006C567F" w:rsidRPr="00272F14" w:rsidRDefault="006C567F" w:rsidP="00DB14A4">
      <w:pPr>
        <w:pStyle w:val="H3"/>
      </w:pPr>
      <w:r w:rsidRPr="00272F14">
        <w:t>3.2.2. Netiešie nodokļi</w:t>
      </w:r>
      <w:bookmarkEnd w:id="88"/>
    </w:p>
    <w:p w14:paraId="105AD2E4" w14:textId="77777777" w:rsidR="00276690" w:rsidRPr="00C923B6" w:rsidRDefault="00276690" w:rsidP="00276690">
      <w:pPr>
        <w:rPr>
          <w:rFonts w:eastAsia="Calibri" w:cs="Times New Roman"/>
          <w:szCs w:val="24"/>
        </w:rPr>
      </w:pPr>
      <w:r w:rsidRPr="00C923B6">
        <w:rPr>
          <w:rFonts w:eastAsia="Times New Roman" w:cs="Times New Roman"/>
          <w:color w:val="000000"/>
          <w:szCs w:val="24"/>
        </w:rPr>
        <w:t>2023</w:t>
      </w:r>
      <w:r>
        <w:rPr>
          <w:rFonts w:eastAsia="Times New Roman" w:cs="Times New Roman"/>
          <w:color w:val="000000"/>
          <w:szCs w:val="24"/>
        </w:rPr>
        <w:t>. g</w:t>
      </w:r>
      <w:r w:rsidRPr="00C923B6">
        <w:rPr>
          <w:rFonts w:eastAsia="Times New Roman" w:cs="Times New Roman"/>
          <w:color w:val="000000"/>
          <w:szCs w:val="24"/>
        </w:rPr>
        <w:t>ada 1</w:t>
      </w:r>
      <w:r>
        <w:rPr>
          <w:rFonts w:eastAsia="Times New Roman" w:cs="Times New Roman"/>
          <w:color w:val="000000"/>
          <w:szCs w:val="24"/>
        </w:rPr>
        <w:t>. p</w:t>
      </w:r>
      <w:r w:rsidRPr="00C923B6">
        <w:rPr>
          <w:rFonts w:eastAsia="Times New Roman" w:cs="Times New Roman"/>
          <w:color w:val="000000"/>
          <w:szCs w:val="24"/>
        </w:rPr>
        <w:t xml:space="preserve">usgadā </w:t>
      </w:r>
      <w:r w:rsidRPr="00C923B6">
        <w:rPr>
          <w:rFonts w:eastAsia="Calibri" w:cs="Times New Roman"/>
          <w:szCs w:val="24"/>
        </w:rPr>
        <w:t>netiešo nodokļu ieņēmumi bija 2 616,1</w:t>
      </w:r>
      <w:r>
        <w:rPr>
          <w:rFonts w:eastAsia="Calibri" w:cs="Times New Roman"/>
          <w:szCs w:val="24"/>
        </w:rPr>
        <w:t> milj.</w:t>
      </w:r>
      <w:r w:rsidRPr="00C923B6">
        <w:rPr>
          <w:rFonts w:eastAsia="Calibri" w:cs="Times New Roman"/>
          <w:szCs w:val="24"/>
        </w:rPr>
        <w:t> </w:t>
      </w:r>
      <w:proofErr w:type="spellStart"/>
      <w:r w:rsidRPr="00770C40">
        <w:rPr>
          <w:rFonts w:eastAsia="Calibri" w:cs="Times New Roman"/>
          <w:i/>
          <w:iCs/>
          <w:szCs w:val="24"/>
        </w:rPr>
        <w:t>euro</w:t>
      </w:r>
      <w:proofErr w:type="spellEnd"/>
      <w:r w:rsidRPr="00C923B6">
        <w:rPr>
          <w:rFonts w:eastAsia="Calibri" w:cs="Times New Roman"/>
          <w:szCs w:val="24"/>
        </w:rPr>
        <w:t>, kas salīdzinot ar plānu, ir par 82,4</w:t>
      </w:r>
      <w:r>
        <w:rPr>
          <w:rFonts w:eastAsia="Calibri" w:cs="Times New Roman"/>
          <w:szCs w:val="24"/>
        </w:rPr>
        <w:t> milj.</w:t>
      </w:r>
      <w:r w:rsidRPr="00C923B6">
        <w:rPr>
          <w:rFonts w:eastAsia="Calibri" w:cs="Times New Roman"/>
          <w:szCs w:val="24"/>
        </w:rPr>
        <w:t> </w:t>
      </w:r>
      <w:proofErr w:type="spellStart"/>
      <w:r w:rsidRPr="00770C40">
        <w:rPr>
          <w:rFonts w:eastAsia="Calibri" w:cs="Times New Roman"/>
          <w:i/>
          <w:iCs/>
          <w:szCs w:val="24"/>
        </w:rPr>
        <w:t>euro</w:t>
      </w:r>
      <w:proofErr w:type="spellEnd"/>
      <w:r w:rsidRPr="00C923B6">
        <w:rPr>
          <w:rFonts w:eastAsia="Calibri" w:cs="Times New Roman"/>
          <w:szCs w:val="24"/>
        </w:rPr>
        <w:t xml:space="preserve"> jeb 3,3 % vairāk, kur lielākās </w:t>
      </w:r>
      <w:proofErr w:type="spellStart"/>
      <w:r w:rsidRPr="00C923B6">
        <w:rPr>
          <w:rFonts w:eastAsia="Calibri" w:cs="Times New Roman"/>
          <w:szCs w:val="24"/>
        </w:rPr>
        <w:t>pārpildes</w:t>
      </w:r>
      <w:proofErr w:type="spellEnd"/>
      <w:r w:rsidRPr="00C923B6">
        <w:rPr>
          <w:rFonts w:eastAsia="Calibri" w:cs="Times New Roman"/>
          <w:szCs w:val="24"/>
        </w:rPr>
        <w:t xml:space="preserve"> bija PVN ieņēmumiem. Salīdzinot ar 2022</w:t>
      </w:r>
      <w:r>
        <w:rPr>
          <w:rFonts w:eastAsia="Calibri" w:cs="Times New Roman"/>
          <w:szCs w:val="24"/>
        </w:rPr>
        <w:t>. g</w:t>
      </w:r>
      <w:r w:rsidRPr="00C923B6">
        <w:rPr>
          <w:rFonts w:eastAsia="Calibri" w:cs="Times New Roman"/>
          <w:szCs w:val="24"/>
        </w:rPr>
        <w:t>ada attiecīgo periodu, netiešie nodokļi tika iekasēti par 328,4</w:t>
      </w:r>
      <w:r>
        <w:rPr>
          <w:rFonts w:eastAsia="Calibri" w:cs="Times New Roman"/>
          <w:szCs w:val="24"/>
        </w:rPr>
        <w:t> milj.</w:t>
      </w:r>
      <w:r w:rsidRPr="00C923B6">
        <w:rPr>
          <w:rFonts w:eastAsia="Calibri" w:cs="Times New Roman"/>
          <w:szCs w:val="24"/>
        </w:rPr>
        <w:t> </w:t>
      </w:r>
      <w:proofErr w:type="spellStart"/>
      <w:r w:rsidRPr="00770C40">
        <w:rPr>
          <w:rFonts w:eastAsia="Calibri" w:cs="Times New Roman"/>
          <w:i/>
          <w:iCs/>
          <w:szCs w:val="24"/>
        </w:rPr>
        <w:t>euro</w:t>
      </w:r>
      <w:proofErr w:type="spellEnd"/>
      <w:r w:rsidRPr="00C923B6">
        <w:rPr>
          <w:rFonts w:eastAsia="Calibri" w:cs="Times New Roman"/>
          <w:szCs w:val="24"/>
        </w:rPr>
        <w:t xml:space="preserve"> jeb 14,4 % vairāk. </w:t>
      </w:r>
    </w:p>
    <w:p w14:paraId="07593CEA" w14:textId="77777777" w:rsidR="00276690" w:rsidRPr="00C923B6" w:rsidRDefault="00276690" w:rsidP="00276690">
      <w:pPr>
        <w:rPr>
          <w:rFonts w:eastAsia="Calibri" w:cs="Times New Roman"/>
          <w:szCs w:val="24"/>
        </w:rPr>
      </w:pPr>
      <w:r w:rsidRPr="00C923B6">
        <w:rPr>
          <w:rFonts w:eastAsia="Calibri" w:cs="Times New Roman"/>
          <w:szCs w:val="24"/>
        </w:rPr>
        <w:t>Saskaņā ar likumprojektu “Par valsts budžetu 2024</w:t>
      </w:r>
      <w:r>
        <w:rPr>
          <w:rFonts w:eastAsia="Calibri" w:cs="Times New Roman"/>
          <w:szCs w:val="24"/>
        </w:rPr>
        <w:t>. g</w:t>
      </w:r>
      <w:r w:rsidRPr="00C923B6">
        <w:rPr>
          <w:rFonts w:eastAsia="Calibri" w:cs="Times New Roman"/>
          <w:szCs w:val="24"/>
        </w:rPr>
        <w:t>adam un budžeta ietvaru 2024., 2025. un 2026</w:t>
      </w:r>
      <w:r>
        <w:rPr>
          <w:rFonts w:eastAsia="Calibri" w:cs="Times New Roman"/>
          <w:szCs w:val="24"/>
        </w:rPr>
        <w:t>. g</w:t>
      </w:r>
      <w:r w:rsidRPr="00C923B6">
        <w:rPr>
          <w:rFonts w:eastAsia="Calibri" w:cs="Times New Roman"/>
          <w:szCs w:val="24"/>
        </w:rPr>
        <w:t>adam” tiek plānots, ka 2024</w:t>
      </w:r>
      <w:r>
        <w:rPr>
          <w:rFonts w:eastAsia="Calibri" w:cs="Times New Roman"/>
          <w:szCs w:val="24"/>
        </w:rPr>
        <w:t>. g</w:t>
      </w:r>
      <w:r w:rsidRPr="00C923B6">
        <w:rPr>
          <w:rFonts w:eastAsia="Calibri" w:cs="Times New Roman"/>
          <w:szCs w:val="24"/>
        </w:rPr>
        <w:t>adā netiešo nodokļu ieņēmumi veidos 40,3 % no visiem kopbudžeta nodokļiem, kas ir par 1,7 procentpunktiem mazāk nekā 2023</w:t>
      </w:r>
      <w:r>
        <w:rPr>
          <w:rFonts w:eastAsia="Calibri" w:cs="Times New Roman"/>
          <w:szCs w:val="24"/>
        </w:rPr>
        <w:t>. g</w:t>
      </w:r>
      <w:r w:rsidRPr="00C923B6">
        <w:rPr>
          <w:rFonts w:eastAsia="Calibri" w:cs="Times New Roman"/>
          <w:szCs w:val="24"/>
        </w:rPr>
        <w:t>adā. Informācija par tiešo nodokļu sadalījumu ir sniegta 3.2. attēlā.</w:t>
      </w:r>
    </w:p>
    <w:p w14:paraId="1343BA36" w14:textId="30B21E01" w:rsidR="007E409E" w:rsidRDefault="00276690" w:rsidP="007E409E">
      <w:pPr>
        <w:spacing w:after="0"/>
        <w:ind w:left="425" w:firstLine="295"/>
        <w:rPr>
          <w:rFonts w:eastAsia="Calibri" w:cs="Times New Roman"/>
          <w:szCs w:val="24"/>
          <w:highlight w:val="lightGray"/>
        </w:rPr>
      </w:pPr>
      <w:r w:rsidRPr="00C923B6">
        <w:rPr>
          <w:noProof/>
        </w:rPr>
        <w:lastRenderedPageBreak/>
        <w:drawing>
          <wp:inline distT="0" distB="0" distL="0" distR="0" wp14:anchorId="71D1FBED" wp14:editId="21D256EB">
            <wp:extent cx="5088255" cy="3896751"/>
            <wp:effectExtent l="0" t="0" r="0" b="0"/>
            <wp:docPr id="698475270" name="Chart 1">
              <a:extLst xmlns:a="http://schemas.openxmlformats.org/drawingml/2006/main">
                <a:ext uri="{FF2B5EF4-FFF2-40B4-BE49-F238E27FC236}">
                  <a16:creationId xmlns:a16="http://schemas.microsoft.com/office/drawing/2014/main" id="{D2F5EC19-1EA5-04E5-9632-AD6C9A6931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9E8B7C6" w14:textId="40662578" w:rsidR="00276690" w:rsidRPr="00276690" w:rsidRDefault="00276690" w:rsidP="00276690">
      <w:pPr>
        <w:pStyle w:val="Piezme"/>
        <w:keepNext/>
        <w:keepLines/>
      </w:pPr>
      <w:r>
        <w:rPr>
          <w:vertAlign w:val="superscript"/>
        </w:rPr>
        <w:t>1</w:t>
      </w:r>
      <w:r w:rsidRPr="00F55943">
        <w:t xml:space="preserve"> Neieskaitot iemaksas valsts </w:t>
      </w:r>
      <w:proofErr w:type="spellStart"/>
      <w:r w:rsidRPr="00F55943">
        <w:t>fondēto</w:t>
      </w:r>
      <w:proofErr w:type="spellEnd"/>
      <w:r w:rsidRPr="00F55943">
        <w:t xml:space="preserve"> pensiju shēmā.</w:t>
      </w:r>
    </w:p>
    <w:p w14:paraId="5AF9B58C" w14:textId="34FCDC28" w:rsidR="00276690" w:rsidRPr="00C923B6" w:rsidRDefault="00276690" w:rsidP="00276690">
      <w:pPr>
        <w:pStyle w:val="Zmjumanosaukums"/>
      </w:pPr>
      <w:r w:rsidRPr="00C923B6">
        <w:t>3.2. att. Netiešo nodokļu sadalījums kopbudžeta nodokļu ieņēmumos 2024</w:t>
      </w:r>
      <w:r>
        <w:t>. g</w:t>
      </w:r>
      <w:r w:rsidRPr="00C923B6">
        <w:t>adā, %</w:t>
      </w:r>
    </w:p>
    <w:p w14:paraId="38B6A7C2" w14:textId="77777777" w:rsidR="00276690" w:rsidRPr="00C923B6" w:rsidRDefault="00276690" w:rsidP="00276690">
      <w:pPr>
        <w:rPr>
          <w:rFonts w:eastAsia="Calibri" w:cs="Times New Roman"/>
          <w:szCs w:val="24"/>
        </w:rPr>
      </w:pPr>
      <w:r w:rsidRPr="00C923B6">
        <w:rPr>
          <w:rFonts w:eastAsia="Calibri" w:cs="Times New Roman"/>
          <w:szCs w:val="24"/>
        </w:rPr>
        <w:t>2024</w:t>
      </w:r>
      <w:r>
        <w:rPr>
          <w:rFonts w:eastAsia="Calibri" w:cs="Times New Roman"/>
          <w:szCs w:val="24"/>
        </w:rPr>
        <w:t>. g</w:t>
      </w:r>
      <w:r w:rsidRPr="00C923B6">
        <w:rPr>
          <w:rFonts w:eastAsia="Calibri" w:cs="Times New Roman"/>
          <w:szCs w:val="24"/>
        </w:rPr>
        <w:t>adā netiešo nodokļu ieņēmumu īpatsvars IKP tiek prognozēts 12,2 %, kas ir par 0,1 procentpunktu mazāk nekā 2023</w:t>
      </w:r>
      <w:r>
        <w:rPr>
          <w:rFonts w:eastAsia="Calibri" w:cs="Times New Roman"/>
          <w:szCs w:val="24"/>
        </w:rPr>
        <w:t>. g</w:t>
      </w:r>
      <w:r w:rsidRPr="00C923B6">
        <w:rPr>
          <w:rFonts w:eastAsia="Calibri" w:cs="Times New Roman"/>
          <w:szCs w:val="24"/>
        </w:rPr>
        <w:t>adā. To pamatā nosaka PVN īpatsvara samazinājums.</w:t>
      </w:r>
    </w:p>
    <w:p w14:paraId="524E8688" w14:textId="77777777" w:rsidR="00276690" w:rsidRPr="00C923B6" w:rsidRDefault="00276690" w:rsidP="00276690">
      <w:pPr>
        <w:rPr>
          <w:rFonts w:eastAsia="Calibri" w:cs="Times New Roman"/>
          <w:szCs w:val="24"/>
        </w:rPr>
      </w:pPr>
      <w:r w:rsidRPr="00C923B6">
        <w:rPr>
          <w:rFonts w:eastAsia="Calibri" w:cs="Times New Roman"/>
          <w:szCs w:val="24"/>
        </w:rPr>
        <w:t>Saskaņā ar likumprojektu “Par valsts budžetu 2024</w:t>
      </w:r>
      <w:r>
        <w:rPr>
          <w:rFonts w:eastAsia="Calibri" w:cs="Times New Roman"/>
          <w:szCs w:val="24"/>
        </w:rPr>
        <w:t>. g</w:t>
      </w:r>
      <w:r w:rsidRPr="00C923B6">
        <w:rPr>
          <w:rFonts w:eastAsia="Calibri" w:cs="Times New Roman"/>
          <w:szCs w:val="24"/>
        </w:rPr>
        <w:t>adam un budžeta ietvaru 2024., 2025. un 2026</w:t>
      </w:r>
      <w:r>
        <w:rPr>
          <w:rFonts w:eastAsia="Calibri" w:cs="Times New Roman"/>
          <w:szCs w:val="24"/>
        </w:rPr>
        <w:t>. g</w:t>
      </w:r>
      <w:r w:rsidRPr="00C923B6">
        <w:rPr>
          <w:rFonts w:eastAsia="Calibri" w:cs="Times New Roman"/>
          <w:szCs w:val="24"/>
        </w:rPr>
        <w:t>adam” 2024</w:t>
      </w:r>
      <w:r>
        <w:rPr>
          <w:rFonts w:eastAsia="Calibri" w:cs="Times New Roman"/>
          <w:szCs w:val="24"/>
        </w:rPr>
        <w:t>. g</w:t>
      </w:r>
      <w:r w:rsidRPr="00C923B6">
        <w:rPr>
          <w:rFonts w:eastAsia="Calibri" w:cs="Times New Roman"/>
          <w:szCs w:val="24"/>
        </w:rPr>
        <w:t>adā netiešo nodokļu ieņēmumi tiek plānoti 5 564,5</w:t>
      </w:r>
      <w:r>
        <w:rPr>
          <w:rFonts w:eastAsia="Calibri" w:cs="Times New Roman"/>
          <w:szCs w:val="24"/>
        </w:rPr>
        <w:t> milj.</w:t>
      </w:r>
      <w:r w:rsidRPr="00C923B6">
        <w:rPr>
          <w:rFonts w:eastAsia="Calibri" w:cs="Times New Roman"/>
          <w:szCs w:val="24"/>
        </w:rPr>
        <w:t> </w:t>
      </w:r>
      <w:proofErr w:type="spellStart"/>
      <w:r w:rsidRPr="00770C40">
        <w:rPr>
          <w:rFonts w:eastAsia="Calibri" w:cs="Times New Roman"/>
          <w:i/>
          <w:iCs/>
          <w:szCs w:val="24"/>
        </w:rPr>
        <w:t>euro</w:t>
      </w:r>
      <w:proofErr w:type="spellEnd"/>
      <w:r w:rsidRPr="00C923B6">
        <w:rPr>
          <w:rFonts w:eastAsia="Calibri" w:cs="Times New Roman"/>
          <w:szCs w:val="24"/>
        </w:rPr>
        <w:t>, 2025</w:t>
      </w:r>
      <w:r>
        <w:rPr>
          <w:rFonts w:eastAsia="Calibri" w:cs="Times New Roman"/>
          <w:szCs w:val="24"/>
        </w:rPr>
        <w:t>. g</w:t>
      </w:r>
      <w:r w:rsidRPr="00C923B6">
        <w:rPr>
          <w:rFonts w:eastAsia="Calibri" w:cs="Times New Roman"/>
          <w:szCs w:val="24"/>
        </w:rPr>
        <w:t>adā 5 900,7</w:t>
      </w:r>
      <w:r>
        <w:rPr>
          <w:rFonts w:eastAsia="Calibri" w:cs="Times New Roman"/>
          <w:szCs w:val="24"/>
        </w:rPr>
        <w:t> milj.</w:t>
      </w:r>
      <w:r w:rsidRPr="00C923B6">
        <w:rPr>
          <w:rFonts w:eastAsia="Calibri" w:cs="Times New Roman"/>
          <w:szCs w:val="24"/>
        </w:rPr>
        <w:t> </w:t>
      </w:r>
      <w:proofErr w:type="spellStart"/>
      <w:r w:rsidRPr="00770C40">
        <w:rPr>
          <w:rFonts w:eastAsia="Calibri" w:cs="Times New Roman"/>
          <w:i/>
          <w:iCs/>
          <w:szCs w:val="24"/>
        </w:rPr>
        <w:t>euro</w:t>
      </w:r>
      <w:proofErr w:type="spellEnd"/>
      <w:r w:rsidRPr="00C923B6">
        <w:rPr>
          <w:rFonts w:eastAsia="Calibri" w:cs="Times New Roman"/>
          <w:szCs w:val="24"/>
        </w:rPr>
        <w:t xml:space="preserve"> un 2026</w:t>
      </w:r>
      <w:r>
        <w:rPr>
          <w:rFonts w:eastAsia="Calibri" w:cs="Times New Roman"/>
          <w:szCs w:val="24"/>
        </w:rPr>
        <w:t>. g</w:t>
      </w:r>
      <w:r w:rsidRPr="00C923B6">
        <w:rPr>
          <w:rFonts w:eastAsia="Calibri" w:cs="Times New Roman"/>
          <w:szCs w:val="24"/>
        </w:rPr>
        <w:t>adā 6 244,9</w:t>
      </w:r>
      <w:r>
        <w:rPr>
          <w:rFonts w:eastAsia="Calibri" w:cs="Times New Roman"/>
          <w:szCs w:val="24"/>
        </w:rPr>
        <w:t> milj.</w:t>
      </w:r>
      <w:r w:rsidRPr="00C923B6">
        <w:rPr>
          <w:rFonts w:eastAsia="Calibri" w:cs="Times New Roman"/>
          <w:szCs w:val="24"/>
        </w:rPr>
        <w:t> </w:t>
      </w:r>
      <w:proofErr w:type="spellStart"/>
      <w:r w:rsidRPr="00770C40">
        <w:rPr>
          <w:rFonts w:eastAsia="Calibri" w:cs="Times New Roman"/>
          <w:i/>
          <w:iCs/>
          <w:szCs w:val="24"/>
        </w:rPr>
        <w:t>euro</w:t>
      </w:r>
      <w:proofErr w:type="spellEnd"/>
      <w:r w:rsidRPr="00C923B6">
        <w:rPr>
          <w:rFonts w:eastAsia="Calibri" w:cs="Times New Roman"/>
          <w:szCs w:val="24"/>
        </w:rPr>
        <w:t xml:space="preserve"> apmērā (skat. 3.9. tabulu).</w:t>
      </w:r>
    </w:p>
    <w:p w14:paraId="34942093" w14:textId="77777777" w:rsidR="00465A26" w:rsidRPr="004A3BF6" w:rsidRDefault="00465A26" w:rsidP="00465A26">
      <w:pPr>
        <w:pStyle w:val="Tabulasnosaukums"/>
      </w:pPr>
      <w:r w:rsidRPr="004A3BF6">
        <w:t>3.9. tabula. Netiešo nodokļu ieņēmumi,</w:t>
      </w:r>
      <w:r>
        <w:t> milj.</w:t>
      </w:r>
      <w:r w:rsidRPr="004A3BF6">
        <w:t> </w:t>
      </w:r>
      <w:proofErr w:type="spellStart"/>
      <w:r w:rsidRPr="00770C40">
        <w:t>euro</w:t>
      </w:r>
      <w:proofErr w:type="spellEnd"/>
    </w:p>
    <w:tbl>
      <w:tblPr>
        <w:tblW w:w="49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70"/>
        <w:gridCol w:w="851"/>
        <w:gridCol w:w="818"/>
        <w:gridCol w:w="824"/>
        <w:gridCol w:w="849"/>
      </w:tblGrid>
      <w:tr w:rsidR="00A30215" w:rsidRPr="00465A26" w14:paraId="478D26B8" w14:textId="77777777" w:rsidTr="00A30215">
        <w:trPr>
          <w:cantSplit/>
          <w:trHeight w:hRule="exact" w:val="227"/>
          <w:jc w:val="center"/>
        </w:trPr>
        <w:tc>
          <w:tcPr>
            <w:tcW w:w="3145" w:type="pct"/>
            <w:shd w:val="clear" w:color="auto" w:fill="8EAADB"/>
            <w:vAlign w:val="center"/>
          </w:tcPr>
          <w:p w14:paraId="31B275C7" w14:textId="77777777" w:rsidR="00465A26" w:rsidRPr="00465A26" w:rsidRDefault="00465A26" w:rsidP="005D673A">
            <w:pPr>
              <w:pStyle w:val="Tabulasgalvenesrinda"/>
            </w:pPr>
          </w:p>
        </w:tc>
        <w:tc>
          <w:tcPr>
            <w:tcW w:w="472" w:type="pct"/>
            <w:shd w:val="clear" w:color="auto" w:fill="8EAADB"/>
            <w:vAlign w:val="center"/>
          </w:tcPr>
          <w:p w14:paraId="265D2CFC" w14:textId="77777777" w:rsidR="00465A26" w:rsidRPr="00465A26" w:rsidRDefault="00465A26" w:rsidP="005D673A">
            <w:pPr>
              <w:pStyle w:val="Tabulasgalvenesrinda"/>
            </w:pPr>
            <w:r w:rsidRPr="00465A26">
              <w:t>2023</w:t>
            </w:r>
          </w:p>
        </w:tc>
        <w:tc>
          <w:tcPr>
            <w:tcW w:w="454" w:type="pct"/>
            <w:tcBorders>
              <w:bottom w:val="single" w:sz="4" w:space="0" w:color="auto"/>
            </w:tcBorders>
            <w:shd w:val="clear" w:color="auto" w:fill="8EAADB"/>
            <w:vAlign w:val="center"/>
          </w:tcPr>
          <w:p w14:paraId="5F938348" w14:textId="77777777" w:rsidR="00465A26" w:rsidRPr="00465A26" w:rsidRDefault="00465A26" w:rsidP="005D673A">
            <w:pPr>
              <w:pStyle w:val="Tabulasgalvenesrinda"/>
            </w:pPr>
            <w:r w:rsidRPr="00465A26">
              <w:t>2024</w:t>
            </w:r>
          </w:p>
        </w:tc>
        <w:tc>
          <w:tcPr>
            <w:tcW w:w="457" w:type="pct"/>
            <w:tcBorders>
              <w:bottom w:val="single" w:sz="4" w:space="0" w:color="auto"/>
            </w:tcBorders>
            <w:shd w:val="clear" w:color="auto" w:fill="8EAADB"/>
            <w:vAlign w:val="center"/>
          </w:tcPr>
          <w:p w14:paraId="392042CA" w14:textId="77777777" w:rsidR="00465A26" w:rsidRPr="00465A26" w:rsidRDefault="00465A26" w:rsidP="005D673A">
            <w:pPr>
              <w:pStyle w:val="Tabulasgalvenesrinda"/>
            </w:pPr>
            <w:r w:rsidRPr="00465A26">
              <w:t>2025</w:t>
            </w:r>
          </w:p>
        </w:tc>
        <w:tc>
          <w:tcPr>
            <w:tcW w:w="471" w:type="pct"/>
            <w:tcBorders>
              <w:bottom w:val="single" w:sz="4" w:space="0" w:color="auto"/>
            </w:tcBorders>
            <w:shd w:val="clear" w:color="auto" w:fill="8EAADB"/>
            <w:vAlign w:val="center"/>
          </w:tcPr>
          <w:p w14:paraId="25AF0CDC" w14:textId="77777777" w:rsidR="00465A26" w:rsidRPr="00465A26" w:rsidRDefault="00465A26" w:rsidP="005D673A">
            <w:pPr>
              <w:pStyle w:val="Tabulasgalvenesrinda"/>
            </w:pPr>
            <w:r w:rsidRPr="00465A26">
              <w:t>2026</w:t>
            </w:r>
          </w:p>
        </w:tc>
      </w:tr>
      <w:tr w:rsidR="00A30215" w:rsidRPr="00465A26" w14:paraId="567B61C5" w14:textId="77777777" w:rsidTr="00BB23B3">
        <w:trPr>
          <w:cantSplit/>
          <w:trHeight w:hRule="exact" w:val="454"/>
          <w:jc w:val="center"/>
        </w:trPr>
        <w:tc>
          <w:tcPr>
            <w:tcW w:w="3145" w:type="pct"/>
            <w:vAlign w:val="center"/>
          </w:tcPr>
          <w:p w14:paraId="0D132FAC" w14:textId="77777777" w:rsidR="00465A26" w:rsidRPr="00465A26" w:rsidRDefault="00465A26" w:rsidP="00476C92">
            <w:pPr>
              <w:pStyle w:val="Tabulasteksts"/>
              <w:spacing w:after="0"/>
              <w:ind w:left="0"/>
              <w:rPr>
                <w:i/>
                <w:szCs w:val="18"/>
              </w:rPr>
            </w:pPr>
            <w:r w:rsidRPr="00465A26">
              <w:rPr>
                <w:szCs w:val="18"/>
              </w:rPr>
              <w:t>Saskaņā ar likumprojektu “Par valsts budžetu 2024. gadam un budžeta ietvaru 2024., 2025. un 2026. gadam”, milj.</w:t>
            </w:r>
            <w:r w:rsidRPr="00465A26">
              <w:rPr>
                <w:i/>
                <w:szCs w:val="18"/>
              </w:rPr>
              <w:t> euro</w:t>
            </w:r>
          </w:p>
        </w:tc>
        <w:tc>
          <w:tcPr>
            <w:tcW w:w="472" w:type="pct"/>
            <w:tcBorders>
              <w:bottom w:val="single" w:sz="4" w:space="0" w:color="auto"/>
            </w:tcBorders>
            <w:vAlign w:val="center"/>
          </w:tcPr>
          <w:p w14:paraId="34189042" w14:textId="77777777" w:rsidR="00465A26" w:rsidRPr="00465A26" w:rsidRDefault="00465A26" w:rsidP="00BB23B3">
            <w:pPr>
              <w:pStyle w:val="Tabulascipari"/>
              <w:keepNext/>
              <w:keepLines/>
              <w:spacing w:after="0"/>
              <w:ind w:left="0"/>
              <w:jc w:val="center"/>
              <w:rPr>
                <w:szCs w:val="18"/>
                <w:vertAlign w:val="superscript"/>
              </w:rPr>
            </w:pPr>
            <w:r w:rsidRPr="00465A26">
              <w:rPr>
                <w:szCs w:val="18"/>
              </w:rPr>
              <w:t>5 322,3</w:t>
            </w:r>
            <w:r w:rsidRPr="00465A26">
              <w:rPr>
                <w:szCs w:val="18"/>
                <w:vertAlign w:val="superscript"/>
              </w:rPr>
              <w:t>1</w:t>
            </w:r>
          </w:p>
        </w:tc>
        <w:tc>
          <w:tcPr>
            <w:tcW w:w="454" w:type="pct"/>
            <w:tcBorders>
              <w:top w:val="single" w:sz="4" w:space="0" w:color="auto"/>
              <w:left w:val="nil"/>
              <w:bottom w:val="single" w:sz="4" w:space="0" w:color="auto"/>
              <w:right w:val="single" w:sz="4" w:space="0" w:color="auto"/>
            </w:tcBorders>
            <w:shd w:val="clear" w:color="auto" w:fill="auto"/>
            <w:vAlign w:val="center"/>
          </w:tcPr>
          <w:p w14:paraId="2D63055A" w14:textId="77777777" w:rsidR="00465A26" w:rsidRPr="00465A26" w:rsidRDefault="00465A26" w:rsidP="00BB23B3">
            <w:pPr>
              <w:pStyle w:val="Tabulascipari"/>
              <w:keepNext/>
              <w:keepLines/>
              <w:spacing w:after="0"/>
              <w:ind w:left="0"/>
              <w:jc w:val="center"/>
              <w:rPr>
                <w:szCs w:val="18"/>
              </w:rPr>
            </w:pPr>
            <w:r w:rsidRPr="00465A26">
              <w:rPr>
                <w:szCs w:val="18"/>
              </w:rPr>
              <w:t>5 564,5</w:t>
            </w:r>
          </w:p>
        </w:tc>
        <w:tc>
          <w:tcPr>
            <w:tcW w:w="457" w:type="pct"/>
            <w:tcBorders>
              <w:top w:val="single" w:sz="4" w:space="0" w:color="auto"/>
              <w:left w:val="single" w:sz="4" w:space="0" w:color="auto"/>
              <w:bottom w:val="single" w:sz="4" w:space="0" w:color="auto"/>
              <w:right w:val="single" w:sz="4" w:space="0" w:color="auto"/>
            </w:tcBorders>
            <w:shd w:val="clear" w:color="auto" w:fill="auto"/>
            <w:vAlign w:val="center"/>
          </w:tcPr>
          <w:p w14:paraId="4AD10B36" w14:textId="77777777" w:rsidR="00465A26" w:rsidRPr="00465A26" w:rsidRDefault="00465A26" w:rsidP="00BB23B3">
            <w:pPr>
              <w:pStyle w:val="Tabulascipari"/>
              <w:keepNext/>
              <w:keepLines/>
              <w:spacing w:after="0"/>
              <w:ind w:left="0"/>
              <w:jc w:val="center"/>
              <w:rPr>
                <w:szCs w:val="18"/>
              </w:rPr>
            </w:pPr>
            <w:r w:rsidRPr="00465A26">
              <w:rPr>
                <w:szCs w:val="18"/>
              </w:rPr>
              <w:t>5 900,7</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0A7F553" w14:textId="77777777" w:rsidR="00465A26" w:rsidRPr="00465A26" w:rsidRDefault="00465A26" w:rsidP="00BB23B3">
            <w:pPr>
              <w:pStyle w:val="Tabulascipari"/>
              <w:keepNext/>
              <w:keepLines/>
              <w:spacing w:after="0"/>
              <w:ind w:left="0"/>
              <w:jc w:val="center"/>
              <w:rPr>
                <w:szCs w:val="18"/>
              </w:rPr>
            </w:pPr>
            <w:r w:rsidRPr="00465A26">
              <w:rPr>
                <w:szCs w:val="18"/>
              </w:rPr>
              <w:t>6 244,9</w:t>
            </w:r>
          </w:p>
        </w:tc>
      </w:tr>
      <w:tr w:rsidR="00A30215" w:rsidRPr="00465A26" w14:paraId="5168C9E0" w14:textId="77777777" w:rsidTr="00A30215">
        <w:trPr>
          <w:cantSplit/>
          <w:trHeight w:hRule="exact" w:val="227"/>
          <w:jc w:val="center"/>
        </w:trPr>
        <w:tc>
          <w:tcPr>
            <w:tcW w:w="3145" w:type="pct"/>
            <w:vAlign w:val="center"/>
          </w:tcPr>
          <w:p w14:paraId="56629CA1" w14:textId="77777777" w:rsidR="00465A26" w:rsidRPr="00465A26" w:rsidRDefault="00465A26" w:rsidP="00272F14">
            <w:pPr>
              <w:pStyle w:val="Tabulasteksts"/>
              <w:spacing w:after="0"/>
              <w:ind w:left="391"/>
              <w:rPr>
                <w:i/>
                <w:iCs/>
                <w:szCs w:val="18"/>
              </w:rPr>
            </w:pPr>
            <w:r w:rsidRPr="00465A26">
              <w:rPr>
                <w:i/>
                <w:iCs/>
                <w:szCs w:val="18"/>
              </w:rPr>
              <w:t>pret IKP, %</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201FB311" w14:textId="77777777" w:rsidR="00465A26" w:rsidRPr="00465A26" w:rsidRDefault="00465A26" w:rsidP="00476C92">
            <w:pPr>
              <w:pStyle w:val="Tabulascipari"/>
              <w:keepNext/>
              <w:keepLines/>
              <w:spacing w:after="0"/>
              <w:ind w:left="0"/>
              <w:rPr>
                <w:i/>
                <w:iCs/>
                <w:color w:val="000000"/>
                <w:szCs w:val="18"/>
              </w:rPr>
            </w:pPr>
            <w:r w:rsidRPr="00465A26">
              <w:rPr>
                <w:i/>
                <w:iCs/>
                <w:szCs w:val="18"/>
              </w:rPr>
              <w:t>12,3</w:t>
            </w:r>
          </w:p>
        </w:tc>
        <w:tc>
          <w:tcPr>
            <w:tcW w:w="454" w:type="pct"/>
            <w:tcBorders>
              <w:top w:val="single" w:sz="4" w:space="0" w:color="auto"/>
              <w:left w:val="nil"/>
              <w:bottom w:val="single" w:sz="4" w:space="0" w:color="auto"/>
              <w:right w:val="single" w:sz="4" w:space="0" w:color="auto"/>
            </w:tcBorders>
            <w:shd w:val="clear" w:color="auto" w:fill="auto"/>
          </w:tcPr>
          <w:p w14:paraId="7B256033" w14:textId="77777777" w:rsidR="00465A26" w:rsidRPr="00465A26" w:rsidRDefault="00465A26" w:rsidP="00476C92">
            <w:pPr>
              <w:pStyle w:val="Tabulascipari"/>
              <w:keepNext/>
              <w:keepLines/>
              <w:spacing w:after="0"/>
              <w:ind w:left="0"/>
              <w:rPr>
                <w:i/>
                <w:iCs/>
                <w:szCs w:val="18"/>
              </w:rPr>
            </w:pPr>
            <w:r w:rsidRPr="00465A26">
              <w:rPr>
                <w:i/>
                <w:iCs/>
                <w:szCs w:val="18"/>
              </w:rPr>
              <w:t>12,2</w:t>
            </w:r>
          </w:p>
        </w:tc>
        <w:tc>
          <w:tcPr>
            <w:tcW w:w="457" w:type="pct"/>
            <w:tcBorders>
              <w:top w:val="single" w:sz="4" w:space="0" w:color="auto"/>
              <w:left w:val="nil"/>
              <w:bottom w:val="single" w:sz="4" w:space="0" w:color="auto"/>
              <w:right w:val="single" w:sz="4" w:space="0" w:color="auto"/>
            </w:tcBorders>
            <w:shd w:val="clear" w:color="auto" w:fill="auto"/>
          </w:tcPr>
          <w:p w14:paraId="63E87A3D" w14:textId="77777777" w:rsidR="00465A26" w:rsidRPr="00465A26" w:rsidRDefault="00465A26" w:rsidP="00476C92">
            <w:pPr>
              <w:pStyle w:val="Tabulascipari"/>
              <w:keepNext/>
              <w:keepLines/>
              <w:spacing w:after="0"/>
              <w:ind w:left="0"/>
              <w:rPr>
                <w:i/>
                <w:iCs/>
                <w:szCs w:val="18"/>
              </w:rPr>
            </w:pPr>
            <w:r w:rsidRPr="00465A26">
              <w:rPr>
                <w:i/>
                <w:iCs/>
                <w:szCs w:val="18"/>
              </w:rPr>
              <w:t>12,2</w:t>
            </w:r>
          </w:p>
        </w:tc>
        <w:tc>
          <w:tcPr>
            <w:tcW w:w="471" w:type="pct"/>
            <w:tcBorders>
              <w:top w:val="single" w:sz="4" w:space="0" w:color="auto"/>
              <w:left w:val="nil"/>
              <w:bottom w:val="single" w:sz="4" w:space="0" w:color="auto"/>
              <w:right w:val="single" w:sz="4" w:space="0" w:color="auto"/>
            </w:tcBorders>
            <w:shd w:val="clear" w:color="auto" w:fill="auto"/>
          </w:tcPr>
          <w:p w14:paraId="68A65DC9" w14:textId="77777777" w:rsidR="00465A26" w:rsidRPr="00465A26" w:rsidRDefault="00465A26" w:rsidP="00A30215">
            <w:pPr>
              <w:pStyle w:val="Tabulascipari"/>
              <w:keepNext/>
              <w:keepLines/>
              <w:spacing w:after="0"/>
              <w:ind w:left="0"/>
              <w:rPr>
                <w:i/>
                <w:iCs/>
                <w:szCs w:val="18"/>
              </w:rPr>
            </w:pPr>
            <w:r w:rsidRPr="00465A26">
              <w:rPr>
                <w:i/>
                <w:iCs/>
                <w:szCs w:val="18"/>
              </w:rPr>
              <w:t>12,2</w:t>
            </w:r>
          </w:p>
        </w:tc>
      </w:tr>
      <w:tr w:rsidR="00A30215" w:rsidRPr="00465A26" w14:paraId="35890742" w14:textId="77777777" w:rsidTr="00A30215">
        <w:trPr>
          <w:cantSplit/>
          <w:trHeight w:hRule="exact" w:val="454"/>
          <w:jc w:val="center"/>
        </w:trPr>
        <w:tc>
          <w:tcPr>
            <w:tcW w:w="3145" w:type="pct"/>
            <w:vAlign w:val="center"/>
          </w:tcPr>
          <w:p w14:paraId="3C1578C2" w14:textId="0E87CB80" w:rsidR="00465A26" w:rsidRPr="00465A26" w:rsidRDefault="00465A26" w:rsidP="00272F14">
            <w:pPr>
              <w:pStyle w:val="Tabulasteksts"/>
              <w:spacing w:after="0"/>
              <w:ind w:left="0"/>
              <w:rPr>
                <w:szCs w:val="18"/>
              </w:rPr>
            </w:pPr>
            <w:r w:rsidRPr="00465A26">
              <w:rPr>
                <w:szCs w:val="18"/>
              </w:rPr>
              <w:t>Salīdzinājumā ar likumu “Par valsts budžetu 2023. gadam un budžeta ietvaru 2023., 2024. un 2025. gadam”, milj. </w:t>
            </w:r>
            <w:r w:rsidRPr="00272F14">
              <w:rPr>
                <w:i/>
                <w:iCs/>
                <w:szCs w:val="18"/>
              </w:rPr>
              <w:t>euro</w:t>
            </w:r>
          </w:p>
        </w:tc>
        <w:tc>
          <w:tcPr>
            <w:tcW w:w="472" w:type="pct"/>
            <w:tcBorders>
              <w:top w:val="single" w:sz="4" w:space="0" w:color="auto"/>
              <w:left w:val="nil"/>
              <w:bottom w:val="single" w:sz="4" w:space="0" w:color="auto"/>
              <w:right w:val="single" w:sz="4" w:space="0" w:color="auto"/>
            </w:tcBorders>
            <w:shd w:val="clear" w:color="auto" w:fill="auto"/>
          </w:tcPr>
          <w:p w14:paraId="1EC670E9" w14:textId="77777777" w:rsidR="00465A26" w:rsidRPr="00465A26" w:rsidRDefault="00465A26" w:rsidP="00476C92">
            <w:pPr>
              <w:pStyle w:val="Tabulascipari"/>
              <w:keepNext/>
              <w:keepLines/>
              <w:spacing w:after="0"/>
              <w:ind w:left="0"/>
              <w:rPr>
                <w:i/>
                <w:iCs/>
                <w:szCs w:val="18"/>
              </w:rPr>
            </w:pPr>
            <w:r w:rsidRPr="00465A26">
              <w:rPr>
                <w:i/>
                <w:iCs/>
                <w:szCs w:val="18"/>
              </w:rPr>
              <w:t>+131,4</w:t>
            </w:r>
          </w:p>
        </w:tc>
        <w:tc>
          <w:tcPr>
            <w:tcW w:w="454" w:type="pct"/>
            <w:tcBorders>
              <w:top w:val="single" w:sz="4" w:space="0" w:color="auto"/>
              <w:left w:val="single" w:sz="4" w:space="0" w:color="auto"/>
              <w:bottom w:val="single" w:sz="4" w:space="0" w:color="auto"/>
              <w:right w:val="single" w:sz="4" w:space="0" w:color="auto"/>
            </w:tcBorders>
            <w:shd w:val="clear" w:color="auto" w:fill="auto"/>
          </w:tcPr>
          <w:p w14:paraId="3DE66A98" w14:textId="77777777" w:rsidR="00465A26" w:rsidRPr="00465A26" w:rsidRDefault="00465A26" w:rsidP="00476C92">
            <w:pPr>
              <w:pStyle w:val="Tabulascipari"/>
              <w:keepNext/>
              <w:keepLines/>
              <w:spacing w:after="0"/>
              <w:ind w:left="0"/>
              <w:rPr>
                <w:i/>
                <w:iCs/>
                <w:szCs w:val="18"/>
              </w:rPr>
            </w:pPr>
            <w:r w:rsidRPr="00465A26">
              <w:rPr>
                <w:i/>
                <w:iCs/>
                <w:szCs w:val="18"/>
              </w:rPr>
              <w:t>+142,4</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4B941BCA" w14:textId="77777777" w:rsidR="00465A26" w:rsidRPr="00465A26" w:rsidRDefault="00465A26" w:rsidP="00476C92">
            <w:pPr>
              <w:pStyle w:val="Tabulascipari"/>
              <w:keepNext/>
              <w:keepLines/>
              <w:spacing w:after="0"/>
              <w:ind w:left="0"/>
              <w:rPr>
                <w:i/>
                <w:iCs/>
                <w:szCs w:val="18"/>
              </w:rPr>
            </w:pPr>
            <w:r w:rsidRPr="00465A26">
              <w:rPr>
                <w:i/>
                <w:iCs/>
                <w:szCs w:val="18"/>
              </w:rPr>
              <w:t>+180,3</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FAF4AB" w14:textId="77777777" w:rsidR="00465A26" w:rsidRPr="00465A26" w:rsidRDefault="00465A26" w:rsidP="00A30215">
            <w:pPr>
              <w:pStyle w:val="Tabulascipari"/>
              <w:keepNext/>
              <w:keepLines/>
              <w:spacing w:after="0"/>
              <w:ind w:left="0"/>
              <w:rPr>
                <w:i/>
                <w:iCs/>
                <w:szCs w:val="18"/>
              </w:rPr>
            </w:pPr>
            <w:r w:rsidRPr="00465A26">
              <w:rPr>
                <w:i/>
                <w:iCs/>
                <w:szCs w:val="18"/>
              </w:rPr>
              <w:t>—</w:t>
            </w:r>
          </w:p>
        </w:tc>
      </w:tr>
      <w:tr w:rsidR="00A30215" w:rsidRPr="00465A26" w14:paraId="39CD668B" w14:textId="77777777" w:rsidTr="00A30215">
        <w:trPr>
          <w:cantSplit/>
          <w:trHeight w:hRule="exact" w:val="454"/>
          <w:jc w:val="center"/>
        </w:trPr>
        <w:tc>
          <w:tcPr>
            <w:tcW w:w="3145" w:type="pct"/>
            <w:vAlign w:val="center"/>
          </w:tcPr>
          <w:p w14:paraId="64E83F39" w14:textId="51624035" w:rsidR="00465A26" w:rsidRPr="00465A26" w:rsidRDefault="00465A26" w:rsidP="00272F14">
            <w:pPr>
              <w:pStyle w:val="Tabulasteksts"/>
              <w:spacing w:after="0"/>
              <w:ind w:left="0"/>
              <w:rPr>
                <w:szCs w:val="18"/>
              </w:rPr>
            </w:pPr>
            <w:r w:rsidRPr="00465A26">
              <w:rPr>
                <w:szCs w:val="18"/>
              </w:rPr>
              <w:t>Salīdzinājumā ar likumu “Par valsts budžetu 2023. gadam un budžeta ietvaru 2023., 2024. un 2025. gadam”, %</w:t>
            </w:r>
          </w:p>
        </w:tc>
        <w:tc>
          <w:tcPr>
            <w:tcW w:w="472" w:type="pct"/>
            <w:tcBorders>
              <w:top w:val="single" w:sz="4" w:space="0" w:color="auto"/>
              <w:left w:val="nil"/>
              <w:bottom w:val="single" w:sz="4" w:space="0" w:color="auto"/>
              <w:right w:val="single" w:sz="4" w:space="0" w:color="auto"/>
            </w:tcBorders>
            <w:shd w:val="clear" w:color="auto" w:fill="auto"/>
          </w:tcPr>
          <w:p w14:paraId="3CCE5C27" w14:textId="77777777" w:rsidR="00465A26" w:rsidRPr="00465A26" w:rsidRDefault="00465A26" w:rsidP="00476C92">
            <w:pPr>
              <w:pStyle w:val="Tabulascipari"/>
              <w:keepNext/>
              <w:keepLines/>
              <w:spacing w:after="0"/>
              <w:ind w:left="0"/>
              <w:rPr>
                <w:i/>
                <w:iCs/>
                <w:szCs w:val="18"/>
              </w:rPr>
            </w:pPr>
            <w:r w:rsidRPr="00465A26">
              <w:rPr>
                <w:i/>
                <w:iCs/>
                <w:szCs w:val="18"/>
              </w:rPr>
              <w:t>+2,5</w:t>
            </w:r>
          </w:p>
        </w:tc>
        <w:tc>
          <w:tcPr>
            <w:tcW w:w="454" w:type="pct"/>
            <w:tcBorders>
              <w:top w:val="single" w:sz="4" w:space="0" w:color="auto"/>
              <w:left w:val="single" w:sz="4" w:space="0" w:color="auto"/>
              <w:bottom w:val="single" w:sz="4" w:space="0" w:color="auto"/>
              <w:right w:val="single" w:sz="4" w:space="0" w:color="auto"/>
            </w:tcBorders>
            <w:shd w:val="clear" w:color="auto" w:fill="auto"/>
          </w:tcPr>
          <w:p w14:paraId="53B213F7" w14:textId="77777777" w:rsidR="00465A26" w:rsidRPr="00465A26" w:rsidRDefault="00465A26" w:rsidP="00476C92">
            <w:pPr>
              <w:pStyle w:val="Tabulascipari"/>
              <w:keepNext/>
              <w:keepLines/>
              <w:spacing w:after="0"/>
              <w:ind w:left="0"/>
              <w:rPr>
                <w:i/>
                <w:iCs/>
                <w:szCs w:val="18"/>
              </w:rPr>
            </w:pPr>
            <w:r w:rsidRPr="00465A26">
              <w:rPr>
                <w:i/>
                <w:iCs/>
                <w:szCs w:val="18"/>
              </w:rPr>
              <w:t>+2,6</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71B4D5BA" w14:textId="77777777" w:rsidR="00465A26" w:rsidRPr="00465A26" w:rsidRDefault="00465A26" w:rsidP="00476C92">
            <w:pPr>
              <w:pStyle w:val="Tabulascipari"/>
              <w:keepNext/>
              <w:keepLines/>
              <w:spacing w:after="0"/>
              <w:ind w:left="0"/>
              <w:rPr>
                <w:i/>
                <w:iCs/>
                <w:szCs w:val="18"/>
              </w:rPr>
            </w:pPr>
            <w:r w:rsidRPr="00465A26">
              <w:rPr>
                <w:i/>
                <w:iCs/>
                <w:szCs w:val="18"/>
              </w:rPr>
              <w:t>+3,2</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1782918" w14:textId="77777777" w:rsidR="00465A26" w:rsidRPr="00465A26" w:rsidRDefault="00465A26" w:rsidP="00A30215">
            <w:pPr>
              <w:pStyle w:val="Tabulascipari"/>
              <w:keepNext/>
              <w:keepLines/>
              <w:spacing w:after="0"/>
              <w:ind w:left="0"/>
              <w:rPr>
                <w:i/>
                <w:iCs/>
                <w:szCs w:val="18"/>
              </w:rPr>
            </w:pPr>
            <w:r w:rsidRPr="00465A26">
              <w:rPr>
                <w:i/>
                <w:iCs/>
                <w:szCs w:val="18"/>
              </w:rPr>
              <w:t>—</w:t>
            </w:r>
          </w:p>
        </w:tc>
      </w:tr>
    </w:tbl>
    <w:p w14:paraId="17E3C0C2" w14:textId="77777777" w:rsidR="00465A26" w:rsidRPr="00465A26" w:rsidRDefault="00465A26" w:rsidP="00465A26">
      <w:pPr>
        <w:pStyle w:val="Piezme"/>
      </w:pPr>
      <w:r w:rsidRPr="00465A26">
        <w:rPr>
          <w:vertAlign w:val="superscript"/>
        </w:rPr>
        <w:t>1</w:t>
      </w:r>
      <w:r w:rsidRPr="00465A26">
        <w:t> Prognoze</w:t>
      </w:r>
    </w:p>
    <w:p w14:paraId="72650837" w14:textId="77777777" w:rsidR="007E409E" w:rsidRPr="00272F14" w:rsidRDefault="007E409E" w:rsidP="0097121F">
      <w:pPr>
        <w:keepNext/>
        <w:keepLines/>
        <w:spacing w:before="240" w:after="240"/>
        <w:ind w:firstLine="0"/>
        <w:jc w:val="center"/>
        <w:outlineLvl w:val="3"/>
        <w:rPr>
          <w:rFonts w:eastAsia="Times New Roman" w:cs="Times New Roman"/>
          <w:b/>
          <w:sz w:val="28"/>
          <w:lang w:eastAsia="en-US"/>
        </w:rPr>
      </w:pPr>
      <w:r w:rsidRPr="00272F14">
        <w:rPr>
          <w:rFonts w:eastAsia="Times New Roman" w:cs="Times New Roman"/>
          <w:b/>
          <w:sz w:val="28"/>
          <w:lang w:eastAsia="en-US"/>
        </w:rPr>
        <w:t>Pievienotās vērtības nodoklis</w:t>
      </w:r>
    </w:p>
    <w:p w14:paraId="1DCE68F8" w14:textId="77777777" w:rsidR="0049688E" w:rsidRPr="008B4A04" w:rsidRDefault="0049688E" w:rsidP="0049688E">
      <w:pPr>
        <w:rPr>
          <w:rFonts w:eastAsia="Calibri" w:cs="Times New Roman"/>
          <w:szCs w:val="24"/>
        </w:rPr>
      </w:pPr>
      <w:r w:rsidRPr="008B4A04">
        <w:rPr>
          <w:rFonts w:eastAsia="Calibri" w:cs="Times New Roman"/>
          <w:szCs w:val="24"/>
        </w:rPr>
        <w:t>PVN ir patēriņa nodoklis, ko faktiski maksā gala patērētājs, iegādājoties preces vai saņemot pakalpojumus, un ir lielākais valsts pamatbudžeta nodokļu ieņēmumu avots (2022</w:t>
      </w:r>
      <w:r>
        <w:rPr>
          <w:rFonts w:eastAsia="Calibri" w:cs="Times New Roman"/>
          <w:szCs w:val="24"/>
        </w:rPr>
        <w:t>. g</w:t>
      </w:r>
      <w:r w:rsidRPr="008B4A04">
        <w:rPr>
          <w:rFonts w:eastAsia="Calibri" w:cs="Times New Roman"/>
          <w:szCs w:val="24"/>
        </w:rPr>
        <w:t>adā PVN neto ieņēmumi veidoja 30,8</w:t>
      </w:r>
      <w:r>
        <w:rPr>
          <w:rFonts w:eastAsia="Calibri" w:cs="Times New Roman"/>
          <w:szCs w:val="24"/>
        </w:rPr>
        <w:t> %</w:t>
      </w:r>
      <w:r w:rsidRPr="008B4A04">
        <w:rPr>
          <w:rFonts w:eastAsia="Calibri" w:cs="Times New Roman"/>
          <w:szCs w:val="24"/>
        </w:rPr>
        <w:t xml:space="preserve"> no valsts kopbudžeta nodokļu ieņēmumiem jeb 3 558,7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w:t>
      </w:r>
    </w:p>
    <w:p w14:paraId="129DADAA" w14:textId="77777777" w:rsidR="0049688E" w:rsidRPr="008B4A04" w:rsidRDefault="0049688E" w:rsidP="0049688E">
      <w:pPr>
        <w:rPr>
          <w:rFonts w:eastAsia="Calibri" w:cs="Times New Roman"/>
          <w:szCs w:val="24"/>
        </w:rPr>
      </w:pPr>
      <w:r w:rsidRPr="008B4A04">
        <w:rPr>
          <w:rFonts w:eastAsia="Calibri" w:cs="Times New Roman"/>
          <w:szCs w:val="24"/>
        </w:rPr>
        <w:t>PVN neto ieņēmumi 2023</w:t>
      </w:r>
      <w:r>
        <w:rPr>
          <w:rFonts w:eastAsia="Calibri" w:cs="Times New Roman"/>
          <w:szCs w:val="24"/>
        </w:rPr>
        <w:t>. g</w:t>
      </w:r>
      <w:r w:rsidRPr="008B4A04">
        <w:rPr>
          <w:rFonts w:eastAsia="Calibri" w:cs="Times New Roman"/>
          <w:szCs w:val="24"/>
        </w:rPr>
        <w:t>ada 1. pusgadā bija 1 946,7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ir par 320,3</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19,7</w:t>
      </w:r>
      <w:r>
        <w:rPr>
          <w:rFonts w:eastAsia="Calibri" w:cs="Times New Roman"/>
          <w:szCs w:val="24"/>
        </w:rPr>
        <w:t> %</w:t>
      </w:r>
      <w:r w:rsidRPr="008B4A04">
        <w:rPr>
          <w:rFonts w:eastAsia="Calibri" w:cs="Times New Roman"/>
          <w:szCs w:val="24"/>
        </w:rPr>
        <w:t xml:space="preserve"> vairāk nekā pērnā gada attiecīgajā periodā. PVN neto ieņēmumu izpilde 2023</w:t>
      </w:r>
      <w:r>
        <w:rPr>
          <w:rFonts w:eastAsia="Calibri" w:cs="Times New Roman"/>
          <w:szCs w:val="24"/>
        </w:rPr>
        <w:t>. g</w:t>
      </w:r>
      <w:r w:rsidRPr="008B4A04">
        <w:rPr>
          <w:rFonts w:eastAsia="Calibri" w:cs="Times New Roman"/>
          <w:szCs w:val="24"/>
        </w:rPr>
        <w:t>ada 1. pusgadā bija par 76,4</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szCs w:val="24"/>
        </w:rPr>
        <w:t>euro</w:t>
      </w:r>
      <w:proofErr w:type="spellEnd"/>
      <w:r w:rsidRPr="008B4A04">
        <w:rPr>
          <w:rFonts w:eastAsia="Calibri" w:cs="Times New Roman"/>
          <w:szCs w:val="24"/>
        </w:rPr>
        <w:t xml:space="preserve"> jeb par 4,1</w:t>
      </w:r>
      <w:r>
        <w:rPr>
          <w:rFonts w:eastAsia="Calibri" w:cs="Times New Roman"/>
          <w:szCs w:val="24"/>
        </w:rPr>
        <w:t> %</w:t>
      </w:r>
      <w:r w:rsidRPr="008B4A04">
        <w:rPr>
          <w:rFonts w:eastAsia="Calibri" w:cs="Times New Roman"/>
          <w:szCs w:val="24"/>
        </w:rPr>
        <w:t xml:space="preserve"> lielāka nekā bija plānots. PVN ieņēmumu </w:t>
      </w:r>
      <w:proofErr w:type="spellStart"/>
      <w:r w:rsidRPr="008B4A04">
        <w:rPr>
          <w:rFonts w:eastAsia="Calibri" w:cs="Times New Roman"/>
          <w:szCs w:val="24"/>
        </w:rPr>
        <w:t>pārpilde</w:t>
      </w:r>
      <w:proofErr w:type="spellEnd"/>
      <w:r w:rsidRPr="008B4A04">
        <w:rPr>
          <w:rFonts w:eastAsia="Calibri" w:cs="Times New Roman"/>
          <w:szCs w:val="24"/>
        </w:rPr>
        <w:t xml:space="preserve"> bija saistīta galvenokārt ar tautsaimniecības attīstības nesaistītiem </w:t>
      </w:r>
      <w:r w:rsidRPr="008B4A04">
        <w:rPr>
          <w:rFonts w:eastAsia="Calibri" w:cs="Times New Roman"/>
          <w:szCs w:val="24"/>
        </w:rPr>
        <w:lastRenderedPageBreak/>
        <w:t>faktoriem – VID sistēmā konstatēt</w:t>
      </w:r>
      <w:r>
        <w:rPr>
          <w:rFonts w:eastAsia="Calibri" w:cs="Times New Roman"/>
          <w:szCs w:val="24"/>
        </w:rPr>
        <w:t>o</w:t>
      </w:r>
      <w:r w:rsidRPr="008B4A04">
        <w:rPr>
          <w:rFonts w:eastAsia="Calibri" w:cs="Times New Roman"/>
          <w:szCs w:val="24"/>
        </w:rPr>
        <w:t xml:space="preserve"> kļūdu labošanas rezultātā PVN ieņēmumi 2023</w:t>
      </w:r>
      <w:r>
        <w:rPr>
          <w:rFonts w:eastAsia="Calibri" w:cs="Times New Roman"/>
          <w:szCs w:val="24"/>
        </w:rPr>
        <w:t>. g</w:t>
      </w:r>
      <w:r w:rsidRPr="008B4A04">
        <w:rPr>
          <w:rFonts w:eastAsia="Calibri" w:cs="Times New Roman"/>
          <w:szCs w:val="24"/>
        </w:rPr>
        <w:t>ada martā bija palielināti par 65,9</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w:t>
      </w:r>
    </w:p>
    <w:p w14:paraId="461C15BE" w14:textId="6396ABB8" w:rsidR="0049688E" w:rsidRDefault="0049688E" w:rsidP="0049688E">
      <w:pPr>
        <w:rPr>
          <w:rFonts w:eastAsia="Calibri" w:cs="Times New Roman"/>
          <w:szCs w:val="24"/>
        </w:rPr>
      </w:pPr>
      <w:r w:rsidRPr="008B4A04">
        <w:rPr>
          <w:rFonts w:eastAsia="Calibri" w:cs="Times New Roman"/>
          <w:szCs w:val="24"/>
        </w:rPr>
        <w:t>Saskaņā ar likumu “Par valsts budžetu 2024</w:t>
      </w:r>
      <w:r>
        <w:rPr>
          <w:rFonts w:eastAsia="Calibri" w:cs="Times New Roman"/>
          <w:szCs w:val="24"/>
        </w:rPr>
        <w:t>. g</w:t>
      </w:r>
      <w:r w:rsidRPr="008B4A04">
        <w:rPr>
          <w:rFonts w:eastAsia="Calibri" w:cs="Times New Roman"/>
          <w:szCs w:val="24"/>
        </w:rPr>
        <w:t>adam un budžeta ietvaru 2024., 2025. un 2026</w:t>
      </w:r>
      <w:r>
        <w:rPr>
          <w:rFonts w:eastAsia="Calibri" w:cs="Times New Roman"/>
          <w:szCs w:val="24"/>
        </w:rPr>
        <w:t>. g</w:t>
      </w:r>
      <w:r w:rsidRPr="008B4A04">
        <w:rPr>
          <w:rFonts w:eastAsia="Calibri" w:cs="Times New Roman"/>
          <w:szCs w:val="24"/>
        </w:rPr>
        <w:t>adam” PVN neto ieņēmumi tiek plānoti šādos apmēros: 2024</w:t>
      </w:r>
      <w:r>
        <w:rPr>
          <w:rFonts w:eastAsia="Calibri" w:cs="Times New Roman"/>
          <w:szCs w:val="24"/>
        </w:rPr>
        <w:t>. g</w:t>
      </w:r>
      <w:r w:rsidRPr="008B4A04">
        <w:rPr>
          <w:rFonts w:eastAsia="Calibri" w:cs="Times New Roman"/>
          <w:szCs w:val="24"/>
        </w:rPr>
        <w:t>adā – 4 110,8</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2025</w:t>
      </w:r>
      <w:r>
        <w:rPr>
          <w:rFonts w:eastAsia="Calibri" w:cs="Times New Roman"/>
          <w:szCs w:val="24"/>
        </w:rPr>
        <w:t>. g</w:t>
      </w:r>
      <w:r w:rsidRPr="008B4A04">
        <w:rPr>
          <w:rFonts w:eastAsia="Calibri" w:cs="Times New Roman"/>
          <w:szCs w:val="24"/>
        </w:rPr>
        <w:t>adā – 4 369,4</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un 2026</w:t>
      </w:r>
      <w:r>
        <w:rPr>
          <w:rFonts w:eastAsia="Calibri" w:cs="Times New Roman"/>
          <w:szCs w:val="24"/>
        </w:rPr>
        <w:t>. g</w:t>
      </w:r>
      <w:r w:rsidRPr="008B4A04">
        <w:rPr>
          <w:rFonts w:eastAsia="Calibri" w:cs="Times New Roman"/>
          <w:szCs w:val="24"/>
        </w:rPr>
        <w:t>adā – 4 633,2</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(skat. 3.10. tabulu). PVN neto ieņēmumu plānu vidējā termiņā ietekmē prognozētā </w:t>
      </w:r>
      <w:proofErr w:type="spellStart"/>
      <w:r w:rsidRPr="008B4A04">
        <w:rPr>
          <w:rFonts w:eastAsia="Calibri" w:cs="Times New Roman"/>
          <w:szCs w:val="24"/>
        </w:rPr>
        <w:t>galapatēriņa</w:t>
      </w:r>
      <w:proofErr w:type="spellEnd"/>
      <w:r w:rsidRPr="008B4A04">
        <w:rPr>
          <w:rFonts w:eastAsia="Calibri" w:cs="Times New Roman"/>
          <w:szCs w:val="24"/>
        </w:rPr>
        <w:t xml:space="preserve"> izdevumu, eksporta un importa dinamika faktiskajās cenās, 2023</w:t>
      </w:r>
      <w:r>
        <w:rPr>
          <w:rFonts w:eastAsia="Calibri" w:cs="Times New Roman"/>
          <w:szCs w:val="24"/>
        </w:rPr>
        <w:t>. g</w:t>
      </w:r>
      <w:r w:rsidRPr="008B4A04">
        <w:rPr>
          <w:rFonts w:eastAsia="Calibri" w:cs="Times New Roman"/>
          <w:szCs w:val="24"/>
        </w:rPr>
        <w:t>adā sagaidāmā izpilde, kā arī 3.1. sadaļā minētie pasākumi.</w:t>
      </w:r>
      <w:r>
        <w:rPr>
          <w:rFonts w:eastAsia="Calibri" w:cs="Times New Roman"/>
          <w:szCs w:val="24"/>
        </w:rPr>
        <w:t xml:space="preserve"> </w:t>
      </w:r>
      <w:r w:rsidRPr="0049688E">
        <w:rPr>
          <w:rFonts w:eastAsia="Calibri" w:cs="Times New Roman"/>
          <w:szCs w:val="24"/>
        </w:rPr>
        <w:t>PVN neto ieņēmumu plānu vidējā termiņā ietekmē arī Pievienotās vērtības nodokļa likuma pārejas noteikumu 30. punktā minētais, ka likuma 42. panta sešpadsmitā daļa ir spēkā līdz 2023. gada 31. decembrim. Tātad, svaigo augļu, ogu un dārzeņu piegādēm, kam no 01.01.2018. līdz 31.12.2023. tiek piemērota PVN samazinātā likme, no 01.01.202</w:t>
      </w:r>
      <w:r w:rsidR="00C55137">
        <w:rPr>
          <w:rFonts w:eastAsia="Calibri" w:cs="Times New Roman"/>
          <w:szCs w:val="24"/>
        </w:rPr>
        <w:t>4</w:t>
      </w:r>
      <w:r w:rsidRPr="0049688E">
        <w:rPr>
          <w:rFonts w:eastAsia="Calibri" w:cs="Times New Roman"/>
          <w:szCs w:val="24"/>
        </w:rPr>
        <w:t xml:space="preserve">. atkal tiks piemērota PVN </w:t>
      </w:r>
      <w:proofErr w:type="spellStart"/>
      <w:r w:rsidRPr="0049688E">
        <w:rPr>
          <w:rFonts w:eastAsia="Calibri" w:cs="Times New Roman"/>
          <w:szCs w:val="24"/>
        </w:rPr>
        <w:t>standartlikme</w:t>
      </w:r>
      <w:proofErr w:type="spellEnd"/>
      <w:r w:rsidRPr="0049688E">
        <w:rPr>
          <w:rFonts w:eastAsia="Calibri" w:cs="Times New Roman"/>
          <w:szCs w:val="24"/>
        </w:rPr>
        <w:t>, kas pēc veiktiem aprēķiniem palielinās PVN neto ieņēmumus par 36 milj. </w:t>
      </w:r>
      <w:proofErr w:type="spellStart"/>
      <w:r w:rsidRPr="0049688E">
        <w:rPr>
          <w:rFonts w:eastAsia="Calibri" w:cs="Times New Roman"/>
          <w:i/>
          <w:iCs/>
          <w:szCs w:val="24"/>
        </w:rPr>
        <w:t>euro</w:t>
      </w:r>
      <w:proofErr w:type="spellEnd"/>
      <w:r w:rsidRPr="0049688E">
        <w:rPr>
          <w:rFonts w:eastAsia="Calibri" w:cs="Times New Roman"/>
          <w:szCs w:val="24"/>
        </w:rPr>
        <w:t xml:space="preserve"> gadā.</w:t>
      </w:r>
    </w:p>
    <w:p w14:paraId="15E795BB" w14:textId="77777777" w:rsidR="00465A26" w:rsidRPr="004A3BF6" w:rsidRDefault="00465A26" w:rsidP="00465A26">
      <w:pPr>
        <w:pStyle w:val="Tabulasnosaukums"/>
      </w:pPr>
      <w:bookmarkStart w:id="89" w:name="_Toc84756426"/>
      <w:bookmarkStart w:id="90" w:name="_Hlk82805101"/>
      <w:r w:rsidRPr="004A3BF6">
        <w:t>3.10. tabula. PVN neto ieņēmumi</w:t>
      </w:r>
    </w:p>
    <w:tbl>
      <w:tblPr>
        <w:tblW w:w="497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13"/>
        <w:gridCol w:w="851"/>
        <w:gridCol w:w="851"/>
        <w:gridCol w:w="849"/>
        <w:gridCol w:w="847"/>
      </w:tblGrid>
      <w:tr w:rsidR="00A30215" w:rsidRPr="00465A26" w14:paraId="3C4BC588" w14:textId="77777777" w:rsidTr="0034370C">
        <w:trPr>
          <w:cantSplit/>
          <w:trHeight w:hRule="exact" w:val="227"/>
          <w:jc w:val="center"/>
        </w:trPr>
        <w:tc>
          <w:tcPr>
            <w:tcW w:w="3115" w:type="pct"/>
            <w:shd w:val="clear" w:color="auto" w:fill="8EAADB"/>
            <w:noWrap/>
            <w:vAlign w:val="center"/>
            <w:hideMark/>
          </w:tcPr>
          <w:p w14:paraId="7067E3EC" w14:textId="77777777" w:rsidR="00465A26" w:rsidRPr="00465A26" w:rsidRDefault="00465A26" w:rsidP="005D673A">
            <w:pPr>
              <w:pStyle w:val="Tabulasgalvenesrinda"/>
            </w:pPr>
          </w:p>
        </w:tc>
        <w:tc>
          <w:tcPr>
            <w:tcW w:w="472" w:type="pct"/>
            <w:shd w:val="clear" w:color="auto" w:fill="8EAADB"/>
            <w:vAlign w:val="center"/>
          </w:tcPr>
          <w:p w14:paraId="5C9FCF64" w14:textId="77777777" w:rsidR="00465A26" w:rsidRPr="00465A26" w:rsidRDefault="00465A26" w:rsidP="005D673A">
            <w:pPr>
              <w:pStyle w:val="Tabulasgalvenesrinda"/>
            </w:pPr>
            <w:r w:rsidRPr="00465A26">
              <w:t>2023</w:t>
            </w:r>
          </w:p>
        </w:tc>
        <w:tc>
          <w:tcPr>
            <w:tcW w:w="472" w:type="pct"/>
            <w:shd w:val="clear" w:color="auto" w:fill="8EAADB"/>
            <w:vAlign w:val="center"/>
          </w:tcPr>
          <w:p w14:paraId="79E41680" w14:textId="77777777" w:rsidR="00465A26" w:rsidRPr="00465A26" w:rsidRDefault="00465A26" w:rsidP="005D673A">
            <w:pPr>
              <w:pStyle w:val="Tabulasgalvenesrinda"/>
            </w:pPr>
            <w:r w:rsidRPr="00465A26">
              <w:t>2024</w:t>
            </w:r>
          </w:p>
        </w:tc>
        <w:tc>
          <w:tcPr>
            <w:tcW w:w="471" w:type="pct"/>
            <w:shd w:val="clear" w:color="auto" w:fill="8EAADB"/>
            <w:noWrap/>
            <w:vAlign w:val="center"/>
            <w:hideMark/>
          </w:tcPr>
          <w:p w14:paraId="3E403146" w14:textId="77777777" w:rsidR="00465A26" w:rsidRPr="00465A26" w:rsidRDefault="00465A26" w:rsidP="005D673A">
            <w:pPr>
              <w:pStyle w:val="Tabulasgalvenesrinda"/>
            </w:pPr>
            <w:r w:rsidRPr="00465A26">
              <w:t>2025</w:t>
            </w:r>
          </w:p>
        </w:tc>
        <w:tc>
          <w:tcPr>
            <w:tcW w:w="470" w:type="pct"/>
            <w:shd w:val="clear" w:color="auto" w:fill="8EAADB"/>
            <w:vAlign w:val="center"/>
          </w:tcPr>
          <w:p w14:paraId="3FAF1F2D" w14:textId="77777777" w:rsidR="00465A26" w:rsidRPr="00465A26" w:rsidRDefault="00465A26" w:rsidP="005D673A">
            <w:pPr>
              <w:pStyle w:val="Tabulasgalvenesrinda"/>
            </w:pPr>
            <w:r w:rsidRPr="00465A26">
              <w:t>2026</w:t>
            </w:r>
          </w:p>
        </w:tc>
      </w:tr>
      <w:tr w:rsidR="00A30215" w:rsidRPr="00465A26" w14:paraId="5EDB4309" w14:textId="77777777" w:rsidTr="00BB23B3">
        <w:trPr>
          <w:cantSplit/>
          <w:trHeight w:hRule="exact" w:val="454"/>
          <w:jc w:val="center"/>
        </w:trPr>
        <w:tc>
          <w:tcPr>
            <w:tcW w:w="3115" w:type="pct"/>
            <w:shd w:val="clear" w:color="auto" w:fill="auto"/>
            <w:vAlign w:val="center"/>
            <w:hideMark/>
          </w:tcPr>
          <w:p w14:paraId="41E5D77C" w14:textId="77777777" w:rsidR="00465A26" w:rsidRPr="00465A26" w:rsidRDefault="00465A26" w:rsidP="002A7324">
            <w:pPr>
              <w:pStyle w:val="Tabulasteksts"/>
              <w:ind w:left="0"/>
              <w:rPr>
                <w:szCs w:val="18"/>
              </w:rPr>
            </w:pPr>
            <w:r w:rsidRPr="00465A26">
              <w:rPr>
                <w:szCs w:val="18"/>
              </w:rPr>
              <w:t>Saskaņā ar likumu “Par valsts budžetu 2024. gadam un budžeta ietvaru 2024., 2025. un 2026. gadam”, milj.</w:t>
            </w:r>
            <w:r w:rsidRPr="00465A26">
              <w:rPr>
                <w:i/>
                <w:szCs w:val="18"/>
              </w:rPr>
              <w:t> euro</w:t>
            </w:r>
          </w:p>
        </w:tc>
        <w:tc>
          <w:tcPr>
            <w:tcW w:w="472" w:type="pct"/>
            <w:shd w:val="clear" w:color="auto" w:fill="auto"/>
            <w:noWrap/>
            <w:vAlign w:val="center"/>
          </w:tcPr>
          <w:p w14:paraId="29888B29" w14:textId="77777777" w:rsidR="00465A26" w:rsidRPr="00465A26" w:rsidRDefault="00465A26" w:rsidP="00BB23B3">
            <w:pPr>
              <w:pStyle w:val="Tabulascipari"/>
              <w:keepNext/>
              <w:keepLines/>
              <w:spacing w:after="0"/>
              <w:ind w:left="0"/>
              <w:jc w:val="center"/>
              <w:rPr>
                <w:szCs w:val="18"/>
              </w:rPr>
            </w:pPr>
            <w:r w:rsidRPr="00465A26">
              <w:rPr>
                <w:szCs w:val="18"/>
              </w:rPr>
              <w:t>3 930,7</w:t>
            </w:r>
            <w:r w:rsidRPr="00465A26">
              <w:rPr>
                <w:szCs w:val="18"/>
                <w:vertAlign w:val="superscript"/>
              </w:rPr>
              <w:t>1</w:t>
            </w:r>
          </w:p>
        </w:tc>
        <w:tc>
          <w:tcPr>
            <w:tcW w:w="472" w:type="pct"/>
            <w:shd w:val="clear" w:color="auto" w:fill="auto"/>
            <w:noWrap/>
            <w:vAlign w:val="center"/>
          </w:tcPr>
          <w:p w14:paraId="764F78EF" w14:textId="77777777" w:rsidR="00465A26" w:rsidRPr="00465A26" w:rsidRDefault="00465A26" w:rsidP="00BB23B3">
            <w:pPr>
              <w:pStyle w:val="Tabulascipari"/>
              <w:keepNext/>
              <w:keepLines/>
              <w:spacing w:after="0"/>
              <w:ind w:left="0"/>
              <w:jc w:val="center"/>
              <w:rPr>
                <w:szCs w:val="18"/>
              </w:rPr>
            </w:pPr>
            <w:r w:rsidRPr="00465A26">
              <w:rPr>
                <w:szCs w:val="18"/>
              </w:rPr>
              <w:t>4 110,8</w:t>
            </w:r>
          </w:p>
        </w:tc>
        <w:tc>
          <w:tcPr>
            <w:tcW w:w="471" w:type="pct"/>
            <w:shd w:val="clear" w:color="auto" w:fill="auto"/>
            <w:noWrap/>
            <w:vAlign w:val="center"/>
          </w:tcPr>
          <w:p w14:paraId="61DF6F3E" w14:textId="77777777" w:rsidR="00465A26" w:rsidRPr="00465A26" w:rsidRDefault="00465A26" w:rsidP="00BB23B3">
            <w:pPr>
              <w:pStyle w:val="Tabulascipari"/>
              <w:keepNext/>
              <w:keepLines/>
              <w:spacing w:after="0"/>
              <w:ind w:left="0"/>
              <w:jc w:val="center"/>
              <w:rPr>
                <w:szCs w:val="18"/>
              </w:rPr>
            </w:pPr>
            <w:r w:rsidRPr="00465A26">
              <w:rPr>
                <w:szCs w:val="18"/>
              </w:rPr>
              <w:t>4 369,4</w:t>
            </w:r>
          </w:p>
        </w:tc>
        <w:tc>
          <w:tcPr>
            <w:tcW w:w="470" w:type="pct"/>
            <w:vAlign w:val="center"/>
          </w:tcPr>
          <w:p w14:paraId="53BB98A1" w14:textId="77777777" w:rsidR="00465A26" w:rsidRPr="00465A26" w:rsidRDefault="00465A26" w:rsidP="00BB23B3">
            <w:pPr>
              <w:pStyle w:val="Tabulascipari"/>
              <w:keepNext/>
              <w:keepLines/>
              <w:spacing w:after="0"/>
              <w:ind w:left="0"/>
              <w:jc w:val="center"/>
              <w:rPr>
                <w:szCs w:val="18"/>
              </w:rPr>
            </w:pPr>
            <w:r w:rsidRPr="00465A26">
              <w:rPr>
                <w:szCs w:val="18"/>
              </w:rPr>
              <w:t>4 633,2</w:t>
            </w:r>
          </w:p>
        </w:tc>
      </w:tr>
      <w:tr w:rsidR="00A30215" w:rsidRPr="00465A26" w14:paraId="54D694E4" w14:textId="77777777" w:rsidTr="0034370C">
        <w:trPr>
          <w:cantSplit/>
          <w:trHeight w:hRule="exact" w:val="227"/>
          <w:jc w:val="center"/>
        </w:trPr>
        <w:tc>
          <w:tcPr>
            <w:tcW w:w="3115" w:type="pct"/>
            <w:shd w:val="clear" w:color="auto" w:fill="auto"/>
            <w:noWrap/>
            <w:vAlign w:val="center"/>
            <w:hideMark/>
          </w:tcPr>
          <w:p w14:paraId="1CA7955A" w14:textId="77777777" w:rsidR="00465A26" w:rsidRPr="00465A26" w:rsidRDefault="00465A26" w:rsidP="00465A26">
            <w:pPr>
              <w:pStyle w:val="Tabulasteksts"/>
              <w:rPr>
                <w:i/>
                <w:iCs/>
                <w:szCs w:val="18"/>
              </w:rPr>
            </w:pPr>
            <w:r w:rsidRPr="00465A26">
              <w:rPr>
                <w:i/>
                <w:iCs/>
                <w:szCs w:val="18"/>
              </w:rPr>
              <w:t>pret IKP, %</w:t>
            </w:r>
          </w:p>
        </w:tc>
        <w:tc>
          <w:tcPr>
            <w:tcW w:w="472" w:type="pct"/>
            <w:shd w:val="clear" w:color="auto" w:fill="auto"/>
            <w:noWrap/>
          </w:tcPr>
          <w:p w14:paraId="64195271" w14:textId="77777777" w:rsidR="00465A26" w:rsidRPr="00465A26" w:rsidRDefault="00465A26" w:rsidP="00476C92">
            <w:pPr>
              <w:pStyle w:val="Tabulascipari"/>
              <w:keepNext/>
              <w:keepLines/>
              <w:spacing w:after="0"/>
              <w:ind w:left="0"/>
              <w:rPr>
                <w:i/>
                <w:iCs/>
                <w:szCs w:val="18"/>
              </w:rPr>
            </w:pPr>
            <w:r w:rsidRPr="00465A26">
              <w:rPr>
                <w:i/>
                <w:iCs/>
                <w:szCs w:val="18"/>
              </w:rPr>
              <w:t>9,1</w:t>
            </w:r>
          </w:p>
        </w:tc>
        <w:tc>
          <w:tcPr>
            <w:tcW w:w="472" w:type="pct"/>
            <w:shd w:val="clear" w:color="auto" w:fill="auto"/>
            <w:noWrap/>
          </w:tcPr>
          <w:p w14:paraId="3A7CB475" w14:textId="77777777" w:rsidR="00465A26" w:rsidRPr="00465A26" w:rsidRDefault="00465A26" w:rsidP="00476C92">
            <w:pPr>
              <w:pStyle w:val="Tabulascipari"/>
              <w:keepNext/>
              <w:keepLines/>
              <w:spacing w:after="0"/>
              <w:ind w:left="0"/>
              <w:rPr>
                <w:i/>
                <w:iCs/>
                <w:szCs w:val="18"/>
              </w:rPr>
            </w:pPr>
            <w:r w:rsidRPr="00465A26">
              <w:rPr>
                <w:i/>
                <w:iCs/>
                <w:szCs w:val="18"/>
              </w:rPr>
              <w:t>9,0</w:t>
            </w:r>
          </w:p>
        </w:tc>
        <w:tc>
          <w:tcPr>
            <w:tcW w:w="471" w:type="pct"/>
            <w:shd w:val="clear" w:color="auto" w:fill="auto"/>
            <w:noWrap/>
          </w:tcPr>
          <w:p w14:paraId="5D23CC8F" w14:textId="77777777" w:rsidR="00465A26" w:rsidRPr="00465A26" w:rsidRDefault="00465A26" w:rsidP="00476C92">
            <w:pPr>
              <w:pStyle w:val="Tabulascipari"/>
              <w:keepNext/>
              <w:keepLines/>
              <w:spacing w:after="0"/>
              <w:ind w:left="0"/>
              <w:rPr>
                <w:i/>
                <w:iCs/>
                <w:szCs w:val="18"/>
              </w:rPr>
            </w:pPr>
            <w:r w:rsidRPr="00465A26">
              <w:rPr>
                <w:i/>
                <w:iCs/>
                <w:szCs w:val="18"/>
              </w:rPr>
              <w:t>9,0</w:t>
            </w:r>
          </w:p>
        </w:tc>
        <w:tc>
          <w:tcPr>
            <w:tcW w:w="470" w:type="pct"/>
          </w:tcPr>
          <w:p w14:paraId="416B84E8" w14:textId="77777777" w:rsidR="00465A26" w:rsidRPr="00465A26" w:rsidRDefault="00465A26" w:rsidP="00476C92">
            <w:pPr>
              <w:pStyle w:val="Tabulascipari"/>
              <w:keepNext/>
              <w:keepLines/>
              <w:spacing w:after="0"/>
              <w:ind w:left="0"/>
              <w:rPr>
                <w:i/>
                <w:iCs/>
                <w:szCs w:val="18"/>
              </w:rPr>
            </w:pPr>
            <w:r w:rsidRPr="00465A26">
              <w:rPr>
                <w:i/>
                <w:iCs/>
                <w:szCs w:val="18"/>
              </w:rPr>
              <w:t>9,1</w:t>
            </w:r>
          </w:p>
        </w:tc>
      </w:tr>
      <w:tr w:rsidR="00A30215" w:rsidRPr="00465A26" w14:paraId="21E48CC0" w14:textId="77777777" w:rsidTr="0034370C">
        <w:trPr>
          <w:cantSplit/>
          <w:trHeight w:hRule="exact" w:val="454"/>
          <w:jc w:val="center"/>
        </w:trPr>
        <w:tc>
          <w:tcPr>
            <w:tcW w:w="3115" w:type="pct"/>
            <w:shd w:val="clear" w:color="auto" w:fill="auto"/>
            <w:vAlign w:val="center"/>
            <w:hideMark/>
          </w:tcPr>
          <w:p w14:paraId="471ADC26" w14:textId="378F6584" w:rsidR="00465A26" w:rsidRPr="00465A26" w:rsidRDefault="00465A26" w:rsidP="00465A26">
            <w:pPr>
              <w:pStyle w:val="Tabulasteksts"/>
              <w:ind w:left="0"/>
              <w:rPr>
                <w:szCs w:val="18"/>
              </w:rPr>
            </w:pPr>
            <w:r w:rsidRPr="00465A26">
              <w:rPr>
                <w:szCs w:val="18"/>
              </w:rPr>
              <w:t>Salīdzinājumā ar likumu “Par valsts budžetu 2023. gadam un budžeta ietvaru 2023., 2024. un 2025. gadam”, milj. </w:t>
            </w:r>
            <w:r w:rsidRPr="00272F14">
              <w:rPr>
                <w:i/>
                <w:iCs/>
                <w:szCs w:val="18"/>
              </w:rPr>
              <w:t>euro</w:t>
            </w:r>
          </w:p>
        </w:tc>
        <w:tc>
          <w:tcPr>
            <w:tcW w:w="472" w:type="pct"/>
            <w:shd w:val="clear" w:color="auto" w:fill="auto"/>
            <w:noWrap/>
          </w:tcPr>
          <w:p w14:paraId="6C7C782A" w14:textId="77777777" w:rsidR="00465A26" w:rsidRPr="00465A26" w:rsidRDefault="00465A26" w:rsidP="00476C92">
            <w:pPr>
              <w:pStyle w:val="Tabulascipari"/>
              <w:keepNext/>
              <w:keepLines/>
              <w:spacing w:after="0"/>
              <w:ind w:left="0"/>
              <w:rPr>
                <w:i/>
                <w:iCs/>
                <w:szCs w:val="18"/>
              </w:rPr>
            </w:pPr>
            <w:r w:rsidRPr="00465A26">
              <w:rPr>
                <w:i/>
                <w:iCs/>
                <w:szCs w:val="18"/>
              </w:rPr>
              <w:t>+137,4</w:t>
            </w:r>
          </w:p>
        </w:tc>
        <w:tc>
          <w:tcPr>
            <w:tcW w:w="472" w:type="pct"/>
            <w:shd w:val="clear" w:color="auto" w:fill="auto"/>
            <w:noWrap/>
          </w:tcPr>
          <w:p w14:paraId="7E1AE5B4" w14:textId="77777777" w:rsidR="00465A26" w:rsidRPr="00465A26" w:rsidRDefault="00465A26" w:rsidP="00476C92">
            <w:pPr>
              <w:pStyle w:val="Tabulascipari"/>
              <w:keepNext/>
              <w:keepLines/>
              <w:spacing w:after="0"/>
              <w:ind w:left="0"/>
              <w:rPr>
                <w:i/>
                <w:iCs/>
                <w:szCs w:val="18"/>
              </w:rPr>
            </w:pPr>
            <w:r w:rsidRPr="00465A26">
              <w:rPr>
                <w:i/>
                <w:iCs/>
                <w:szCs w:val="18"/>
              </w:rPr>
              <w:t>+135,7</w:t>
            </w:r>
          </w:p>
        </w:tc>
        <w:tc>
          <w:tcPr>
            <w:tcW w:w="471" w:type="pct"/>
            <w:shd w:val="clear" w:color="auto" w:fill="auto"/>
            <w:noWrap/>
          </w:tcPr>
          <w:p w14:paraId="68EB33BB" w14:textId="77777777" w:rsidR="00465A26" w:rsidRPr="00465A26" w:rsidRDefault="00465A26" w:rsidP="00476C92">
            <w:pPr>
              <w:pStyle w:val="Tabulascipari"/>
              <w:keepNext/>
              <w:keepLines/>
              <w:spacing w:after="0"/>
              <w:ind w:left="0"/>
              <w:rPr>
                <w:i/>
                <w:iCs/>
                <w:szCs w:val="18"/>
              </w:rPr>
            </w:pPr>
            <w:r w:rsidRPr="00465A26">
              <w:rPr>
                <w:i/>
                <w:iCs/>
                <w:szCs w:val="18"/>
              </w:rPr>
              <w:t>+150,3</w:t>
            </w:r>
          </w:p>
        </w:tc>
        <w:tc>
          <w:tcPr>
            <w:tcW w:w="470" w:type="pct"/>
            <w:shd w:val="clear" w:color="auto" w:fill="auto"/>
          </w:tcPr>
          <w:p w14:paraId="222C8B31" w14:textId="77777777" w:rsidR="00465A26" w:rsidRPr="00465A26" w:rsidRDefault="00465A26" w:rsidP="00476C92">
            <w:pPr>
              <w:pStyle w:val="Tabulascipari"/>
              <w:keepNext/>
              <w:keepLines/>
              <w:spacing w:after="0"/>
              <w:ind w:left="0"/>
              <w:rPr>
                <w:i/>
                <w:iCs/>
                <w:szCs w:val="18"/>
              </w:rPr>
            </w:pPr>
            <w:r w:rsidRPr="00465A26">
              <w:rPr>
                <w:i/>
                <w:iCs/>
                <w:szCs w:val="18"/>
              </w:rPr>
              <w:t>—</w:t>
            </w:r>
          </w:p>
        </w:tc>
      </w:tr>
      <w:tr w:rsidR="00A30215" w:rsidRPr="00465A26" w14:paraId="6254682A" w14:textId="77777777" w:rsidTr="0034370C">
        <w:trPr>
          <w:cantSplit/>
          <w:trHeight w:hRule="exact" w:val="454"/>
          <w:jc w:val="center"/>
        </w:trPr>
        <w:tc>
          <w:tcPr>
            <w:tcW w:w="3115" w:type="pct"/>
            <w:shd w:val="clear" w:color="auto" w:fill="auto"/>
            <w:vAlign w:val="center"/>
            <w:hideMark/>
          </w:tcPr>
          <w:p w14:paraId="57F87332" w14:textId="2460FAF3" w:rsidR="00465A26" w:rsidRPr="00465A26" w:rsidRDefault="00465A26" w:rsidP="00465A26">
            <w:pPr>
              <w:pStyle w:val="Tabulasteksts"/>
              <w:ind w:left="0"/>
              <w:rPr>
                <w:szCs w:val="18"/>
              </w:rPr>
            </w:pPr>
            <w:r w:rsidRPr="00465A26">
              <w:rPr>
                <w:szCs w:val="18"/>
              </w:rPr>
              <w:t>Salīdzinājumā ar likumu “Par valsts budžetu 2023. gadam un budžeta ietvaru 2023., 2024. un 2025. gadam”, %</w:t>
            </w:r>
          </w:p>
        </w:tc>
        <w:tc>
          <w:tcPr>
            <w:tcW w:w="472" w:type="pct"/>
            <w:shd w:val="clear" w:color="auto" w:fill="auto"/>
            <w:noWrap/>
          </w:tcPr>
          <w:p w14:paraId="71683002" w14:textId="77777777" w:rsidR="00465A26" w:rsidRPr="00465A26" w:rsidRDefault="00465A26" w:rsidP="00476C92">
            <w:pPr>
              <w:pStyle w:val="Tabulascipari"/>
              <w:keepNext/>
              <w:keepLines/>
              <w:spacing w:after="0"/>
              <w:ind w:left="0"/>
              <w:rPr>
                <w:i/>
                <w:iCs/>
                <w:szCs w:val="18"/>
              </w:rPr>
            </w:pPr>
            <w:r w:rsidRPr="00465A26">
              <w:rPr>
                <w:i/>
                <w:iCs/>
                <w:szCs w:val="18"/>
              </w:rPr>
              <w:t>+3,6</w:t>
            </w:r>
          </w:p>
        </w:tc>
        <w:tc>
          <w:tcPr>
            <w:tcW w:w="472" w:type="pct"/>
            <w:shd w:val="clear" w:color="auto" w:fill="auto"/>
            <w:noWrap/>
          </w:tcPr>
          <w:p w14:paraId="4506BDAE" w14:textId="77777777" w:rsidR="00465A26" w:rsidRPr="00465A26" w:rsidRDefault="00465A26" w:rsidP="00476C92">
            <w:pPr>
              <w:pStyle w:val="Tabulascipari"/>
              <w:keepNext/>
              <w:keepLines/>
              <w:spacing w:after="0"/>
              <w:ind w:left="0"/>
              <w:rPr>
                <w:i/>
                <w:iCs/>
                <w:szCs w:val="18"/>
              </w:rPr>
            </w:pPr>
            <w:r w:rsidRPr="00465A26">
              <w:rPr>
                <w:i/>
                <w:iCs/>
                <w:szCs w:val="18"/>
              </w:rPr>
              <w:t>+3,4</w:t>
            </w:r>
          </w:p>
        </w:tc>
        <w:tc>
          <w:tcPr>
            <w:tcW w:w="471" w:type="pct"/>
            <w:shd w:val="clear" w:color="auto" w:fill="auto"/>
            <w:noWrap/>
          </w:tcPr>
          <w:p w14:paraId="2EA786EA" w14:textId="77777777" w:rsidR="00465A26" w:rsidRPr="00465A26" w:rsidRDefault="00465A26" w:rsidP="00476C92">
            <w:pPr>
              <w:pStyle w:val="Tabulascipari"/>
              <w:keepNext/>
              <w:keepLines/>
              <w:spacing w:after="0"/>
              <w:ind w:left="0"/>
              <w:rPr>
                <w:i/>
                <w:iCs/>
                <w:szCs w:val="18"/>
              </w:rPr>
            </w:pPr>
            <w:r w:rsidRPr="00465A26">
              <w:rPr>
                <w:i/>
                <w:iCs/>
                <w:szCs w:val="18"/>
              </w:rPr>
              <w:t>+3,6</w:t>
            </w:r>
          </w:p>
        </w:tc>
        <w:tc>
          <w:tcPr>
            <w:tcW w:w="470" w:type="pct"/>
            <w:shd w:val="clear" w:color="auto" w:fill="auto"/>
          </w:tcPr>
          <w:p w14:paraId="6BEF9C84" w14:textId="77777777" w:rsidR="00465A26" w:rsidRPr="00465A26" w:rsidRDefault="00465A26" w:rsidP="00476C92">
            <w:pPr>
              <w:pStyle w:val="Tabulascipari"/>
              <w:keepNext/>
              <w:keepLines/>
              <w:spacing w:after="0"/>
              <w:ind w:left="0"/>
              <w:rPr>
                <w:i/>
                <w:iCs/>
                <w:szCs w:val="18"/>
              </w:rPr>
            </w:pPr>
            <w:r w:rsidRPr="00465A26">
              <w:rPr>
                <w:i/>
                <w:iCs/>
                <w:szCs w:val="18"/>
              </w:rPr>
              <w:t>—</w:t>
            </w:r>
          </w:p>
        </w:tc>
      </w:tr>
    </w:tbl>
    <w:p w14:paraId="5B2D08F8" w14:textId="77777777" w:rsidR="00465A26" w:rsidRPr="00465A26" w:rsidRDefault="00465A26" w:rsidP="00465A26">
      <w:pPr>
        <w:pStyle w:val="Piezme"/>
      </w:pPr>
      <w:r w:rsidRPr="00465A26">
        <w:rPr>
          <w:vertAlign w:val="superscript"/>
        </w:rPr>
        <w:t>1</w:t>
      </w:r>
      <w:r w:rsidRPr="00465A26">
        <w:t> Prognoze</w:t>
      </w:r>
    </w:p>
    <w:p w14:paraId="54A03561" w14:textId="77777777" w:rsidR="007E409E" w:rsidRPr="00272F14" w:rsidRDefault="007E409E" w:rsidP="0097121F">
      <w:pPr>
        <w:keepNext/>
        <w:keepLines/>
        <w:spacing w:before="240" w:after="240"/>
        <w:ind w:firstLine="0"/>
        <w:jc w:val="center"/>
        <w:outlineLvl w:val="3"/>
        <w:rPr>
          <w:rFonts w:eastAsia="Times New Roman" w:cs="Times New Roman"/>
          <w:b/>
          <w:sz w:val="28"/>
          <w:lang w:eastAsia="en-US"/>
        </w:rPr>
      </w:pPr>
      <w:r w:rsidRPr="00272F14">
        <w:rPr>
          <w:rFonts w:eastAsia="Times New Roman" w:cs="Times New Roman"/>
          <w:b/>
          <w:sz w:val="28"/>
          <w:lang w:eastAsia="en-US"/>
        </w:rPr>
        <w:t>Akcīzes nodoklis</w:t>
      </w:r>
      <w:bookmarkEnd w:id="89"/>
    </w:p>
    <w:p w14:paraId="289BCE71" w14:textId="77777777" w:rsidR="0049688E" w:rsidRPr="002C60EE" w:rsidRDefault="0049688E" w:rsidP="0049688E">
      <w:pPr>
        <w:rPr>
          <w:rFonts w:eastAsia="Calibri" w:cs="Times New Roman"/>
          <w:szCs w:val="24"/>
        </w:rPr>
      </w:pPr>
      <w:bookmarkStart w:id="91" w:name="_Toc150840178"/>
      <w:bookmarkStart w:id="92" w:name="_Toc150941368"/>
      <w:bookmarkStart w:id="93" w:name="_Toc150840180"/>
      <w:bookmarkStart w:id="94" w:name="_Toc150941370"/>
      <w:bookmarkStart w:id="95" w:name="_Toc84756427"/>
      <w:bookmarkEnd w:id="90"/>
      <w:r w:rsidRPr="002C60EE">
        <w:rPr>
          <w:rFonts w:eastAsia="Calibri" w:cs="Times New Roman"/>
          <w:szCs w:val="24"/>
        </w:rPr>
        <w:t>2023.</w:t>
      </w:r>
      <w:r>
        <w:rPr>
          <w:rFonts w:eastAsia="Calibri" w:cs="Times New Roman"/>
          <w:szCs w:val="24"/>
        </w:rPr>
        <w:t> </w:t>
      </w:r>
      <w:r w:rsidRPr="002C60EE">
        <w:rPr>
          <w:rFonts w:eastAsia="Calibri" w:cs="Times New Roman"/>
          <w:szCs w:val="24"/>
        </w:rPr>
        <w:t>gada 1.</w:t>
      </w:r>
      <w:r>
        <w:rPr>
          <w:rFonts w:eastAsia="Calibri" w:cs="Times New Roman"/>
          <w:szCs w:val="24"/>
        </w:rPr>
        <w:t> </w:t>
      </w:r>
      <w:r w:rsidRPr="002C60EE">
        <w:rPr>
          <w:rFonts w:eastAsia="Calibri" w:cs="Times New Roman"/>
          <w:szCs w:val="24"/>
        </w:rPr>
        <w:t>pusgadā kopējie akcīzes nodokļa ieņēmumi bija 572,5</w:t>
      </w:r>
      <w:r>
        <w:rPr>
          <w:rFonts w:eastAsia="Calibri" w:cs="Times New Roman"/>
          <w:szCs w:val="24"/>
        </w:rPr>
        <w:t> </w:t>
      </w:r>
      <w:r w:rsidRPr="002C60EE">
        <w:rPr>
          <w:rFonts w:eastAsia="Calibri" w:cs="Times New Roman"/>
          <w:szCs w:val="24"/>
        </w:rPr>
        <w:t>milj.</w:t>
      </w:r>
      <w:r>
        <w:rPr>
          <w:rFonts w:eastAsia="Calibri" w:cs="Times New Roman"/>
          <w:szCs w:val="24"/>
        </w:rPr>
        <w:t> </w:t>
      </w:r>
      <w:proofErr w:type="spellStart"/>
      <w:r w:rsidRPr="00770C40">
        <w:rPr>
          <w:rFonts w:eastAsia="Calibri" w:cs="Times New Roman"/>
          <w:i/>
          <w:szCs w:val="24"/>
        </w:rPr>
        <w:t>euro</w:t>
      </w:r>
      <w:proofErr w:type="spellEnd"/>
      <w:r w:rsidRPr="002C60EE">
        <w:rPr>
          <w:rFonts w:eastAsia="Calibri" w:cs="Times New Roman"/>
          <w:szCs w:val="24"/>
        </w:rPr>
        <w:t>. Salīdzinājumā ar 2022.</w:t>
      </w:r>
      <w:r>
        <w:rPr>
          <w:rFonts w:eastAsia="Calibri" w:cs="Times New Roman"/>
          <w:szCs w:val="24"/>
        </w:rPr>
        <w:t> </w:t>
      </w:r>
      <w:r w:rsidRPr="002C60EE">
        <w:rPr>
          <w:rFonts w:eastAsia="Calibri" w:cs="Times New Roman"/>
          <w:szCs w:val="24"/>
        </w:rPr>
        <w:t>gada 1.</w:t>
      </w:r>
      <w:r>
        <w:rPr>
          <w:rFonts w:eastAsia="Calibri" w:cs="Times New Roman"/>
          <w:szCs w:val="24"/>
        </w:rPr>
        <w:t> </w:t>
      </w:r>
      <w:r w:rsidRPr="002C60EE">
        <w:rPr>
          <w:rFonts w:eastAsia="Calibri" w:cs="Times New Roman"/>
          <w:szCs w:val="24"/>
        </w:rPr>
        <w:t>pusgadu akcīzes nodokļa ieņēmumi palielinājās par 25,4</w:t>
      </w:r>
      <w:r>
        <w:rPr>
          <w:rFonts w:eastAsia="Calibri" w:cs="Times New Roman"/>
          <w:szCs w:val="24"/>
        </w:rPr>
        <w:t> </w:t>
      </w:r>
      <w:r w:rsidRPr="002C60EE">
        <w:rPr>
          <w:rFonts w:eastAsia="Calibri" w:cs="Times New Roman"/>
          <w:szCs w:val="24"/>
        </w:rPr>
        <w:t>milj.</w:t>
      </w:r>
      <w:r>
        <w:rPr>
          <w:rFonts w:eastAsia="Calibri" w:cs="Times New Roman"/>
          <w:szCs w:val="24"/>
        </w:rPr>
        <w:t> </w:t>
      </w:r>
      <w:proofErr w:type="spellStart"/>
      <w:r w:rsidRPr="00770C40">
        <w:rPr>
          <w:rFonts w:eastAsia="Calibri" w:cs="Times New Roman"/>
          <w:i/>
          <w:szCs w:val="24"/>
        </w:rPr>
        <w:t>euro</w:t>
      </w:r>
      <w:proofErr w:type="spellEnd"/>
      <w:r w:rsidRPr="002C60EE">
        <w:rPr>
          <w:rFonts w:eastAsia="Calibri" w:cs="Times New Roman"/>
          <w:szCs w:val="24"/>
        </w:rPr>
        <w:t xml:space="preserve"> jeb 4,6</w:t>
      </w:r>
      <w:r>
        <w:rPr>
          <w:rFonts w:eastAsia="Calibri" w:cs="Times New Roman"/>
          <w:szCs w:val="24"/>
        </w:rPr>
        <w:t> </w:t>
      </w:r>
      <w:r w:rsidRPr="002C60EE">
        <w:rPr>
          <w:rFonts w:eastAsia="Calibri" w:cs="Times New Roman"/>
          <w:szCs w:val="24"/>
        </w:rPr>
        <w:t>%, savukārt, salīdzinot ar plānoto, tika iekasēts par 14,6</w:t>
      </w:r>
      <w:r>
        <w:rPr>
          <w:rFonts w:eastAsia="Calibri" w:cs="Times New Roman"/>
          <w:szCs w:val="24"/>
        </w:rPr>
        <w:t> </w:t>
      </w:r>
      <w:r w:rsidRPr="002C60EE">
        <w:rPr>
          <w:rFonts w:eastAsia="Calibri" w:cs="Times New Roman"/>
          <w:szCs w:val="24"/>
        </w:rPr>
        <w:t>milj.</w:t>
      </w:r>
      <w:r>
        <w:rPr>
          <w:rFonts w:eastAsia="Calibri" w:cs="Times New Roman"/>
          <w:szCs w:val="24"/>
        </w:rPr>
        <w:t> </w:t>
      </w:r>
      <w:proofErr w:type="spellStart"/>
      <w:r w:rsidRPr="00770C40">
        <w:rPr>
          <w:rFonts w:eastAsia="Calibri" w:cs="Times New Roman"/>
          <w:i/>
          <w:szCs w:val="24"/>
        </w:rPr>
        <w:t>euro</w:t>
      </w:r>
      <w:proofErr w:type="spellEnd"/>
      <w:r w:rsidRPr="002C60EE">
        <w:rPr>
          <w:rFonts w:eastAsia="Calibri" w:cs="Times New Roman"/>
          <w:szCs w:val="24"/>
        </w:rPr>
        <w:t xml:space="preserve"> jeb 2,6</w:t>
      </w:r>
      <w:r>
        <w:rPr>
          <w:rFonts w:eastAsia="Calibri" w:cs="Times New Roman"/>
          <w:szCs w:val="24"/>
        </w:rPr>
        <w:t> </w:t>
      </w:r>
      <w:r w:rsidRPr="002C60EE">
        <w:rPr>
          <w:rFonts w:eastAsia="Calibri" w:cs="Times New Roman"/>
          <w:szCs w:val="24"/>
        </w:rPr>
        <w:t xml:space="preserve">% vairāk, ko noteica akcīzes nodokļa plāna </w:t>
      </w:r>
      <w:proofErr w:type="spellStart"/>
      <w:r w:rsidRPr="002C60EE">
        <w:rPr>
          <w:rFonts w:eastAsia="Calibri" w:cs="Times New Roman"/>
          <w:szCs w:val="24"/>
        </w:rPr>
        <w:t>pārpilde</w:t>
      </w:r>
      <w:proofErr w:type="spellEnd"/>
      <w:r w:rsidRPr="002C60EE">
        <w:rPr>
          <w:rFonts w:eastAsia="Calibri" w:cs="Times New Roman"/>
          <w:szCs w:val="24"/>
        </w:rPr>
        <w:t xml:space="preserve"> naftas produktiem (13,1</w:t>
      </w:r>
      <w:r>
        <w:rPr>
          <w:rFonts w:eastAsia="Calibri" w:cs="Times New Roman"/>
          <w:szCs w:val="24"/>
        </w:rPr>
        <w:t> </w:t>
      </w:r>
      <w:r w:rsidRPr="002C60EE">
        <w:rPr>
          <w:rFonts w:eastAsia="Calibri" w:cs="Times New Roman"/>
          <w:szCs w:val="24"/>
        </w:rPr>
        <w:t>milj.</w:t>
      </w:r>
      <w:r>
        <w:rPr>
          <w:rFonts w:eastAsia="Calibri" w:cs="Times New Roman"/>
          <w:szCs w:val="24"/>
        </w:rPr>
        <w:t> </w:t>
      </w:r>
      <w:proofErr w:type="spellStart"/>
      <w:r w:rsidRPr="00770C40">
        <w:rPr>
          <w:rFonts w:eastAsia="Calibri" w:cs="Times New Roman"/>
          <w:i/>
          <w:szCs w:val="24"/>
        </w:rPr>
        <w:t>euro</w:t>
      </w:r>
      <w:proofErr w:type="spellEnd"/>
      <w:r w:rsidRPr="002C60EE">
        <w:rPr>
          <w:rFonts w:eastAsia="Calibri" w:cs="Times New Roman"/>
          <w:szCs w:val="24"/>
        </w:rPr>
        <w:t xml:space="preserve"> jeb 4,6</w:t>
      </w:r>
      <w:r>
        <w:rPr>
          <w:rFonts w:eastAsia="Calibri" w:cs="Times New Roman"/>
          <w:szCs w:val="24"/>
        </w:rPr>
        <w:t> </w:t>
      </w:r>
      <w:r w:rsidRPr="002C60EE">
        <w:rPr>
          <w:rFonts w:eastAsia="Calibri" w:cs="Times New Roman"/>
          <w:szCs w:val="24"/>
        </w:rPr>
        <w:t>%) un tabakas izstrādājumiem (3,2</w:t>
      </w:r>
      <w:r>
        <w:rPr>
          <w:rFonts w:eastAsia="Calibri" w:cs="Times New Roman"/>
          <w:szCs w:val="24"/>
        </w:rPr>
        <w:t> </w:t>
      </w:r>
      <w:r w:rsidRPr="002C60EE">
        <w:rPr>
          <w:rFonts w:eastAsia="Calibri" w:cs="Times New Roman"/>
          <w:szCs w:val="24"/>
        </w:rPr>
        <w:t>milj.</w:t>
      </w:r>
      <w:r>
        <w:rPr>
          <w:rFonts w:eastAsia="Calibri" w:cs="Times New Roman"/>
          <w:szCs w:val="24"/>
        </w:rPr>
        <w:t> </w:t>
      </w:r>
      <w:proofErr w:type="spellStart"/>
      <w:r w:rsidRPr="00770C40">
        <w:rPr>
          <w:rFonts w:eastAsia="Calibri" w:cs="Times New Roman"/>
          <w:i/>
          <w:szCs w:val="24"/>
        </w:rPr>
        <w:t>euro</w:t>
      </w:r>
      <w:proofErr w:type="spellEnd"/>
      <w:r w:rsidRPr="002C60EE">
        <w:rPr>
          <w:rFonts w:eastAsia="Calibri" w:cs="Times New Roman"/>
          <w:szCs w:val="24"/>
        </w:rPr>
        <w:t xml:space="preserve"> jeb 2,5</w:t>
      </w:r>
      <w:r>
        <w:rPr>
          <w:rFonts w:eastAsia="Calibri" w:cs="Times New Roman"/>
          <w:szCs w:val="24"/>
        </w:rPr>
        <w:t> </w:t>
      </w:r>
      <w:r w:rsidRPr="002C60EE">
        <w:rPr>
          <w:rFonts w:eastAsia="Calibri" w:cs="Times New Roman"/>
          <w:szCs w:val="24"/>
        </w:rPr>
        <w:t>%).</w:t>
      </w:r>
    </w:p>
    <w:p w14:paraId="7C4B8197" w14:textId="77777777" w:rsidR="0049688E" w:rsidRPr="002C60EE" w:rsidRDefault="0049688E" w:rsidP="0049688E">
      <w:pPr>
        <w:rPr>
          <w:rFonts w:eastAsia="Calibri" w:cs="Times New Roman"/>
          <w:szCs w:val="24"/>
        </w:rPr>
      </w:pPr>
      <w:r w:rsidRPr="002C60EE">
        <w:rPr>
          <w:rFonts w:eastAsia="Calibri" w:cs="Times New Roman"/>
          <w:szCs w:val="24"/>
        </w:rPr>
        <w:t>Sagatavojot 2024.–2026.</w:t>
      </w:r>
      <w:r>
        <w:rPr>
          <w:rFonts w:eastAsia="Calibri" w:cs="Times New Roman"/>
          <w:szCs w:val="24"/>
        </w:rPr>
        <w:t> </w:t>
      </w:r>
      <w:r w:rsidRPr="002C60EE">
        <w:rPr>
          <w:rFonts w:eastAsia="Calibri" w:cs="Times New Roman"/>
          <w:szCs w:val="24"/>
        </w:rPr>
        <w:t>gada akcīzes nodokļa ieņēmumu prognozes, tika ņemts vērā prognozētais IKP, darba samaksas un privātā patēriņa pieauguma temps, sagaidāmā 2023.</w:t>
      </w:r>
      <w:r>
        <w:rPr>
          <w:rFonts w:eastAsia="Calibri" w:cs="Times New Roman"/>
          <w:szCs w:val="24"/>
        </w:rPr>
        <w:t> </w:t>
      </w:r>
      <w:r w:rsidRPr="002C60EE">
        <w:rPr>
          <w:rFonts w:eastAsia="Calibri" w:cs="Times New Roman"/>
          <w:szCs w:val="24"/>
        </w:rPr>
        <w:t>gada izpilde, plānotie grozījumi normatīvajos aktos (skat. 3.1.</w:t>
      </w:r>
      <w:r>
        <w:rPr>
          <w:rFonts w:eastAsia="Calibri" w:cs="Times New Roman"/>
          <w:szCs w:val="24"/>
        </w:rPr>
        <w:t> </w:t>
      </w:r>
      <w:r w:rsidRPr="002C60EE">
        <w:rPr>
          <w:rFonts w:eastAsia="Calibri" w:cs="Times New Roman"/>
          <w:szCs w:val="24"/>
        </w:rPr>
        <w:t>sadaļu), piešķirtie termiņu pagarinājumi, kā arī akcīzes nodokļa politika Baltijas valstīs un prognozētā akcīzes preču patēriņa dinamika.</w:t>
      </w:r>
    </w:p>
    <w:p w14:paraId="77B77510" w14:textId="77777777" w:rsidR="0049688E" w:rsidRPr="008B4A04" w:rsidRDefault="0049688E" w:rsidP="0049688E">
      <w:pPr>
        <w:rPr>
          <w:rFonts w:eastAsia="Calibri" w:cs="Times New Roman"/>
          <w:szCs w:val="24"/>
          <w:highlight w:val="yellow"/>
        </w:rPr>
      </w:pPr>
      <w:r w:rsidRPr="002C60EE">
        <w:rPr>
          <w:rFonts w:eastAsia="Calibri" w:cs="Times New Roman"/>
          <w:szCs w:val="24"/>
        </w:rPr>
        <w:t>Saskaņā ar likumprojektu “Par valsts budžetu 2024.</w:t>
      </w:r>
      <w:r>
        <w:rPr>
          <w:rFonts w:eastAsia="Calibri" w:cs="Times New Roman"/>
          <w:szCs w:val="24"/>
        </w:rPr>
        <w:t> </w:t>
      </w:r>
      <w:r w:rsidRPr="002C60EE">
        <w:rPr>
          <w:rFonts w:eastAsia="Calibri" w:cs="Times New Roman"/>
          <w:szCs w:val="24"/>
        </w:rPr>
        <w:t>gadam un budžeta ietvaru 2024., 2025. un 2026.</w:t>
      </w:r>
      <w:r>
        <w:rPr>
          <w:rFonts w:eastAsia="Calibri" w:cs="Times New Roman"/>
          <w:szCs w:val="24"/>
        </w:rPr>
        <w:t> </w:t>
      </w:r>
      <w:r w:rsidRPr="002C60EE">
        <w:rPr>
          <w:rFonts w:eastAsia="Calibri" w:cs="Times New Roman"/>
          <w:szCs w:val="24"/>
        </w:rPr>
        <w:t>gadam” kopējie akcīzes nodokļa ieņēmumi 2024.</w:t>
      </w:r>
      <w:r>
        <w:rPr>
          <w:rFonts w:eastAsia="Calibri" w:cs="Times New Roman"/>
          <w:szCs w:val="24"/>
        </w:rPr>
        <w:t> </w:t>
      </w:r>
      <w:r w:rsidRPr="002C60EE">
        <w:rPr>
          <w:rFonts w:eastAsia="Calibri" w:cs="Times New Roman"/>
          <w:szCs w:val="24"/>
        </w:rPr>
        <w:t>gadā tiek plānoti 1</w:t>
      </w:r>
      <w:r>
        <w:rPr>
          <w:rFonts w:eastAsia="Calibri" w:cs="Times New Roman"/>
          <w:szCs w:val="24"/>
        </w:rPr>
        <w:t> </w:t>
      </w:r>
      <w:r w:rsidRPr="002C60EE">
        <w:rPr>
          <w:rFonts w:eastAsia="Calibri" w:cs="Times New Roman"/>
          <w:szCs w:val="24"/>
        </w:rPr>
        <w:t>246,6</w:t>
      </w:r>
      <w:r>
        <w:rPr>
          <w:rFonts w:eastAsia="Calibri" w:cs="Times New Roman"/>
          <w:szCs w:val="24"/>
        </w:rPr>
        <w:t> </w:t>
      </w:r>
      <w:r w:rsidRPr="002C60EE">
        <w:rPr>
          <w:rFonts w:eastAsia="Calibri" w:cs="Times New Roman"/>
          <w:szCs w:val="24"/>
        </w:rPr>
        <w:t>milj.</w:t>
      </w:r>
      <w:r>
        <w:rPr>
          <w:rFonts w:eastAsia="Calibri" w:cs="Times New Roman"/>
          <w:szCs w:val="24"/>
        </w:rPr>
        <w:t> </w:t>
      </w:r>
      <w:proofErr w:type="spellStart"/>
      <w:r w:rsidRPr="00770C40">
        <w:rPr>
          <w:rFonts w:eastAsia="Calibri" w:cs="Times New Roman"/>
          <w:i/>
          <w:szCs w:val="24"/>
        </w:rPr>
        <w:t>euro</w:t>
      </w:r>
      <w:proofErr w:type="spellEnd"/>
      <w:r w:rsidRPr="002C60EE">
        <w:rPr>
          <w:rFonts w:eastAsia="Calibri" w:cs="Times New Roman"/>
          <w:szCs w:val="24"/>
        </w:rPr>
        <w:t>, 2025.</w:t>
      </w:r>
      <w:r>
        <w:rPr>
          <w:rFonts w:eastAsia="Calibri" w:cs="Times New Roman"/>
          <w:szCs w:val="24"/>
        </w:rPr>
        <w:t> </w:t>
      </w:r>
      <w:r w:rsidRPr="002C60EE">
        <w:rPr>
          <w:rFonts w:eastAsia="Calibri" w:cs="Times New Roman"/>
          <w:szCs w:val="24"/>
        </w:rPr>
        <w:t>gadā 1</w:t>
      </w:r>
      <w:r>
        <w:rPr>
          <w:rFonts w:eastAsia="Calibri" w:cs="Times New Roman"/>
          <w:szCs w:val="24"/>
        </w:rPr>
        <w:t> </w:t>
      </w:r>
      <w:r w:rsidRPr="002C60EE">
        <w:rPr>
          <w:rFonts w:eastAsia="Calibri" w:cs="Times New Roman"/>
          <w:szCs w:val="24"/>
        </w:rPr>
        <w:t>317,1</w:t>
      </w:r>
      <w:r>
        <w:rPr>
          <w:rFonts w:eastAsia="Calibri" w:cs="Times New Roman"/>
          <w:szCs w:val="24"/>
        </w:rPr>
        <w:t> </w:t>
      </w:r>
      <w:r w:rsidRPr="002C60EE">
        <w:rPr>
          <w:rFonts w:eastAsia="Calibri" w:cs="Times New Roman"/>
          <w:szCs w:val="24"/>
        </w:rPr>
        <w:t>milj.</w:t>
      </w:r>
      <w:r>
        <w:rPr>
          <w:rFonts w:eastAsia="Calibri" w:cs="Times New Roman"/>
          <w:szCs w:val="24"/>
        </w:rPr>
        <w:t> </w:t>
      </w:r>
      <w:proofErr w:type="spellStart"/>
      <w:r w:rsidRPr="00770C40">
        <w:rPr>
          <w:rFonts w:eastAsia="Calibri" w:cs="Times New Roman"/>
          <w:i/>
          <w:szCs w:val="24"/>
        </w:rPr>
        <w:t>euro</w:t>
      </w:r>
      <w:proofErr w:type="spellEnd"/>
      <w:r w:rsidRPr="002C60EE">
        <w:rPr>
          <w:rFonts w:eastAsia="Calibri" w:cs="Times New Roman"/>
          <w:szCs w:val="24"/>
        </w:rPr>
        <w:t>, bet 2026.</w:t>
      </w:r>
      <w:r>
        <w:rPr>
          <w:rFonts w:eastAsia="Calibri" w:cs="Times New Roman"/>
          <w:szCs w:val="24"/>
        </w:rPr>
        <w:t> </w:t>
      </w:r>
      <w:r w:rsidRPr="002C60EE">
        <w:rPr>
          <w:rFonts w:eastAsia="Calibri" w:cs="Times New Roman"/>
          <w:szCs w:val="24"/>
        </w:rPr>
        <w:t>gadā 1</w:t>
      </w:r>
      <w:r>
        <w:rPr>
          <w:rFonts w:eastAsia="Calibri" w:cs="Times New Roman"/>
          <w:szCs w:val="24"/>
        </w:rPr>
        <w:t> </w:t>
      </w:r>
      <w:r w:rsidRPr="002C60EE">
        <w:rPr>
          <w:rFonts w:eastAsia="Calibri" w:cs="Times New Roman"/>
          <w:szCs w:val="24"/>
        </w:rPr>
        <w:t>389,0</w:t>
      </w:r>
      <w:r>
        <w:rPr>
          <w:rFonts w:eastAsia="Calibri" w:cs="Times New Roman"/>
          <w:szCs w:val="24"/>
        </w:rPr>
        <w:t> </w:t>
      </w:r>
      <w:r w:rsidRPr="002C60EE">
        <w:rPr>
          <w:rFonts w:eastAsia="Calibri" w:cs="Times New Roman"/>
          <w:szCs w:val="24"/>
        </w:rPr>
        <w:t>milj.</w:t>
      </w:r>
      <w:r>
        <w:rPr>
          <w:rFonts w:eastAsia="Calibri" w:cs="Times New Roman"/>
          <w:szCs w:val="24"/>
        </w:rPr>
        <w:t> </w:t>
      </w:r>
      <w:proofErr w:type="spellStart"/>
      <w:r w:rsidRPr="00770C40">
        <w:rPr>
          <w:rFonts w:eastAsia="Calibri" w:cs="Times New Roman"/>
          <w:i/>
          <w:szCs w:val="24"/>
        </w:rPr>
        <w:t>euro</w:t>
      </w:r>
      <w:proofErr w:type="spellEnd"/>
      <w:r w:rsidRPr="002C60EE">
        <w:rPr>
          <w:rFonts w:eastAsia="Calibri" w:cs="Times New Roman"/>
          <w:szCs w:val="24"/>
        </w:rPr>
        <w:t xml:space="preserve"> apmērā (</w:t>
      </w:r>
      <w:r w:rsidRPr="00855A27">
        <w:rPr>
          <w:rFonts w:eastAsia="Calibri" w:cs="Times New Roman"/>
          <w:szCs w:val="24"/>
        </w:rPr>
        <w:t>skat. 3.11.</w:t>
      </w:r>
      <w:r>
        <w:rPr>
          <w:rFonts w:eastAsia="Calibri" w:cs="Times New Roman"/>
          <w:szCs w:val="24"/>
        </w:rPr>
        <w:t> </w:t>
      </w:r>
      <w:r w:rsidRPr="00855A27">
        <w:rPr>
          <w:rFonts w:eastAsia="Calibri" w:cs="Times New Roman"/>
          <w:szCs w:val="24"/>
        </w:rPr>
        <w:t>tabulu</w:t>
      </w:r>
      <w:r w:rsidRPr="002C60EE">
        <w:rPr>
          <w:rFonts w:eastAsia="Calibri" w:cs="Times New Roman"/>
          <w:szCs w:val="24"/>
        </w:rPr>
        <w:t>).</w:t>
      </w:r>
    </w:p>
    <w:p w14:paraId="6B00FF61" w14:textId="77777777" w:rsidR="00465A26" w:rsidRPr="004A3BF6" w:rsidRDefault="00465A26" w:rsidP="00465A26">
      <w:pPr>
        <w:pStyle w:val="Tabulasnosaukums"/>
      </w:pPr>
      <w:r w:rsidRPr="00855A27">
        <w:t>3.11. tabula</w:t>
      </w:r>
      <w:r w:rsidRPr="004A3BF6">
        <w:t>. Akcīzes nodokļa ieņēmumi</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56"/>
        <w:gridCol w:w="851"/>
        <w:gridCol w:w="851"/>
        <w:gridCol w:w="851"/>
        <w:gridCol w:w="847"/>
      </w:tblGrid>
      <w:tr w:rsidR="00A30215" w:rsidRPr="00465A26" w14:paraId="25221CA8" w14:textId="77777777" w:rsidTr="00A30215">
        <w:trPr>
          <w:cantSplit/>
          <w:trHeight w:hRule="exact" w:val="227"/>
          <w:jc w:val="center"/>
        </w:trPr>
        <w:tc>
          <w:tcPr>
            <w:tcW w:w="3102" w:type="pct"/>
            <w:shd w:val="clear" w:color="auto" w:fill="8EAADB"/>
            <w:vAlign w:val="center"/>
          </w:tcPr>
          <w:p w14:paraId="20520CAC" w14:textId="77777777" w:rsidR="00465A26" w:rsidRPr="00465A26" w:rsidRDefault="00465A26" w:rsidP="005D673A">
            <w:pPr>
              <w:pStyle w:val="Tabulasgalvenesrinda"/>
              <w:rPr>
                <w:highlight w:val="yellow"/>
              </w:rPr>
            </w:pPr>
          </w:p>
        </w:tc>
        <w:tc>
          <w:tcPr>
            <w:tcW w:w="475" w:type="pct"/>
            <w:shd w:val="clear" w:color="auto" w:fill="8EAADB"/>
            <w:vAlign w:val="center"/>
          </w:tcPr>
          <w:p w14:paraId="06BCF3A3" w14:textId="77777777" w:rsidR="00465A26" w:rsidRPr="00465A26" w:rsidRDefault="00465A26" w:rsidP="005D673A">
            <w:pPr>
              <w:pStyle w:val="Tabulasgalvenesrinda"/>
              <w:rPr>
                <w:highlight w:val="yellow"/>
              </w:rPr>
            </w:pPr>
            <w:r w:rsidRPr="00465A26">
              <w:t>2023</w:t>
            </w:r>
          </w:p>
        </w:tc>
        <w:tc>
          <w:tcPr>
            <w:tcW w:w="475" w:type="pct"/>
            <w:shd w:val="clear" w:color="auto" w:fill="8EAADB"/>
            <w:vAlign w:val="center"/>
          </w:tcPr>
          <w:p w14:paraId="19DB5CD4" w14:textId="77777777" w:rsidR="00465A26" w:rsidRPr="00465A26" w:rsidRDefault="00465A26" w:rsidP="005D673A">
            <w:pPr>
              <w:pStyle w:val="Tabulasgalvenesrinda"/>
              <w:rPr>
                <w:highlight w:val="yellow"/>
              </w:rPr>
            </w:pPr>
            <w:r w:rsidRPr="00465A26">
              <w:t>2024</w:t>
            </w:r>
          </w:p>
        </w:tc>
        <w:tc>
          <w:tcPr>
            <w:tcW w:w="475" w:type="pct"/>
            <w:shd w:val="clear" w:color="auto" w:fill="8EAADB"/>
            <w:vAlign w:val="center"/>
          </w:tcPr>
          <w:p w14:paraId="0F84F5BA" w14:textId="77777777" w:rsidR="00465A26" w:rsidRPr="00465A26" w:rsidRDefault="00465A26" w:rsidP="005D673A">
            <w:pPr>
              <w:pStyle w:val="Tabulasgalvenesrinda"/>
              <w:rPr>
                <w:highlight w:val="yellow"/>
              </w:rPr>
            </w:pPr>
            <w:r w:rsidRPr="00465A26">
              <w:t>2025</w:t>
            </w:r>
          </w:p>
        </w:tc>
        <w:tc>
          <w:tcPr>
            <w:tcW w:w="473" w:type="pct"/>
            <w:shd w:val="clear" w:color="auto" w:fill="8EAADB"/>
            <w:vAlign w:val="center"/>
          </w:tcPr>
          <w:p w14:paraId="7AD3A9B2" w14:textId="77777777" w:rsidR="00465A26" w:rsidRPr="00465A26" w:rsidRDefault="00465A26" w:rsidP="005D673A">
            <w:pPr>
              <w:pStyle w:val="Tabulasgalvenesrinda"/>
              <w:rPr>
                <w:highlight w:val="yellow"/>
              </w:rPr>
            </w:pPr>
            <w:r w:rsidRPr="00465A26">
              <w:t>2026</w:t>
            </w:r>
          </w:p>
        </w:tc>
      </w:tr>
      <w:tr w:rsidR="00A30215" w:rsidRPr="00465A26" w14:paraId="2F138013" w14:textId="77777777" w:rsidTr="00BB23B3">
        <w:trPr>
          <w:cantSplit/>
          <w:trHeight w:hRule="exact" w:val="454"/>
          <w:jc w:val="center"/>
        </w:trPr>
        <w:tc>
          <w:tcPr>
            <w:tcW w:w="3102" w:type="pct"/>
            <w:vAlign w:val="center"/>
          </w:tcPr>
          <w:p w14:paraId="28B230C6" w14:textId="77777777" w:rsidR="00465A26" w:rsidRPr="00465A26" w:rsidRDefault="00465A26" w:rsidP="002A7324">
            <w:pPr>
              <w:pStyle w:val="Tabulasteksts"/>
              <w:spacing w:after="0"/>
              <w:ind w:left="0"/>
              <w:rPr>
                <w:i/>
                <w:szCs w:val="18"/>
              </w:rPr>
            </w:pPr>
            <w:r w:rsidRPr="00465A26">
              <w:rPr>
                <w:szCs w:val="18"/>
              </w:rPr>
              <w:t>Saskaņā ar likumu “Par valsts budžetu 2024. gadam un budžeta ietvaru 2024., 2025. un 2026. gadam”, milj.</w:t>
            </w:r>
            <w:r w:rsidRPr="00465A26">
              <w:rPr>
                <w:i/>
                <w:szCs w:val="18"/>
              </w:rPr>
              <w:t> euro</w:t>
            </w:r>
          </w:p>
        </w:tc>
        <w:tc>
          <w:tcPr>
            <w:tcW w:w="475" w:type="pct"/>
            <w:vAlign w:val="center"/>
          </w:tcPr>
          <w:p w14:paraId="5705EA4E" w14:textId="77777777" w:rsidR="00465A26" w:rsidRPr="00465A26" w:rsidRDefault="00465A26" w:rsidP="00BB23B3">
            <w:pPr>
              <w:pStyle w:val="Tabulascipari"/>
              <w:keepNext/>
              <w:keepLines/>
              <w:spacing w:after="0"/>
              <w:ind w:left="0"/>
              <w:jc w:val="center"/>
              <w:rPr>
                <w:szCs w:val="18"/>
              </w:rPr>
            </w:pPr>
            <w:r w:rsidRPr="00465A26">
              <w:rPr>
                <w:szCs w:val="18"/>
              </w:rPr>
              <w:t>1 198,4</w:t>
            </w:r>
            <w:r w:rsidRPr="00465A26">
              <w:rPr>
                <w:szCs w:val="18"/>
                <w:vertAlign w:val="superscript"/>
              </w:rPr>
              <w:t>1</w:t>
            </w:r>
          </w:p>
        </w:tc>
        <w:tc>
          <w:tcPr>
            <w:tcW w:w="475" w:type="pct"/>
            <w:vAlign w:val="center"/>
          </w:tcPr>
          <w:p w14:paraId="18FA8C07" w14:textId="77777777" w:rsidR="00465A26" w:rsidRPr="00465A26" w:rsidRDefault="00465A26" w:rsidP="00BB23B3">
            <w:pPr>
              <w:pStyle w:val="Tabulascipari"/>
              <w:keepNext/>
              <w:keepLines/>
              <w:spacing w:after="0"/>
              <w:ind w:left="0"/>
              <w:jc w:val="center"/>
              <w:rPr>
                <w:szCs w:val="18"/>
              </w:rPr>
            </w:pPr>
            <w:r w:rsidRPr="00465A26">
              <w:rPr>
                <w:szCs w:val="18"/>
              </w:rPr>
              <w:t>1 246,6</w:t>
            </w:r>
          </w:p>
        </w:tc>
        <w:tc>
          <w:tcPr>
            <w:tcW w:w="475" w:type="pct"/>
            <w:vAlign w:val="center"/>
          </w:tcPr>
          <w:p w14:paraId="5EDAAC47" w14:textId="77777777" w:rsidR="00465A26" w:rsidRPr="00465A26" w:rsidRDefault="00465A26" w:rsidP="00BB23B3">
            <w:pPr>
              <w:pStyle w:val="Tabulascipari"/>
              <w:keepNext/>
              <w:keepLines/>
              <w:spacing w:after="0"/>
              <w:ind w:left="0"/>
              <w:jc w:val="center"/>
              <w:rPr>
                <w:szCs w:val="18"/>
              </w:rPr>
            </w:pPr>
            <w:r w:rsidRPr="00465A26">
              <w:rPr>
                <w:szCs w:val="18"/>
              </w:rPr>
              <w:t>1 317,1</w:t>
            </w:r>
          </w:p>
        </w:tc>
        <w:tc>
          <w:tcPr>
            <w:tcW w:w="473" w:type="pct"/>
            <w:vAlign w:val="center"/>
          </w:tcPr>
          <w:p w14:paraId="0610016E" w14:textId="77777777" w:rsidR="00465A26" w:rsidRPr="00465A26" w:rsidRDefault="00465A26" w:rsidP="00BB23B3">
            <w:pPr>
              <w:pStyle w:val="Tabulascipari"/>
              <w:keepNext/>
              <w:keepLines/>
              <w:spacing w:after="0"/>
              <w:ind w:left="0"/>
              <w:jc w:val="center"/>
              <w:rPr>
                <w:szCs w:val="18"/>
              </w:rPr>
            </w:pPr>
            <w:r w:rsidRPr="00465A26">
              <w:rPr>
                <w:szCs w:val="18"/>
              </w:rPr>
              <w:t>1 389,0</w:t>
            </w:r>
          </w:p>
        </w:tc>
      </w:tr>
      <w:tr w:rsidR="00A30215" w:rsidRPr="00465A26" w14:paraId="08A6E5C7" w14:textId="77777777" w:rsidTr="00A30215">
        <w:trPr>
          <w:cantSplit/>
          <w:trHeight w:hRule="exact" w:val="227"/>
          <w:jc w:val="center"/>
        </w:trPr>
        <w:tc>
          <w:tcPr>
            <w:tcW w:w="3102" w:type="pct"/>
            <w:vAlign w:val="center"/>
          </w:tcPr>
          <w:p w14:paraId="1A252BB3" w14:textId="77777777" w:rsidR="00465A26" w:rsidRPr="00465A26" w:rsidRDefault="00465A26" w:rsidP="00272F14">
            <w:pPr>
              <w:pStyle w:val="Tabulasteksts"/>
              <w:spacing w:after="0"/>
              <w:ind w:left="0"/>
              <w:rPr>
                <w:i/>
                <w:iCs/>
                <w:szCs w:val="18"/>
              </w:rPr>
            </w:pPr>
            <w:r w:rsidRPr="00465A26">
              <w:rPr>
                <w:i/>
                <w:iCs/>
                <w:szCs w:val="18"/>
              </w:rPr>
              <w:t>pret IKP, %</w:t>
            </w:r>
          </w:p>
        </w:tc>
        <w:tc>
          <w:tcPr>
            <w:tcW w:w="475" w:type="pct"/>
            <w:tcBorders>
              <w:top w:val="single" w:sz="4" w:space="0" w:color="auto"/>
              <w:left w:val="single" w:sz="4" w:space="0" w:color="auto"/>
              <w:bottom w:val="single" w:sz="4" w:space="0" w:color="auto"/>
              <w:right w:val="single" w:sz="4" w:space="0" w:color="auto"/>
            </w:tcBorders>
            <w:shd w:val="clear" w:color="auto" w:fill="auto"/>
          </w:tcPr>
          <w:p w14:paraId="1F0A40DB" w14:textId="77777777" w:rsidR="00465A26" w:rsidRPr="00465A26" w:rsidRDefault="00465A26" w:rsidP="00476C92">
            <w:pPr>
              <w:pStyle w:val="Tabulascipari"/>
              <w:keepNext/>
              <w:keepLines/>
              <w:spacing w:after="0"/>
              <w:ind w:left="0"/>
              <w:rPr>
                <w:i/>
                <w:iCs/>
                <w:color w:val="000000"/>
                <w:szCs w:val="18"/>
              </w:rPr>
            </w:pPr>
            <w:r w:rsidRPr="00465A26">
              <w:rPr>
                <w:i/>
                <w:iCs/>
                <w:szCs w:val="18"/>
              </w:rPr>
              <w:t>2,8</w:t>
            </w:r>
          </w:p>
        </w:tc>
        <w:tc>
          <w:tcPr>
            <w:tcW w:w="475" w:type="pct"/>
            <w:tcBorders>
              <w:top w:val="single" w:sz="4" w:space="0" w:color="auto"/>
              <w:left w:val="nil"/>
              <w:bottom w:val="single" w:sz="4" w:space="0" w:color="auto"/>
              <w:right w:val="single" w:sz="4" w:space="0" w:color="auto"/>
            </w:tcBorders>
            <w:shd w:val="clear" w:color="auto" w:fill="auto"/>
          </w:tcPr>
          <w:p w14:paraId="6766C854" w14:textId="77777777" w:rsidR="00465A26" w:rsidRPr="00465A26" w:rsidRDefault="00465A26" w:rsidP="00476C92">
            <w:pPr>
              <w:pStyle w:val="Tabulascipari"/>
              <w:keepNext/>
              <w:keepLines/>
              <w:spacing w:after="0"/>
              <w:ind w:left="0"/>
              <w:rPr>
                <w:i/>
                <w:iCs/>
                <w:color w:val="000000"/>
                <w:szCs w:val="18"/>
              </w:rPr>
            </w:pPr>
            <w:r w:rsidRPr="00465A26">
              <w:rPr>
                <w:i/>
                <w:iCs/>
                <w:szCs w:val="18"/>
              </w:rPr>
              <w:t>2,7</w:t>
            </w:r>
          </w:p>
        </w:tc>
        <w:tc>
          <w:tcPr>
            <w:tcW w:w="475" w:type="pct"/>
            <w:tcBorders>
              <w:top w:val="single" w:sz="4" w:space="0" w:color="auto"/>
              <w:left w:val="nil"/>
              <w:bottom w:val="single" w:sz="4" w:space="0" w:color="auto"/>
              <w:right w:val="single" w:sz="4" w:space="0" w:color="auto"/>
            </w:tcBorders>
            <w:shd w:val="clear" w:color="auto" w:fill="auto"/>
          </w:tcPr>
          <w:p w14:paraId="6D203640" w14:textId="77777777" w:rsidR="00465A26" w:rsidRPr="00465A26" w:rsidRDefault="00465A26" w:rsidP="00476C92">
            <w:pPr>
              <w:pStyle w:val="Tabulascipari"/>
              <w:keepNext/>
              <w:keepLines/>
              <w:spacing w:after="0"/>
              <w:ind w:left="0"/>
              <w:rPr>
                <w:i/>
                <w:iCs/>
                <w:color w:val="000000"/>
                <w:szCs w:val="18"/>
              </w:rPr>
            </w:pPr>
            <w:r w:rsidRPr="00465A26">
              <w:rPr>
                <w:i/>
                <w:iCs/>
                <w:szCs w:val="18"/>
              </w:rPr>
              <w:t>2,7</w:t>
            </w:r>
          </w:p>
        </w:tc>
        <w:tc>
          <w:tcPr>
            <w:tcW w:w="473" w:type="pct"/>
            <w:tcBorders>
              <w:top w:val="single" w:sz="4" w:space="0" w:color="auto"/>
              <w:left w:val="nil"/>
              <w:bottom w:val="single" w:sz="4" w:space="0" w:color="auto"/>
              <w:right w:val="single" w:sz="4" w:space="0" w:color="auto"/>
            </w:tcBorders>
            <w:shd w:val="clear" w:color="auto" w:fill="auto"/>
          </w:tcPr>
          <w:p w14:paraId="07CE1922" w14:textId="77777777" w:rsidR="00465A26" w:rsidRPr="00465A26" w:rsidRDefault="00465A26" w:rsidP="00476C92">
            <w:pPr>
              <w:pStyle w:val="Tabulascipari"/>
              <w:keepNext/>
              <w:keepLines/>
              <w:spacing w:after="0"/>
              <w:ind w:left="0"/>
              <w:rPr>
                <w:i/>
                <w:iCs/>
                <w:color w:val="000000"/>
                <w:szCs w:val="18"/>
              </w:rPr>
            </w:pPr>
            <w:r w:rsidRPr="00465A26">
              <w:rPr>
                <w:i/>
                <w:iCs/>
                <w:szCs w:val="18"/>
              </w:rPr>
              <w:t>2,7</w:t>
            </w:r>
          </w:p>
        </w:tc>
      </w:tr>
      <w:tr w:rsidR="00A30215" w:rsidRPr="00465A26" w14:paraId="144BA717" w14:textId="77777777" w:rsidTr="00A30215">
        <w:trPr>
          <w:cantSplit/>
          <w:trHeight w:hRule="exact" w:val="454"/>
          <w:jc w:val="center"/>
        </w:trPr>
        <w:tc>
          <w:tcPr>
            <w:tcW w:w="3102" w:type="pct"/>
            <w:vAlign w:val="center"/>
          </w:tcPr>
          <w:p w14:paraId="05C9AE28" w14:textId="65D50820" w:rsidR="00465A26" w:rsidRPr="00465A26" w:rsidRDefault="00465A26" w:rsidP="00272F14">
            <w:pPr>
              <w:pStyle w:val="Tabulasteksts"/>
              <w:spacing w:after="0"/>
              <w:ind w:left="0"/>
              <w:rPr>
                <w:szCs w:val="18"/>
              </w:rPr>
            </w:pPr>
            <w:r w:rsidRPr="00465A26">
              <w:rPr>
                <w:szCs w:val="18"/>
              </w:rPr>
              <w:t>Salīdzinājumā ar likumu “Par valsts budžetu 2023. gadam un budžeta ietvaru 2023., 2024. un 2025. gadam”, milj. </w:t>
            </w:r>
            <w:r w:rsidRPr="00C55137">
              <w:rPr>
                <w:i/>
                <w:iCs/>
                <w:szCs w:val="18"/>
              </w:rPr>
              <w:t>euro</w:t>
            </w:r>
          </w:p>
        </w:tc>
        <w:tc>
          <w:tcPr>
            <w:tcW w:w="475" w:type="pct"/>
          </w:tcPr>
          <w:p w14:paraId="252AE41D" w14:textId="77777777" w:rsidR="00465A26" w:rsidRPr="00465A26" w:rsidRDefault="00465A26" w:rsidP="00476C92">
            <w:pPr>
              <w:pStyle w:val="Tabulascipari"/>
              <w:keepNext/>
              <w:keepLines/>
              <w:spacing w:after="0"/>
              <w:ind w:left="0"/>
              <w:rPr>
                <w:i/>
                <w:iCs/>
                <w:szCs w:val="18"/>
              </w:rPr>
            </w:pPr>
            <w:r w:rsidRPr="00465A26">
              <w:rPr>
                <w:i/>
                <w:iCs/>
                <w:szCs w:val="18"/>
              </w:rPr>
              <w:t>+10,7</w:t>
            </w:r>
          </w:p>
        </w:tc>
        <w:tc>
          <w:tcPr>
            <w:tcW w:w="475" w:type="pct"/>
          </w:tcPr>
          <w:p w14:paraId="797DED1F" w14:textId="77777777" w:rsidR="00465A26" w:rsidRPr="00465A26" w:rsidRDefault="00465A26" w:rsidP="00476C92">
            <w:pPr>
              <w:pStyle w:val="Tabulascipari"/>
              <w:keepNext/>
              <w:keepLines/>
              <w:spacing w:after="0"/>
              <w:ind w:left="0"/>
              <w:rPr>
                <w:i/>
                <w:iCs/>
                <w:szCs w:val="18"/>
              </w:rPr>
            </w:pPr>
            <w:r w:rsidRPr="00465A26">
              <w:rPr>
                <w:i/>
                <w:iCs/>
                <w:szCs w:val="18"/>
              </w:rPr>
              <w:t>+15,8</w:t>
            </w:r>
          </w:p>
        </w:tc>
        <w:tc>
          <w:tcPr>
            <w:tcW w:w="475" w:type="pct"/>
          </w:tcPr>
          <w:p w14:paraId="6EFEAE21" w14:textId="77777777" w:rsidR="00465A26" w:rsidRPr="00465A26" w:rsidRDefault="00465A26" w:rsidP="00476C92">
            <w:pPr>
              <w:pStyle w:val="Tabulascipari"/>
              <w:keepNext/>
              <w:keepLines/>
              <w:spacing w:after="0"/>
              <w:ind w:left="0"/>
              <w:rPr>
                <w:i/>
                <w:iCs/>
                <w:szCs w:val="18"/>
              </w:rPr>
            </w:pPr>
            <w:r w:rsidRPr="00465A26">
              <w:rPr>
                <w:i/>
                <w:iCs/>
                <w:szCs w:val="18"/>
              </w:rPr>
              <w:t>+42,8</w:t>
            </w:r>
          </w:p>
        </w:tc>
        <w:tc>
          <w:tcPr>
            <w:tcW w:w="473" w:type="pct"/>
          </w:tcPr>
          <w:p w14:paraId="3B6B092C" w14:textId="77777777" w:rsidR="00465A26" w:rsidRPr="00465A26" w:rsidRDefault="00465A26" w:rsidP="00476C92">
            <w:pPr>
              <w:pStyle w:val="Tabulascipari"/>
              <w:keepNext/>
              <w:keepLines/>
              <w:spacing w:after="0"/>
              <w:ind w:left="0"/>
              <w:rPr>
                <w:i/>
                <w:iCs/>
                <w:szCs w:val="18"/>
              </w:rPr>
            </w:pPr>
            <w:r w:rsidRPr="00465A26">
              <w:rPr>
                <w:i/>
                <w:iCs/>
                <w:szCs w:val="18"/>
              </w:rPr>
              <w:t>—</w:t>
            </w:r>
          </w:p>
        </w:tc>
      </w:tr>
      <w:tr w:rsidR="00A30215" w:rsidRPr="00465A26" w14:paraId="545CB26A" w14:textId="77777777" w:rsidTr="00A30215">
        <w:trPr>
          <w:cantSplit/>
          <w:trHeight w:hRule="exact" w:val="454"/>
          <w:jc w:val="center"/>
        </w:trPr>
        <w:tc>
          <w:tcPr>
            <w:tcW w:w="3102" w:type="pct"/>
            <w:vAlign w:val="center"/>
          </w:tcPr>
          <w:p w14:paraId="3555E97C" w14:textId="435EB253" w:rsidR="00465A26" w:rsidRPr="00465A26" w:rsidRDefault="00465A26" w:rsidP="00272F14">
            <w:pPr>
              <w:pStyle w:val="Tabulasteksts"/>
              <w:spacing w:after="0"/>
              <w:ind w:left="0"/>
              <w:rPr>
                <w:color w:val="000000" w:themeColor="text1"/>
                <w:szCs w:val="18"/>
              </w:rPr>
            </w:pPr>
            <w:r w:rsidRPr="00465A26">
              <w:rPr>
                <w:color w:val="000000" w:themeColor="text1"/>
                <w:szCs w:val="18"/>
              </w:rPr>
              <w:t>Salīdzinājumā ar likumu “Par valsts budžetu 2023. gadam un budžeta ietvaru 2023., 2024. un 2025. gadam”, %</w:t>
            </w:r>
          </w:p>
        </w:tc>
        <w:tc>
          <w:tcPr>
            <w:tcW w:w="475" w:type="pct"/>
          </w:tcPr>
          <w:p w14:paraId="3BEB0281" w14:textId="77777777" w:rsidR="00465A26" w:rsidRPr="00465A26" w:rsidRDefault="00465A26" w:rsidP="00476C92">
            <w:pPr>
              <w:pStyle w:val="Tabulascipari"/>
              <w:keepNext/>
              <w:keepLines/>
              <w:spacing w:after="0"/>
              <w:ind w:left="0"/>
              <w:rPr>
                <w:i/>
                <w:iCs/>
                <w:color w:val="000000" w:themeColor="text1"/>
                <w:szCs w:val="18"/>
              </w:rPr>
            </w:pPr>
            <w:r w:rsidRPr="00465A26">
              <w:rPr>
                <w:i/>
                <w:iCs/>
                <w:color w:val="000000" w:themeColor="text1"/>
                <w:szCs w:val="18"/>
              </w:rPr>
              <w:t>+0,9</w:t>
            </w:r>
          </w:p>
        </w:tc>
        <w:tc>
          <w:tcPr>
            <w:tcW w:w="475" w:type="pct"/>
          </w:tcPr>
          <w:p w14:paraId="41CBDB24" w14:textId="77777777" w:rsidR="00465A26" w:rsidRPr="00465A26" w:rsidRDefault="00465A26" w:rsidP="00476C92">
            <w:pPr>
              <w:pStyle w:val="Tabulascipari"/>
              <w:keepNext/>
              <w:keepLines/>
              <w:spacing w:after="0"/>
              <w:ind w:left="0"/>
              <w:rPr>
                <w:i/>
                <w:iCs/>
                <w:color w:val="000000" w:themeColor="text1"/>
                <w:szCs w:val="18"/>
              </w:rPr>
            </w:pPr>
            <w:r w:rsidRPr="00465A26">
              <w:rPr>
                <w:i/>
                <w:iCs/>
                <w:color w:val="000000" w:themeColor="text1"/>
                <w:szCs w:val="18"/>
              </w:rPr>
              <w:t>+1,3</w:t>
            </w:r>
          </w:p>
        </w:tc>
        <w:tc>
          <w:tcPr>
            <w:tcW w:w="475" w:type="pct"/>
          </w:tcPr>
          <w:p w14:paraId="44A2CA78" w14:textId="77777777" w:rsidR="00465A26" w:rsidRPr="00465A26" w:rsidRDefault="00465A26" w:rsidP="00476C92">
            <w:pPr>
              <w:pStyle w:val="Tabulascipari"/>
              <w:keepNext/>
              <w:keepLines/>
              <w:spacing w:after="0"/>
              <w:ind w:left="0"/>
              <w:rPr>
                <w:i/>
                <w:iCs/>
                <w:color w:val="000000" w:themeColor="text1"/>
                <w:szCs w:val="18"/>
              </w:rPr>
            </w:pPr>
            <w:r w:rsidRPr="00465A26">
              <w:rPr>
                <w:i/>
                <w:iCs/>
                <w:color w:val="000000" w:themeColor="text1"/>
                <w:szCs w:val="18"/>
              </w:rPr>
              <w:t>+3,4</w:t>
            </w:r>
          </w:p>
        </w:tc>
        <w:tc>
          <w:tcPr>
            <w:tcW w:w="473" w:type="pct"/>
          </w:tcPr>
          <w:p w14:paraId="343E47FE" w14:textId="77777777" w:rsidR="00465A26" w:rsidRPr="00465A26" w:rsidRDefault="00465A26" w:rsidP="00476C92">
            <w:pPr>
              <w:pStyle w:val="Tabulascipari"/>
              <w:keepNext/>
              <w:keepLines/>
              <w:spacing w:after="0"/>
              <w:ind w:left="0"/>
              <w:rPr>
                <w:i/>
                <w:iCs/>
                <w:color w:val="000000" w:themeColor="text1"/>
                <w:szCs w:val="18"/>
              </w:rPr>
            </w:pPr>
            <w:r w:rsidRPr="00465A26">
              <w:rPr>
                <w:i/>
                <w:iCs/>
                <w:color w:val="000000" w:themeColor="text1"/>
                <w:szCs w:val="18"/>
              </w:rPr>
              <w:t>—</w:t>
            </w:r>
          </w:p>
        </w:tc>
      </w:tr>
    </w:tbl>
    <w:p w14:paraId="03356FDE" w14:textId="77777777" w:rsidR="00465A26" w:rsidRPr="00465A26" w:rsidRDefault="00465A26" w:rsidP="00465A26">
      <w:pPr>
        <w:pStyle w:val="Piezme"/>
        <w:rPr>
          <w:color w:val="000000" w:themeColor="text1"/>
        </w:rPr>
      </w:pPr>
      <w:r w:rsidRPr="00465A26">
        <w:rPr>
          <w:color w:val="000000" w:themeColor="text1"/>
          <w:vertAlign w:val="superscript"/>
        </w:rPr>
        <w:t>1</w:t>
      </w:r>
      <w:r w:rsidRPr="00465A26">
        <w:rPr>
          <w:color w:val="000000" w:themeColor="text1"/>
        </w:rPr>
        <w:t> Prognoze</w:t>
      </w:r>
    </w:p>
    <w:p w14:paraId="0B74ED56" w14:textId="5D87F877" w:rsidR="00465A26" w:rsidRPr="006F1373" w:rsidRDefault="006F1373" w:rsidP="006F1373">
      <w:pPr>
        <w:pStyle w:val="H5"/>
      </w:pPr>
      <w:r w:rsidRPr="006F1373">
        <w:rPr>
          <w:rStyle w:val="cf01"/>
          <w:rFonts w:ascii="Times New Roman" w:hAnsi="Times New Roman" w:cs="Times New Roman"/>
          <w:b/>
          <w:bCs/>
          <w:sz w:val="24"/>
          <w:szCs w:val="24"/>
        </w:rPr>
        <w:lastRenderedPageBreak/>
        <w:t>Akcīzes nodoklis naftas produktiem</w:t>
      </w:r>
    </w:p>
    <w:p w14:paraId="1DDCE948" w14:textId="3987026D" w:rsidR="0049688E" w:rsidRPr="002C60EE" w:rsidRDefault="0049688E" w:rsidP="0049688E">
      <w:r w:rsidRPr="002C60EE">
        <w:t>2023.</w:t>
      </w:r>
      <w:r>
        <w:t> </w:t>
      </w:r>
      <w:r w:rsidRPr="002C60EE">
        <w:t>gada 1.</w:t>
      </w:r>
      <w:r>
        <w:t> </w:t>
      </w:r>
      <w:r w:rsidRPr="002C60EE">
        <w:t>pusgadā akcīzes nodokļa naftas produktiem ieņēmumi bija 295,2</w:t>
      </w:r>
      <w:r>
        <w:t> </w:t>
      </w:r>
      <w:r w:rsidRPr="002C60EE">
        <w:t>milj.</w:t>
      </w:r>
      <w:r>
        <w:t> </w:t>
      </w:r>
      <w:proofErr w:type="spellStart"/>
      <w:r w:rsidRPr="00770C40">
        <w:rPr>
          <w:i/>
        </w:rPr>
        <w:t>euro</w:t>
      </w:r>
      <w:proofErr w:type="spellEnd"/>
      <w:r w:rsidRPr="002C60EE">
        <w:t>. Salīdzinot ar 2022.</w:t>
      </w:r>
      <w:r>
        <w:t> </w:t>
      </w:r>
      <w:r w:rsidRPr="002C60EE">
        <w:t>gada 1.</w:t>
      </w:r>
      <w:r>
        <w:t> </w:t>
      </w:r>
      <w:r w:rsidRPr="002C60EE">
        <w:t>pusgadu, tie pieauga par 16,2</w:t>
      </w:r>
      <w:r>
        <w:t> </w:t>
      </w:r>
      <w:r w:rsidRPr="002C60EE">
        <w:t>milj.</w:t>
      </w:r>
      <w:r>
        <w:t> </w:t>
      </w:r>
      <w:proofErr w:type="spellStart"/>
      <w:r w:rsidRPr="00770C40">
        <w:rPr>
          <w:i/>
        </w:rPr>
        <w:t>euro</w:t>
      </w:r>
      <w:proofErr w:type="spellEnd"/>
      <w:r w:rsidRPr="002C60EE">
        <w:t xml:space="preserve"> jeb 5,8</w:t>
      </w:r>
      <w:r>
        <w:t> </w:t>
      </w:r>
      <w:r w:rsidRPr="002C60EE">
        <w:t>%, bet, salīdzinot ar plānoto, iekasēts par 13,1</w:t>
      </w:r>
      <w:r>
        <w:t> </w:t>
      </w:r>
      <w:r w:rsidRPr="002C60EE">
        <w:t>milj.</w:t>
      </w:r>
      <w:r>
        <w:t> </w:t>
      </w:r>
      <w:proofErr w:type="spellStart"/>
      <w:r w:rsidRPr="00770C40">
        <w:rPr>
          <w:i/>
        </w:rPr>
        <w:t>euro</w:t>
      </w:r>
      <w:proofErr w:type="spellEnd"/>
      <w:r w:rsidRPr="002C60EE">
        <w:t xml:space="preserve"> jeb 4,6</w:t>
      </w:r>
      <w:r>
        <w:t> </w:t>
      </w:r>
      <w:r w:rsidRPr="002C60EE">
        <w:t xml:space="preserve">% vairāk. </w:t>
      </w:r>
    </w:p>
    <w:p w14:paraId="3EEE36CA" w14:textId="77777777" w:rsidR="0049688E" w:rsidRPr="002C60EE" w:rsidRDefault="0049688E" w:rsidP="0049688E">
      <w:r w:rsidRPr="002C60EE">
        <w:t xml:space="preserve">Saskaņā ar VID informāciju </w:t>
      </w:r>
      <w:bookmarkStart w:id="96" w:name="_Hlk148433258"/>
      <w:r w:rsidRPr="002C60EE">
        <w:t xml:space="preserve">naftas produktu kopējais </w:t>
      </w:r>
      <w:r w:rsidRPr="00855A27">
        <w:t xml:space="preserve">patēriņa apjoms </w:t>
      </w:r>
      <w:bookmarkEnd w:id="96"/>
      <w:r w:rsidRPr="002C60EE">
        <w:rPr>
          <w:rFonts w:eastAsia="Calibri" w:cs="Times New Roman"/>
          <w:szCs w:val="24"/>
        </w:rPr>
        <w:t>2022. gada decembrī un 2023. gada piecos mēnešos</w:t>
      </w:r>
      <w:r w:rsidRPr="00855A27" w:rsidDel="006A7EA4">
        <w:t xml:space="preserve"> </w:t>
      </w:r>
      <w:r w:rsidRPr="00855A27">
        <w:t>salīdzinājumā ar 2021. un 2022.</w:t>
      </w:r>
      <w:r>
        <w:t> </w:t>
      </w:r>
      <w:r w:rsidRPr="00855A27">
        <w:t>gada attiecīgo periodu palielinājās par</w:t>
      </w:r>
      <w:r w:rsidRPr="002C60EE">
        <w:t xml:space="preserve"> 4,9</w:t>
      </w:r>
      <w:r>
        <w:t> </w:t>
      </w:r>
      <w:r w:rsidRPr="002C60EE">
        <w:t>%, t.sk. dīzeļdegvielas patēriņš palielinājās par 3,0</w:t>
      </w:r>
      <w:r>
        <w:t> </w:t>
      </w:r>
      <w:r w:rsidRPr="002C60EE">
        <w:t>%, benzīna patēriņš par 2,6</w:t>
      </w:r>
      <w:r>
        <w:t> </w:t>
      </w:r>
      <w:r w:rsidRPr="002C60EE">
        <w:t>%, bet sašķidrinātās naftas gāzes patēriņš samazinājās par 6,2</w:t>
      </w:r>
      <w:r>
        <w:t> </w:t>
      </w:r>
      <w:r w:rsidRPr="002C60EE">
        <w:t>procentiem. Degvieleļļas patēriņš samazinājās par 6,7</w:t>
      </w:r>
      <w:r>
        <w:t> </w:t>
      </w:r>
      <w:r w:rsidRPr="002C60EE">
        <w:t>%, bet petrolejas patēriņš – par 7,9</w:t>
      </w:r>
      <w:r>
        <w:t> </w:t>
      </w:r>
      <w:r w:rsidRPr="002C60EE">
        <w:t>procentiem.</w:t>
      </w:r>
    </w:p>
    <w:p w14:paraId="53B8AFBC" w14:textId="77777777" w:rsidR="0049688E" w:rsidRPr="002C60EE" w:rsidRDefault="0049688E" w:rsidP="0049688E">
      <w:r w:rsidRPr="002C60EE">
        <w:t>Degvielas patēriņa dinamika atspoguļojas arī transportlīdzekļu skaita izmaiņās pa degvielas veidiem. Saskaņā ar Ceļu satiksmes drošības direkcijas informāciju 2023.</w:t>
      </w:r>
      <w:r>
        <w:t> </w:t>
      </w:r>
      <w:r w:rsidRPr="002C60EE">
        <w:t>gada 1.</w:t>
      </w:r>
      <w:r>
        <w:t> </w:t>
      </w:r>
      <w:r w:rsidRPr="002C60EE">
        <w:t>jūlijā, salīdzinot ar 2022.</w:t>
      </w:r>
      <w:r>
        <w:t> </w:t>
      </w:r>
      <w:r w:rsidRPr="002C60EE">
        <w:t>gada 1.</w:t>
      </w:r>
      <w:r>
        <w:t> </w:t>
      </w:r>
      <w:r w:rsidRPr="002C60EE">
        <w:t>jūliju, kopējais reģistrēto transportlīdzekļu skaits palielinājās par 2,0</w:t>
      </w:r>
      <w:r>
        <w:t> </w:t>
      </w:r>
      <w:r w:rsidRPr="002C60EE">
        <w:t>%, t.sk. transportlīdzekļu, kas patērē dīzeļdegvielu, īpatsvars kopējā transportlīdzekļu skaitā pieauga no 68,4</w:t>
      </w:r>
      <w:r>
        <w:t> </w:t>
      </w:r>
      <w:r w:rsidRPr="002C60EE">
        <w:t>% līdz 69,5</w:t>
      </w:r>
      <w:r>
        <w:t> </w:t>
      </w:r>
      <w:r w:rsidRPr="002C60EE">
        <w:t>% un to skaits bija 615</w:t>
      </w:r>
      <w:r>
        <w:t> </w:t>
      </w:r>
      <w:r w:rsidRPr="002C60EE">
        <w:t>652, benzīnu patērējošo transportlīdzekļu īpatsvars samazinājās no 25,8</w:t>
      </w:r>
      <w:r>
        <w:t> </w:t>
      </w:r>
      <w:r w:rsidRPr="002C60EE">
        <w:t>% līdz 25,3</w:t>
      </w:r>
      <w:r>
        <w:t> </w:t>
      </w:r>
      <w:r w:rsidRPr="002C60EE">
        <w:t>% un to skaits bija 224</w:t>
      </w:r>
      <w:r>
        <w:t> </w:t>
      </w:r>
      <w:r w:rsidRPr="002C60EE">
        <w:t>184.</w:t>
      </w:r>
    </w:p>
    <w:p w14:paraId="6F3A9CA8" w14:textId="65445194" w:rsidR="0049688E" w:rsidRPr="00590467" w:rsidRDefault="0049688E" w:rsidP="0049688E">
      <w:pPr>
        <w:rPr>
          <w:rFonts w:eastAsia="Calibri"/>
          <w:szCs w:val="24"/>
        </w:rPr>
      </w:pPr>
      <w:r w:rsidRPr="002C60EE">
        <w:t xml:space="preserve">Latvijā </w:t>
      </w:r>
      <w:r w:rsidRPr="002C60EE">
        <w:rPr>
          <w:rFonts w:eastAsia="Calibri"/>
          <w:szCs w:val="24"/>
        </w:rPr>
        <w:t>un Lietuvā 2024.</w:t>
      </w:r>
      <w:r w:rsidR="00815D6B">
        <w:rPr>
          <w:rFonts w:eastAsia="Calibri"/>
          <w:szCs w:val="24"/>
        </w:rPr>
        <w:t xml:space="preserve"> </w:t>
      </w:r>
      <w:r w:rsidRPr="002C60EE">
        <w:rPr>
          <w:rFonts w:eastAsia="Calibri"/>
          <w:szCs w:val="24"/>
        </w:rPr>
        <w:t>–</w:t>
      </w:r>
      <w:r w:rsidR="00815D6B">
        <w:rPr>
          <w:rFonts w:eastAsia="Calibri"/>
          <w:szCs w:val="24"/>
        </w:rPr>
        <w:t xml:space="preserve"> </w:t>
      </w:r>
      <w:r w:rsidRPr="002C60EE">
        <w:rPr>
          <w:rFonts w:eastAsia="Calibri"/>
          <w:szCs w:val="24"/>
        </w:rPr>
        <w:t>2026.</w:t>
      </w:r>
      <w:r>
        <w:rPr>
          <w:rFonts w:eastAsia="Calibri"/>
          <w:szCs w:val="24"/>
        </w:rPr>
        <w:t> </w:t>
      </w:r>
      <w:r w:rsidRPr="002C60EE">
        <w:rPr>
          <w:rFonts w:eastAsia="Calibri"/>
          <w:szCs w:val="24"/>
        </w:rPr>
        <w:t>gadā akcīzes nodokļa likmes degvielai (izņemot naftas produktus, ko izmanto brīvās zonas teritorijās un brīvostu teritorijā) tiek saglabātas 2023.</w:t>
      </w:r>
      <w:r>
        <w:rPr>
          <w:rFonts w:eastAsia="Calibri"/>
          <w:szCs w:val="24"/>
        </w:rPr>
        <w:t> </w:t>
      </w:r>
      <w:r w:rsidRPr="002C60EE">
        <w:rPr>
          <w:rFonts w:eastAsia="Calibri"/>
          <w:szCs w:val="24"/>
        </w:rPr>
        <w:t xml:space="preserve">gada līmenī. Akcīzes nodokļa pakāpenisks paaugstinājums </w:t>
      </w:r>
      <w:r w:rsidRPr="00590467">
        <w:rPr>
          <w:rFonts w:eastAsia="Calibri"/>
          <w:szCs w:val="24"/>
        </w:rPr>
        <w:t>dīzeļdegvielai un sašķidrinātajai naftas gāzei paredzēts vien Igaunijā. Šo izmaiņu rezultātā 2024.</w:t>
      </w:r>
      <w:r>
        <w:rPr>
          <w:rFonts w:eastAsia="Calibri"/>
          <w:szCs w:val="24"/>
        </w:rPr>
        <w:t> </w:t>
      </w:r>
      <w:r w:rsidRPr="00590467">
        <w:rPr>
          <w:rFonts w:eastAsia="Calibri"/>
          <w:szCs w:val="24"/>
        </w:rPr>
        <w:t>gadā Baltijas valstīs visaugstākā akcīzes nodokļa likme benzīnam būs Igaunijā, sašķidrinātajai naftas gāzei – Lietuvā, bet dīzeļdegvielai – Latvijā. Tomēr ar 2025.</w:t>
      </w:r>
      <w:r>
        <w:rPr>
          <w:rFonts w:eastAsia="Calibri"/>
          <w:szCs w:val="24"/>
        </w:rPr>
        <w:t> </w:t>
      </w:r>
      <w:r w:rsidRPr="00590467">
        <w:rPr>
          <w:rFonts w:eastAsia="Calibri"/>
          <w:szCs w:val="24"/>
        </w:rPr>
        <w:t xml:space="preserve">gadu augstākais akcīzes nodokļa līmenis dīzeļdegvielai būs Igaunijā, ņemot vērā plānoto likmes paaugstinājumu 2025. un 2026. gadā. </w:t>
      </w:r>
    </w:p>
    <w:p w14:paraId="3698BF4F" w14:textId="77777777" w:rsidR="0049688E" w:rsidRDefault="0049688E" w:rsidP="0049688E">
      <w:pPr>
        <w:rPr>
          <w:b/>
          <w:iCs/>
        </w:rPr>
      </w:pPr>
      <w:r w:rsidRPr="00590467">
        <w:t>Saskaņā ar likumprojektu “Par valsts budžetu 2024.</w:t>
      </w:r>
      <w:r>
        <w:t> </w:t>
      </w:r>
      <w:r w:rsidRPr="00590467">
        <w:t>gadam un budžeta</w:t>
      </w:r>
      <w:r w:rsidRPr="002C60EE">
        <w:t xml:space="preserve"> ietvaru 2024., 2025. un 2026.</w:t>
      </w:r>
      <w:r>
        <w:t> </w:t>
      </w:r>
      <w:r w:rsidRPr="002C60EE">
        <w:t>gadam” akcīzes nodokļa naftas produktiem ieņēmumi 2024.</w:t>
      </w:r>
      <w:r>
        <w:t> </w:t>
      </w:r>
      <w:r w:rsidRPr="002C60EE">
        <w:t>gadā tiek plānoti 62</w:t>
      </w:r>
      <w:r>
        <w:t>2</w:t>
      </w:r>
      <w:r w:rsidRPr="002C60EE">
        <w:t>,</w:t>
      </w:r>
      <w:r>
        <w:t>9</w:t>
      </w:r>
      <w:r w:rsidRPr="002C60EE">
        <w:t xml:space="preserve"> </w:t>
      </w:r>
      <w:proofErr w:type="spellStart"/>
      <w:r w:rsidRPr="00770C40">
        <w:rPr>
          <w:i/>
        </w:rPr>
        <w:t>euro</w:t>
      </w:r>
      <w:proofErr w:type="spellEnd"/>
      <w:r w:rsidRPr="002C60EE">
        <w:t>, 2025.</w:t>
      </w:r>
      <w:r>
        <w:t> </w:t>
      </w:r>
      <w:r w:rsidRPr="002C60EE">
        <w:t xml:space="preserve">gadā 653,8 milj. </w:t>
      </w:r>
      <w:proofErr w:type="spellStart"/>
      <w:r w:rsidRPr="00770C40">
        <w:rPr>
          <w:i/>
        </w:rPr>
        <w:t>euro</w:t>
      </w:r>
      <w:proofErr w:type="spellEnd"/>
      <w:r w:rsidRPr="002C60EE">
        <w:t>, bet 2026.</w:t>
      </w:r>
      <w:r>
        <w:t> </w:t>
      </w:r>
      <w:r w:rsidRPr="002C60EE">
        <w:t xml:space="preserve">gadā 686,5 milj. </w:t>
      </w:r>
      <w:proofErr w:type="spellStart"/>
      <w:r w:rsidRPr="00770C40">
        <w:rPr>
          <w:i/>
        </w:rPr>
        <w:t>euro</w:t>
      </w:r>
      <w:proofErr w:type="spellEnd"/>
      <w:r w:rsidRPr="002C60EE">
        <w:t xml:space="preserve"> apmērā.</w:t>
      </w:r>
    </w:p>
    <w:p w14:paraId="5D04B16E" w14:textId="77777777" w:rsidR="007E409E" w:rsidRPr="00272F14" w:rsidRDefault="007E409E" w:rsidP="00C15F73">
      <w:pPr>
        <w:keepNext/>
        <w:keepLines/>
        <w:spacing w:before="240" w:after="240"/>
        <w:ind w:firstLine="0"/>
        <w:jc w:val="center"/>
        <w:outlineLvl w:val="4"/>
        <w:rPr>
          <w:rFonts w:eastAsia="Times New Roman" w:cs="Times New Roman"/>
          <w:b/>
          <w:iCs/>
          <w:szCs w:val="18"/>
          <w:lang w:eastAsia="en-US"/>
        </w:rPr>
      </w:pPr>
      <w:r w:rsidRPr="00272F14">
        <w:rPr>
          <w:rFonts w:eastAsia="Times New Roman" w:cs="Times New Roman"/>
          <w:b/>
          <w:iCs/>
          <w:sz w:val="28"/>
          <w:szCs w:val="20"/>
          <w:lang w:eastAsia="en-US"/>
        </w:rPr>
        <w:t>Akcīzes</w:t>
      </w:r>
      <w:r w:rsidRPr="00272F14">
        <w:rPr>
          <w:rFonts w:eastAsia="Times New Roman" w:cs="Times New Roman"/>
          <w:b/>
          <w:iCs/>
          <w:szCs w:val="18"/>
          <w:lang w:eastAsia="en-US"/>
        </w:rPr>
        <w:t xml:space="preserve"> nodoklis alkoholiskajiem dzērieniem (neskaitot alu)</w:t>
      </w:r>
    </w:p>
    <w:p w14:paraId="5D22DAF4" w14:textId="77777777" w:rsidR="0049688E" w:rsidRPr="002C60EE" w:rsidRDefault="0049688E" w:rsidP="002C4E90">
      <w:pPr>
        <w:rPr>
          <w:rFonts w:eastAsia="Calibri" w:cs="Times New Roman"/>
          <w:szCs w:val="24"/>
        </w:rPr>
      </w:pPr>
      <w:r w:rsidRPr="002C60EE">
        <w:rPr>
          <w:rFonts w:eastAsia="Calibri" w:cs="Times New Roman"/>
          <w:szCs w:val="24"/>
        </w:rPr>
        <w:t>2023. gada 1. pusgadā akcīzes nodokļa alkoholiskajiem dzērieniem (neskaitot alu) ieņēmumi bija 100,8 milj. </w:t>
      </w:r>
      <w:proofErr w:type="spellStart"/>
      <w:r w:rsidRPr="00770C40">
        <w:rPr>
          <w:rFonts w:eastAsia="Calibri" w:cs="Times New Roman"/>
          <w:i/>
          <w:iCs/>
          <w:szCs w:val="24"/>
        </w:rPr>
        <w:t>euro</w:t>
      </w:r>
      <w:proofErr w:type="spellEnd"/>
      <w:r w:rsidRPr="002C60EE">
        <w:rPr>
          <w:rFonts w:eastAsia="Calibri" w:cs="Times New Roman"/>
          <w:szCs w:val="24"/>
        </w:rPr>
        <w:t>. Salīdzinot ar 2022. gada 1. pusgadu, tie pieauga par 2,4 milj. </w:t>
      </w:r>
      <w:proofErr w:type="spellStart"/>
      <w:r w:rsidRPr="00770C40">
        <w:rPr>
          <w:rFonts w:eastAsia="Calibri" w:cs="Times New Roman"/>
          <w:i/>
          <w:iCs/>
          <w:szCs w:val="24"/>
        </w:rPr>
        <w:t>euro</w:t>
      </w:r>
      <w:proofErr w:type="spellEnd"/>
      <w:r w:rsidRPr="002C60EE">
        <w:rPr>
          <w:rFonts w:eastAsia="Calibri" w:cs="Times New Roman"/>
          <w:szCs w:val="24"/>
        </w:rPr>
        <w:t xml:space="preserve"> jeb 2,4 %, bet, salīdzinot ar plānoto, iekasēts par 1,2 milj. </w:t>
      </w:r>
      <w:proofErr w:type="spellStart"/>
      <w:r w:rsidRPr="00770C40">
        <w:rPr>
          <w:rFonts w:eastAsia="Calibri" w:cs="Times New Roman"/>
          <w:i/>
          <w:iCs/>
          <w:szCs w:val="24"/>
        </w:rPr>
        <w:t>euro</w:t>
      </w:r>
      <w:proofErr w:type="spellEnd"/>
      <w:r w:rsidRPr="002C60EE">
        <w:rPr>
          <w:rFonts w:eastAsia="Calibri" w:cs="Times New Roman"/>
          <w:szCs w:val="24"/>
        </w:rPr>
        <w:t xml:space="preserve"> jeb 1,1 % mazāk. </w:t>
      </w:r>
    </w:p>
    <w:p w14:paraId="1D36BD13" w14:textId="77777777" w:rsidR="0049688E" w:rsidRPr="00590467" w:rsidRDefault="0049688E" w:rsidP="0049688E">
      <w:pPr>
        <w:spacing w:before="120"/>
        <w:rPr>
          <w:rFonts w:eastAsia="Calibri" w:cs="Times New Roman"/>
          <w:color w:val="000000" w:themeColor="text1"/>
          <w:szCs w:val="24"/>
        </w:rPr>
      </w:pPr>
      <w:r w:rsidRPr="002C60EE">
        <w:rPr>
          <w:rFonts w:eastAsia="Calibri" w:cs="Times New Roman"/>
          <w:szCs w:val="24"/>
        </w:rPr>
        <w:t>Saskaņā ar VID informāciju 2022. gada decembrī un 2023. gada piecos mēnešos, salīdzinot ar 2021. un 2022. gada attiecīgo periodu, patēriņam nodots par 2,3 % vairāk alkoholisko dzērienu (neskaitot alu). Pārējo alkoholisko dzērienu patēriņš palielinājies par 1,5 %, vīna un raudzēto dzērienu patēriņš palielinājies par 0,7 % un starpproduktu patēriņš samazinājies par 1,1 procentu.</w:t>
      </w:r>
    </w:p>
    <w:p w14:paraId="58005419" w14:textId="77777777" w:rsidR="0049688E" w:rsidRDefault="0049688E" w:rsidP="0049688E">
      <w:pPr>
        <w:spacing w:before="120"/>
        <w:rPr>
          <w:rFonts w:cs="Times New Roman"/>
          <w:color w:val="000000" w:themeColor="text1"/>
        </w:rPr>
      </w:pPr>
      <w:r w:rsidRPr="00590467">
        <w:rPr>
          <w:rFonts w:eastAsia="Calibri" w:cs="Times New Roman"/>
          <w:color w:val="000000" w:themeColor="text1"/>
          <w:szCs w:val="24"/>
        </w:rPr>
        <w:t>2024., 2025. un 2026. gadā plānotā akcīzes nodokļa pieauguma ietekme uz alkoholiskā dzēriena cenu (nodokļu daļas</w:t>
      </w:r>
      <w:r w:rsidRPr="00590467">
        <w:rPr>
          <w:rStyle w:val="FootnoteReference"/>
          <w:rFonts w:eastAsia="Calibri" w:cs="Times New Roman"/>
          <w:color w:val="000000" w:themeColor="text1"/>
          <w:szCs w:val="24"/>
        </w:rPr>
        <w:footnoteReference w:id="35"/>
      </w:r>
      <w:r w:rsidRPr="00590467">
        <w:rPr>
          <w:rFonts w:eastAsia="Calibri" w:cs="Times New Roman"/>
          <w:color w:val="000000" w:themeColor="text1"/>
          <w:szCs w:val="24"/>
        </w:rPr>
        <w:t xml:space="preserve"> pieaugums) litram dzēriena atspoguļota 3.12.</w:t>
      </w:r>
      <w:r>
        <w:rPr>
          <w:rFonts w:eastAsia="Calibri" w:cs="Times New Roman"/>
          <w:color w:val="000000" w:themeColor="text1"/>
          <w:szCs w:val="24"/>
        </w:rPr>
        <w:t> </w:t>
      </w:r>
      <w:r w:rsidRPr="00590467">
        <w:rPr>
          <w:rFonts w:cs="Times New Roman"/>
          <w:color w:val="000000" w:themeColor="text1"/>
        </w:rPr>
        <w:t>tabulā.</w:t>
      </w:r>
    </w:p>
    <w:p w14:paraId="2DC132A1" w14:textId="77777777" w:rsidR="0049688E" w:rsidRPr="00766E72" w:rsidRDefault="0049688E" w:rsidP="0049688E">
      <w:pPr>
        <w:pStyle w:val="Tabulasnosaukums"/>
        <w:spacing w:before="0"/>
      </w:pPr>
      <w:r w:rsidRPr="00766E72">
        <w:lastRenderedPageBreak/>
        <w:t>3.12. tabula. Nodokļu daļas pieaugums alkoholiskajiem dzērieniem (neieskaitot alu)</w:t>
      </w:r>
    </w:p>
    <w:tbl>
      <w:tblPr>
        <w:tblW w:w="8903" w:type="dxa"/>
        <w:tblLook w:val="04A0" w:firstRow="1" w:lastRow="0" w:firstColumn="1" w:lastColumn="0" w:noHBand="0" w:noVBand="1"/>
      </w:tblPr>
      <w:tblGrid>
        <w:gridCol w:w="5437"/>
        <w:gridCol w:w="1166"/>
        <w:gridCol w:w="1166"/>
        <w:gridCol w:w="1166"/>
      </w:tblGrid>
      <w:tr w:rsidR="0049688E" w:rsidRPr="00766E72" w14:paraId="60433CAD" w14:textId="77777777" w:rsidTr="00476C92">
        <w:trPr>
          <w:trHeight w:val="227"/>
        </w:trPr>
        <w:tc>
          <w:tcPr>
            <w:tcW w:w="5437" w:type="dxa"/>
            <w:tcBorders>
              <w:top w:val="single" w:sz="4" w:space="0" w:color="auto"/>
              <w:left w:val="single" w:sz="4" w:space="0" w:color="auto"/>
              <w:bottom w:val="single" w:sz="4" w:space="0" w:color="auto"/>
              <w:right w:val="single" w:sz="4" w:space="0" w:color="000000"/>
            </w:tcBorders>
            <w:shd w:val="clear" w:color="auto" w:fill="B4C6E7" w:themeFill="accent5" w:themeFillTint="66"/>
            <w:noWrap/>
            <w:vAlign w:val="center"/>
            <w:hideMark/>
          </w:tcPr>
          <w:p w14:paraId="67C01AA9" w14:textId="77777777" w:rsidR="0049688E" w:rsidRPr="00766E72" w:rsidRDefault="0049688E" w:rsidP="005D673A">
            <w:pPr>
              <w:pStyle w:val="Tabulasgalvenesrinda"/>
            </w:pPr>
            <w:r w:rsidRPr="00766E72">
              <w:t xml:space="preserve">Nodokļu daļas pieaugums, </w:t>
            </w:r>
            <w:proofErr w:type="spellStart"/>
            <w:r w:rsidRPr="00766E72">
              <w:rPr>
                <w:i/>
              </w:rPr>
              <w:t>euro</w:t>
            </w:r>
            <w:proofErr w:type="spellEnd"/>
            <w:r w:rsidRPr="00766E72">
              <w:t>/litrā</w:t>
            </w:r>
          </w:p>
        </w:tc>
        <w:tc>
          <w:tcPr>
            <w:tcW w:w="1134"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4FCBACDF" w14:textId="77777777" w:rsidR="0049688E" w:rsidRPr="00766E72" w:rsidRDefault="0049688E" w:rsidP="005D673A">
            <w:pPr>
              <w:pStyle w:val="Tabulasgalvenesrinda"/>
            </w:pPr>
            <w:r w:rsidRPr="00766E72">
              <w:t>01.03.2024.</w:t>
            </w:r>
          </w:p>
        </w:tc>
        <w:tc>
          <w:tcPr>
            <w:tcW w:w="1166"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53B3BAEE" w14:textId="77777777" w:rsidR="0049688E" w:rsidRPr="00766E72" w:rsidRDefault="0049688E" w:rsidP="005D673A">
            <w:pPr>
              <w:pStyle w:val="Tabulasgalvenesrinda"/>
            </w:pPr>
            <w:r w:rsidRPr="00766E72">
              <w:t>01.03.2025.</w:t>
            </w:r>
          </w:p>
        </w:tc>
        <w:tc>
          <w:tcPr>
            <w:tcW w:w="1166"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31172716" w14:textId="77777777" w:rsidR="0049688E" w:rsidRPr="00766E72" w:rsidRDefault="0049688E" w:rsidP="005D673A">
            <w:pPr>
              <w:pStyle w:val="Tabulasgalvenesrinda"/>
            </w:pPr>
            <w:r w:rsidRPr="00766E72">
              <w:t>01.03.2026.</w:t>
            </w:r>
          </w:p>
        </w:tc>
      </w:tr>
      <w:tr w:rsidR="0049688E" w:rsidRPr="00766E72" w14:paraId="5D5BE883" w14:textId="77777777" w:rsidTr="00476C92">
        <w:trPr>
          <w:trHeight w:val="227"/>
        </w:trPr>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0E7B8FD8" w14:textId="77777777" w:rsidR="0049688E" w:rsidRPr="00766E72" w:rsidRDefault="0049688E" w:rsidP="00272F14">
            <w:pPr>
              <w:pStyle w:val="Tabulasteksts"/>
              <w:spacing w:after="0"/>
              <w:ind w:left="0"/>
              <w:rPr>
                <w:szCs w:val="18"/>
              </w:rPr>
            </w:pPr>
            <w:r w:rsidRPr="00766E72">
              <w:rPr>
                <w:szCs w:val="18"/>
              </w:rPr>
              <w:t>Raudzētie dzērieni ar absolūtā spirta saturu līdz 6 tilpumprocentiem</w:t>
            </w:r>
          </w:p>
        </w:tc>
        <w:tc>
          <w:tcPr>
            <w:tcW w:w="1134" w:type="dxa"/>
            <w:tcBorders>
              <w:top w:val="nil"/>
              <w:left w:val="nil"/>
              <w:bottom w:val="single" w:sz="4" w:space="0" w:color="auto"/>
              <w:right w:val="single" w:sz="4" w:space="0" w:color="auto"/>
            </w:tcBorders>
            <w:shd w:val="clear" w:color="auto" w:fill="auto"/>
            <w:noWrap/>
            <w:vAlign w:val="center"/>
          </w:tcPr>
          <w:p w14:paraId="354A0086" w14:textId="77777777" w:rsidR="0049688E" w:rsidRPr="00766E72" w:rsidRDefault="0049688E" w:rsidP="00272F14">
            <w:pPr>
              <w:pStyle w:val="Tabulascipari"/>
              <w:keepNext/>
              <w:keepLines/>
              <w:spacing w:after="0"/>
              <w:ind w:left="0"/>
              <w:rPr>
                <w:szCs w:val="18"/>
              </w:rPr>
            </w:pPr>
            <w:r w:rsidRPr="00766E72">
              <w:rPr>
                <w:szCs w:val="18"/>
              </w:rPr>
              <w:t>0,07</w:t>
            </w:r>
          </w:p>
        </w:tc>
        <w:tc>
          <w:tcPr>
            <w:tcW w:w="1166" w:type="dxa"/>
            <w:tcBorders>
              <w:top w:val="nil"/>
              <w:left w:val="nil"/>
              <w:bottom w:val="single" w:sz="4" w:space="0" w:color="auto"/>
              <w:right w:val="single" w:sz="4" w:space="0" w:color="auto"/>
            </w:tcBorders>
            <w:shd w:val="clear" w:color="auto" w:fill="auto"/>
            <w:noWrap/>
            <w:vAlign w:val="center"/>
          </w:tcPr>
          <w:p w14:paraId="7302F137" w14:textId="77777777" w:rsidR="0049688E" w:rsidRPr="00766E72" w:rsidRDefault="0049688E" w:rsidP="00272F14">
            <w:pPr>
              <w:pStyle w:val="Tabulascipari"/>
              <w:keepNext/>
              <w:keepLines/>
              <w:spacing w:after="0"/>
              <w:ind w:left="0"/>
              <w:rPr>
                <w:szCs w:val="18"/>
              </w:rPr>
            </w:pPr>
            <w:r w:rsidRPr="00766E72">
              <w:rPr>
                <w:szCs w:val="18"/>
              </w:rPr>
              <w:t>0,08</w:t>
            </w:r>
          </w:p>
        </w:tc>
        <w:tc>
          <w:tcPr>
            <w:tcW w:w="1166" w:type="dxa"/>
            <w:tcBorders>
              <w:top w:val="nil"/>
              <w:left w:val="nil"/>
              <w:bottom w:val="single" w:sz="4" w:space="0" w:color="auto"/>
              <w:right w:val="single" w:sz="4" w:space="0" w:color="auto"/>
            </w:tcBorders>
            <w:shd w:val="clear" w:color="auto" w:fill="auto"/>
            <w:noWrap/>
            <w:vAlign w:val="center"/>
          </w:tcPr>
          <w:p w14:paraId="52ECB155" w14:textId="77777777" w:rsidR="0049688E" w:rsidRPr="00766E72" w:rsidRDefault="0049688E" w:rsidP="00272F14">
            <w:pPr>
              <w:pStyle w:val="Tabulascipari"/>
              <w:keepNext/>
              <w:keepLines/>
              <w:spacing w:after="0"/>
              <w:ind w:left="0"/>
              <w:rPr>
                <w:szCs w:val="18"/>
              </w:rPr>
            </w:pPr>
            <w:r w:rsidRPr="00766E72">
              <w:rPr>
                <w:szCs w:val="18"/>
              </w:rPr>
              <w:t>0,10</w:t>
            </w:r>
          </w:p>
        </w:tc>
      </w:tr>
      <w:tr w:rsidR="0049688E" w:rsidRPr="00766E72" w14:paraId="5F49A05C" w14:textId="77777777" w:rsidTr="00476C92">
        <w:trPr>
          <w:trHeight w:val="397"/>
        </w:trPr>
        <w:tc>
          <w:tcPr>
            <w:tcW w:w="5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3D33E" w14:textId="77777777" w:rsidR="0049688E" w:rsidRPr="00766E72" w:rsidRDefault="0049688E" w:rsidP="00272F14">
            <w:pPr>
              <w:pStyle w:val="Tabulasteksts"/>
              <w:spacing w:after="0"/>
              <w:ind w:left="0"/>
              <w:rPr>
                <w:szCs w:val="18"/>
              </w:rPr>
            </w:pPr>
            <w:r w:rsidRPr="00766E72">
              <w:rPr>
                <w:szCs w:val="18"/>
              </w:rPr>
              <w:t>Vīns, raudzētie dzērieni ar absolūtā spirta saturu virs 6 tilpumprocentiem un starpprodukti ar absolūtā spirta saturu līdz 15 tilpumprocentiem</w:t>
            </w:r>
          </w:p>
        </w:tc>
        <w:tc>
          <w:tcPr>
            <w:tcW w:w="1134" w:type="dxa"/>
            <w:tcBorders>
              <w:top w:val="nil"/>
              <w:left w:val="nil"/>
              <w:bottom w:val="single" w:sz="4" w:space="0" w:color="auto"/>
              <w:right w:val="single" w:sz="4" w:space="0" w:color="auto"/>
            </w:tcBorders>
            <w:shd w:val="clear" w:color="auto" w:fill="auto"/>
            <w:noWrap/>
            <w:vAlign w:val="center"/>
            <w:hideMark/>
          </w:tcPr>
          <w:p w14:paraId="09FBA959" w14:textId="77777777" w:rsidR="0049688E" w:rsidRPr="00766E72" w:rsidRDefault="0049688E" w:rsidP="00272F14">
            <w:pPr>
              <w:pStyle w:val="Tabulascipari"/>
              <w:keepNext/>
              <w:keepLines/>
              <w:spacing w:after="0"/>
              <w:ind w:left="0"/>
              <w:rPr>
                <w:szCs w:val="18"/>
              </w:rPr>
            </w:pPr>
            <w:r w:rsidRPr="00766E72">
              <w:rPr>
                <w:szCs w:val="18"/>
              </w:rPr>
              <w:t>0,13</w:t>
            </w:r>
          </w:p>
        </w:tc>
        <w:tc>
          <w:tcPr>
            <w:tcW w:w="1166" w:type="dxa"/>
            <w:tcBorders>
              <w:top w:val="nil"/>
              <w:left w:val="nil"/>
              <w:bottom w:val="single" w:sz="4" w:space="0" w:color="auto"/>
              <w:right w:val="single" w:sz="4" w:space="0" w:color="auto"/>
            </w:tcBorders>
            <w:shd w:val="clear" w:color="auto" w:fill="auto"/>
            <w:noWrap/>
            <w:vAlign w:val="center"/>
            <w:hideMark/>
          </w:tcPr>
          <w:p w14:paraId="169C7B2C" w14:textId="77777777" w:rsidR="0049688E" w:rsidRPr="00766E72" w:rsidRDefault="0049688E" w:rsidP="00272F14">
            <w:pPr>
              <w:pStyle w:val="Tabulascipari"/>
              <w:keepNext/>
              <w:keepLines/>
              <w:spacing w:after="0"/>
              <w:ind w:left="0"/>
              <w:rPr>
                <w:szCs w:val="18"/>
              </w:rPr>
            </w:pPr>
            <w:r w:rsidRPr="00766E72">
              <w:rPr>
                <w:szCs w:val="18"/>
              </w:rPr>
              <w:t>0,15</w:t>
            </w:r>
          </w:p>
        </w:tc>
        <w:tc>
          <w:tcPr>
            <w:tcW w:w="1166" w:type="dxa"/>
            <w:tcBorders>
              <w:top w:val="nil"/>
              <w:left w:val="nil"/>
              <w:bottom w:val="single" w:sz="4" w:space="0" w:color="auto"/>
              <w:right w:val="single" w:sz="4" w:space="0" w:color="auto"/>
            </w:tcBorders>
            <w:shd w:val="clear" w:color="auto" w:fill="auto"/>
            <w:noWrap/>
            <w:vAlign w:val="center"/>
            <w:hideMark/>
          </w:tcPr>
          <w:p w14:paraId="0C2E1789" w14:textId="77777777" w:rsidR="0049688E" w:rsidRPr="00766E72" w:rsidRDefault="0049688E" w:rsidP="00272F14">
            <w:pPr>
              <w:pStyle w:val="Tabulascipari"/>
              <w:keepNext/>
              <w:keepLines/>
              <w:spacing w:after="0"/>
              <w:ind w:left="0"/>
              <w:rPr>
                <w:szCs w:val="18"/>
              </w:rPr>
            </w:pPr>
            <w:r w:rsidRPr="00766E72">
              <w:rPr>
                <w:szCs w:val="18"/>
              </w:rPr>
              <w:t>0,17</w:t>
            </w:r>
          </w:p>
        </w:tc>
      </w:tr>
      <w:tr w:rsidR="0049688E" w:rsidRPr="00766E72" w14:paraId="6A947991" w14:textId="77777777" w:rsidTr="00476C92">
        <w:trPr>
          <w:trHeight w:val="227"/>
        </w:trPr>
        <w:tc>
          <w:tcPr>
            <w:tcW w:w="5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9CF1A" w14:textId="77777777" w:rsidR="0049688E" w:rsidRPr="00766E72" w:rsidRDefault="0049688E" w:rsidP="00272F14">
            <w:pPr>
              <w:pStyle w:val="Tabulasteksts"/>
              <w:spacing w:after="0"/>
              <w:ind w:left="0"/>
              <w:rPr>
                <w:szCs w:val="18"/>
                <w:highlight w:val="yellow"/>
              </w:rPr>
            </w:pPr>
            <w:r w:rsidRPr="00766E72">
              <w:rPr>
                <w:szCs w:val="18"/>
              </w:rPr>
              <w:t>Starpprodukti ar absolūtā spirta saturu no 15 līdz 22 tilpumprocentiem</w:t>
            </w:r>
          </w:p>
        </w:tc>
        <w:tc>
          <w:tcPr>
            <w:tcW w:w="1134" w:type="dxa"/>
            <w:tcBorders>
              <w:top w:val="nil"/>
              <w:left w:val="nil"/>
              <w:bottom w:val="single" w:sz="4" w:space="0" w:color="auto"/>
              <w:right w:val="single" w:sz="4" w:space="0" w:color="auto"/>
            </w:tcBorders>
            <w:shd w:val="clear" w:color="auto" w:fill="auto"/>
            <w:noWrap/>
            <w:vAlign w:val="center"/>
            <w:hideMark/>
          </w:tcPr>
          <w:p w14:paraId="75AADE93" w14:textId="77777777" w:rsidR="0049688E" w:rsidRPr="00766E72" w:rsidRDefault="0049688E" w:rsidP="00272F14">
            <w:pPr>
              <w:pStyle w:val="Tabulascipari"/>
              <w:keepNext/>
              <w:keepLines/>
              <w:spacing w:after="0"/>
              <w:ind w:left="0"/>
              <w:rPr>
                <w:szCs w:val="18"/>
              </w:rPr>
            </w:pPr>
            <w:r w:rsidRPr="00766E72">
              <w:rPr>
                <w:szCs w:val="18"/>
              </w:rPr>
              <w:t>0,22</w:t>
            </w:r>
          </w:p>
        </w:tc>
        <w:tc>
          <w:tcPr>
            <w:tcW w:w="1166" w:type="dxa"/>
            <w:tcBorders>
              <w:top w:val="nil"/>
              <w:left w:val="nil"/>
              <w:bottom w:val="single" w:sz="4" w:space="0" w:color="auto"/>
              <w:right w:val="single" w:sz="4" w:space="0" w:color="auto"/>
            </w:tcBorders>
            <w:shd w:val="clear" w:color="auto" w:fill="auto"/>
            <w:noWrap/>
            <w:vAlign w:val="center"/>
            <w:hideMark/>
          </w:tcPr>
          <w:p w14:paraId="3729AE34" w14:textId="77777777" w:rsidR="0049688E" w:rsidRPr="00766E72" w:rsidRDefault="0049688E" w:rsidP="00272F14">
            <w:pPr>
              <w:pStyle w:val="Tabulascipari"/>
              <w:keepNext/>
              <w:keepLines/>
              <w:spacing w:after="0"/>
              <w:ind w:left="0"/>
              <w:rPr>
                <w:szCs w:val="18"/>
              </w:rPr>
            </w:pPr>
            <w:r w:rsidRPr="00766E72">
              <w:rPr>
                <w:szCs w:val="18"/>
              </w:rPr>
              <w:t>0,23</w:t>
            </w:r>
          </w:p>
        </w:tc>
        <w:tc>
          <w:tcPr>
            <w:tcW w:w="1166" w:type="dxa"/>
            <w:tcBorders>
              <w:top w:val="nil"/>
              <w:left w:val="nil"/>
              <w:bottom w:val="single" w:sz="4" w:space="0" w:color="auto"/>
              <w:right w:val="single" w:sz="4" w:space="0" w:color="auto"/>
            </w:tcBorders>
            <w:shd w:val="clear" w:color="auto" w:fill="auto"/>
            <w:noWrap/>
            <w:vAlign w:val="center"/>
            <w:hideMark/>
          </w:tcPr>
          <w:p w14:paraId="550CE405" w14:textId="77777777" w:rsidR="0049688E" w:rsidRPr="00766E72" w:rsidRDefault="0049688E" w:rsidP="00272F14">
            <w:pPr>
              <w:pStyle w:val="Tabulascipari"/>
              <w:keepNext/>
              <w:keepLines/>
              <w:spacing w:after="0"/>
              <w:ind w:left="0"/>
              <w:rPr>
                <w:szCs w:val="18"/>
              </w:rPr>
            </w:pPr>
            <w:r w:rsidRPr="00766E72">
              <w:rPr>
                <w:szCs w:val="18"/>
              </w:rPr>
              <w:t>0,27</w:t>
            </w:r>
          </w:p>
        </w:tc>
      </w:tr>
      <w:tr w:rsidR="0049688E" w:rsidRPr="00766E72" w14:paraId="310067A9" w14:textId="77777777" w:rsidTr="00476C92">
        <w:trPr>
          <w:trHeight w:val="227"/>
        </w:trPr>
        <w:tc>
          <w:tcPr>
            <w:tcW w:w="5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8A324" w14:textId="77777777" w:rsidR="0049688E" w:rsidRPr="00766E72" w:rsidRDefault="0049688E" w:rsidP="00272F14">
            <w:pPr>
              <w:pStyle w:val="Tabulasteksts"/>
              <w:spacing w:after="0"/>
              <w:ind w:left="0"/>
              <w:rPr>
                <w:szCs w:val="18"/>
              </w:rPr>
            </w:pPr>
            <w:r w:rsidRPr="00766E72">
              <w:rPr>
                <w:szCs w:val="18"/>
              </w:rPr>
              <w:t xml:space="preserve">Spirts un </w:t>
            </w:r>
            <w:bookmarkStart w:id="97" w:name="_Hlk148433772"/>
            <w:r w:rsidRPr="00766E72">
              <w:rPr>
                <w:szCs w:val="18"/>
              </w:rPr>
              <w:t>pārējie alkoholiskie dzērieni</w:t>
            </w:r>
            <w:bookmarkEnd w:id="97"/>
            <w:r w:rsidRPr="00766E72">
              <w:rPr>
                <w:szCs w:val="18"/>
                <w:vertAlign w:val="superscript"/>
              </w:rPr>
              <w:t>1</w:t>
            </w:r>
          </w:p>
        </w:tc>
        <w:tc>
          <w:tcPr>
            <w:tcW w:w="1134" w:type="dxa"/>
            <w:tcBorders>
              <w:top w:val="nil"/>
              <w:left w:val="nil"/>
              <w:bottom w:val="single" w:sz="4" w:space="0" w:color="auto"/>
              <w:right w:val="single" w:sz="4" w:space="0" w:color="auto"/>
            </w:tcBorders>
            <w:shd w:val="clear" w:color="auto" w:fill="auto"/>
            <w:noWrap/>
            <w:vAlign w:val="center"/>
            <w:hideMark/>
          </w:tcPr>
          <w:p w14:paraId="2F677266" w14:textId="77777777" w:rsidR="0049688E" w:rsidRPr="00766E72" w:rsidRDefault="0049688E" w:rsidP="00272F14">
            <w:pPr>
              <w:pStyle w:val="Tabulascipari"/>
              <w:keepNext/>
              <w:keepLines/>
              <w:spacing w:after="0"/>
              <w:ind w:left="0"/>
              <w:rPr>
                <w:szCs w:val="18"/>
              </w:rPr>
            </w:pPr>
            <w:r w:rsidRPr="00766E72">
              <w:rPr>
                <w:szCs w:val="18"/>
              </w:rPr>
              <w:t>0,42</w:t>
            </w:r>
          </w:p>
        </w:tc>
        <w:tc>
          <w:tcPr>
            <w:tcW w:w="1166" w:type="dxa"/>
            <w:tcBorders>
              <w:top w:val="nil"/>
              <w:left w:val="nil"/>
              <w:bottom w:val="single" w:sz="4" w:space="0" w:color="auto"/>
              <w:right w:val="single" w:sz="4" w:space="0" w:color="auto"/>
            </w:tcBorders>
            <w:shd w:val="clear" w:color="auto" w:fill="auto"/>
            <w:noWrap/>
            <w:vAlign w:val="center"/>
            <w:hideMark/>
          </w:tcPr>
          <w:p w14:paraId="2E9C701F" w14:textId="77777777" w:rsidR="0049688E" w:rsidRPr="00766E72" w:rsidRDefault="0049688E" w:rsidP="00272F14">
            <w:pPr>
              <w:pStyle w:val="Tabulascipari"/>
              <w:keepNext/>
              <w:keepLines/>
              <w:spacing w:after="0"/>
              <w:ind w:left="0"/>
              <w:rPr>
                <w:szCs w:val="18"/>
              </w:rPr>
            </w:pPr>
            <w:r w:rsidRPr="00766E72">
              <w:rPr>
                <w:szCs w:val="18"/>
              </w:rPr>
              <w:t>0,44</w:t>
            </w:r>
          </w:p>
        </w:tc>
        <w:tc>
          <w:tcPr>
            <w:tcW w:w="1166" w:type="dxa"/>
            <w:tcBorders>
              <w:top w:val="nil"/>
              <w:left w:val="nil"/>
              <w:bottom w:val="single" w:sz="4" w:space="0" w:color="auto"/>
              <w:right w:val="single" w:sz="4" w:space="0" w:color="auto"/>
            </w:tcBorders>
            <w:shd w:val="clear" w:color="auto" w:fill="auto"/>
            <w:noWrap/>
            <w:vAlign w:val="center"/>
            <w:hideMark/>
          </w:tcPr>
          <w:p w14:paraId="42863086" w14:textId="77777777" w:rsidR="0049688E" w:rsidRPr="00766E72" w:rsidRDefault="0049688E" w:rsidP="00272F14">
            <w:pPr>
              <w:pStyle w:val="Tabulascipari"/>
              <w:keepNext/>
              <w:keepLines/>
              <w:spacing w:after="0"/>
              <w:ind w:left="0"/>
              <w:rPr>
                <w:szCs w:val="18"/>
              </w:rPr>
            </w:pPr>
            <w:r w:rsidRPr="00766E72">
              <w:rPr>
                <w:szCs w:val="18"/>
              </w:rPr>
              <w:t>0,46</w:t>
            </w:r>
          </w:p>
        </w:tc>
      </w:tr>
    </w:tbl>
    <w:p w14:paraId="77959635" w14:textId="77777777" w:rsidR="0049688E" w:rsidRDefault="0049688E" w:rsidP="006B48E2">
      <w:pPr>
        <w:pStyle w:val="Piezme"/>
      </w:pPr>
      <w:r w:rsidRPr="00766E72">
        <w:rPr>
          <w:color w:val="000000" w:themeColor="text1"/>
          <w:vertAlign w:val="superscript"/>
        </w:rPr>
        <w:t>1</w:t>
      </w:r>
      <w:r w:rsidRPr="00766E72">
        <w:rPr>
          <w:color w:val="000000" w:themeColor="text1"/>
        </w:rPr>
        <w:t> Aprēķins veikts</w:t>
      </w:r>
      <w:r w:rsidRPr="00766E72">
        <w:t xml:space="preserve"> alkoholiskajiem dzērieniem ar absolūtā spirta saturu 40 tilpumprocenti</w:t>
      </w:r>
    </w:p>
    <w:p w14:paraId="24D49A2C" w14:textId="77777777" w:rsidR="002C4E90" w:rsidRDefault="002C4E90" w:rsidP="0049688E">
      <w:pPr>
        <w:pStyle w:val="Piezme"/>
      </w:pPr>
    </w:p>
    <w:p w14:paraId="63F9E4F7" w14:textId="77777777" w:rsidR="002C4E90" w:rsidRDefault="002C4E90" w:rsidP="002C4E90">
      <w:pPr>
        <w:contextualSpacing/>
        <w:rPr>
          <w:rFonts w:eastAsia="Calibri" w:cs="Times New Roman"/>
          <w:szCs w:val="24"/>
        </w:rPr>
      </w:pPr>
      <w:r w:rsidRPr="002C60EE">
        <w:rPr>
          <w:rFonts w:eastAsia="Calibri" w:cs="Times New Roman"/>
          <w:szCs w:val="24"/>
        </w:rPr>
        <w:t>Akcīzes nodokļa</w:t>
      </w:r>
      <w:r>
        <w:rPr>
          <w:rFonts w:eastAsia="Calibri" w:cs="Times New Roman"/>
          <w:szCs w:val="24"/>
        </w:rPr>
        <w:t xml:space="preserve"> </w:t>
      </w:r>
      <w:r w:rsidRPr="002C60EE">
        <w:rPr>
          <w:rFonts w:eastAsia="Calibri" w:cs="Times New Roman"/>
          <w:szCs w:val="24"/>
        </w:rPr>
        <w:t>likmes alkoholiskajiem dzērieniem paredzēts paaugstināt arī kaimiņvalstīs, t.sk. Igaunijā tās plānots paaugstināt 2024., 2025. un 2026. gadā, bet Lietuvā paaugstinājums paredzēts tikai 2024. gadā. Tā rezultātā Latvijā akcīzes nodokļa likmes visiem alkoholisko dzērienu veidiem, izņemot raudzētos dzērienus ar absolūtā spirta saturu līdz 6</w:t>
      </w:r>
      <w:r>
        <w:rPr>
          <w:rFonts w:eastAsia="Calibri" w:cs="Times New Roman"/>
          <w:szCs w:val="24"/>
        </w:rPr>
        <w:t> </w:t>
      </w:r>
      <w:r w:rsidRPr="002C60EE">
        <w:rPr>
          <w:rFonts w:eastAsia="Calibri" w:cs="Times New Roman"/>
          <w:szCs w:val="24"/>
        </w:rPr>
        <w:t xml:space="preserve">tilpumprocentiem, arī nākamajos trīs gados joprojām būs zemākās Baltijā. </w:t>
      </w:r>
    </w:p>
    <w:p w14:paraId="05385198" w14:textId="135878C4" w:rsidR="0049688E" w:rsidRDefault="002C4E90" w:rsidP="00272F14">
      <w:pPr>
        <w:contextualSpacing/>
        <w:rPr>
          <w:rFonts w:eastAsia="Calibri" w:cs="Times New Roman"/>
          <w:szCs w:val="24"/>
        </w:rPr>
      </w:pPr>
      <w:r w:rsidRPr="002C60EE">
        <w:rPr>
          <w:rFonts w:eastAsia="Calibri" w:cs="Times New Roman"/>
          <w:szCs w:val="24"/>
        </w:rPr>
        <w:t>Saskaņā ar likumprojektu “Par valsts budžetu 2024. gadam un budžeta ietvaru 2024., 2025. un 2026. gadam” akcīzes nodokļa alkoholiskajiem dzērieniem ieņēmumi 2024. gadā tiek plānoti 230,8 milj.</w:t>
      </w:r>
      <w:r>
        <w:rPr>
          <w:rFonts w:eastAsia="Calibri" w:cs="Times New Roman"/>
          <w:szCs w:val="24"/>
        </w:rPr>
        <w:t> </w:t>
      </w:r>
      <w:proofErr w:type="spellStart"/>
      <w:r w:rsidRPr="00770C40">
        <w:rPr>
          <w:rFonts w:eastAsia="Calibri" w:cs="Times New Roman"/>
          <w:i/>
          <w:iCs/>
          <w:szCs w:val="24"/>
        </w:rPr>
        <w:t>euro</w:t>
      </w:r>
      <w:proofErr w:type="spellEnd"/>
      <w:r w:rsidRPr="002C60EE">
        <w:rPr>
          <w:rFonts w:eastAsia="Calibri" w:cs="Times New Roman"/>
          <w:szCs w:val="24"/>
        </w:rPr>
        <w:t>, 2025. gadā 250,9 milj. </w:t>
      </w:r>
      <w:proofErr w:type="spellStart"/>
      <w:r w:rsidRPr="00770C40">
        <w:rPr>
          <w:rFonts w:eastAsia="Calibri" w:cs="Times New Roman"/>
          <w:i/>
          <w:iCs/>
          <w:szCs w:val="24"/>
        </w:rPr>
        <w:t>euro</w:t>
      </w:r>
      <w:proofErr w:type="spellEnd"/>
      <w:r w:rsidRPr="002C60EE">
        <w:rPr>
          <w:rFonts w:eastAsia="Calibri" w:cs="Times New Roman"/>
          <w:szCs w:val="24"/>
        </w:rPr>
        <w:t>, bet 2026. gadā 272,2 milj. </w:t>
      </w:r>
      <w:proofErr w:type="spellStart"/>
      <w:r w:rsidRPr="00770C40">
        <w:rPr>
          <w:rFonts w:eastAsia="Calibri" w:cs="Times New Roman"/>
          <w:i/>
          <w:iCs/>
          <w:szCs w:val="24"/>
        </w:rPr>
        <w:t>euro</w:t>
      </w:r>
      <w:proofErr w:type="spellEnd"/>
      <w:r w:rsidRPr="002C60EE">
        <w:rPr>
          <w:rFonts w:eastAsia="Calibri" w:cs="Times New Roman"/>
          <w:szCs w:val="24"/>
        </w:rPr>
        <w:t xml:space="preserve"> apmērā.</w:t>
      </w:r>
    </w:p>
    <w:p w14:paraId="09CFD5C2" w14:textId="77777777" w:rsidR="00272F14" w:rsidRPr="002C4E90" w:rsidRDefault="00272F14" w:rsidP="00272F14">
      <w:pPr>
        <w:spacing w:after="240"/>
        <w:contextualSpacing/>
        <w:rPr>
          <w:rFonts w:eastAsia="Calibri" w:cs="Times New Roman"/>
          <w:szCs w:val="24"/>
        </w:rPr>
      </w:pPr>
    </w:p>
    <w:p w14:paraId="06084D5D" w14:textId="77777777" w:rsidR="007E409E" w:rsidRPr="00272F14" w:rsidRDefault="007E409E" w:rsidP="00C15F73">
      <w:pPr>
        <w:keepNext/>
        <w:keepLines/>
        <w:spacing w:before="240" w:after="240"/>
        <w:ind w:firstLine="0"/>
        <w:jc w:val="center"/>
        <w:outlineLvl w:val="4"/>
        <w:rPr>
          <w:rFonts w:eastAsia="Times New Roman" w:cs="Times New Roman"/>
          <w:b/>
          <w:iCs/>
          <w:szCs w:val="18"/>
          <w:lang w:eastAsia="en-US"/>
        </w:rPr>
      </w:pPr>
      <w:r w:rsidRPr="00272F14">
        <w:rPr>
          <w:rFonts w:eastAsia="Times New Roman" w:cs="Times New Roman"/>
          <w:b/>
          <w:iCs/>
          <w:szCs w:val="18"/>
          <w:lang w:eastAsia="en-US"/>
        </w:rPr>
        <w:t>Akcīzes nodoklis alum</w:t>
      </w:r>
    </w:p>
    <w:p w14:paraId="5D4764A9" w14:textId="77777777" w:rsidR="002C4E90" w:rsidRPr="00FA0049" w:rsidRDefault="002C4E90" w:rsidP="002C4E90">
      <w:pPr>
        <w:spacing w:before="120"/>
        <w:rPr>
          <w:rFonts w:eastAsia="Calibri" w:cs="Times New Roman"/>
          <w:szCs w:val="24"/>
        </w:rPr>
      </w:pPr>
      <w:r w:rsidRPr="00FA0049">
        <w:rPr>
          <w:rFonts w:eastAsia="Calibri" w:cs="Times New Roman"/>
          <w:szCs w:val="24"/>
        </w:rPr>
        <w:t>2023. gada 1. pusgadā akcīzes nodokļa alum ieņēmumi bija 22,2 milj. </w:t>
      </w:r>
      <w:proofErr w:type="spellStart"/>
      <w:r w:rsidRPr="00770C40">
        <w:rPr>
          <w:rFonts w:eastAsia="Calibri" w:cs="Times New Roman"/>
          <w:i/>
          <w:iCs/>
          <w:szCs w:val="24"/>
        </w:rPr>
        <w:t>euro</w:t>
      </w:r>
      <w:proofErr w:type="spellEnd"/>
      <w:r w:rsidRPr="00FA0049">
        <w:rPr>
          <w:rFonts w:eastAsia="Calibri" w:cs="Times New Roman"/>
          <w:szCs w:val="24"/>
        </w:rPr>
        <w:t>. Salīdzinot ar 2022. gada 1. pusgadu, tie samazinājās par 1,3 milj. </w:t>
      </w:r>
      <w:proofErr w:type="spellStart"/>
      <w:r w:rsidRPr="00770C40">
        <w:rPr>
          <w:rFonts w:eastAsia="Calibri" w:cs="Times New Roman"/>
          <w:i/>
          <w:iCs/>
          <w:szCs w:val="24"/>
        </w:rPr>
        <w:t>euro</w:t>
      </w:r>
      <w:proofErr w:type="spellEnd"/>
      <w:r w:rsidRPr="00FA0049">
        <w:rPr>
          <w:rFonts w:eastAsia="Calibri" w:cs="Times New Roman"/>
          <w:szCs w:val="24"/>
        </w:rPr>
        <w:t xml:space="preserve"> jeb 5,6</w:t>
      </w:r>
      <w:r>
        <w:rPr>
          <w:rFonts w:eastAsia="Calibri" w:cs="Times New Roman"/>
          <w:szCs w:val="24"/>
        </w:rPr>
        <w:t> </w:t>
      </w:r>
      <w:r w:rsidRPr="00FA0049">
        <w:rPr>
          <w:rFonts w:eastAsia="Calibri" w:cs="Times New Roman"/>
          <w:szCs w:val="24"/>
        </w:rPr>
        <w:t>%, bet, salīdzinot ar plānoto, iekasēts par 1,4 milj. </w:t>
      </w:r>
      <w:proofErr w:type="spellStart"/>
      <w:r w:rsidRPr="00770C40">
        <w:rPr>
          <w:rFonts w:eastAsia="Calibri" w:cs="Times New Roman"/>
          <w:i/>
          <w:iCs/>
          <w:szCs w:val="24"/>
        </w:rPr>
        <w:t>euro</w:t>
      </w:r>
      <w:proofErr w:type="spellEnd"/>
      <w:r w:rsidRPr="00FA0049">
        <w:rPr>
          <w:rFonts w:eastAsia="Calibri" w:cs="Times New Roman"/>
          <w:szCs w:val="24"/>
        </w:rPr>
        <w:t xml:space="preserve"> jeb 5,8 % mazāk. Saskaņā ar VID informāciju alus patēriņš 2022. gada decembrī un 2023. gada piecos mēnešos, salīdzinot ar 2021. un 2022. gada attiecīgo periodu, samazinājās par 4,9 procentiem. </w:t>
      </w:r>
    </w:p>
    <w:p w14:paraId="16ED94B8" w14:textId="77777777" w:rsidR="002C4E90" w:rsidRPr="00EC49B3" w:rsidRDefault="002C4E90" w:rsidP="002C4E90">
      <w:pPr>
        <w:spacing w:before="120"/>
        <w:rPr>
          <w:rFonts w:eastAsia="Calibri" w:cs="Times New Roman"/>
          <w:szCs w:val="24"/>
        </w:rPr>
      </w:pPr>
      <w:r w:rsidRPr="00FA0049">
        <w:rPr>
          <w:rFonts w:eastAsia="Calibri" w:cs="Times New Roman"/>
          <w:szCs w:val="24"/>
        </w:rPr>
        <w:t>Plānotā akcīzes nodokļa pieauguma ietekme uz alus cenu</w:t>
      </w:r>
      <w:r>
        <w:rPr>
          <w:rFonts w:eastAsia="Calibri" w:cs="Times New Roman"/>
          <w:szCs w:val="24"/>
        </w:rPr>
        <w:t xml:space="preserve"> </w:t>
      </w:r>
      <w:r w:rsidRPr="00FA0049">
        <w:rPr>
          <w:rFonts w:eastAsia="Calibri" w:cs="Times New Roman"/>
          <w:szCs w:val="24"/>
        </w:rPr>
        <w:t>(nodokļu daļas pieaugums</w:t>
      </w:r>
      <w:r w:rsidRPr="00590467">
        <w:rPr>
          <w:rFonts w:eastAsia="Calibri" w:cs="Times New Roman"/>
          <w:szCs w:val="24"/>
        </w:rPr>
        <w:t xml:space="preserve"> </w:t>
      </w:r>
      <w:r w:rsidRPr="00FA0049">
        <w:rPr>
          <w:rFonts w:eastAsia="Calibri" w:cs="Times New Roman"/>
          <w:szCs w:val="24"/>
        </w:rPr>
        <w:t>viena</w:t>
      </w:r>
      <w:r>
        <w:rPr>
          <w:rFonts w:eastAsia="Calibri" w:cs="Times New Roman"/>
          <w:szCs w:val="24"/>
        </w:rPr>
        <w:t>m</w:t>
      </w:r>
      <w:r w:rsidRPr="00FA0049">
        <w:rPr>
          <w:rFonts w:eastAsia="Calibri" w:cs="Times New Roman"/>
          <w:szCs w:val="24"/>
        </w:rPr>
        <w:t xml:space="preserve"> litra</w:t>
      </w:r>
      <w:r>
        <w:rPr>
          <w:rFonts w:eastAsia="Calibri" w:cs="Times New Roman"/>
          <w:szCs w:val="24"/>
        </w:rPr>
        <w:t>m; aprēķins veikts a</w:t>
      </w:r>
      <w:r w:rsidRPr="004A3242">
        <w:rPr>
          <w:rFonts w:eastAsia="Calibri" w:cs="Times New Roman"/>
          <w:szCs w:val="24"/>
        </w:rPr>
        <w:t>lu</w:t>
      </w:r>
      <w:r>
        <w:rPr>
          <w:rFonts w:eastAsia="Calibri" w:cs="Times New Roman"/>
          <w:szCs w:val="24"/>
        </w:rPr>
        <w:t>m</w:t>
      </w:r>
      <w:r w:rsidRPr="004A3242">
        <w:rPr>
          <w:rFonts w:eastAsia="Calibri" w:cs="Times New Roman"/>
          <w:szCs w:val="24"/>
        </w:rPr>
        <w:t xml:space="preserve"> ar absolūtā spirta saturu 5,2</w:t>
      </w:r>
      <w:r>
        <w:rPr>
          <w:rFonts w:eastAsia="Calibri" w:cs="Times New Roman"/>
          <w:szCs w:val="24"/>
        </w:rPr>
        <w:t> </w:t>
      </w:r>
      <w:r w:rsidRPr="004A3242">
        <w:rPr>
          <w:rFonts w:eastAsia="Calibri" w:cs="Times New Roman"/>
          <w:szCs w:val="24"/>
        </w:rPr>
        <w:t>tilpumprocenti</w:t>
      </w:r>
      <w:r w:rsidRPr="00FA0049">
        <w:rPr>
          <w:rFonts w:eastAsia="Calibri" w:cs="Times New Roman"/>
          <w:szCs w:val="24"/>
        </w:rPr>
        <w:t>) 2024.</w:t>
      </w:r>
      <w:r>
        <w:rPr>
          <w:rFonts w:eastAsia="Calibri" w:cs="Times New Roman"/>
          <w:szCs w:val="24"/>
        </w:rPr>
        <w:t xml:space="preserve"> </w:t>
      </w:r>
      <w:r w:rsidRPr="00FA0049">
        <w:rPr>
          <w:rFonts w:eastAsia="Calibri" w:cs="Times New Roman"/>
          <w:szCs w:val="24"/>
        </w:rPr>
        <w:t xml:space="preserve">un 2025. gadā </w:t>
      </w:r>
      <w:r w:rsidRPr="00770C40">
        <w:rPr>
          <w:rFonts w:eastAsia="Calibri" w:cs="Times New Roman"/>
          <w:szCs w:val="24"/>
        </w:rPr>
        <w:t>būs 0,05 </w:t>
      </w:r>
      <w:proofErr w:type="spellStart"/>
      <w:r w:rsidRPr="00770C40">
        <w:rPr>
          <w:rFonts w:eastAsia="Calibri" w:cs="Times New Roman"/>
          <w:i/>
          <w:szCs w:val="24"/>
        </w:rPr>
        <w:t>euro</w:t>
      </w:r>
      <w:proofErr w:type="spellEnd"/>
      <w:r w:rsidRPr="00770C40">
        <w:rPr>
          <w:rFonts w:eastAsia="Calibri" w:cs="Times New Roman"/>
          <w:szCs w:val="24"/>
        </w:rPr>
        <w:t xml:space="preserve"> litrā, bet 2026. gadā 0,06 </w:t>
      </w:r>
      <w:proofErr w:type="spellStart"/>
      <w:r w:rsidRPr="00770C40">
        <w:rPr>
          <w:rFonts w:eastAsia="Calibri" w:cs="Times New Roman"/>
          <w:i/>
          <w:szCs w:val="24"/>
        </w:rPr>
        <w:t>euro</w:t>
      </w:r>
      <w:proofErr w:type="spellEnd"/>
      <w:r w:rsidRPr="00770C40">
        <w:rPr>
          <w:rFonts w:eastAsia="Calibri" w:cs="Times New Roman"/>
          <w:szCs w:val="24"/>
        </w:rPr>
        <w:t xml:space="preserve"> litrā. Igaunijā un Lietuvā 2024. gadā</w:t>
      </w:r>
      <w:r>
        <w:rPr>
          <w:rFonts w:eastAsia="Calibri" w:cs="Times New Roman"/>
          <w:szCs w:val="24"/>
        </w:rPr>
        <w:t xml:space="preserve"> arī </w:t>
      </w:r>
      <w:r w:rsidRPr="00770C40">
        <w:rPr>
          <w:rFonts w:eastAsia="Calibri" w:cs="Times New Roman"/>
          <w:szCs w:val="24"/>
        </w:rPr>
        <w:t>paredzēts likmes paaugstinājums, turklāt Igaunijā likme tiks paaugstināta arī 2025. un 2026.</w:t>
      </w:r>
      <w:r>
        <w:rPr>
          <w:rFonts w:eastAsia="Calibri" w:cs="Times New Roman"/>
          <w:szCs w:val="24"/>
        </w:rPr>
        <w:t> </w:t>
      </w:r>
      <w:r w:rsidRPr="00770C40">
        <w:rPr>
          <w:rFonts w:eastAsia="Calibri" w:cs="Times New Roman"/>
          <w:szCs w:val="24"/>
        </w:rPr>
        <w:t>gadā. 2024. gadā Latvijā joprojām būs zemākā akcīzes nodokļa likme Baltijas valstīs, bet 2025. un 2026. gadā zemākā likme būs Lietuvā.</w:t>
      </w:r>
    </w:p>
    <w:p w14:paraId="336F0AD8" w14:textId="77777777" w:rsidR="002C4E90" w:rsidRPr="00FA0049" w:rsidRDefault="002C4E90" w:rsidP="002C4E90">
      <w:pPr>
        <w:spacing w:before="120"/>
        <w:rPr>
          <w:rFonts w:eastAsia="Calibri" w:cs="Times New Roman"/>
          <w:szCs w:val="24"/>
        </w:rPr>
      </w:pPr>
      <w:bookmarkStart w:id="98" w:name="_Hlk125024981"/>
      <w:r w:rsidRPr="00770C40">
        <w:rPr>
          <w:rFonts w:eastAsia="Calibri" w:cs="Times New Roman"/>
          <w:szCs w:val="24"/>
        </w:rPr>
        <w:t>Saskaņā ar likumprojektu “Par valsts budžetu 2024. gadam un budžeta</w:t>
      </w:r>
      <w:r w:rsidRPr="00FA0049">
        <w:rPr>
          <w:rFonts w:eastAsia="Calibri" w:cs="Times New Roman"/>
          <w:szCs w:val="24"/>
        </w:rPr>
        <w:t xml:space="preserve"> ietvaru 2024., 2025. un 2026. gadam” akcīzes nodokļa ieņēmumi alum 2024. gadā tiek plānoti 57,4 milj. </w:t>
      </w:r>
      <w:proofErr w:type="spellStart"/>
      <w:r w:rsidRPr="00770C40">
        <w:rPr>
          <w:rFonts w:eastAsia="Calibri" w:cs="Times New Roman"/>
          <w:i/>
          <w:iCs/>
          <w:szCs w:val="24"/>
        </w:rPr>
        <w:t>euro</w:t>
      </w:r>
      <w:proofErr w:type="spellEnd"/>
      <w:r w:rsidRPr="00FA0049">
        <w:rPr>
          <w:rFonts w:eastAsia="Calibri" w:cs="Times New Roman"/>
          <w:szCs w:val="24"/>
        </w:rPr>
        <w:t>, 2025. gadā 63,3 milj. </w:t>
      </w:r>
      <w:proofErr w:type="spellStart"/>
      <w:r w:rsidRPr="00770C40">
        <w:rPr>
          <w:rFonts w:eastAsia="Calibri" w:cs="Times New Roman"/>
          <w:i/>
          <w:iCs/>
          <w:szCs w:val="24"/>
        </w:rPr>
        <w:t>euro</w:t>
      </w:r>
      <w:proofErr w:type="spellEnd"/>
      <w:r w:rsidRPr="00FA0049">
        <w:rPr>
          <w:rFonts w:eastAsia="Calibri" w:cs="Times New Roman"/>
          <w:szCs w:val="24"/>
        </w:rPr>
        <w:t>, bet 2026. gadā 70,2 milj. </w:t>
      </w:r>
      <w:proofErr w:type="spellStart"/>
      <w:r w:rsidRPr="00770C40">
        <w:rPr>
          <w:rFonts w:eastAsia="Calibri" w:cs="Times New Roman"/>
          <w:i/>
          <w:iCs/>
          <w:szCs w:val="24"/>
        </w:rPr>
        <w:t>euro</w:t>
      </w:r>
      <w:proofErr w:type="spellEnd"/>
      <w:r w:rsidRPr="00FA0049">
        <w:rPr>
          <w:rFonts w:eastAsia="Calibri" w:cs="Times New Roman"/>
          <w:i/>
          <w:iCs/>
          <w:szCs w:val="24"/>
        </w:rPr>
        <w:t xml:space="preserve"> </w:t>
      </w:r>
      <w:r w:rsidRPr="00FA0049">
        <w:rPr>
          <w:rFonts w:eastAsia="Calibri" w:cs="Times New Roman"/>
          <w:szCs w:val="24"/>
        </w:rPr>
        <w:t>apmērā.</w:t>
      </w:r>
    </w:p>
    <w:bookmarkEnd w:id="98"/>
    <w:p w14:paraId="7439FAA6" w14:textId="77777777" w:rsidR="007E409E" w:rsidRPr="00272F14" w:rsidRDefault="007E409E" w:rsidP="00C15F73">
      <w:pPr>
        <w:keepNext/>
        <w:keepLines/>
        <w:spacing w:before="240" w:after="240"/>
        <w:ind w:firstLine="0"/>
        <w:jc w:val="center"/>
        <w:outlineLvl w:val="4"/>
        <w:rPr>
          <w:rFonts w:eastAsia="Times New Roman" w:cs="Times New Roman"/>
          <w:b/>
          <w:iCs/>
          <w:szCs w:val="18"/>
          <w:lang w:eastAsia="en-US"/>
        </w:rPr>
      </w:pPr>
      <w:r w:rsidRPr="00272F14">
        <w:rPr>
          <w:rFonts w:eastAsia="Times New Roman" w:cs="Times New Roman"/>
          <w:b/>
          <w:iCs/>
          <w:szCs w:val="18"/>
          <w:lang w:eastAsia="en-US"/>
        </w:rPr>
        <w:t>Akcīzes nodoklis tabakas izstrādājumiem</w:t>
      </w:r>
    </w:p>
    <w:p w14:paraId="062EE2FE" w14:textId="77777777" w:rsidR="002C4E90" w:rsidRPr="00FA0049" w:rsidRDefault="002C4E90" w:rsidP="002C4E90">
      <w:pPr>
        <w:spacing w:before="120"/>
        <w:rPr>
          <w:rFonts w:eastAsia="Calibri" w:cs="Times New Roman"/>
          <w:szCs w:val="24"/>
        </w:rPr>
      </w:pPr>
      <w:r w:rsidRPr="00FA0049">
        <w:rPr>
          <w:rFonts w:eastAsia="Calibri" w:cs="Times New Roman"/>
          <w:szCs w:val="24"/>
        </w:rPr>
        <w:t>Akcīzes nodokļa tabakas izstrādājumiem ieņēmumi 2023. gada 1. pusgadā bija 127,8 milj. </w:t>
      </w:r>
      <w:proofErr w:type="spellStart"/>
      <w:r w:rsidRPr="00770C40">
        <w:rPr>
          <w:rFonts w:eastAsia="Calibri" w:cs="Times New Roman"/>
          <w:i/>
          <w:iCs/>
          <w:szCs w:val="24"/>
        </w:rPr>
        <w:t>euro</w:t>
      </w:r>
      <w:proofErr w:type="spellEnd"/>
      <w:r w:rsidRPr="00FA0049">
        <w:rPr>
          <w:rFonts w:eastAsia="Calibri" w:cs="Times New Roman"/>
          <w:szCs w:val="24"/>
        </w:rPr>
        <w:t>. Salīdzinot ar 2022. gada 1. pusgadu, akcīzes nodokļa ieņēmumi no tabakas izstrādājumiem palielinājās par 6,7 milj. </w:t>
      </w:r>
      <w:proofErr w:type="spellStart"/>
      <w:r w:rsidRPr="00770C40">
        <w:rPr>
          <w:rFonts w:eastAsia="Calibri" w:cs="Times New Roman"/>
          <w:i/>
          <w:iCs/>
          <w:szCs w:val="24"/>
        </w:rPr>
        <w:t>euro</w:t>
      </w:r>
      <w:proofErr w:type="spellEnd"/>
      <w:r w:rsidRPr="00FA0049">
        <w:rPr>
          <w:rFonts w:eastAsia="Calibri" w:cs="Times New Roman"/>
          <w:szCs w:val="24"/>
        </w:rPr>
        <w:t xml:space="preserve"> jeb 5,5 %, bet, salīdzinot ar plānoto, tika iekasēts par 3,2 milj. </w:t>
      </w:r>
      <w:proofErr w:type="spellStart"/>
      <w:r w:rsidRPr="00770C40">
        <w:rPr>
          <w:rFonts w:eastAsia="Calibri" w:cs="Times New Roman"/>
          <w:i/>
          <w:iCs/>
          <w:szCs w:val="24"/>
        </w:rPr>
        <w:t>euro</w:t>
      </w:r>
      <w:proofErr w:type="spellEnd"/>
      <w:r w:rsidRPr="00FA0049">
        <w:rPr>
          <w:rFonts w:eastAsia="Calibri" w:cs="Times New Roman"/>
          <w:szCs w:val="24"/>
        </w:rPr>
        <w:t xml:space="preserve"> jeb 2,5 % vairāk.</w:t>
      </w:r>
      <w:r>
        <w:rPr>
          <w:rFonts w:eastAsia="Calibri" w:cs="Times New Roman"/>
          <w:szCs w:val="24"/>
        </w:rPr>
        <w:t xml:space="preserve"> </w:t>
      </w:r>
      <w:r w:rsidRPr="00FA0049">
        <w:rPr>
          <w:rFonts w:eastAsia="Calibri" w:cs="Times New Roman"/>
          <w:szCs w:val="24"/>
        </w:rPr>
        <w:t xml:space="preserve">Atbilstoši likumam “Par akcīzes nodokli” ar 2023. gada 1. janvāri tika paaugstinātas akcīzes nodokļa likmes cigaretēm, cigāriem, </w:t>
      </w:r>
      <w:proofErr w:type="spellStart"/>
      <w:r w:rsidRPr="00FA0049">
        <w:rPr>
          <w:rFonts w:eastAsia="Calibri" w:cs="Times New Roman"/>
          <w:szCs w:val="24"/>
        </w:rPr>
        <w:t>cigarillām</w:t>
      </w:r>
      <w:proofErr w:type="spellEnd"/>
      <w:r w:rsidRPr="00FA0049">
        <w:rPr>
          <w:rFonts w:eastAsia="Calibri" w:cs="Times New Roman"/>
          <w:szCs w:val="24"/>
        </w:rPr>
        <w:t xml:space="preserve">, smēķējamajai un karsējamajai tabakai un tabakas lapām. </w:t>
      </w:r>
    </w:p>
    <w:p w14:paraId="4FC6CC4A" w14:textId="13A1D311" w:rsidR="002C4E90" w:rsidRPr="00FA0049" w:rsidRDefault="002C4E90" w:rsidP="002C4E90">
      <w:pPr>
        <w:spacing w:before="120"/>
        <w:rPr>
          <w:rFonts w:eastAsia="Calibri" w:cs="Times New Roman"/>
          <w:szCs w:val="24"/>
        </w:rPr>
      </w:pPr>
      <w:r w:rsidRPr="00FA0049">
        <w:rPr>
          <w:rFonts w:eastAsia="Calibri" w:cs="Times New Roman"/>
          <w:szCs w:val="24"/>
        </w:rPr>
        <w:t xml:space="preserve">Saskaņā ar VID informāciju Latvijā kopējais patēriņam nodoto cigarešu apjoms 2022. gada decembrī un 2023. gada piecos mēnešos salīdzinājumā ar 2021. un 2022. gada atbilstošo periodu samazinājās par 3,7 %, cigāru un </w:t>
      </w:r>
      <w:proofErr w:type="spellStart"/>
      <w:r w:rsidRPr="00FA0049">
        <w:rPr>
          <w:rFonts w:eastAsia="Calibri" w:cs="Times New Roman"/>
          <w:szCs w:val="24"/>
        </w:rPr>
        <w:t>cigarillu</w:t>
      </w:r>
      <w:proofErr w:type="spellEnd"/>
      <w:r w:rsidRPr="00FA0049">
        <w:rPr>
          <w:rFonts w:eastAsia="Calibri" w:cs="Times New Roman"/>
          <w:szCs w:val="24"/>
        </w:rPr>
        <w:t xml:space="preserve"> par 4,4 %, smēķējamās tabakas </w:t>
      </w:r>
      <w:r>
        <w:rPr>
          <w:rFonts w:eastAsia="Calibri" w:cs="Times New Roman"/>
          <w:szCs w:val="24"/>
        </w:rPr>
        <w:t xml:space="preserve">par </w:t>
      </w:r>
      <w:r w:rsidRPr="00FA0049">
        <w:rPr>
          <w:rFonts w:eastAsia="Calibri" w:cs="Times New Roman"/>
          <w:szCs w:val="24"/>
        </w:rPr>
        <w:t>2,7%, bet karsējamās tabakas patēriņš pieau</w:t>
      </w:r>
      <w:r>
        <w:rPr>
          <w:rFonts w:eastAsia="Calibri" w:cs="Times New Roman"/>
          <w:szCs w:val="24"/>
        </w:rPr>
        <w:t>ga</w:t>
      </w:r>
      <w:r w:rsidRPr="00FA0049">
        <w:rPr>
          <w:rFonts w:eastAsia="Calibri" w:cs="Times New Roman"/>
          <w:szCs w:val="24"/>
        </w:rPr>
        <w:t xml:space="preserve"> par 22,5</w:t>
      </w:r>
      <w:r w:rsidR="006F1373">
        <w:rPr>
          <w:rFonts w:eastAsia="Calibri" w:cs="Times New Roman"/>
          <w:szCs w:val="24"/>
        </w:rPr>
        <w:t xml:space="preserve"> procentiem</w:t>
      </w:r>
      <w:r w:rsidRPr="00FA0049">
        <w:rPr>
          <w:rFonts w:eastAsia="Calibri" w:cs="Times New Roman"/>
          <w:szCs w:val="24"/>
        </w:rPr>
        <w:t>.</w:t>
      </w:r>
    </w:p>
    <w:p w14:paraId="18981E8F" w14:textId="77777777" w:rsidR="002C4E90" w:rsidRPr="00590467" w:rsidRDefault="002C4E90" w:rsidP="002C4E90">
      <w:pPr>
        <w:spacing w:before="120"/>
        <w:rPr>
          <w:rFonts w:cs="Times New Roman"/>
        </w:rPr>
      </w:pPr>
      <w:r w:rsidRPr="00FA0049">
        <w:rPr>
          <w:rFonts w:eastAsia="Calibri" w:cs="Times New Roman"/>
          <w:szCs w:val="24"/>
        </w:rPr>
        <w:t xml:space="preserve">2024., 2025. un 2026. gadā </w:t>
      </w:r>
      <w:r w:rsidRPr="00590467">
        <w:rPr>
          <w:rFonts w:eastAsia="Calibri" w:cs="Times New Roman"/>
          <w:color w:val="000000" w:themeColor="text1"/>
          <w:szCs w:val="24"/>
        </w:rPr>
        <w:t>plānotā akcīzes nodokļa pieauguma ietekme uz tabakas izstrādājumu cenu (nodokļu daļas pieaugums) atspoguļota 3.13. </w:t>
      </w:r>
      <w:r w:rsidRPr="00590467">
        <w:rPr>
          <w:rFonts w:cs="Times New Roman"/>
          <w:color w:val="000000" w:themeColor="text1"/>
        </w:rPr>
        <w:t xml:space="preserve">tabulā. </w:t>
      </w:r>
    </w:p>
    <w:p w14:paraId="1ED9081A" w14:textId="77777777" w:rsidR="002C4E90" w:rsidRPr="00590467" w:rsidRDefault="002C4E90" w:rsidP="002C4E90">
      <w:pPr>
        <w:pStyle w:val="Tabulasnosaukums"/>
      </w:pPr>
      <w:bookmarkStart w:id="99" w:name="_Hlk148436171"/>
      <w:r w:rsidRPr="00590467">
        <w:lastRenderedPageBreak/>
        <w:t>3.13. tabula. Nodokļu daļas pieaugums tabakas izstrādājumiem</w:t>
      </w:r>
      <w:bookmarkEnd w:id="99"/>
    </w:p>
    <w:tbl>
      <w:tblPr>
        <w:tblStyle w:val="TableGrid"/>
        <w:tblW w:w="6921" w:type="dxa"/>
        <w:tblInd w:w="-5" w:type="dxa"/>
        <w:tblLayout w:type="fixed"/>
        <w:tblLook w:val="04A0" w:firstRow="1" w:lastRow="0" w:firstColumn="1" w:lastColumn="0" w:noHBand="0" w:noVBand="1"/>
      </w:tblPr>
      <w:tblGrid>
        <w:gridCol w:w="3260"/>
        <w:gridCol w:w="1257"/>
        <w:gridCol w:w="1202"/>
        <w:gridCol w:w="1202"/>
      </w:tblGrid>
      <w:tr w:rsidR="002C4E90" w:rsidRPr="00590467" w14:paraId="126A3B13" w14:textId="77777777" w:rsidTr="00EE3763">
        <w:trPr>
          <w:trHeight w:val="227"/>
        </w:trPr>
        <w:tc>
          <w:tcPr>
            <w:tcW w:w="3260" w:type="dxa"/>
            <w:shd w:val="clear" w:color="auto" w:fill="B4C6E7" w:themeFill="accent5" w:themeFillTint="66"/>
            <w:vAlign w:val="center"/>
          </w:tcPr>
          <w:p w14:paraId="0718911C" w14:textId="77777777" w:rsidR="002C4E90" w:rsidRPr="002C4E90" w:rsidRDefault="002C4E90" w:rsidP="005D673A">
            <w:pPr>
              <w:pStyle w:val="Tabulasgalvenesrinda"/>
              <w:rPr>
                <w:rFonts w:eastAsia="Calibri"/>
              </w:rPr>
            </w:pPr>
            <w:r w:rsidRPr="002C4E90">
              <w:rPr>
                <w:rFonts w:eastAsia="Calibri"/>
              </w:rPr>
              <w:t xml:space="preserve">Nodokļu daļas pieaugums, </w:t>
            </w:r>
            <w:proofErr w:type="spellStart"/>
            <w:r w:rsidRPr="002C4E90">
              <w:rPr>
                <w:rFonts w:eastAsia="Calibri"/>
                <w:i/>
              </w:rPr>
              <w:t>euro</w:t>
            </w:r>
            <w:proofErr w:type="spellEnd"/>
          </w:p>
        </w:tc>
        <w:tc>
          <w:tcPr>
            <w:tcW w:w="1257" w:type="dxa"/>
            <w:shd w:val="clear" w:color="auto" w:fill="B4C6E7" w:themeFill="accent5" w:themeFillTint="66"/>
            <w:vAlign w:val="center"/>
          </w:tcPr>
          <w:p w14:paraId="54839379" w14:textId="77777777" w:rsidR="002C4E90" w:rsidRPr="002C4E90" w:rsidRDefault="002C4E90" w:rsidP="005D673A">
            <w:pPr>
              <w:pStyle w:val="Tabulasgalvenesrinda"/>
              <w:rPr>
                <w:rFonts w:eastAsia="Calibri"/>
              </w:rPr>
            </w:pPr>
            <w:r w:rsidRPr="002C4E90">
              <w:rPr>
                <w:rFonts w:eastAsia="Calibri"/>
              </w:rPr>
              <w:t>01.03.2024.</w:t>
            </w:r>
          </w:p>
        </w:tc>
        <w:tc>
          <w:tcPr>
            <w:tcW w:w="1202" w:type="dxa"/>
            <w:shd w:val="clear" w:color="auto" w:fill="B4C6E7" w:themeFill="accent5" w:themeFillTint="66"/>
            <w:vAlign w:val="center"/>
          </w:tcPr>
          <w:p w14:paraId="56BD5A8E" w14:textId="77777777" w:rsidR="002C4E90" w:rsidRPr="002C4E90" w:rsidRDefault="002C4E90" w:rsidP="005D673A">
            <w:pPr>
              <w:pStyle w:val="Tabulasgalvenesrinda"/>
              <w:rPr>
                <w:rFonts w:eastAsia="Calibri"/>
              </w:rPr>
            </w:pPr>
            <w:r w:rsidRPr="002C4E90">
              <w:rPr>
                <w:rFonts w:eastAsia="Calibri"/>
              </w:rPr>
              <w:t>01.01.2025.</w:t>
            </w:r>
          </w:p>
        </w:tc>
        <w:tc>
          <w:tcPr>
            <w:tcW w:w="1202" w:type="dxa"/>
            <w:shd w:val="clear" w:color="auto" w:fill="B4C6E7" w:themeFill="accent5" w:themeFillTint="66"/>
            <w:vAlign w:val="center"/>
          </w:tcPr>
          <w:p w14:paraId="3947CC02" w14:textId="77777777" w:rsidR="002C4E90" w:rsidRPr="002C4E90" w:rsidRDefault="002C4E90" w:rsidP="005D673A">
            <w:pPr>
              <w:pStyle w:val="Tabulasgalvenesrinda"/>
              <w:rPr>
                <w:rFonts w:eastAsia="Calibri"/>
              </w:rPr>
            </w:pPr>
            <w:r w:rsidRPr="002C4E90">
              <w:rPr>
                <w:rFonts w:eastAsia="Calibri"/>
              </w:rPr>
              <w:t>01.01.2026.</w:t>
            </w:r>
          </w:p>
        </w:tc>
      </w:tr>
      <w:tr w:rsidR="002C4E90" w:rsidRPr="00FA0049" w14:paraId="3A39EE99" w14:textId="77777777" w:rsidTr="00EE3763">
        <w:trPr>
          <w:trHeight w:val="283"/>
        </w:trPr>
        <w:tc>
          <w:tcPr>
            <w:tcW w:w="3260" w:type="dxa"/>
          </w:tcPr>
          <w:p w14:paraId="10691349" w14:textId="77777777" w:rsidR="002C4E90" w:rsidRPr="002C4E90" w:rsidRDefault="002C4E90" w:rsidP="00476C92">
            <w:pPr>
              <w:keepNext/>
              <w:keepLines/>
              <w:spacing w:after="0"/>
              <w:ind w:firstLine="0"/>
              <w:rPr>
                <w:rFonts w:eastAsia="Calibri" w:cs="Times New Roman"/>
                <w:sz w:val="18"/>
                <w:szCs w:val="18"/>
              </w:rPr>
            </w:pPr>
            <w:bookmarkStart w:id="100" w:name="_Hlk148436185"/>
            <w:r w:rsidRPr="002C4E90">
              <w:rPr>
                <w:rFonts w:eastAsia="Calibri" w:cs="Times New Roman"/>
                <w:sz w:val="18"/>
                <w:szCs w:val="18"/>
              </w:rPr>
              <w:t>Cigarešu paciņa</w:t>
            </w:r>
            <w:bookmarkEnd w:id="100"/>
            <w:r w:rsidRPr="002C4E90">
              <w:rPr>
                <w:rFonts w:eastAsia="Calibri" w:cs="Times New Roman"/>
                <w:sz w:val="18"/>
                <w:szCs w:val="18"/>
              </w:rPr>
              <w:t xml:space="preserve"> (20 cigaretes)</w:t>
            </w:r>
          </w:p>
        </w:tc>
        <w:tc>
          <w:tcPr>
            <w:tcW w:w="1257" w:type="dxa"/>
            <w:vAlign w:val="center"/>
          </w:tcPr>
          <w:p w14:paraId="2A1580A8" w14:textId="77777777" w:rsidR="002C4E90" w:rsidRPr="002C4E90" w:rsidRDefault="002C4E90" w:rsidP="00272F14">
            <w:pPr>
              <w:keepNext/>
              <w:keepLines/>
              <w:spacing w:after="0"/>
              <w:ind w:firstLine="0"/>
              <w:jc w:val="right"/>
              <w:rPr>
                <w:rFonts w:eastAsia="Calibri" w:cs="Times New Roman"/>
                <w:sz w:val="18"/>
                <w:szCs w:val="18"/>
              </w:rPr>
            </w:pPr>
            <w:r w:rsidRPr="002C4E90">
              <w:rPr>
                <w:rFonts w:cs="Times New Roman"/>
                <w:sz w:val="18"/>
                <w:szCs w:val="18"/>
              </w:rPr>
              <w:t>~0,14 – 0,19</w:t>
            </w:r>
          </w:p>
        </w:tc>
        <w:tc>
          <w:tcPr>
            <w:tcW w:w="1202" w:type="dxa"/>
            <w:vAlign w:val="center"/>
          </w:tcPr>
          <w:p w14:paraId="15F57C29" w14:textId="77777777" w:rsidR="002C4E90" w:rsidRPr="002C4E90" w:rsidRDefault="002C4E90" w:rsidP="00272F14">
            <w:pPr>
              <w:keepNext/>
              <w:keepLines/>
              <w:spacing w:after="0"/>
              <w:ind w:firstLine="0"/>
              <w:jc w:val="right"/>
              <w:rPr>
                <w:rFonts w:eastAsia="Calibri" w:cs="Times New Roman"/>
                <w:sz w:val="18"/>
                <w:szCs w:val="18"/>
              </w:rPr>
            </w:pPr>
            <w:r w:rsidRPr="002C4E90">
              <w:rPr>
                <w:rFonts w:cs="Times New Roman"/>
                <w:sz w:val="18"/>
                <w:szCs w:val="18"/>
              </w:rPr>
              <w:t>~0,15 – 0,19</w:t>
            </w:r>
          </w:p>
        </w:tc>
        <w:tc>
          <w:tcPr>
            <w:tcW w:w="1202" w:type="dxa"/>
            <w:vAlign w:val="center"/>
          </w:tcPr>
          <w:p w14:paraId="05A8DD2E" w14:textId="77777777" w:rsidR="002C4E90" w:rsidRPr="002C4E90" w:rsidRDefault="002C4E90" w:rsidP="00272F14">
            <w:pPr>
              <w:keepNext/>
              <w:keepLines/>
              <w:spacing w:after="0"/>
              <w:ind w:firstLine="0"/>
              <w:jc w:val="right"/>
              <w:rPr>
                <w:rFonts w:eastAsia="Calibri" w:cs="Times New Roman"/>
                <w:sz w:val="18"/>
                <w:szCs w:val="18"/>
              </w:rPr>
            </w:pPr>
            <w:r w:rsidRPr="002C4E90">
              <w:rPr>
                <w:rFonts w:cs="Times New Roman"/>
                <w:sz w:val="18"/>
                <w:szCs w:val="18"/>
              </w:rPr>
              <w:t>~0,15 – 0,20</w:t>
            </w:r>
          </w:p>
        </w:tc>
      </w:tr>
      <w:tr w:rsidR="002C4E90" w:rsidRPr="00FA0049" w14:paraId="247176B2" w14:textId="77777777" w:rsidTr="00EE3763">
        <w:trPr>
          <w:trHeight w:val="283"/>
        </w:trPr>
        <w:tc>
          <w:tcPr>
            <w:tcW w:w="3260" w:type="dxa"/>
          </w:tcPr>
          <w:p w14:paraId="5B8348F5" w14:textId="77777777" w:rsidR="002C4E90" w:rsidRPr="002C4E90" w:rsidRDefault="002C4E90" w:rsidP="00476C92">
            <w:pPr>
              <w:keepNext/>
              <w:keepLines/>
              <w:spacing w:after="0"/>
              <w:ind w:firstLine="0"/>
              <w:rPr>
                <w:rFonts w:eastAsia="Calibri" w:cs="Times New Roman"/>
                <w:sz w:val="18"/>
                <w:szCs w:val="18"/>
              </w:rPr>
            </w:pPr>
            <w:proofErr w:type="spellStart"/>
            <w:r w:rsidRPr="002C4E90">
              <w:rPr>
                <w:rFonts w:eastAsia="Calibri" w:cs="Times New Roman"/>
                <w:sz w:val="18"/>
                <w:szCs w:val="18"/>
              </w:rPr>
              <w:t>Cigarillu</w:t>
            </w:r>
            <w:proofErr w:type="spellEnd"/>
            <w:r w:rsidRPr="002C4E90">
              <w:rPr>
                <w:rFonts w:eastAsia="Calibri" w:cs="Times New Roman"/>
                <w:sz w:val="18"/>
                <w:szCs w:val="18"/>
              </w:rPr>
              <w:t xml:space="preserve"> paciņa (10 </w:t>
            </w:r>
            <w:proofErr w:type="spellStart"/>
            <w:r w:rsidRPr="002C4E90">
              <w:rPr>
                <w:rFonts w:eastAsia="Calibri" w:cs="Times New Roman"/>
                <w:sz w:val="18"/>
                <w:szCs w:val="18"/>
              </w:rPr>
              <w:t>cigarillas</w:t>
            </w:r>
            <w:proofErr w:type="spellEnd"/>
            <w:r w:rsidRPr="002C4E90">
              <w:rPr>
                <w:rFonts w:eastAsia="Calibri" w:cs="Times New Roman"/>
                <w:sz w:val="18"/>
                <w:szCs w:val="18"/>
              </w:rPr>
              <w:t>)</w:t>
            </w:r>
          </w:p>
        </w:tc>
        <w:tc>
          <w:tcPr>
            <w:tcW w:w="1257" w:type="dxa"/>
            <w:vAlign w:val="center"/>
          </w:tcPr>
          <w:p w14:paraId="5692D5FD" w14:textId="77777777" w:rsidR="002C4E90" w:rsidRPr="002C4E90" w:rsidRDefault="002C4E90" w:rsidP="00272F14">
            <w:pPr>
              <w:keepNext/>
              <w:keepLines/>
              <w:spacing w:after="0"/>
              <w:ind w:firstLine="0"/>
              <w:jc w:val="right"/>
              <w:rPr>
                <w:rFonts w:eastAsia="Calibri" w:cs="Times New Roman"/>
                <w:sz w:val="18"/>
                <w:szCs w:val="18"/>
              </w:rPr>
            </w:pPr>
            <w:r w:rsidRPr="002C4E90">
              <w:rPr>
                <w:rFonts w:eastAsia="Calibri" w:cs="Times New Roman"/>
                <w:sz w:val="18"/>
                <w:szCs w:val="18"/>
              </w:rPr>
              <w:t>0,46</w:t>
            </w:r>
          </w:p>
        </w:tc>
        <w:tc>
          <w:tcPr>
            <w:tcW w:w="1202" w:type="dxa"/>
            <w:vAlign w:val="center"/>
          </w:tcPr>
          <w:p w14:paraId="5A2835D5" w14:textId="77777777" w:rsidR="002C4E90" w:rsidRPr="002C4E90" w:rsidRDefault="002C4E90" w:rsidP="00272F14">
            <w:pPr>
              <w:keepNext/>
              <w:keepLines/>
              <w:spacing w:after="0"/>
              <w:ind w:firstLine="0"/>
              <w:jc w:val="right"/>
              <w:rPr>
                <w:rFonts w:eastAsia="Calibri" w:cs="Times New Roman"/>
                <w:sz w:val="18"/>
                <w:szCs w:val="18"/>
              </w:rPr>
            </w:pPr>
            <w:r w:rsidRPr="002C4E90">
              <w:rPr>
                <w:rFonts w:eastAsia="Calibri" w:cs="Times New Roman"/>
                <w:sz w:val="18"/>
                <w:szCs w:val="18"/>
              </w:rPr>
              <w:t>0,46</w:t>
            </w:r>
          </w:p>
        </w:tc>
        <w:tc>
          <w:tcPr>
            <w:tcW w:w="1202" w:type="dxa"/>
            <w:vAlign w:val="center"/>
          </w:tcPr>
          <w:p w14:paraId="53A60DEF" w14:textId="77777777" w:rsidR="002C4E90" w:rsidRPr="002C4E90" w:rsidRDefault="002C4E90" w:rsidP="00272F14">
            <w:pPr>
              <w:keepNext/>
              <w:keepLines/>
              <w:spacing w:after="0"/>
              <w:ind w:firstLine="0"/>
              <w:jc w:val="right"/>
              <w:rPr>
                <w:rFonts w:eastAsia="Calibri" w:cs="Times New Roman"/>
                <w:sz w:val="18"/>
                <w:szCs w:val="18"/>
              </w:rPr>
            </w:pPr>
            <w:r w:rsidRPr="002C4E90">
              <w:rPr>
                <w:rFonts w:eastAsia="Calibri" w:cs="Times New Roman"/>
                <w:sz w:val="18"/>
                <w:szCs w:val="18"/>
              </w:rPr>
              <w:t>0,45</w:t>
            </w:r>
          </w:p>
        </w:tc>
      </w:tr>
      <w:tr w:rsidR="002C4E90" w:rsidRPr="00FA0049" w14:paraId="1C8873A0" w14:textId="77777777" w:rsidTr="00EE3763">
        <w:trPr>
          <w:trHeight w:val="283"/>
        </w:trPr>
        <w:tc>
          <w:tcPr>
            <w:tcW w:w="3260" w:type="dxa"/>
          </w:tcPr>
          <w:p w14:paraId="2FE36195" w14:textId="77777777" w:rsidR="002C4E90" w:rsidRPr="002C4E90" w:rsidRDefault="002C4E90" w:rsidP="00476C92">
            <w:pPr>
              <w:keepNext/>
              <w:keepLines/>
              <w:spacing w:after="0"/>
              <w:ind w:firstLine="0"/>
              <w:rPr>
                <w:rFonts w:eastAsia="Calibri" w:cs="Times New Roman"/>
                <w:sz w:val="18"/>
                <w:szCs w:val="18"/>
              </w:rPr>
            </w:pPr>
            <w:r w:rsidRPr="002C4E90">
              <w:rPr>
                <w:rFonts w:eastAsia="Calibri" w:cs="Times New Roman"/>
                <w:sz w:val="18"/>
                <w:szCs w:val="18"/>
              </w:rPr>
              <w:t>Smēķējamā tabaka (40 g tabakas)</w:t>
            </w:r>
          </w:p>
        </w:tc>
        <w:tc>
          <w:tcPr>
            <w:tcW w:w="1257" w:type="dxa"/>
            <w:vAlign w:val="center"/>
          </w:tcPr>
          <w:p w14:paraId="41235F94" w14:textId="77777777" w:rsidR="002C4E90" w:rsidRPr="002C4E90" w:rsidRDefault="002C4E90" w:rsidP="00272F14">
            <w:pPr>
              <w:keepNext/>
              <w:keepLines/>
              <w:spacing w:after="0"/>
              <w:ind w:firstLine="0"/>
              <w:jc w:val="right"/>
              <w:rPr>
                <w:rFonts w:eastAsia="Calibri" w:cs="Times New Roman"/>
                <w:sz w:val="18"/>
                <w:szCs w:val="18"/>
              </w:rPr>
            </w:pPr>
            <w:r w:rsidRPr="002C4E90">
              <w:rPr>
                <w:rFonts w:eastAsia="Calibri" w:cs="Times New Roman"/>
                <w:sz w:val="18"/>
                <w:szCs w:val="18"/>
              </w:rPr>
              <w:t>0,45</w:t>
            </w:r>
          </w:p>
        </w:tc>
        <w:tc>
          <w:tcPr>
            <w:tcW w:w="1202" w:type="dxa"/>
            <w:vAlign w:val="center"/>
          </w:tcPr>
          <w:p w14:paraId="0516916D" w14:textId="77777777" w:rsidR="002C4E90" w:rsidRPr="002C4E90" w:rsidRDefault="002C4E90" w:rsidP="00272F14">
            <w:pPr>
              <w:keepNext/>
              <w:keepLines/>
              <w:spacing w:after="0"/>
              <w:ind w:firstLine="0"/>
              <w:jc w:val="right"/>
              <w:rPr>
                <w:rFonts w:eastAsia="Calibri" w:cs="Times New Roman"/>
                <w:sz w:val="18"/>
                <w:szCs w:val="18"/>
              </w:rPr>
            </w:pPr>
            <w:r w:rsidRPr="002C4E90">
              <w:rPr>
                <w:rFonts w:eastAsia="Calibri" w:cs="Times New Roman"/>
                <w:sz w:val="18"/>
                <w:szCs w:val="18"/>
              </w:rPr>
              <w:t>0,49</w:t>
            </w:r>
          </w:p>
        </w:tc>
        <w:tc>
          <w:tcPr>
            <w:tcW w:w="1202" w:type="dxa"/>
            <w:vAlign w:val="center"/>
          </w:tcPr>
          <w:p w14:paraId="4DD5C236" w14:textId="77777777" w:rsidR="002C4E90" w:rsidRPr="002C4E90" w:rsidRDefault="002C4E90" w:rsidP="00272F14">
            <w:pPr>
              <w:keepNext/>
              <w:keepLines/>
              <w:spacing w:after="0"/>
              <w:ind w:firstLine="0"/>
              <w:jc w:val="right"/>
              <w:rPr>
                <w:rFonts w:eastAsia="Calibri" w:cs="Times New Roman"/>
                <w:sz w:val="18"/>
                <w:szCs w:val="18"/>
              </w:rPr>
            </w:pPr>
            <w:r w:rsidRPr="002C4E90">
              <w:rPr>
                <w:rFonts w:eastAsia="Calibri" w:cs="Times New Roman"/>
                <w:sz w:val="18"/>
                <w:szCs w:val="18"/>
              </w:rPr>
              <w:t>0,54</w:t>
            </w:r>
          </w:p>
        </w:tc>
      </w:tr>
      <w:tr w:rsidR="002C4E90" w:rsidRPr="00FA0049" w14:paraId="08A1D920" w14:textId="77777777" w:rsidTr="00EE3763">
        <w:trPr>
          <w:trHeight w:val="283"/>
        </w:trPr>
        <w:tc>
          <w:tcPr>
            <w:tcW w:w="3260" w:type="dxa"/>
          </w:tcPr>
          <w:p w14:paraId="39C88B14" w14:textId="77777777" w:rsidR="002C4E90" w:rsidRPr="002C4E90" w:rsidRDefault="002C4E90" w:rsidP="00476C92">
            <w:pPr>
              <w:spacing w:after="0"/>
              <w:ind w:firstLine="0"/>
              <w:rPr>
                <w:rFonts w:eastAsia="Calibri" w:cs="Times New Roman"/>
                <w:sz w:val="18"/>
                <w:szCs w:val="18"/>
              </w:rPr>
            </w:pPr>
            <w:r w:rsidRPr="002C4E90">
              <w:rPr>
                <w:rFonts w:eastAsia="Calibri" w:cs="Times New Roman"/>
                <w:sz w:val="18"/>
                <w:szCs w:val="18"/>
              </w:rPr>
              <w:t>Karsējamā tabaka (5,4 g tabakas)</w:t>
            </w:r>
          </w:p>
        </w:tc>
        <w:tc>
          <w:tcPr>
            <w:tcW w:w="1257" w:type="dxa"/>
            <w:vAlign w:val="center"/>
          </w:tcPr>
          <w:p w14:paraId="5D8C62D1" w14:textId="77777777" w:rsidR="002C4E90" w:rsidRPr="002C4E90" w:rsidRDefault="002C4E90" w:rsidP="00272F14">
            <w:pPr>
              <w:spacing w:after="0"/>
              <w:ind w:firstLine="0"/>
              <w:jc w:val="right"/>
              <w:rPr>
                <w:rFonts w:eastAsia="Calibri" w:cs="Times New Roman"/>
                <w:sz w:val="18"/>
                <w:szCs w:val="18"/>
              </w:rPr>
            </w:pPr>
            <w:r w:rsidRPr="002C4E90">
              <w:rPr>
                <w:rFonts w:eastAsia="Calibri" w:cs="Times New Roman"/>
                <w:sz w:val="18"/>
                <w:szCs w:val="18"/>
              </w:rPr>
              <w:t>0,07</w:t>
            </w:r>
          </w:p>
        </w:tc>
        <w:tc>
          <w:tcPr>
            <w:tcW w:w="1202" w:type="dxa"/>
            <w:vAlign w:val="center"/>
          </w:tcPr>
          <w:p w14:paraId="6DB7E2FC" w14:textId="77777777" w:rsidR="002C4E90" w:rsidRPr="002C4E90" w:rsidRDefault="002C4E90" w:rsidP="00272F14">
            <w:pPr>
              <w:spacing w:after="0"/>
              <w:ind w:firstLine="0"/>
              <w:jc w:val="right"/>
              <w:rPr>
                <w:rFonts w:eastAsia="Calibri" w:cs="Times New Roman"/>
                <w:sz w:val="18"/>
                <w:szCs w:val="18"/>
              </w:rPr>
            </w:pPr>
            <w:r w:rsidRPr="002C4E90">
              <w:rPr>
                <w:rFonts w:eastAsia="Calibri" w:cs="Times New Roman"/>
                <w:sz w:val="18"/>
                <w:szCs w:val="18"/>
              </w:rPr>
              <w:t>0,07</w:t>
            </w:r>
          </w:p>
        </w:tc>
        <w:tc>
          <w:tcPr>
            <w:tcW w:w="1202" w:type="dxa"/>
            <w:vAlign w:val="center"/>
          </w:tcPr>
          <w:p w14:paraId="428BCF70" w14:textId="77777777" w:rsidR="002C4E90" w:rsidRPr="002C4E90" w:rsidRDefault="002C4E90" w:rsidP="00272F14">
            <w:pPr>
              <w:spacing w:after="0"/>
              <w:ind w:firstLine="0"/>
              <w:jc w:val="right"/>
              <w:rPr>
                <w:rFonts w:eastAsia="Calibri" w:cs="Times New Roman"/>
                <w:sz w:val="18"/>
                <w:szCs w:val="18"/>
              </w:rPr>
            </w:pPr>
            <w:r w:rsidRPr="002C4E90">
              <w:rPr>
                <w:rFonts w:eastAsia="Calibri" w:cs="Times New Roman"/>
                <w:sz w:val="18"/>
                <w:szCs w:val="18"/>
              </w:rPr>
              <w:t>0,05</w:t>
            </w:r>
          </w:p>
        </w:tc>
      </w:tr>
    </w:tbl>
    <w:p w14:paraId="44136782" w14:textId="77777777" w:rsidR="002C4E90" w:rsidRPr="004204C4" w:rsidRDefault="002C4E90" w:rsidP="002C4E90">
      <w:pPr>
        <w:pStyle w:val="Piezme"/>
        <w:rPr>
          <w:color w:val="000000" w:themeColor="text1"/>
        </w:rPr>
      </w:pPr>
      <w:r w:rsidRPr="004204C4">
        <w:rPr>
          <w:color w:val="000000" w:themeColor="text1"/>
          <w:vertAlign w:val="superscript"/>
        </w:rPr>
        <w:t>1</w:t>
      </w:r>
      <w:r w:rsidRPr="004204C4">
        <w:rPr>
          <w:color w:val="000000" w:themeColor="text1"/>
        </w:rPr>
        <w:t> </w:t>
      </w:r>
      <w:r w:rsidRPr="004A3242">
        <w:rPr>
          <w:color w:val="000000" w:themeColor="text1"/>
        </w:rPr>
        <w:t>Akcīzes nodoklis atkarīgs no cigarešu paciņas mazumtirdzniecības cenas</w:t>
      </w:r>
      <w:r>
        <w:t>.</w:t>
      </w:r>
    </w:p>
    <w:p w14:paraId="3776B99F" w14:textId="77777777" w:rsidR="002C4E90" w:rsidRPr="004204C4" w:rsidRDefault="002C4E90" w:rsidP="002C4E90">
      <w:pPr>
        <w:spacing w:before="120"/>
        <w:rPr>
          <w:rFonts w:eastAsia="Calibri" w:cs="Times New Roman"/>
          <w:szCs w:val="24"/>
        </w:rPr>
      </w:pPr>
      <w:r w:rsidRPr="00FA0049">
        <w:rPr>
          <w:rFonts w:eastAsia="Calibri" w:cs="Times New Roman"/>
          <w:szCs w:val="24"/>
        </w:rPr>
        <w:t>Salīdzinot ar nodokļu līmeni tabakas izstrādājumiem Lietuvā un Igaunijā, secināms, ka cigaretēm, kurām ir lielākais īpatsvars tabakas izstrādājumu patēriņa struktūrā, viszemākā akcīzes nodokļa</w:t>
      </w:r>
      <w:r>
        <w:rPr>
          <w:rFonts w:eastAsia="Calibri" w:cs="Times New Roman"/>
          <w:szCs w:val="24"/>
        </w:rPr>
        <w:t xml:space="preserve"> minimālā</w:t>
      </w:r>
      <w:r w:rsidRPr="00FA0049">
        <w:rPr>
          <w:rFonts w:eastAsia="Calibri" w:cs="Times New Roman"/>
          <w:szCs w:val="24"/>
        </w:rPr>
        <w:t xml:space="preserve"> likme plānota </w:t>
      </w:r>
      <w:r w:rsidRPr="004204C4">
        <w:rPr>
          <w:rFonts w:eastAsia="Calibri" w:cs="Times New Roman"/>
          <w:szCs w:val="24"/>
        </w:rPr>
        <w:t xml:space="preserve">Lietuvā, bet visaugstākā – Igaunijā. Savukārt akcīzes nodokļa likme cigāriem un </w:t>
      </w:r>
      <w:proofErr w:type="spellStart"/>
      <w:r w:rsidRPr="004204C4">
        <w:rPr>
          <w:rFonts w:eastAsia="Calibri" w:cs="Times New Roman"/>
          <w:szCs w:val="24"/>
        </w:rPr>
        <w:t>cigarillām</w:t>
      </w:r>
      <w:proofErr w:type="spellEnd"/>
      <w:r w:rsidRPr="004204C4">
        <w:rPr>
          <w:rFonts w:eastAsia="Calibri" w:cs="Times New Roman"/>
          <w:szCs w:val="24"/>
        </w:rPr>
        <w:t xml:space="preserve"> Latvijā būs zemākā Baltijā. Ņemot vērā plānoto likmes paaugstinājumu visās trīs Baltijas valstīs, akcīzes nodoklis smēķējamai tabakai Latvijā 2024. un 2025. gadā būs zemāks nekā Lietuvā un Igaunijā, bet 2026. gadā pārsniegs minēto valstu līmeni. </w:t>
      </w:r>
    </w:p>
    <w:p w14:paraId="60BBE8F8" w14:textId="77777777" w:rsidR="002C4E90" w:rsidRPr="00FA0049" w:rsidRDefault="002C4E90" w:rsidP="002C4E90">
      <w:pPr>
        <w:spacing w:before="120"/>
        <w:rPr>
          <w:rFonts w:eastAsia="Calibri" w:cs="Times New Roman"/>
          <w:iCs/>
          <w:szCs w:val="24"/>
        </w:rPr>
      </w:pPr>
      <w:r w:rsidRPr="004204C4">
        <w:rPr>
          <w:rFonts w:eastAsia="Calibri" w:cs="Times New Roman"/>
          <w:szCs w:val="24"/>
        </w:rPr>
        <w:t xml:space="preserve">Saskaņā ar likumprojektu </w:t>
      </w:r>
      <w:r w:rsidRPr="004204C4">
        <w:rPr>
          <w:rFonts w:eastAsia="Calibri" w:cs="Times New Roman"/>
          <w:szCs w:val="24"/>
          <w:lang w:eastAsia="en-US"/>
        </w:rPr>
        <w:t xml:space="preserve">“Par valsts budžetu 2024. gadam un budžeta ietvaru 2024., 2025. un 2026. gadam” </w:t>
      </w:r>
      <w:r w:rsidRPr="004204C4">
        <w:rPr>
          <w:rFonts w:eastAsia="Calibri" w:cs="Times New Roman"/>
          <w:szCs w:val="24"/>
        </w:rPr>
        <w:t xml:space="preserve">akcīzes nodokļa </w:t>
      </w:r>
      <w:r w:rsidRPr="004204C4">
        <w:rPr>
          <w:rFonts w:eastAsia="Calibri" w:cs="Times New Roman"/>
          <w:bCs/>
          <w:szCs w:val="24"/>
        </w:rPr>
        <w:t>tabakas izstrādājumiem</w:t>
      </w:r>
      <w:r w:rsidRPr="00FA0049">
        <w:rPr>
          <w:rFonts w:eastAsia="Calibri" w:cs="Times New Roman"/>
          <w:szCs w:val="24"/>
        </w:rPr>
        <w:t xml:space="preserve"> ieņēmumi 2024. gadā tiek plānoti 277,7</w:t>
      </w:r>
      <w:r w:rsidRPr="00FA0049">
        <w:rPr>
          <w:rFonts w:eastAsia="Calibri" w:cs="Times New Roman"/>
          <w:i/>
          <w:szCs w:val="24"/>
        </w:rPr>
        <w:t> </w:t>
      </w:r>
      <w:r w:rsidRPr="00FA0049">
        <w:rPr>
          <w:rFonts w:eastAsia="Calibri" w:cs="Times New Roman"/>
          <w:szCs w:val="24"/>
        </w:rPr>
        <w:t>milj. </w:t>
      </w:r>
      <w:proofErr w:type="spellStart"/>
      <w:r w:rsidRPr="00770C40">
        <w:rPr>
          <w:rFonts w:eastAsia="Calibri" w:cs="Times New Roman"/>
          <w:i/>
          <w:szCs w:val="24"/>
        </w:rPr>
        <w:t>euro</w:t>
      </w:r>
      <w:proofErr w:type="spellEnd"/>
      <w:r w:rsidRPr="00FA0049">
        <w:rPr>
          <w:rFonts w:eastAsia="Calibri" w:cs="Times New Roman"/>
          <w:szCs w:val="24"/>
        </w:rPr>
        <w:t>, 2025. gadā 287,0 </w:t>
      </w:r>
      <w:bookmarkStart w:id="101" w:name="_Hlk125806200"/>
      <w:r w:rsidRPr="00FA0049">
        <w:rPr>
          <w:rFonts w:eastAsia="Calibri" w:cs="Times New Roman"/>
          <w:szCs w:val="24"/>
        </w:rPr>
        <w:t>milj.</w:t>
      </w:r>
      <w:bookmarkEnd w:id="101"/>
      <w:r w:rsidRPr="00FA0049">
        <w:rPr>
          <w:rFonts w:eastAsia="Calibri" w:cs="Times New Roman"/>
          <w:i/>
          <w:szCs w:val="24"/>
        </w:rPr>
        <w:t> </w:t>
      </w:r>
      <w:proofErr w:type="spellStart"/>
      <w:r w:rsidRPr="00770C40">
        <w:rPr>
          <w:rFonts w:eastAsia="Calibri" w:cs="Times New Roman"/>
          <w:i/>
          <w:szCs w:val="24"/>
        </w:rPr>
        <w:t>euro</w:t>
      </w:r>
      <w:proofErr w:type="spellEnd"/>
      <w:r w:rsidRPr="00FA0049">
        <w:rPr>
          <w:rFonts w:eastAsia="Calibri" w:cs="Times New Roman"/>
          <w:szCs w:val="24"/>
        </w:rPr>
        <w:t>, bet 2026. gadā 294,2 milj.</w:t>
      </w:r>
      <w:r w:rsidRPr="00FA0049">
        <w:rPr>
          <w:rFonts w:eastAsia="Calibri" w:cs="Times New Roman"/>
          <w:i/>
          <w:szCs w:val="24"/>
        </w:rPr>
        <w:t> </w:t>
      </w:r>
      <w:proofErr w:type="spellStart"/>
      <w:r w:rsidRPr="00770C40">
        <w:rPr>
          <w:rFonts w:eastAsia="Calibri" w:cs="Times New Roman"/>
          <w:i/>
          <w:iCs/>
          <w:szCs w:val="24"/>
        </w:rPr>
        <w:t>euro</w:t>
      </w:r>
      <w:proofErr w:type="spellEnd"/>
      <w:r w:rsidRPr="00FA0049">
        <w:rPr>
          <w:rFonts w:eastAsia="Calibri" w:cs="Times New Roman"/>
          <w:iCs/>
          <w:szCs w:val="24"/>
        </w:rPr>
        <w:t xml:space="preserve"> apmērā.</w:t>
      </w:r>
    </w:p>
    <w:p w14:paraId="1B3599F9" w14:textId="77777777" w:rsidR="007E409E" w:rsidRPr="00272F14" w:rsidRDefault="007E409E" w:rsidP="00017387">
      <w:pPr>
        <w:keepNext/>
        <w:keepLines/>
        <w:spacing w:before="240" w:after="240"/>
        <w:ind w:firstLine="0"/>
        <w:jc w:val="center"/>
        <w:outlineLvl w:val="4"/>
        <w:rPr>
          <w:rFonts w:eastAsia="Times New Roman" w:cs="Times New Roman"/>
          <w:b/>
          <w:iCs/>
          <w:szCs w:val="18"/>
          <w:lang w:eastAsia="en-US"/>
        </w:rPr>
      </w:pPr>
      <w:r w:rsidRPr="00272F14">
        <w:rPr>
          <w:rFonts w:eastAsia="Times New Roman" w:cs="Times New Roman"/>
          <w:b/>
          <w:iCs/>
          <w:szCs w:val="18"/>
          <w:lang w:eastAsia="en-US"/>
        </w:rPr>
        <w:t>Akcīzes nodoklis dabasgāzei</w:t>
      </w:r>
    </w:p>
    <w:p w14:paraId="3C26558F" w14:textId="77777777" w:rsidR="002C4E90" w:rsidRPr="00FA0049" w:rsidRDefault="002C4E90" w:rsidP="002C4E90">
      <w:pPr>
        <w:spacing w:before="120"/>
        <w:rPr>
          <w:rFonts w:eastAsia="Calibri" w:cs="Times New Roman"/>
          <w:szCs w:val="24"/>
        </w:rPr>
      </w:pPr>
      <w:r w:rsidRPr="00FA0049">
        <w:rPr>
          <w:rFonts w:eastAsia="Calibri" w:cs="Times New Roman"/>
          <w:szCs w:val="24"/>
        </w:rPr>
        <w:t>2023. gada 1. pusgadā akcīzes nodokļa ieņēmumi no dabasgāzes bija 8,5 milj. </w:t>
      </w:r>
      <w:proofErr w:type="spellStart"/>
      <w:r w:rsidRPr="00770C40">
        <w:rPr>
          <w:rFonts w:eastAsia="Calibri" w:cs="Times New Roman"/>
          <w:i/>
          <w:iCs/>
          <w:szCs w:val="24"/>
        </w:rPr>
        <w:t>euro</w:t>
      </w:r>
      <w:proofErr w:type="spellEnd"/>
      <w:r w:rsidRPr="00FA0049">
        <w:rPr>
          <w:rFonts w:eastAsia="Calibri" w:cs="Times New Roman"/>
          <w:szCs w:val="24"/>
        </w:rPr>
        <w:t>. Salīdzinot ar 2022. gada 1. pusgadu, akcīzes nodoklis dabasgāzei tika iekasēts par 1,5 milj. </w:t>
      </w:r>
      <w:proofErr w:type="spellStart"/>
      <w:r w:rsidRPr="00770C40">
        <w:rPr>
          <w:rFonts w:eastAsia="Calibri" w:cs="Times New Roman"/>
          <w:i/>
          <w:iCs/>
          <w:szCs w:val="24"/>
        </w:rPr>
        <w:t>euro</w:t>
      </w:r>
      <w:proofErr w:type="spellEnd"/>
      <w:r w:rsidRPr="00FA0049">
        <w:rPr>
          <w:rFonts w:eastAsia="Calibri" w:cs="Times New Roman"/>
          <w:szCs w:val="24"/>
        </w:rPr>
        <w:t xml:space="preserve"> jeb 15,1 % mazāk. Salīdzinot ar plānoto, iekasēts par 0,1 milj. </w:t>
      </w:r>
      <w:proofErr w:type="spellStart"/>
      <w:r w:rsidRPr="00770C40">
        <w:rPr>
          <w:rFonts w:eastAsia="Calibri" w:cs="Times New Roman"/>
          <w:i/>
          <w:iCs/>
          <w:szCs w:val="24"/>
        </w:rPr>
        <w:t>euro</w:t>
      </w:r>
      <w:proofErr w:type="spellEnd"/>
      <w:r w:rsidRPr="00FA0049">
        <w:rPr>
          <w:rFonts w:eastAsia="Calibri" w:cs="Times New Roman"/>
          <w:szCs w:val="24"/>
        </w:rPr>
        <w:t xml:space="preserve"> jeb 0,9% mazāk.</w:t>
      </w:r>
    </w:p>
    <w:p w14:paraId="25AD2FE9" w14:textId="77777777" w:rsidR="002C4E90" w:rsidRPr="00FA0049" w:rsidRDefault="002C4E90" w:rsidP="002C4E90">
      <w:pPr>
        <w:spacing w:before="120"/>
        <w:rPr>
          <w:rFonts w:eastAsia="Calibri" w:cs="Times New Roman"/>
          <w:szCs w:val="24"/>
        </w:rPr>
      </w:pPr>
      <w:r w:rsidRPr="00B362A6">
        <w:rPr>
          <w:rFonts w:eastAsia="Calibri" w:cs="Times New Roman"/>
          <w:szCs w:val="24"/>
        </w:rPr>
        <w:t>Likums “Par akcīzes nodokli” nosaka, ka no 2021. gada 1. janvāra līdz 2025. gada 31. decembrim dabasgāzei, ko izmanto par degvielu transportā, tiek piemērota samazināta akcīzes nodokļa likme 1,91 </w:t>
      </w:r>
      <w:proofErr w:type="spellStart"/>
      <w:r w:rsidRPr="00B362A6">
        <w:rPr>
          <w:rFonts w:eastAsia="Calibri" w:cs="Times New Roman"/>
          <w:i/>
          <w:szCs w:val="24"/>
        </w:rPr>
        <w:t>euro</w:t>
      </w:r>
      <w:proofErr w:type="spellEnd"/>
      <w:r w:rsidRPr="00B362A6">
        <w:rPr>
          <w:rFonts w:eastAsia="Calibri" w:cs="Times New Roman"/>
          <w:szCs w:val="24"/>
        </w:rPr>
        <w:t xml:space="preserve"> par </w:t>
      </w:r>
      <w:proofErr w:type="spellStart"/>
      <w:r w:rsidRPr="00B362A6">
        <w:rPr>
          <w:rFonts w:eastAsia="Calibri" w:cs="Times New Roman"/>
          <w:szCs w:val="24"/>
        </w:rPr>
        <w:t>MWh</w:t>
      </w:r>
      <w:proofErr w:type="spellEnd"/>
      <w:r w:rsidRPr="00B362A6">
        <w:rPr>
          <w:rFonts w:eastAsia="Calibri" w:cs="Times New Roman"/>
          <w:szCs w:val="24"/>
        </w:rPr>
        <w:t>, savukārt no 2026. gada 1. janvāra likme būs 10,0 </w:t>
      </w:r>
      <w:proofErr w:type="spellStart"/>
      <w:r w:rsidRPr="00B362A6">
        <w:rPr>
          <w:rFonts w:eastAsia="Calibri" w:cs="Times New Roman"/>
          <w:i/>
          <w:iCs/>
          <w:szCs w:val="24"/>
        </w:rPr>
        <w:t>euro</w:t>
      </w:r>
      <w:proofErr w:type="spellEnd"/>
      <w:r w:rsidRPr="00B362A6">
        <w:rPr>
          <w:rFonts w:eastAsia="Calibri" w:cs="Times New Roman"/>
          <w:szCs w:val="24"/>
        </w:rPr>
        <w:t xml:space="preserve"> par </w:t>
      </w:r>
      <w:proofErr w:type="spellStart"/>
      <w:r w:rsidRPr="00B362A6">
        <w:rPr>
          <w:rFonts w:eastAsia="Calibri" w:cs="Times New Roman"/>
          <w:szCs w:val="24"/>
        </w:rPr>
        <w:t>MWh</w:t>
      </w:r>
      <w:proofErr w:type="spellEnd"/>
      <w:r w:rsidRPr="00B362A6">
        <w:rPr>
          <w:rFonts w:eastAsia="Calibri" w:cs="Times New Roman"/>
          <w:szCs w:val="24"/>
        </w:rPr>
        <w:t>.</w:t>
      </w:r>
    </w:p>
    <w:p w14:paraId="0013B2C6" w14:textId="77777777" w:rsidR="002C4E90" w:rsidRPr="00FA0049" w:rsidRDefault="002C4E90" w:rsidP="002C4E90">
      <w:pPr>
        <w:spacing w:before="120"/>
        <w:rPr>
          <w:rFonts w:eastAsia="Calibri" w:cs="Times New Roman"/>
          <w:szCs w:val="24"/>
        </w:rPr>
      </w:pPr>
      <w:r w:rsidRPr="00FA0049">
        <w:rPr>
          <w:rFonts w:eastAsia="Calibri" w:cs="Times New Roman"/>
          <w:szCs w:val="24"/>
        </w:rPr>
        <w:t xml:space="preserve">Saskaņā ar VID informāciju par dabasgāzes patēriņu dabasgāzes daudzums, ko izmanto par kurināmo, 2022. gada decembrī un 2023. gada piecos mēnešos salīdzinājumā ar 2021. un 2022. gada atbilstošo periodu samazinājās par 13,1 %, savukārt dabasgāzes, ko izmanto par degvielu, patēriņš minētajos periodos pieauga par 27,7 procentiem. Patēriņa samazinājumu ietekmēja straujais dabasgāzes biržas cenu pieaugums kopš 2021. gada aprīļa un citu alternatīvo apkures veidu izmantošana, piemēram kā kurināmo izmantojot šķeldu un koksni, ierīkojot </w:t>
      </w:r>
      <w:proofErr w:type="spellStart"/>
      <w:r w:rsidRPr="00FA0049">
        <w:rPr>
          <w:rFonts w:eastAsia="Calibri" w:cs="Times New Roman"/>
          <w:szCs w:val="24"/>
        </w:rPr>
        <w:t>siltumsūkņus</w:t>
      </w:r>
      <w:proofErr w:type="spellEnd"/>
      <w:r w:rsidRPr="00FA0049">
        <w:rPr>
          <w:rFonts w:eastAsia="Calibri" w:cs="Times New Roman"/>
          <w:szCs w:val="24"/>
        </w:rPr>
        <w:t xml:space="preserve"> un saules paneļus. </w:t>
      </w:r>
    </w:p>
    <w:p w14:paraId="0EBE0117" w14:textId="77777777" w:rsidR="002C4E90" w:rsidRPr="00FA0049" w:rsidRDefault="002C4E90" w:rsidP="002C4E90">
      <w:pPr>
        <w:spacing w:before="120"/>
        <w:rPr>
          <w:rFonts w:eastAsia="Calibri" w:cs="Times New Roman"/>
          <w:iCs/>
          <w:szCs w:val="24"/>
        </w:rPr>
      </w:pPr>
      <w:r w:rsidRPr="00FA0049">
        <w:rPr>
          <w:rFonts w:eastAsia="Calibri" w:cs="Times New Roman"/>
          <w:szCs w:val="24"/>
        </w:rPr>
        <w:t xml:space="preserve">Saskaņā ar likumprojektu </w:t>
      </w:r>
      <w:r w:rsidRPr="00FA0049">
        <w:rPr>
          <w:rFonts w:eastAsia="Calibri" w:cs="Times New Roman"/>
          <w:szCs w:val="24"/>
          <w:lang w:eastAsia="en-US"/>
        </w:rPr>
        <w:t xml:space="preserve">“Par valsts budžetu 2024. gadam un budžeta ietvaru 2024., 2025. un 2026. gadam” </w:t>
      </w:r>
      <w:r w:rsidRPr="00FA0049">
        <w:rPr>
          <w:rFonts w:eastAsia="Calibri" w:cs="Times New Roman"/>
          <w:szCs w:val="24"/>
        </w:rPr>
        <w:t xml:space="preserve">akcīzes nodokļa </w:t>
      </w:r>
      <w:r w:rsidRPr="00FA0049">
        <w:rPr>
          <w:rFonts w:eastAsia="Calibri" w:cs="Times New Roman"/>
          <w:bCs/>
          <w:szCs w:val="24"/>
        </w:rPr>
        <w:t>dabasgāzei</w:t>
      </w:r>
      <w:r w:rsidRPr="00FA0049">
        <w:rPr>
          <w:rFonts w:eastAsia="Calibri" w:cs="Times New Roman"/>
          <w:szCs w:val="24"/>
        </w:rPr>
        <w:t xml:space="preserve"> ieņēmumi 2024. un 2025. gadā tiek plānoti 13,9</w:t>
      </w:r>
      <w:r w:rsidRPr="00FA0049">
        <w:rPr>
          <w:rFonts w:eastAsia="Calibri" w:cs="Times New Roman"/>
          <w:i/>
          <w:szCs w:val="24"/>
        </w:rPr>
        <w:t> </w:t>
      </w:r>
      <w:r w:rsidRPr="00FA0049">
        <w:rPr>
          <w:rFonts w:eastAsia="Calibri" w:cs="Times New Roman"/>
          <w:szCs w:val="24"/>
        </w:rPr>
        <w:t>milj. </w:t>
      </w:r>
      <w:proofErr w:type="spellStart"/>
      <w:r w:rsidRPr="00770C40">
        <w:rPr>
          <w:rFonts w:eastAsia="Calibri" w:cs="Times New Roman"/>
          <w:i/>
          <w:szCs w:val="24"/>
        </w:rPr>
        <w:t>euro</w:t>
      </w:r>
      <w:proofErr w:type="spellEnd"/>
      <w:r w:rsidRPr="00FA0049">
        <w:rPr>
          <w:rFonts w:eastAsia="Calibri" w:cs="Times New Roman"/>
          <w:i/>
          <w:szCs w:val="24"/>
        </w:rPr>
        <w:t xml:space="preserve"> </w:t>
      </w:r>
      <w:r w:rsidRPr="00FA0049">
        <w:rPr>
          <w:rFonts w:eastAsia="Calibri" w:cs="Times New Roman"/>
          <w:iCs/>
          <w:szCs w:val="24"/>
        </w:rPr>
        <w:t>apmērā</w:t>
      </w:r>
      <w:r w:rsidRPr="00FA0049">
        <w:rPr>
          <w:rFonts w:eastAsia="Calibri" w:cs="Times New Roman"/>
          <w:szCs w:val="24"/>
        </w:rPr>
        <w:t>, bet 2026. gadā 14,1 milj.</w:t>
      </w:r>
      <w:r w:rsidRPr="00FA0049">
        <w:rPr>
          <w:rFonts w:eastAsia="Calibri" w:cs="Times New Roman"/>
          <w:i/>
          <w:szCs w:val="24"/>
        </w:rPr>
        <w:t> </w:t>
      </w:r>
      <w:proofErr w:type="spellStart"/>
      <w:r w:rsidRPr="00770C40">
        <w:rPr>
          <w:rFonts w:eastAsia="Calibri" w:cs="Times New Roman"/>
          <w:i/>
          <w:szCs w:val="24"/>
        </w:rPr>
        <w:t>euro</w:t>
      </w:r>
      <w:proofErr w:type="spellEnd"/>
      <w:r w:rsidRPr="00FA0049">
        <w:rPr>
          <w:rFonts w:eastAsia="Calibri" w:cs="Times New Roman"/>
          <w:szCs w:val="24"/>
        </w:rPr>
        <w:t xml:space="preserve"> </w:t>
      </w:r>
      <w:r w:rsidRPr="00FA0049">
        <w:rPr>
          <w:rFonts w:eastAsia="Calibri" w:cs="Times New Roman"/>
          <w:iCs/>
          <w:szCs w:val="24"/>
        </w:rPr>
        <w:t>apmērā.</w:t>
      </w:r>
    </w:p>
    <w:p w14:paraId="0E8CF4A9" w14:textId="77777777" w:rsidR="007E409E" w:rsidRPr="00272F14" w:rsidRDefault="007E409E" w:rsidP="00017387">
      <w:pPr>
        <w:keepNext/>
        <w:keepLines/>
        <w:spacing w:before="240" w:after="240"/>
        <w:ind w:firstLine="0"/>
        <w:jc w:val="center"/>
        <w:outlineLvl w:val="4"/>
        <w:rPr>
          <w:rFonts w:eastAsia="Times New Roman" w:cs="Times New Roman"/>
          <w:b/>
          <w:iCs/>
          <w:szCs w:val="18"/>
          <w:lang w:eastAsia="en-US"/>
        </w:rPr>
      </w:pPr>
      <w:r w:rsidRPr="00272F14">
        <w:rPr>
          <w:rFonts w:eastAsia="Times New Roman" w:cs="Times New Roman"/>
          <w:b/>
          <w:iCs/>
          <w:szCs w:val="18"/>
          <w:lang w:eastAsia="en-US"/>
        </w:rPr>
        <w:t>Akcīzes nodoklis pārējām akcīzes precēm</w:t>
      </w:r>
    </w:p>
    <w:bookmarkEnd w:id="91"/>
    <w:bookmarkEnd w:id="92"/>
    <w:bookmarkEnd w:id="93"/>
    <w:bookmarkEnd w:id="94"/>
    <w:p w14:paraId="4FEAC747" w14:textId="390CDB82" w:rsidR="002C4E90" w:rsidRPr="00FA0049" w:rsidRDefault="002C4E90" w:rsidP="002C4E90">
      <w:pPr>
        <w:rPr>
          <w:rFonts w:eastAsia="Calibri" w:cs="Times New Roman"/>
          <w:szCs w:val="24"/>
        </w:rPr>
      </w:pPr>
      <w:r w:rsidRPr="00FA0049">
        <w:rPr>
          <w:rFonts w:eastAsia="Calibri" w:cs="Times New Roman"/>
          <w:szCs w:val="24"/>
        </w:rPr>
        <w:t>2023. gada 1. pusgadā akcīzes nodokļa ieņēmumi no pārējām akcīzes precēm – kafijas, bezalkoholiskajiem dzērieniem, elektroniskajās cigaretēs izmantojamajiem šķidrumiem un tabakas aizstājējproduktiem – bija 18,1 milj. </w:t>
      </w:r>
      <w:proofErr w:type="spellStart"/>
      <w:r w:rsidRPr="00770C40">
        <w:rPr>
          <w:rFonts w:eastAsia="Calibri" w:cs="Times New Roman"/>
          <w:i/>
          <w:iCs/>
          <w:szCs w:val="24"/>
        </w:rPr>
        <w:t>euro</w:t>
      </w:r>
      <w:proofErr w:type="spellEnd"/>
      <w:r w:rsidRPr="00FA0049">
        <w:rPr>
          <w:rFonts w:eastAsia="Calibri" w:cs="Times New Roman"/>
          <w:szCs w:val="24"/>
        </w:rPr>
        <w:t>. Salīdzinājumā ar 2022. gada 1. pusgadu akcīzes nodokļa ieņēmumi no tām palielinājās par 2,9 milj. </w:t>
      </w:r>
      <w:proofErr w:type="spellStart"/>
      <w:r w:rsidRPr="00770C40">
        <w:rPr>
          <w:rFonts w:eastAsia="Calibri" w:cs="Times New Roman"/>
          <w:i/>
          <w:iCs/>
          <w:szCs w:val="24"/>
        </w:rPr>
        <w:t>euro</w:t>
      </w:r>
      <w:proofErr w:type="spellEnd"/>
      <w:r w:rsidRPr="00FA0049">
        <w:rPr>
          <w:rFonts w:eastAsia="Calibri" w:cs="Times New Roman"/>
          <w:szCs w:val="24"/>
        </w:rPr>
        <w:t xml:space="preserve"> jeb 19,3 </w:t>
      </w:r>
      <w:r>
        <w:rPr>
          <w:rFonts w:eastAsia="Calibri" w:cs="Times New Roman"/>
          <w:szCs w:val="24"/>
        </w:rPr>
        <w:t>%</w:t>
      </w:r>
      <w:r w:rsidRPr="00FA0049">
        <w:rPr>
          <w:rFonts w:eastAsia="Calibri" w:cs="Times New Roman"/>
          <w:szCs w:val="24"/>
        </w:rPr>
        <w:t>. Salīdzinot ar plānoto, tika iekasēts par 1,0 milj. </w:t>
      </w:r>
      <w:proofErr w:type="spellStart"/>
      <w:r w:rsidRPr="00770C40">
        <w:rPr>
          <w:rFonts w:eastAsia="Calibri" w:cs="Times New Roman"/>
          <w:i/>
          <w:iCs/>
          <w:szCs w:val="24"/>
        </w:rPr>
        <w:t>euro</w:t>
      </w:r>
      <w:proofErr w:type="spellEnd"/>
      <w:r w:rsidRPr="00FA0049">
        <w:rPr>
          <w:rFonts w:eastAsia="Calibri" w:cs="Times New Roman"/>
          <w:szCs w:val="24"/>
        </w:rPr>
        <w:t xml:space="preserve"> jeb 5,8 % vairāk.</w:t>
      </w:r>
    </w:p>
    <w:p w14:paraId="7CEBC375" w14:textId="77777777" w:rsidR="002C4E90" w:rsidRPr="00FA0049" w:rsidRDefault="002C4E90" w:rsidP="002C4E90">
      <w:pPr>
        <w:rPr>
          <w:rFonts w:eastAsia="Calibri" w:cs="Times New Roman"/>
          <w:szCs w:val="24"/>
        </w:rPr>
      </w:pPr>
      <w:r w:rsidRPr="00FA0049">
        <w:rPr>
          <w:rFonts w:eastAsia="Calibri" w:cs="Times New Roman"/>
          <w:szCs w:val="24"/>
        </w:rPr>
        <w:t>Saskaņā ar likumu “Par akcīzes nodokli” ar 2023. gada 1. janvāri tika paaugstinātas akcīzes nodokļa likmes elektroniskajās cigaretēs izmantojamiem šķidrumiem (par 0,04</w:t>
      </w:r>
      <w:r>
        <w:rPr>
          <w:rFonts w:eastAsia="Calibri" w:cs="Times New Roman"/>
          <w:szCs w:val="24"/>
        </w:rPr>
        <w:t> </w:t>
      </w:r>
      <w:proofErr w:type="spellStart"/>
      <w:r w:rsidRPr="00770C40">
        <w:rPr>
          <w:rFonts w:eastAsia="Calibri" w:cs="Times New Roman"/>
          <w:i/>
          <w:iCs/>
          <w:szCs w:val="24"/>
        </w:rPr>
        <w:t>euro</w:t>
      </w:r>
      <w:proofErr w:type="spellEnd"/>
      <w:r w:rsidRPr="00FA0049">
        <w:rPr>
          <w:rFonts w:eastAsia="Calibri" w:cs="Times New Roman"/>
          <w:szCs w:val="24"/>
        </w:rPr>
        <w:t xml:space="preserve"> par 1 ml šķidruma) un tabakas aizstājējproduktiem (par 20</w:t>
      </w:r>
      <w:r>
        <w:rPr>
          <w:rFonts w:eastAsia="Calibri" w:cs="Times New Roman"/>
          <w:szCs w:val="24"/>
        </w:rPr>
        <w:t> </w:t>
      </w:r>
      <w:proofErr w:type="spellStart"/>
      <w:r w:rsidRPr="00770C40">
        <w:rPr>
          <w:rFonts w:eastAsia="Calibri" w:cs="Times New Roman"/>
          <w:i/>
          <w:iCs/>
          <w:szCs w:val="24"/>
        </w:rPr>
        <w:t>euro</w:t>
      </w:r>
      <w:proofErr w:type="spellEnd"/>
      <w:r w:rsidRPr="00FA0049">
        <w:rPr>
          <w:rFonts w:eastAsia="Calibri" w:cs="Times New Roman"/>
          <w:szCs w:val="24"/>
        </w:rPr>
        <w:t xml:space="preserve"> par 1</w:t>
      </w:r>
      <w:r>
        <w:rPr>
          <w:rFonts w:eastAsia="Calibri" w:cs="Times New Roman"/>
          <w:szCs w:val="24"/>
        </w:rPr>
        <w:t> </w:t>
      </w:r>
      <w:r w:rsidRPr="00FA0049">
        <w:rPr>
          <w:rFonts w:eastAsia="Calibri" w:cs="Times New Roman"/>
          <w:szCs w:val="24"/>
        </w:rPr>
        <w:t xml:space="preserve">000 g). </w:t>
      </w:r>
    </w:p>
    <w:p w14:paraId="7BB66972" w14:textId="77777777" w:rsidR="002C4E90" w:rsidRPr="00FA0049" w:rsidRDefault="002C4E90" w:rsidP="002C4E90">
      <w:pPr>
        <w:rPr>
          <w:rFonts w:eastAsia="Calibri" w:cs="Times New Roman"/>
          <w:szCs w:val="24"/>
        </w:rPr>
      </w:pPr>
      <w:r w:rsidRPr="00FA0049">
        <w:rPr>
          <w:rFonts w:eastAsia="Calibri" w:cs="Times New Roman"/>
          <w:szCs w:val="24"/>
        </w:rPr>
        <w:lastRenderedPageBreak/>
        <w:t xml:space="preserve">Atbilstoši VID sniegtajai informācijai 2022. gada decembrī un 2023. gada piecos mēnešos salīdzinājumā ar 2021. un 2022. gada atbilstošo periodu bezalkoholisko dzērienu patēriņš palielinājās par 4,9 %, elektronisko cigarešu </w:t>
      </w:r>
      <w:proofErr w:type="spellStart"/>
      <w:r w:rsidRPr="00FA0049">
        <w:rPr>
          <w:rFonts w:eastAsia="Calibri" w:cs="Times New Roman"/>
          <w:szCs w:val="24"/>
        </w:rPr>
        <w:t>uzpildes</w:t>
      </w:r>
      <w:proofErr w:type="spellEnd"/>
      <w:r w:rsidRPr="00FA0049">
        <w:rPr>
          <w:rFonts w:eastAsia="Calibri" w:cs="Times New Roman"/>
          <w:szCs w:val="24"/>
        </w:rPr>
        <w:t xml:space="preserve"> šķidrumu patēriņš par 34,5 % un tabakas aizstājējproduktu patēriņš par 11,8 %, bet kafijas patēriņš samazinājās par 4,2 procentiem. </w:t>
      </w:r>
    </w:p>
    <w:p w14:paraId="1FF823B1" w14:textId="77777777" w:rsidR="002C4E90" w:rsidRPr="00FA0049" w:rsidRDefault="002C4E90" w:rsidP="002C4E90">
      <w:pPr>
        <w:rPr>
          <w:rFonts w:eastAsia="Calibri" w:cs="Times New Roman"/>
          <w:szCs w:val="24"/>
        </w:rPr>
      </w:pPr>
      <w:r w:rsidRPr="00FA0049">
        <w:rPr>
          <w:rFonts w:eastAsia="Calibri" w:cs="Times New Roman"/>
          <w:szCs w:val="24"/>
        </w:rPr>
        <w:t xml:space="preserve">Plānotā akcīzes nodokļa likmju paaugstināšanas rezultātā nodokļu daļa elektronisko cigarešu </w:t>
      </w:r>
      <w:proofErr w:type="spellStart"/>
      <w:r w:rsidRPr="00FA0049">
        <w:rPr>
          <w:rFonts w:eastAsia="Calibri" w:cs="Times New Roman"/>
          <w:szCs w:val="24"/>
        </w:rPr>
        <w:t>uzpildes</w:t>
      </w:r>
      <w:proofErr w:type="spellEnd"/>
      <w:r w:rsidRPr="00FA0049">
        <w:rPr>
          <w:rFonts w:eastAsia="Calibri" w:cs="Times New Roman"/>
          <w:szCs w:val="24"/>
        </w:rPr>
        <w:t xml:space="preserve"> šķidruma 2 ml iepakojumam ar 2024. gada 1. martu pieaugs par 0,10 </w:t>
      </w:r>
      <w:proofErr w:type="spellStart"/>
      <w:r w:rsidRPr="00770C40">
        <w:rPr>
          <w:rFonts w:eastAsia="Calibri" w:cs="Times New Roman"/>
          <w:i/>
          <w:szCs w:val="24"/>
        </w:rPr>
        <w:t>euro</w:t>
      </w:r>
      <w:proofErr w:type="spellEnd"/>
      <w:r w:rsidRPr="00FA0049">
        <w:rPr>
          <w:rFonts w:eastAsia="Calibri" w:cs="Times New Roman"/>
          <w:szCs w:val="24"/>
        </w:rPr>
        <w:t>, ar 2025. gada 1. janvārī par 0,12 </w:t>
      </w:r>
      <w:proofErr w:type="spellStart"/>
      <w:r w:rsidRPr="00770C40">
        <w:rPr>
          <w:rFonts w:eastAsia="Calibri" w:cs="Times New Roman"/>
          <w:i/>
          <w:szCs w:val="24"/>
        </w:rPr>
        <w:t>euro</w:t>
      </w:r>
      <w:proofErr w:type="spellEnd"/>
      <w:r w:rsidRPr="00FA0049">
        <w:rPr>
          <w:rFonts w:eastAsia="Calibri" w:cs="Times New Roman"/>
          <w:szCs w:val="24"/>
        </w:rPr>
        <w:t xml:space="preserve"> un ar 2026. gada 1. janvārī par 0,15 </w:t>
      </w:r>
      <w:proofErr w:type="spellStart"/>
      <w:r w:rsidRPr="00770C40">
        <w:rPr>
          <w:rFonts w:eastAsia="Calibri" w:cs="Times New Roman"/>
          <w:i/>
          <w:szCs w:val="24"/>
        </w:rPr>
        <w:t>euro</w:t>
      </w:r>
      <w:proofErr w:type="spellEnd"/>
      <w:r w:rsidRPr="00FA0049">
        <w:rPr>
          <w:rFonts w:eastAsia="Calibri" w:cs="Times New Roman"/>
          <w:szCs w:val="24"/>
        </w:rPr>
        <w:t>. Savukārt tabakas aizstājējproduktu iepakojumam (pieņemot, ka viena iepakojuma svars ir 14</w:t>
      </w:r>
      <w:r>
        <w:rPr>
          <w:rFonts w:eastAsia="Calibri" w:cs="Times New Roman"/>
          <w:szCs w:val="24"/>
        </w:rPr>
        <w:t> </w:t>
      </w:r>
      <w:r w:rsidRPr="00FA0049">
        <w:rPr>
          <w:rFonts w:eastAsia="Calibri" w:cs="Times New Roman"/>
          <w:szCs w:val="24"/>
        </w:rPr>
        <w:t>g) akcīzes nodokļa likmes paaugstināšanas rezultātā nodokļu daļa</w:t>
      </w:r>
      <w:r>
        <w:rPr>
          <w:rFonts w:eastAsia="Calibri" w:cs="Times New Roman"/>
          <w:szCs w:val="24"/>
        </w:rPr>
        <w:t xml:space="preserve"> </w:t>
      </w:r>
      <w:r w:rsidRPr="00FA0049">
        <w:rPr>
          <w:rFonts w:eastAsia="Calibri" w:cs="Times New Roman"/>
          <w:szCs w:val="24"/>
        </w:rPr>
        <w:t>2024.</w:t>
      </w:r>
      <w:r>
        <w:rPr>
          <w:rFonts w:eastAsia="Calibri" w:cs="Times New Roman"/>
          <w:szCs w:val="24"/>
        </w:rPr>
        <w:t> </w:t>
      </w:r>
      <w:r w:rsidRPr="00FA0049">
        <w:rPr>
          <w:rFonts w:eastAsia="Calibri" w:cs="Times New Roman"/>
          <w:szCs w:val="24"/>
        </w:rPr>
        <w:t>gadā pieaugs par 0,20</w:t>
      </w:r>
      <w:r>
        <w:rPr>
          <w:rFonts w:eastAsia="Calibri" w:cs="Times New Roman"/>
          <w:szCs w:val="24"/>
        </w:rPr>
        <w:t> </w:t>
      </w:r>
      <w:proofErr w:type="spellStart"/>
      <w:r w:rsidRPr="00770C40">
        <w:rPr>
          <w:rFonts w:eastAsia="Calibri" w:cs="Times New Roman"/>
          <w:i/>
          <w:szCs w:val="24"/>
        </w:rPr>
        <w:t>euro</w:t>
      </w:r>
      <w:proofErr w:type="spellEnd"/>
      <w:r w:rsidRPr="00FA0049">
        <w:rPr>
          <w:rFonts w:eastAsia="Calibri" w:cs="Times New Roman"/>
          <w:szCs w:val="24"/>
        </w:rPr>
        <w:t>, 2025.</w:t>
      </w:r>
      <w:r>
        <w:rPr>
          <w:rFonts w:eastAsia="Calibri" w:cs="Times New Roman"/>
          <w:szCs w:val="24"/>
        </w:rPr>
        <w:t> </w:t>
      </w:r>
      <w:r w:rsidRPr="00FA0049">
        <w:rPr>
          <w:rFonts w:eastAsia="Calibri" w:cs="Times New Roman"/>
          <w:szCs w:val="24"/>
        </w:rPr>
        <w:t>gadā par 0,22</w:t>
      </w:r>
      <w:r>
        <w:rPr>
          <w:rFonts w:eastAsia="Calibri" w:cs="Times New Roman"/>
          <w:szCs w:val="24"/>
        </w:rPr>
        <w:t> </w:t>
      </w:r>
      <w:proofErr w:type="spellStart"/>
      <w:r w:rsidRPr="00770C40">
        <w:rPr>
          <w:rFonts w:eastAsia="Calibri" w:cs="Times New Roman"/>
          <w:i/>
          <w:szCs w:val="24"/>
        </w:rPr>
        <w:t>euro</w:t>
      </w:r>
      <w:proofErr w:type="spellEnd"/>
      <w:r w:rsidRPr="00FA0049">
        <w:rPr>
          <w:rFonts w:eastAsia="Calibri" w:cs="Times New Roman"/>
          <w:szCs w:val="24"/>
        </w:rPr>
        <w:t xml:space="preserve"> un 2026.</w:t>
      </w:r>
      <w:r>
        <w:rPr>
          <w:rFonts w:eastAsia="Calibri" w:cs="Times New Roman"/>
          <w:szCs w:val="24"/>
        </w:rPr>
        <w:t> </w:t>
      </w:r>
      <w:r w:rsidRPr="00FA0049">
        <w:rPr>
          <w:rFonts w:eastAsia="Calibri" w:cs="Times New Roman"/>
          <w:szCs w:val="24"/>
        </w:rPr>
        <w:t>gadā par 0,25</w:t>
      </w:r>
      <w:r>
        <w:rPr>
          <w:rFonts w:eastAsia="Calibri" w:cs="Times New Roman"/>
          <w:szCs w:val="24"/>
        </w:rPr>
        <w:t> </w:t>
      </w:r>
      <w:proofErr w:type="spellStart"/>
      <w:r w:rsidRPr="00770C40">
        <w:rPr>
          <w:rFonts w:eastAsia="Calibri" w:cs="Times New Roman"/>
          <w:i/>
          <w:iCs/>
          <w:szCs w:val="24"/>
        </w:rPr>
        <w:t>euro</w:t>
      </w:r>
      <w:proofErr w:type="spellEnd"/>
      <w:r w:rsidRPr="00FA0049">
        <w:rPr>
          <w:rFonts w:eastAsia="Calibri" w:cs="Times New Roman"/>
          <w:szCs w:val="24"/>
        </w:rPr>
        <w:t>.</w:t>
      </w:r>
    </w:p>
    <w:p w14:paraId="0D7DF8B9" w14:textId="77777777" w:rsidR="002C4E90" w:rsidRPr="00FA0049" w:rsidRDefault="002C4E90" w:rsidP="002C4E90">
      <w:pPr>
        <w:rPr>
          <w:rFonts w:eastAsia="Calibri" w:cs="Times New Roman"/>
          <w:szCs w:val="24"/>
        </w:rPr>
      </w:pPr>
      <w:r w:rsidRPr="00FA0049">
        <w:rPr>
          <w:rFonts w:eastAsia="Calibri" w:cs="Times New Roman"/>
          <w:szCs w:val="24"/>
        </w:rPr>
        <w:t xml:space="preserve">Atbilstoši plānotajam likmju paaugstinājumam, Latvijā, sākot ar 2025. gadu, būs visaugstākā likme elektronisko cigarešu </w:t>
      </w:r>
      <w:proofErr w:type="spellStart"/>
      <w:r w:rsidRPr="00FA0049">
        <w:rPr>
          <w:rFonts w:eastAsia="Calibri" w:cs="Times New Roman"/>
          <w:szCs w:val="24"/>
        </w:rPr>
        <w:t>uzpildes</w:t>
      </w:r>
      <w:proofErr w:type="spellEnd"/>
      <w:r w:rsidRPr="00FA0049">
        <w:rPr>
          <w:rFonts w:eastAsia="Calibri" w:cs="Times New Roman"/>
          <w:szCs w:val="24"/>
        </w:rPr>
        <w:t xml:space="preserve"> šķidrumiem. Attiecībā uz tabakas aizstājējproduktiem Latvijā, salīdzinot ar Igauniju,</w:t>
      </w:r>
      <w:r>
        <w:rPr>
          <w:rFonts w:eastAsia="Calibri" w:cs="Times New Roman"/>
          <w:szCs w:val="24"/>
        </w:rPr>
        <w:t xml:space="preserve"> </w:t>
      </w:r>
      <w:r w:rsidRPr="00FA0049">
        <w:rPr>
          <w:rFonts w:eastAsia="Calibri" w:cs="Times New Roman"/>
          <w:szCs w:val="24"/>
        </w:rPr>
        <w:t>paredzēta augstāka nodokļa likme, savukārt Lietuvā akcīzes nodoklis tabakas aizstājējproduktiem netiek piemērots.</w:t>
      </w:r>
    </w:p>
    <w:p w14:paraId="34BB8642" w14:textId="77777777" w:rsidR="002C4E90" w:rsidRPr="00FA0049" w:rsidRDefault="002C4E90" w:rsidP="002C4E90">
      <w:pPr>
        <w:rPr>
          <w:rFonts w:eastAsia="Calibri" w:cs="Times New Roman"/>
          <w:iCs/>
          <w:szCs w:val="24"/>
        </w:rPr>
      </w:pPr>
      <w:r w:rsidRPr="00FA0049">
        <w:rPr>
          <w:rFonts w:eastAsia="Calibri" w:cs="Times New Roman"/>
          <w:szCs w:val="24"/>
        </w:rPr>
        <w:t xml:space="preserve">Saskaņā ar likumprojektu </w:t>
      </w:r>
      <w:r w:rsidRPr="00FA0049">
        <w:rPr>
          <w:rFonts w:eastAsia="Calibri" w:cs="Times New Roman"/>
          <w:szCs w:val="24"/>
          <w:lang w:eastAsia="en-US"/>
        </w:rPr>
        <w:t xml:space="preserve">“Par valsts budžetu 2024. gadam un budžeta ietvaru 2024., 2025. un 2026. gadam” </w:t>
      </w:r>
      <w:r w:rsidRPr="00FA0049">
        <w:rPr>
          <w:rFonts w:eastAsia="Calibri" w:cs="Times New Roman"/>
          <w:szCs w:val="24"/>
        </w:rPr>
        <w:t xml:space="preserve">akcīzes nodokļa </w:t>
      </w:r>
      <w:r w:rsidRPr="00FA0049">
        <w:rPr>
          <w:rFonts w:eastAsia="Calibri" w:cs="Times New Roman"/>
          <w:bCs/>
          <w:szCs w:val="24"/>
        </w:rPr>
        <w:t>pārējām akcīzes precēm</w:t>
      </w:r>
      <w:r w:rsidRPr="00FA0049">
        <w:rPr>
          <w:rFonts w:eastAsia="Calibri" w:cs="Times New Roman"/>
          <w:szCs w:val="24"/>
        </w:rPr>
        <w:t xml:space="preserve"> ieņēmumi 2024. gadā tiek plānoti 44,0</w:t>
      </w:r>
      <w:r w:rsidRPr="00FA0049">
        <w:rPr>
          <w:rFonts w:eastAsia="Calibri" w:cs="Times New Roman"/>
          <w:i/>
          <w:szCs w:val="24"/>
        </w:rPr>
        <w:t> </w:t>
      </w:r>
      <w:r w:rsidRPr="00FA0049">
        <w:rPr>
          <w:rFonts w:eastAsia="Calibri" w:cs="Times New Roman"/>
          <w:szCs w:val="24"/>
        </w:rPr>
        <w:t>milj. </w:t>
      </w:r>
      <w:proofErr w:type="spellStart"/>
      <w:r w:rsidRPr="00770C40">
        <w:rPr>
          <w:rFonts w:eastAsia="Calibri" w:cs="Times New Roman"/>
          <w:i/>
          <w:szCs w:val="24"/>
        </w:rPr>
        <w:t>euro</w:t>
      </w:r>
      <w:proofErr w:type="spellEnd"/>
      <w:r w:rsidRPr="00FA0049">
        <w:rPr>
          <w:rFonts w:eastAsia="Calibri" w:cs="Times New Roman"/>
          <w:szCs w:val="24"/>
        </w:rPr>
        <w:t>, 2025. gadā 48,2 milj.</w:t>
      </w:r>
      <w:r w:rsidRPr="00FA0049">
        <w:rPr>
          <w:rFonts w:eastAsia="Calibri" w:cs="Times New Roman"/>
          <w:i/>
          <w:szCs w:val="24"/>
        </w:rPr>
        <w:t> </w:t>
      </w:r>
      <w:proofErr w:type="spellStart"/>
      <w:r w:rsidRPr="00770C40">
        <w:rPr>
          <w:rFonts w:eastAsia="Calibri" w:cs="Times New Roman"/>
          <w:i/>
          <w:szCs w:val="24"/>
        </w:rPr>
        <w:t>euro</w:t>
      </w:r>
      <w:proofErr w:type="spellEnd"/>
      <w:r w:rsidRPr="00FA0049">
        <w:rPr>
          <w:rFonts w:eastAsia="Calibri" w:cs="Times New Roman"/>
          <w:szCs w:val="24"/>
        </w:rPr>
        <w:t>, bet 2026. gadā 51,7 milj.</w:t>
      </w:r>
      <w:r w:rsidRPr="00FA0049">
        <w:rPr>
          <w:rFonts w:eastAsia="Calibri" w:cs="Times New Roman"/>
          <w:i/>
          <w:szCs w:val="24"/>
        </w:rPr>
        <w:t> </w:t>
      </w:r>
      <w:proofErr w:type="spellStart"/>
      <w:r w:rsidRPr="00770C40">
        <w:rPr>
          <w:rFonts w:eastAsia="Calibri" w:cs="Times New Roman"/>
          <w:i/>
          <w:iCs/>
          <w:szCs w:val="24"/>
        </w:rPr>
        <w:t>euro</w:t>
      </w:r>
      <w:proofErr w:type="spellEnd"/>
      <w:r w:rsidRPr="00FA0049">
        <w:rPr>
          <w:rFonts w:eastAsia="Calibri" w:cs="Times New Roman"/>
          <w:iCs/>
          <w:szCs w:val="24"/>
        </w:rPr>
        <w:t xml:space="preserve"> apmērā.</w:t>
      </w:r>
    </w:p>
    <w:p w14:paraId="28CFCF5B" w14:textId="77777777" w:rsidR="007E409E" w:rsidRPr="00272F14" w:rsidRDefault="007E409E" w:rsidP="00C00DF7">
      <w:pPr>
        <w:keepNext/>
        <w:keepLines/>
        <w:spacing w:before="240" w:after="240"/>
        <w:ind w:firstLine="0"/>
        <w:jc w:val="center"/>
        <w:outlineLvl w:val="3"/>
        <w:rPr>
          <w:rFonts w:eastAsia="Times New Roman" w:cs="Times New Roman"/>
          <w:b/>
          <w:szCs w:val="20"/>
          <w:lang w:eastAsia="en-US"/>
        </w:rPr>
      </w:pPr>
      <w:r w:rsidRPr="00272F14">
        <w:rPr>
          <w:rFonts w:eastAsia="Times New Roman" w:cs="Times New Roman"/>
          <w:b/>
          <w:szCs w:val="20"/>
          <w:lang w:eastAsia="en-US"/>
        </w:rPr>
        <w:t>Transportlīdzekļu ekspluatācijas nodoklis</w:t>
      </w:r>
    </w:p>
    <w:p w14:paraId="2803EFDE" w14:textId="77777777" w:rsidR="002C4E90" w:rsidRPr="008B4A04" w:rsidRDefault="002C4E90" w:rsidP="002C4E90">
      <w:pPr>
        <w:rPr>
          <w:rFonts w:eastAsia="Calibri" w:cs="Times New Roman"/>
          <w:szCs w:val="24"/>
          <w:highlight w:val="yellow"/>
        </w:rPr>
      </w:pPr>
      <w:r w:rsidRPr="008B4A04">
        <w:rPr>
          <w:rFonts w:eastAsia="Calibri" w:cs="Times New Roman"/>
          <w:szCs w:val="24"/>
        </w:rPr>
        <w:t>Transportlīdzekļu ekspluatācijas nodokļa ieņēmumi 2023</w:t>
      </w:r>
      <w:r>
        <w:rPr>
          <w:rFonts w:eastAsia="Calibri" w:cs="Times New Roman"/>
          <w:szCs w:val="24"/>
        </w:rPr>
        <w:t>. g</w:t>
      </w:r>
      <w:r w:rsidRPr="008B4A04">
        <w:rPr>
          <w:rFonts w:eastAsia="Calibri" w:cs="Times New Roman"/>
          <w:szCs w:val="24"/>
        </w:rPr>
        <w:t>ada sešos mēnešos bija 56,1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salīdzinājumā ar 2022</w:t>
      </w:r>
      <w:r>
        <w:rPr>
          <w:rFonts w:eastAsia="Calibri" w:cs="Times New Roman"/>
          <w:szCs w:val="24"/>
        </w:rPr>
        <w:t>. g</w:t>
      </w:r>
      <w:r w:rsidRPr="008B4A04">
        <w:rPr>
          <w:rFonts w:eastAsia="Calibri" w:cs="Times New Roman"/>
          <w:szCs w:val="24"/>
        </w:rPr>
        <w:t>ada sešiem mēnešiem ir par 1,3</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2,3</w:t>
      </w:r>
      <w:r>
        <w:rPr>
          <w:rFonts w:eastAsia="Calibri" w:cs="Times New Roman"/>
          <w:szCs w:val="24"/>
        </w:rPr>
        <w:t> %</w:t>
      </w:r>
      <w:r w:rsidRPr="008B4A04">
        <w:rPr>
          <w:rFonts w:eastAsia="Calibri" w:cs="Times New Roman"/>
          <w:szCs w:val="24"/>
        </w:rPr>
        <w:t xml:space="preserve"> vairāk. Salīdzinājumā ar 2023</w:t>
      </w:r>
      <w:r>
        <w:rPr>
          <w:rFonts w:eastAsia="Calibri" w:cs="Times New Roman"/>
          <w:szCs w:val="24"/>
        </w:rPr>
        <w:t>. g</w:t>
      </w:r>
      <w:r w:rsidRPr="008B4A04">
        <w:rPr>
          <w:rFonts w:eastAsia="Calibri" w:cs="Times New Roman"/>
          <w:szCs w:val="24"/>
        </w:rPr>
        <w:t xml:space="preserve">ada sešu mēnešu plānu, ieņēmumi </w:t>
      </w:r>
      <w:r>
        <w:rPr>
          <w:rFonts w:eastAsia="Calibri" w:cs="Times New Roman"/>
          <w:szCs w:val="24"/>
        </w:rPr>
        <w:t xml:space="preserve">bija </w:t>
      </w:r>
      <w:r w:rsidRPr="008B4A04">
        <w:rPr>
          <w:rFonts w:eastAsia="Calibri" w:cs="Times New Roman"/>
          <w:szCs w:val="24"/>
        </w:rPr>
        <w:t>lielāki par 1,0</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1,8</w:t>
      </w:r>
      <w:r>
        <w:rPr>
          <w:rFonts w:eastAsia="Calibri" w:cs="Times New Roman"/>
          <w:szCs w:val="24"/>
        </w:rPr>
        <w:t> procentiem</w:t>
      </w:r>
      <w:r w:rsidRPr="008B4A04">
        <w:rPr>
          <w:rFonts w:eastAsia="Calibri" w:cs="Times New Roman"/>
          <w:szCs w:val="24"/>
        </w:rPr>
        <w:t xml:space="preserve">. Plāna pārpildi ietekmēja </w:t>
      </w:r>
      <w:proofErr w:type="spellStart"/>
      <w:r w:rsidRPr="008B4A04">
        <w:rPr>
          <w:rFonts w:eastAsia="Calibri" w:cs="Times New Roman"/>
          <w:szCs w:val="24"/>
        </w:rPr>
        <w:t>pamatpārbaudi</w:t>
      </w:r>
      <w:proofErr w:type="spellEnd"/>
      <w:r w:rsidRPr="008B4A04">
        <w:rPr>
          <w:rFonts w:eastAsia="Calibri" w:cs="Times New Roman"/>
          <w:szCs w:val="24"/>
        </w:rPr>
        <w:t xml:space="preserve"> veikušo transportlīdzekļu skaita pieauguma tempu palielinājums, salīdzinājumā ar iepriekšējo gadu.</w:t>
      </w:r>
    </w:p>
    <w:p w14:paraId="3A15E1AE" w14:textId="77777777" w:rsidR="002C4E90" w:rsidRPr="008B4A04" w:rsidRDefault="002C4E90" w:rsidP="002C4E90">
      <w:pPr>
        <w:rPr>
          <w:rFonts w:eastAsia="Calibri" w:cs="Times New Roman"/>
          <w:szCs w:val="24"/>
          <w:highlight w:val="yellow"/>
        </w:rPr>
      </w:pPr>
      <w:r w:rsidRPr="008B4A04">
        <w:rPr>
          <w:rFonts w:eastAsia="Calibri" w:cs="Times New Roman"/>
          <w:szCs w:val="24"/>
        </w:rPr>
        <w:t>2024</w:t>
      </w:r>
      <w:r>
        <w:rPr>
          <w:rFonts w:eastAsia="Calibri" w:cs="Times New Roman"/>
          <w:szCs w:val="24"/>
        </w:rPr>
        <w:t>. g</w:t>
      </w:r>
      <w:r w:rsidRPr="008B4A04">
        <w:rPr>
          <w:rFonts w:eastAsia="Calibri" w:cs="Times New Roman"/>
          <w:szCs w:val="24"/>
        </w:rPr>
        <w:t>adā, 2025. un 2026</w:t>
      </w:r>
      <w:r>
        <w:rPr>
          <w:rFonts w:eastAsia="Calibri" w:cs="Times New Roman"/>
          <w:szCs w:val="24"/>
        </w:rPr>
        <w:t>. g</w:t>
      </w:r>
      <w:r w:rsidRPr="008B4A04">
        <w:rPr>
          <w:rFonts w:eastAsia="Calibri" w:cs="Times New Roman"/>
          <w:szCs w:val="24"/>
        </w:rPr>
        <w:t>adā nodokļa ieņēmumu pieauguma temp</w:t>
      </w:r>
      <w:r>
        <w:rPr>
          <w:rFonts w:eastAsia="Calibri" w:cs="Times New Roman"/>
          <w:szCs w:val="24"/>
        </w:rPr>
        <w:t>s</w:t>
      </w:r>
      <w:r w:rsidRPr="008B4A04">
        <w:rPr>
          <w:rFonts w:eastAsia="Calibri" w:cs="Times New Roman"/>
          <w:szCs w:val="24"/>
        </w:rPr>
        <w:t xml:space="preserve"> ir plānot</w:t>
      </w:r>
      <w:r>
        <w:rPr>
          <w:rFonts w:eastAsia="Calibri" w:cs="Times New Roman"/>
          <w:szCs w:val="24"/>
        </w:rPr>
        <w:t>s</w:t>
      </w:r>
      <w:r w:rsidRPr="008B4A04">
        <w:rPr>
          <w:rFonts w:eastAsia="Calibri" w:cs="Times New Roman"/>
          <w:szCs w:val="24"/>
        </w:rPr>
        <w:t xml:space="preserve"> attiecīgi 2,3</w:t>
      </w:r>
      <w:r>
        <w:rPr>
          <w:rFonts w:eastAsia="Calibri" w:cs="Times New Roman"/>
          <w:szCs w:val="24"/>
        </w:rPr>
        <w:t> %</w:t>
      </w:r>
      <w:r w:rsidRPr="008B4A04">
        <w:rPr>
          <w:rFonts w:eastAsia="Calibri" w:cs="Times New Roman"/>
          <w:szCs w:val="24"/>
        </w:rPr>
        <w:t>, 3,1</w:t>
      </w:r>
      <w:r>
        <w:rPr>
          <w:rFonts w:eastAsia="Calibri" w:cs="Times New Roman"/>
          <w:szCs w:val="24"/>
        </w:rPr>
        <w:t> %</w:t>
      </w:r>
      <w:r w:rsidRPr="008B4A04">
        <w:rPr>
          <w:rFonts w:eastAsia="Calibri" w:cs="Times New Roman"/>
          <w:szCs w:val="24"/>
        </w:rPr>
        <w:t xml:space="preserve"> un 3,1</w:t>
      </w:r>
      <w:r>
        <w:rPr>
          <w:rFonts w:eastAsia="Calibri" w:cs="Times New Roman"/>
          <w:szCs w:val="24"/>
        </w:rPr>
        <w:t> %</w:t>
      </w:r>
      <w:r w:rsidRPr="008B4A04">
        <w:rPr>
          <w:rFonts w:eastAsia="Calibri" w:cs="Times New Roman"/>
          <w:szCs w:val="24"/>
        </w:rPr>
        <w:t xml:space="preserve"> apmērā. Saskaņā ar likumprojektu “Par valsts budžetu 2024</w:t>
      </w:r>
      <w:r>
        <w:rPr>
          <w:rFonts w:eastAsia="Calibri" w:cs="Times New Roman"/>
          <w:szCs w:val="24"/>
        </w:rPr>
        <w:t>. g</w:t>
      </w:r>
      <w:r w:rsidRPr="008B4A04">
        <w:rPr>
          <w:rFonts w:eastAsia="Calibri" w:cs="Times New Roman"/>
          <w:szCs w:val="24"/>
        </w:rPr>
        <w:t>adam un budžeta ietvaru 2024., 2025. un 2026</w:t>
      </w:r>
      <w:r>
        <w:rPr>
          <w:rFonts w:eastAsia="Calibri" w:cs="Times New Roman"/>
          <w:szCs w:val="24"/>
        </w:rPr>
        <w:t>. g</w:t>
      </w:r>
      <w:r w:rsidRPr="008B4A04">
        <w:rPr>
          <w:rFonts w:eastAsia="Calibri" w:cs="Times New Roman"/>
          <w:szCs w:val="24"/>
        </w:rPr>
        <w:t>adam” transportlīdzekļu ekspluatācijas nodokļa ieņēmumi 2024</w:t>
      </w:r>
      <w:r>
        <w:rPr>
          <w:rFonts w:eastAsia="Calibri" w:cs="Times New Roman"/>
          <w:szCs w:val="24"/>
        </w:rPr>
        <w:t>. g</w:t>
      </w:r>
      <w:r w:rsidRPr="008B4A04">
        <w:rPr>
          <w:rFonts w:eastAsia="Calibri" w:cs="Times New Roman"/>
          <w:szCs w:val="24"/>
        </w:rPr>
        <w:t>adā tiek plānoti 105,3</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2025</w:t>
      </w:r>
      <w:r>
        <w:rPr>
          <w:rFonts w:eastAsia="Calibri" w:cs="Times New Roman"/>
          <w:szCs w:val="24"/>
        </w:rPr>
        <w:t>. g</w:t>
      </w:r>
      <w:r w:rsidRPr="008B4A04">
        <w:rPr>
          <w:rFonts w:eastAsia="Calibri" w:cs="Times New Roman"/>
          <w:szCs w:val="24"/>
        </w:rPr>
        <w:t>adā 108,6</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un 2026</w:t>
      </w:r>
      <w:r>
        <w:rPr>
          <w:rFonts w:eastAsia="Calibri" w:cs="Times New Roman"/>
          <w:szCs w:val="24"/>
        </w:rPr>
        <w:t>. g</w:t>
      </w:r>
      <w:r w:rsidRPr="008B4A04">
        <w:rPr>
          <w:rFonts w:eastAsia="Calibri" w:cs="Times New Roman"/>
          <w:szCs w:val="24"/>
        </w:rPr>
        <w:t>adā 112,0</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apmērā (skat. 3.</w:t>
      </w:r>
      <w:r>
        <w:rPr>
          <w:rFonts w:eastAsia="Calibri" w:cs="Times New Roman"/>
          <w:szCs w:val="24"/>
        </w:rPr>
        <w:t>14</w:t>
      </w:r>
      <w:r w:rsidRPr="008B4A04">
        <w:rPr>
          <w:rFonts w:eastAsia="Calibri" w:cs="Times New Roman"/>
          <w:szCs w:val="24"/>
        </w:rPr>
        <w:t>. tabulu).</w:t>
      </w:r>
    </w:p>
    <w:p w14:paraId="747F955E" w14:textId="77777777" w:rsidR="002C4E90" w:rsidRPr="004A3BF6" w:rsidRDefault="002C4E90" w:rsidP="002C4E90">
      <w:pPr>
        <w:pStyle w:val="Tabulasnosaukums"/>
      </w:pPr>
      <w:r w:rsidRPr="004A3BF6">
        <w:t>3.</w:t>
      </w:r>
      <w:r>
        <w:t>14</w:t>
      </w:r>
      <w:r w:rsidRPr="004A3BF6">
        <w:t>. tabula. Transportlīdzekļa ekspluatācijas nodokļa ieņēmumi</w:t>
      </w:r>
    </w:p>
    <w:tbl>
      <w:tblPr>
        <w:tblW w:w="4971"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6295"/>
        <w:gridCol w:w="681"/>
        <w:gridCol w:w="683"/>
        <w:gridCol w:w="681"/>
        <w:gridCol w:w="672"/>
      </w:tblGrid>
      <w:tr w:rsidR="00A30215" w:rsidRPr="004A3BF6" w14:paraId="5618B79F" w14:textId="77777777" w:rsidTr="00A30215">
        <w:trPr>
          <w:trHeight w:hRule="exact" w:val="227"/>
          <w:tblHeader/>
          <w:jc w:val="center"/>
        </w:trPr>
        <w:tc>
          <w:tcPr>
            <w:tcW w:w="3491" w:type="pct"/>
            <w:shd w:val="clear" w:color="auto" w:fill="9CC2E5"/>
            <w:noWrap/>
            <w:vAlign w:val="center"/>
            <w:hideMark/>
          </w:tcPr>
          <w:p w14:paraId="5D922A16" w14:textId="77777777" w:rsidR="002C4E90" w:rsidRPr="002C4E90" w:rsidRDefault="002C4E90" w:rsidP="005D673A">
            <w:pPr>
              <w:pStyle w:val="Tabulasgalvenesrinda"/>
            </w:pPr>
          </w:p>
        </w:tc>
        <w:tc>
          <w:tcPr>
            <w:tcW w:w="378" w:type="pct"/>
            <w:shd w:val="clear" w:color="auto" w:fill="9CC2E5"/>
            <w:vAlign w:val="center"/>
          </w:tcPr>
          <w:p w14:paraId="4B658068" w14:textId="77777777" w:rsidR="002C4E90" w:rsidRPr="002C4E90" w:rsidRDefault="002C4E90" w:rsidP="005D673A">
            <w:pPr>
              <w:pStyle w:val="Tabulasgalvenesrinda"/>
              <w:rPr>
                <w:noProof/>
              </w:rPr>
            </w:pPr>
            <w:r w:rsidRPr="002C4E90">
              <w:t>2023</w:t>
            </w:r>
          </w:p>
        </w:tc>
        <w:tc>
          <w:tcPr>
            <w:tcW w:w="379" w:type="pct"/>
            <w:shd w:val="clear" w:color="auto" w:fill="9CC2E5"/>
            <w:vAlign w:val="center"/>
          </w:tcPr>
          <w:p w14:paraId="0FFBFDA3" w14:textId="77777777" w:rsidR="002C4E90" w:rsidRPr="002C4E90" w:rsidRDefault="002C4E90" w:rsidP="005D673A">
            <w:pPr>
              <w:pStyle w:val="Tabulasgalvenesrinda"/>
              <w:rPr>
                <w:noProof/>
              </w:rPr>
            </w:pPr>
            <w:r w:rsidRPr="002C4E90">
              <w:t>2024</w:t>
            </w:r>
          </w:p>
        </w:tc>
        <w:tc>
          <w:tcPr>
            <w:tcW w:w="378" w:type="pct"/>
            <w:shd w:val="clear" w:color="auto" w:fill="9CC2E5"/>
            <w:noWrap/>
            <w:vAlign w:val="center"/>
            <w:hideMark/>
          </w:tcPr>
          <w:p w14:paraId="513E0040" w14:textId="77777777" w:rsidR="002C4E90" w:rsidRPr="002C4E90" w:rsidRDefault="002C4E90" w:rsidP="005D673A">
            <w:pPr>
              <w:pStyle w:val="Tabulasgalvenesrinda"/>
              <w:rPr>
                <w:noProof/>
              </w:rPr>
            </w:pPr>
            <w:r w:rsidRPr="002C4E90">
              <w:t>2025</w:t>
            </w:r>
          </w:p>
        </w:tc>
        <w:tc>
          <w:tcPr>
            <w:tcW w:w="373" w:type="pct"/>
            <w:shd w:val="clear" w:color="auto" w:fill="9CC2E5"/>
            <w:vAlign w:val="center"/>
          </w:tcPr>
          <w:p w14:paraId="529C6D44" w14:textId="77777777" w:rsidR="002C4E90" w:rsidRPr="002C4E90" w:rsidRDefault="002C4E90" w:rsidP="005D673A">
            <w:pPr>
              <w:pStyle w:val="Tabulasgalvenesrinda"/>
              <w:rPr>
                <w:noProof/>
              </w:rPr>
            </w:pPr>
            <w:r w:rsidRPr="002C4E90">
              <w:t>2026</w:t>
            </w:r>
          </w:p>
        </w:tc>
      </w:tr>
      <w:tr w:rsidR="00A30215" w:rsidRPr="004A3BF6" w14:paraId="2E0C1A37" w14:textId="77777777" w:rsidTr="00BB23B3">
        <w:trPr>
          <w:trHeight w:hRule="exact" w:val="454"/>
          <w:jc w:val="center"/>
        </w:trPr>
        <w:tc>
          <w:tcPr>
            <w:tcW w:w="3491" w:type="pct"/>
            <w:shd w:val="clear" w:color="auto" w:fill="auto"/>
            <w:vAlign w:val="center"/>
            <w:hideMark/>
          </w:tcPr>
          <w:p w14:paraId="0D493A83" w14:textId="77777777" w:rsidR="002C4E90" w:rsidRPr="002C4E90" w:rsidRDefault="002C4E90" w:rsidP="002A7324">
            <w:pPr>
              <w:pStyle w:val="Tabulasteksts"/>
              <w:ind w:left="0"/>
              <w:rPr>
                <w:szCs w:val="18"/>
              </w:rPr>
            </w:pPr>
            <w:r w:rsidRPr="002C4E90">
              <w:rPr>
                <w:szCs w:val="18"/>
              </w:rPr>
              <w:t>Saskaņā ar likumu “Par valsts budžetu 2024. gadam un budžeta ietvaru 2024., 2025. un 2026. gadam”, milj.</w:t>
            </w:r>
            <w:r w:rsidRPr="002C4E90">
              <w:rPr>
                <w:i/>
                <w:szCs w:val="18"/>
              </w:rPr>
              <w:t> euro</w:t>
            </w:r>
          </w:p>
        </w:tc>
        <w:tc>
          <w:tcPr>
            <w:tcW w:w="378" w:type="pct"/>
            <w:shd w:val="clear" w:color="auto" w:fill="auto"/>
            <w:noWrap/>
            <w:vAlign w:val="center"/>
          </w:tcPr>
          <w:p w14:paraId="4D566EB5" w14:textId="77777777" w:rsidR="002C4E90" w:rsidRPr="002C4E90" w:rsidRDefault="002C4E90" w:rsidP="00BB23B3">
            <w:pPr>
              <w:pStyle w:val="Tabulascipari"/>
              <w:keepNext/>
              <w:keepLines/>
              <w:spacing w:after="0"/>
              <w:ind w:left="0"/>
              <w:jc w:val="center"/>
              <w:rPr>
                <w:szCs w:val="18"/>
              </w:rPr>
            </w:pPr>
            <w:r w:rsidRPr="002C4E90">
              <w:rPr>
                <w:szCs w:val="18"/>
              </w:rPr>
              <w:t>102,9</w:t>
            </w:r>
            <w:r w:rsidRPr="002C4E90">
              <w:rPr>
                <w:szCs w:val="18"/>
                <w:vertAlign w:val="superscript"/>
              </w:rPr>
              <w:t>1</w:t>
            </w:r>
          </w:p>
        </w:tc>
        <w:tc>
          <w:tcPr>
            <w:tcW w:w="379" w:type="pct"/>
            <w:shd w:val="clear" w:color="auto" w:fill="auto"/>
            <w:noWrap/>
            <w:vAlign w:val="center"/>
          </w:tcPr>
          <w:p w14:paraId="07E1FBA9" w14:textId="77777777" w:rsidR="002C4E90" w:rsidRPr="002C4E90" w:rsidRDefault="002C4E90" w:rsidP="00BB23B3">
            <w:pPr>
              <w:pStyle w:val="Tabulascipari"/>
              <w:keepNext/>
              <w:keepLines/>
              <w:spacing w:after="0"/>
              <w:ind w:left="0"/>
              <w:jc w:val="center"/>
              <w:rPr>
                <w:szCs w:val="18"/>
              </w:rPr>
            </w:pPr>
            <w:r w:rsidRPr="002C4E90">
              <w:rPr>
                <w:szCs w:val="18"/>
              </w:rPr>
              <w:t>105,3</w:t>
            </w:r>
          </w:p>
        </w:tc>
        <w:tc>
          <w:tcPr>
            <w:tcW w:w="378" w:type="pct"/>
            <w:shd w:val="clear" w:color="auto" w:fill="auto"/>
            <w:noWrap/>
            <w:vAlign w:val="center"/>
          </w:tcPr>
          <w:p w14:paraId="03803713" w14:textId="77777777" w:rsidR="002C4E90" w:rsidRPr="002C4E90" w:rsidRDefault="002C4E90" w:rsidP="00BB23B3">
            <w:pPr>
              <w:pStyle w:val="Tabulascipari"/>
              <w:keepNext/>
              <w:keepLines/>
              <w:spacing w:after="0"/>
              <w:ind w:left="0"/>
              <w:jc w:val="center"/>
              <w:rPr>
                <w:color w:val="000000"/>
                <w:szCs w:val="18"/>
              </w:rPr>
            </w:pPr>
            <w:r w:rsidRPr="002C4E90">
              <w:rPr>
                <w:color w:val="000000"/>
                <w:szCs w:val="18"/>
              </w:rPr>
              <w:t>108,6</w:t>
            </w:r>
          </w:p>
        </w:tc>
        <w:tc>
          <w:tcPr>
            <w:tcW w:w="373" w:type="pct"/>
            <w:shd w:val="clear" w:color="auto" w:fill="auto"/>
            <w:vAlign w:val="center"/>
          </w:tcPr>
          <w:p w14:paraId="68CD7B9D" w14:textId="77777777" w:rsidR="002C4E90" w:rsidRPr="002C4E90" w:rsidRDefault="002C4E90" w:rsidP="00BB23B3">
            <w:pPr>
              <w:pStyle w:val="Tabulascipari"/>
              <w:keepNext/>
              <w:keepLines/>
              <w:spacing w:after="0"/>
              <w:ind w:left="0"/>
              <w:jc w:val="center"/>
              <w:rPr>
                <w:color w:val="000000"/>
                <w:szCs w:val="18"/>
              </w:rPr>
            </w:pPr>
            <w:r w:rsidRPr="002C4E90">
              <w:rPr>
                <w:color w:val="000000"/>
                <w:szCs w:val="18"/>
              </w:rPr>
              <w:t>112,0</w:t>
            </w:r>
          </w:p>
        </w:tc>
      </w:tr>
      <w:tr w:rsidR="00A30215" w:rsidRPr="004A3BF6" w14:paraId="10762A70" w14:textId="77777777" w:rsidTr="00EE3763">
        <w:trPr>
          <w:trHeight w:hRule="exact" w:val="227"/>
          <w:jc w:val="center"/>
        </w:trPr>
        <w:tc>
          <w:tcPr>
            <w:tcW w:w="3491" w:type="pct"/>
            <w:shd w:val="clear" w:color="auto" w:fill="auto"/>
            <w:noWrap/>
            <w:vAlign w:val="center"/>
            <w:hideMark/>
          </w:tcPr>
          <w:p w14:paraId="21568434" w14:textId="77777777" w:rsidR="002C4E90" w:rsidRPr="002C4E90" w:rsidRDefault="002C4E90" w:rsidP="002C4E90">
            <w:pPr>
              <w:pStyle w:val="Tabulasteksts"/>
              <w:rPr>
                <w:i/>
                <w:iCs/>
                <w:szCs w:val="18"/>
              </w:rPr>
            </w:pPr>
            <w:r w:rsidRPr="002C4E90">
              <w:rPr>
                <w:i/>
                <w:iCs/>
                <w:szCs w:val="18"/>
              </w:rPr>
              <w:t>pret IKP, %</w:t>
            </w:r>
          </w:p>
        </w:tc>
        <w:tc>
          <w:tcPr>
            <w:tcW w:w="378" w:type="pct"/>
            <w:shd w:val="clear" w:color="auto" w:fill="auto"/>
            <w:noWrap/>
          </w:tcPr>
          <w:p w14:paraId="0F1A78AA" w14:textId="77777777" w:rsidR="002C4E90" w:rsidRPr="002C4E90" w:rsidRDefault="002C4E90" w:rsidP="00EE3763">
            <w:pPr>
              <w:pStyle w:val="Tabulascipari"/>
              <w:keepNext/>
              <w:keepLines/>
              <w:spacing w:after="0"/>
              <w:ind w:left="0"/>
              <w:rPr>
                <w:i/>
                <w:iCs/>
                <w:szCs w:val="18"/>
              </w:rPr>
            </w:pPr>
            <w:r w:rsidRPr="002C4E90">
              <w:rPr>
                <w:i/>
                <w:iCs/>
                <w:szCs w:val="18"/>
              </w:rPr>
              <w:t>0,24</w:t>
            </w:r>
          </w:p>
        </w:tc>
        <w:tc>
          <w:tcPr>
            <w:tcW w:w="379" w:type="pct"/>
            <w:shd w:val="clear" w:color="auto" w:fill="auto"/>
            <w:noWrap/>
          </w:tcPr>
          <w:p w14:paraId="0593C6F6" w14:textId="77777777" w:rsidR="002C4E90" w:rsidRPr="002C4E90" w:rsidRDefault="002C4E90" w:rsidP="00EE3763">
            <w:pPr>
              <w:pStyle w:val="Tabulascipari"/>
              <w:keepNext/>
              <w:keepLines/>
              <w:spacing w:after="0"/>
              <w:ind w:left="0"/>
              <w:rPr>
                <w:i/>
                <w:iCs/>
                <w:szCs w:val="18"/>
              </w:rPr>
            </w:pPr>
            <w:r w:rsidRPr="002C4E90">
              <w:rPr>
                <w:i/>
                <w:iCs/>
                <w:szCs w:val="18"/>
              </w:rPr>
              <w:t>0,23</w:t>
            </w:r>
          </w:p>
        </w:tc>
        <w:tc>
          <w:tcPr>
            <w:tcW w:w="378" w:type="pct"/>
            <w:shd w:val="clear" w:color="auto" w:fill="auto"/>
            <w:noWrap/>
          </w:tcPr>
          <w:p w14:paraId="11447D7F" w14:textId="77777777" w:rsidR="002C4E90" w:rsidRPr="002C4E90" w:rsidRDefault="002C4E90" w:rsidP="00EE3763">
            <w:pPr>
              <w:pStyle w:val="Tabulascipari"/>
              <w:keepNext/>
              <w:keepLines/>
              <w:spacing w:after="0"/>
              <w:ind w:left="0"/>
              <w:rPr>
                <w:i/>
                <w:iCs/>
                <w:szCs w:val="18"/>
              </w:rPr>
            </w:pPr>
            <w:r w:rsidRPr="002C4E90">
              <w:rPr>
                <w:i/>
                <w:iCs/>
                <w:szCs w:val="18"/>
              </w:rPr>
              <w:t>0,22</w:t>
            </w:r>
          </w:p>
        </w:tc>
        <w:tc>
          <w:tcPr>
            <w:tcW w:w="373" w:type="pct"/>
          </w:tcPr>
          <w:p w14:paraId="0B8F3879" w14:textId="77777777" w:rsidR="002C4E90" w:rsidRPr="002C4E90" w:rsidRDefault="002C4E90" w:rsidP="00EE3763">
            <w:pPr>
              <w:pStyle w:val="Tabulascipari"/>
              <w:keepNext/>
              <w:keepLines/>
              <w:spacing w:after="0"/>
              <w:ind w:left="0"/>
              <w:rPr>
                <w:i/>
                <w:iCs/>
                <w:szCs w:val="18"/>
              </w:rPr>
            </w:pPr>
            <w:r w:rsidRPr="002C4E90">
              <w:rPr>
                <w:i/>
                <w:iCs/>
                <w:szCs w:val="18"/>
              </w:rPr>
              <w:t>0,22</w:t>
            </w:r>
          </w:p>
        </w:tc>
      </w:tr>
      <w:tr w:rsidR="00A30215" w:rsidRPr="004A3BF6" w14:paraId="1FB4A1E9" w14:textId="77777777" w:rsidTr="00EE3763">
        <w:trPr>
          <w:trHeight w:hRule="exact" w:val="454"/>
          <w:jc w:val="center"/>
        </w:trPr>
        <w:tc>
          <w:tcPr>
            <w:tcW w:w="3491" w:type="pct"/>
            <w:shd w:val="clear" w:color="auto" w:fill="auto"/>
            <w:vAlign w:val="center"/>
            <w:hideMark/>
          </w:tcPr>
          <w:p w14:paraId="2046D22C" w14:textId="7558402D" w:rsidR="002C4E90" w:rsidRPr="002C4E90" w:rsidRDefault="002C4E90" w:rsidP="002C4E90">
            <w:pPr>
              <w:pStyle w:val="Tabulasteksts"/>
              <w:ind w:left="0"/>
              <w:rPr>
                <w:szCs w:val="18"/>
              </w:rPr>
            </w:pPr>
            <w:r w:rsidRPr="002C4E90">
              <w:rPr>
                <w:szCs w:val="18"/>
              </w:rPr>
              <w:t>Salīdzinājumā ar likumu “Par valsts budžetu 2023. gadam un budžeta ietvaru 2023., 2024. un 2025. gadam”, milj. </w:t>
            </w:r>
            <w:r w:rsidRPr="00272F14">
              <w:rPr>
                <w:i/>
                <w:iCs/>
                <w:szCs w:val="18"/>
              </w:rPr>
              <w:t>euro</w:t>
            </w:r>
          </w:p>
        </w:tc>
        <w:tc>
          <w:tcPr>
            <w:tcW w:w="378" w:type="pct"/>
            <w:shd w:val="clear" w:color="auto" w:fill="auto"/>
            <w:noWrap/>
            <w:hideMark/>
          </w:tcPr>
          <w:p w14:paraId="57F9A066" w14:textId="77777777" w:rsidR="002C4E90" w:rsidRPr="002C4E90" w:rsidRDefault="002C4E90" w:rsidP="00EE3763">
            <w:pPr>
              <w:pStyle w:val="Tabulascipari"/>
              <w:keepNext/>
              <w:keepLines/>
              <w:spacing w:after="0"/>
              <w:ind w:left="0"/>
              <w:rPr>
                <w:i/>
                <w:iCs/>
                <w:szCs w:val="18"/>
              </w:rPr>
            </w:pPr>
            <w:r w:rsidRPr="002C4E90">
              <w:rPr>
                <w:i/>
                <w:iCs/>
                <w:szCs w:val="18"/>
              </w:rPr>
              <w:t>+0,9</w:t>
            </w:r>
          </w:p>
        </w:tc>
        <w:tc>
          <w:tcPr>
            <w:tcW w:w="379" w:type="pct"/>
            <w:shd w:val="clear" w:color="auto" w:fill="auto"/>
            <w:noWrap/>
            <w:hideMark/>
          </w:tcPr>
          <w:p w14:paraId="1E8B4EA9" w14:textId="77777777" w:rsidR="002C4E90" w:rsidRPr="002C4E90" w:rsidRDefault="002C4E90" w:rsidP="00EE3763">
            <w:pPr>
              <w:pStyle w:val="Tabulascipari"/>
              <w:keepNext/>
              <w:keepLines/>
              <w:spacing w:after="0"/>
              <w:ind w:left="0"/>
              <w:rPr>
                <w:i/>
                <w:iCs/>
                <w:szCs w:val="18"/>
              </w:rPr>
            </w:pPr>
            <w:r w:rsidRPr="002C4E90">
              <w:rPr>
                <w:i/>
                <w:iCs/>
                <w:szCs w:val="18"/>
              </w:rPr>
              <w:t>+0,9</w:t>
            </w:r>
          </w:p>
        </w:tc>
        <w:tc>
          <w:tcPr>
            <w:tcW w:w="378" w:type="pct"/>
            <w:shd w:val="clear" w:color="auto" w:fill="auto"/>
            <w:noWrap/>
            <w:hideMark/>
          </w:tcPr>
          <w:p w14:paraId="6155688F" w14:textId="77777777" w:rsidR="002C4E90" w:rsidRPr="002C4E90" w:rsidRDefault="002C4E90" w:rsidP="00EE3763">
            <w:pPr>
              <w:pStyle w:val="Tabulascipari"/>
              <w:keepNext/>
              <w:keepLines/>
              <w:spacing w:after="0"/>
              <w:ind w:left="0"/>
              <w:rPr>
                <w:i/>
                <w:iCs/>
                <w:szCs w:val="18"/>
              </w:rPr>
            </w:pPr>
            <w:r w:rsidRPr="002C4E90">
              <w:rPr>
                <w:i/>
                <w:iCs/>
                <w:szCs w:val="18"/>
              </w:rPr>
              <w:t>+0,9</w:t>
            </w:r>
          </w:p>
        </w:tc>
        <w:tc>
          <w:tcPr>
            <w:tcW w:w="373" w:type="pct"/>
            <w:shd w:val="clear" w:color="auto" w:fill="auto"/>
          </w:tcPr>
          <w:p w14:paraId="24991483" w14:textId="77777777" w:rsidR="002C4E90" w:rsidRPr="002C4E90" w:rsidRDefault="002C4E90" w:rsidP="00EE3763">
            <w:pPr>
              <w:pStyle w:val="Tabulascipari"/>
              <w:keepNext/>
              <w:keepLines/>
              <w:spacing w:after="0"/>
              <w:ind w:left="0"/>
              <w:rPr>
                <w:i/>
                <w:iCs/>
                <w:szCs w:val="18"/>
              </w:rPr>
            </w:pPr>
            <w:r w:rsidRPr="002C4E90">
              <w:rPr>
                <w:i/>
                <w:iCs/>
                <w:szCs w:val="18"/>
              </w:rPr>
              <w:t>—</w:t>
            </w:r>
          </w:p>
        </w:tc>
      </w:tr>
      <w:tr w:rsidR="00A30215" w:rsidRPr="004A3BF6" w14:paraId="3FCC1760" w14:textId="77777777" w:rsidTr="00EE3763">
        <w:trPr>
          <w:trHeight w:hRule="exact" w:val="454"/>
          <w:jc w:val="center"/>
        </w:trPr>
        <w:tc>
          <w:tcPr>
            <w:tcW w:w="3491" w:type="pct"/>
            <w:shd w:val="clear" w:color="auto" w:fill="auto"/>
            <w:vAlign w:val="center"/>
            <w:hideMark/>
          </w:tcPr>
          <w:p w14:paraId="6FB42396" w14:textId="6596E0CD" w:rsidR="002C4E90" w:rsidRPr="002C4E90" w:rsidRDefault="002C4E90" w:rsidP="002C4E90">
            <w:pPr>
              <w:pStyle w:val="Tabulasteksts"/>
              <w:ind w:left="0"/>
              <w:rPr>
                <w:szCs w:val="18"/>
              </w:rPr>
            </w:pPr>
            <w:r w:rsidRPr="002C4E90">
              <w:rPr>
                <w:szCs w:val="18"/>
              </w:rPr>
              <w:t>Salīdzinājumā ar likumu “Par valsts budžetu 2023. gadam un budžeta ietvaru 2023., 2024. un 2025. gadam”, %</w:t>
            </w:r>
          </w:p>
        </w:tc>
        <w:tc>
          <w:tcPr>
            <w:tcW w:w="378" w:type="pct"/>
            <w:shd w:val="clear" w:color="auto" w:fill="auto"/>
            <w:noWrap/>
            <w:hideMark/>
          </w:tcPr>
          <w:p w14:paraId="6CC61751" w14:textId="77777777" w:rsidR="002C4E90" w:rsidRPr="002C4E90" w:rsidRDefault="002C4E90" w:rsidP="00EE3763">
            <w:pPr>
              <w:pStyle w:val="Tabulascipari"/>
              <w:keepNext/>
              <w:keepLines/>
              <w:spacing w:after="0"/>
              <w:ind w:left="0"/>
              <w:rPr>
                <w:i/>
                <w:iCs/>
                <w:szCs w:val="18"/>
              </w:rPr>
            </w:pPr>
            <w:r w:rsidRPr="002C4E90">
              <w:rPr>
                <w:i/>
                <w:iCs/>
                <w:szCs w:val="18"/>
              </w:rPr>
              <w:t>+0,9</w:t>
            </w:r>
          </w:p>
        </w:tc>
        <w:tc>
          <w:tcPr>
            <w:tcW w:w="379" w:type="pct"/>
            <w:shd w:val="clear" w:color="auto" w:fill="auto"/>
            <w:noWrap/>
            <w:hideMark/>
          </w:tcPr>
          <w:p w14:paraId="067978F0" w14:textId="77777777" w:rsidR="002C4E90" w:rsidRPr="002C4E90" w:rsidRDefault="002C4E90" w:rsidP="00EE3763">
            <w:pPr>
              <w:pStyle w:val="Tabulascipari"/>
              <w:keepNext/>
              <w:keepLines/>
              <w:spacing w:after="0"/>
              <w:ind w:left="0"/>
              <w:rPr>
                <w:i/>
                <w:iCs/>
                <w:szCs w:val="18"/>
              </w:rPr>
            </w:pPr>
            <w:r w:rsidRPr="002C4E90">
              <w:rPr>
                <w:i/>
                <w:iCs/>
                <w:szCs w:val="18"/>
              </w:rPr>
              <w:t>+0,9</w:t>
            </w:r>
          </w:p>
        </w:tc>
        <w:tc>
          <w:tcPr>
            <w:tcW w:w="378" w:type="pct"/>
            <w:shd w:val="clear" w:color="auto" w:fill="auto"/>
            <w:noWrap/>
            <w:hideMark/>
          </w:tcPr>
          <w:p w14:paraId="7D21420F" w14:textId="77777777" w:rsidR="002C4E90" w:rsidRPr="002C4E90" w:rsidRDefault="002C4E90" w:rsidP="00EE3763">
            <w:pPr>
              <w:pStyle w:val="Tabulascipari"/>
              <w:keepNext/>
              <w:keepLines/>
              <w:spacing w:after="0"/>
              <w:ind w:left="0"/>
              <w:rPr>
                <w:i/>
                <w:iCs/>
                <w:szCs w:val="18"/>
              </w:rPr>
            </w:pPr>
            <w:r w:rsidRPr="002C4E90">
              <w:rPr>
                <w:i/>
                <w:iCs/>
                <w:szCs w:val="18"/>
              </w:rPr>
              <w:t>+0,8</w:t>
            </w:r>
          </w:p>
        </w:tc>
        <w:tc>
          <w:tcPr>
            <w:tcW w:w="373" w:type="pct"/>
            <w:shd w:val="clear" w:color="auto" w:fill="auto"/>
          </w:tcPr>
          <w:p w14:paraId="7FF04676" w14:textId="77777777" w:rsidR="002C4E90" w:rsidRPr="002C4E90" w:rsidRDefault="002C4E90" w:rsidP="00EE3763">
            <w:pPr>
              <w:pStyle w:val="Tabulascipari"/>
              <w:keepNext/>
              <w:keepLines/>
              <w:spacing w:after="0"/>
              <w:ind w:left="0"/>
              <w:rPr>
                <w:i/>
                <w:iCs/>
                <w:szCs w:val="18"/>
              </w:rPr>
            </w:pPr>
            <w:r w:rsidRPr="002C4E90">
              <w:rPr>
                <w:i/>
                <w:iCs/>
                <w:szCs w:val="18"/>
              </w:rPr>
              <w:t>—</w:t>
            </w:r>
          </w:p>
        </w:tc>
      </w:tr>
    </w:tbl>
    <w:p w14:paraId="13A9971E" w14:textId="77777777" w:rsidR="002C4E90" w:rsidRDefault="002C4E90" w:rsidP="002C4E90">
      <w:pPr>
        <w:pStyle w:val="Piezme"/>
      </w:pPr>
      <w:r w:rsidRPr="004A3BF6">
        <w:rPr>
          <w:vertAlign w:val="superscript"/>
        </w:rPr>
        <w:t>1</w:t>
      </w:r>
      <w:r w:rsidRPr="004A3BF6">
        <w:t> Prognoze</w:t>
      </w:r>
    </w:p>
    <w:p w14:paraId="328863FD" w14:textId="77777777" w:rsidR="002C4E90" w:rsidRPr="004A3BF6" w:rsidRDefault="002C4E90" w:rsidP="002C4E90">
      <w:pPr>
        <w:pStyle w:val="Piezme"/>
      </w:pPr>
    </w:p>
    <w:p w14:paraId="6C171A2F" w14:textId="77777777" w:rsidR="002C4E90" w:rsidRPr="008B4A04" w:rsidRDefault="002C4E90" w:rsidP="002C4E90">
      <w:pPr>
        <w:rPr>
          <w:rFonts w:eastAsia="Calibri" w:cs="Times New Roman"/>
          <w:szCs w:val="24"/>
        </w:rPr>
      </w:pPr>
      <w:r w:rsidRPr="008B4A04">
        <w:rPr>
          <w:rFonts w:eastAsia="Calibri" w:cs="Times New Roman"/>
          <w:szCs w:val="24"/>
        </w:rPr>
        <w:t xml:space="preserve">Transportlīdzekļa ekspluatācijas nodokļa ieņēmumu plānu ietekmē </w:t>
      </w:r>
      <w:r>
        <w:rPr>
          <w:rFonts w:eastAsia="Calibri" w:cs="Times New Roman"/>
          <w:szCs w:val="24"/>
        </w:rPr>
        <w:t>prognozētās</w:t>
      </w:r>
      <w:r w:rsidRPr="008B4A04">
        <w:rPr>
          <w:rFonts w:eastAsia="Calibri" w:cs="Times New Roman"/>
          <w:szCs w:val="24"/>
        </w:rPr>
        <w:t xml:space="preserve"> ar nodokli apliekamo transportlīdzekļu struktūras un skaita pārmaiņas, kā arī 2023</w:t>
      </w:r>
      <w:r>
        <w:rPr>
          <w:rFonts w:eastAsia="Calibri" w:cs="Times New Roman"/>
          <w:szCs w:val="24"/>
        </w:rPr>
        <w:t>. g</w:t>
      </w:r>
      <w:r w:rsidRPr="008B4A04">
        <w:rPr>
          <w:rFonts w:eastAsia="Calibri" w:cs="Times New Roman"/>
          <w:szCs w:val="24"/>
        </w:rPr>
        <w:t>ada nodokļa ieņēmu</w:t>
      </w:r>
      <w:r>
        <w:rPr>
          <w:rFonts w:eastAsia="Calibri" w:cs="Times New Roman"/>
          <w:szCs w:val="24"/>
        </w:rPr>
        <w:t xml:space="preserve">mu </w:t>
      </w:r>
      <w:r w:rsidRPr="008B4A04">
        <w:rPr>
          <w:rFonts w:eastAsia="Calibri" w:cs="Times New Roman"/>
          <w:szCs w:val="24"/>
        </w:rPr>
        <w:t xml:space="preserve">plāna </w:t>
      </w:r>
      <w:proofErr w:type="spellStart"/>
      <w:r w:rsidRPr="008B4A04">
        <w:rPr>
          <w:rFonts w:eastAsia="Calibri" w:cs="Times New Roman"/>
          <w:szCs w:val="24"/>
        </w:rPr>
        <w:t>pārpilde</w:t>
      </w:r>
      <w:proofErr w:type="spellEnd"/>
      <w:r w:rsidRPr="008B4A04">
        <w:rPr>
          <w:rFonts w:eastAsia="Calibri" w:cs="Times New Roman"/>
          <w:szCs w:val="24"/>
        </w:rPr>
        <w:t>.</w:t>
      </w:r>
    </w:p>
    <w:p w14:paraId="1D9F9F07" w14:textId="77777777" w:rsidR="007E409E" w:rsidRPr="005A2240" w:rsidRDefault="007E409E" w:rsidP="00C00DF7">
      <w:pPr>
        <w:keepNext/>
        <w:keepLines/>
        <w:spacing w:before="240" w:after="240"/>
        <w:ind w:firstLine="0"/>
        <w:jc w:val="center"/>
        <w:outlineLvl w:val="3"/>
        <w:rPr>
          <w:rFonts w:eastAsia="Times New Roman" w:cs="Times New Roman"/>
          <w:b/>
          <w:szCs w:val="20"/>
          <w:lang w:eastAsia="en-US"/>
        </w:rPr>
      </w:pPr>
      <w:r w:rsidRPr="005A2240">
        <w:rPr>
          <w:rFonts w:eastAsia="Times New Roman" w:cs="Times New Roman"/>
          <w:b/>
          <w:szCs w:val="20"/>
          <w:lang w:eastAsia="en-US"/>
        </w:rPr>
        <w:t>Uzņēmumu vieglo transportlīdzekļu nodoklis</w:t>
      </w:r>
    </w:p>
    <w:bookmarkEnd w:id="95"/>
    <w:p w14:paraId="7C88D41A" w14:textId="77777777" w:rsidR="002C4E90" w:rsidRDefault="002C4E90" w:rsidP="002C4E90">
      <w:pPr>
        <w:rPr>
          <w:rFonts w:eastAsia="Calibri" w:cs="Times New Roman"/>
          <w:szCs w:val="24"/>
        </w:rPr>
      </w:pPr>
      <w:r w:rsidRPr="008B4A04">
        <w:rPr>
          <w:rFonts w:eastAsia="Calibri" w:cs="Times New Roman"/>
          <w:szCs w:val="24"/>
        </w:rPr>
        <w:t>Uzņēmumu vieglo transportlīdzekļu nodokļa ieņēmumi 2023</w:t>
      </w:r>
      <w:r>
        <w:rPr>
          <w:rFonts w:eastAsia="Calibri" w:cs="Times New Roman"/>
          <w:szCs w:val="24"/>
        </w:rPr>
        <w:t>. g</w:t>
      </w:r>
      <w:r w:rsidRPr="008B4A04">
        <w:rPr>
          <w:rFonts w:eastAsia="Calibri" w:cs="Times New Roman"/>
          <w:szCs w:val="24"/>
        </w:rPr>
        <w:t>ada sešos mēnešos bija 11,7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salīdzinājumā ar 2022</w:t>
      </w:r>
      <w:r>
        <w:rPr>
          <w:rFonts w:eastAsia="Calibri" w:cs="Times New Roman"/>
          <w:szCs w:val="24"/>
        </w:rPr>
        <w:t>. g</w:t>
      </w:r>
      <w:r w:rsidRPr="008B4A04">
        <w:rPr>
          <w:rFonts w:eastAsia="Calibri" w:cs="Times New Roman"/>
          <w:szCs w:val="24"/>
        </w:rPr>
        <w:t>adu ir par 1,2</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11,3</w:t>
      </w:r>
      <w:r>
        <w:rPr>
          <w:rFonts w:eastAsia="Calibri" w:cs="Times New Roman"/>
          <w:szCs w:val="24"/>
        </w:rPr>
        <w:t> %</w:t>
      </w:r>
      <w:r w:rsidRPr="008B4A04">
        <w:rPr>
          <w:rFonts w:eastAsia="Calibri" w:cs="Times New Roman"/>
          <w:szCs w:val="24"/>
        </w:rPr>
        <w:t xml:space="preserve"> vairāk. Salīdzinājumā ar 2023</w:t>
      </w:r>
      <w:r>
        <w:rPr>
          <w:rFonts w:eastAsia="Calibri" w:cs="Times New Roman"/>
          <w:szCs w:val="24"/>
        </w:rPr>
        <w:t>. g</w:t>
      </w:r>
      <w:r w:rsidRPr="008B4A04">
        <w:rPr>
          <w:rFonts w:eastAsia="Calibri" w:cs="Times New Roman"/>
          <w:szCs w:val="24"/>
        </w:rPr>
        <w:t>ada sešu mēnešu plānu, ieņēmumi bija lielāki par 2,2</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w:t>
      </w:r>
      <w:r w:rsidRPr="008B4A04">
        <w:rPr>
          <w:rFonts w:eastAsia="Calibri" w:cs="Times New Roman"/>
          <w:szCs w:val="24"/>
        </w:rPr>
        <w:lastRenderedPageBreak/>
        <w:t>23,1</w:t>
      </w:r>
      <w:r>
        <w:rPr>
          <w:rFonts w:eastAsia="Calibri" w:cs="Times New Roman"/>
          <w:szCs w:val="24"/>
        </w:rPr>
        <w:t> %</w:t>
      </w:r>
      <w:r w:rsidRPr="008B4A04">
        <w:rPr>
          <w:rFonts w:eastAsia="Calibri" w:cs="Times New Roman"/>
          <w:szCs w:val="24"/>
        </w:rPr>
        <w:t xml:space="preserve">. Plāna pārpildi ietekmēja lielāks </w:t>
      </w:r>
      <w:r>
        <w:rPr>
          <w:rFonts w:eastAsia="Calibri" w:cs="Times New Roman"/>
          <w:szCs w:val="24"/>
        </w:rPr>
        <w:t>a</w:t>
      </w:r>
      <w:r w:rsidRPr="004F3CC1">
        <w:rPr>
          <w:rFonts w:eastAsia="Calibri" w:cs="Times New Roman"/>
          <w:szCs w:val="24"/>
        </w:rPr>
        <w:t xml:space="preserve">r </w:t>
      </w:r>
      <w:r>
        <w:rPr>
          <w:rFonts w:eastAsia="Calibri" w:cs="Times New Roman"/>
          <w:szCs w:val="24"/>
        </w:rPr>
        <w:t>nodokli</w:t>
      </w:r>
      <w:r w:rsidRPr="004F3CC1">
        <w:rPr>
          <w:rFonts w:eastAsia="Calibri" w:cs="Times New Roman"/>
          <w:szCs w:val="24"/>
        </w:rPr>
        <w:t xml:space="preserve"> apliekamo t</w:t>
      </w:r>
      <w:r>
        <w:rPr>
          <w:rFonts w:eastAsia="Calibri" w:cs="Times New Roman"/>
          <w:szCs w:val="24"/>
        </w:rPr>
        <w:t>ransportlīdzekļu</w:t>
      </w:r>
      <w:r w:rsidRPr="004F3CC1">
        <w:rPr>
          <w:rFonts w:eastAsia="Calibri" w:cs="Times New Roman"/>
          <w:szCs w:val="24"/>
        </w:rPr>
        <w:t xml:space="preserve"> skaits</w:t>
      </w:r>
      <w:r>
        <w:rPr>
          <w:rFonts w:eastAsia="Calibri" w:cs="Times New Roman"/>
          <w:szCs w:val="24"/>
        </w:rPr>
        <w:t>,</w:t>
      </w:r>
      <w:r w:rsidRPr="004F3CC1" w:rsidDel="004F3CC1">
        <w:rPr>
          <w:rFonts w:eastAsia="Calibri" w:cs="Times New Roman"/>
          <w:szCs w:val="24"/>
        </w:rPr>
        <w:t xml:space="preserve"> </w:t>
      </w:r>
      <w:r w:rsidRPr="008B4A04">
        <w:rPr>
          <w:rFonts w:eastAsia="Calibri" w:cs="Times New Roman"/>
          <w:szCs w:val="24"/>
        </w:rPr>
        <w:t xml:space="preserve">nekā bija sākotnēji plānots. </w:t>
      </w:r>
      <w:r w:rsidRPr="00EC49B3">
        <w:rPr>
          <w:rFonts w:eastAsia="Calibri" w:cs="Times New Roman"/>
          <w:szCs w:val="24"/>
        </w:rPr>
        <w:t>2023. gada prognoze ir palielināta par 7,0 milj. </w:t>
      </w:r>
      <w:proofErr w:type="spellStart"/>
      <w:r w:rsidRPr="00EC49B3">
        <w:rPr>
          <w:rFonts w:eastAsia="Calibri" w:cs="Times New Roman"/>
          <w:i/>
          <w:iCs/>
          <w:szCs w:val="24"/>
        </w:rPr>
        <w:t>euro</w:t>
      </w:r>
      <w:proofErr w:type="spellEnd"/>
      <w:r w:rsidRPr="00EC49B3">
        <w:rPr>
          <w:rFonts w:eastAsia="Calibri" w:cs="Times New Roman"/>
          <w:szCs w:val="24"/>
        </w:rPr>
        <w:t xml:space="preserve"> jeb 31,7 % no plāna, ko ietekmē likmju izmaiņas, kuras stājās spēkā ar 2023. gada 1. jūliju. Nodokļa ieņēmumi 2023. gadā prognozēti 29,1 milj. </w:t>
      </w:r>
      <w:proofErr w:type="spellStart"/>
      <w:r w:rsidRPr="00EC49B3">
        <w:rPr>
          <w:rFonts w:eastAsia="Calibri" w:cs="Times New Roman"/>
          <w:i/>
          <w:iCs/>
          <w:szCs w:val="24"/>
        </w:rPr>
        <w:t>euro</w:t>
      </w:r>
      <w:proofErr w:type="spellEnd"/>
      <w:r w:rsidRPr="00EC49B3">
        <w:rPr>
          <w:rFonts w:eastAsia="Calibri" w:cs="Times New Roman"/>
          <w:szCs w:val="24"/>
        </w:rPr>
        <w:t xml:space="preserve"> apmērā.</w:t>
      </w:r>
    </w:p>
    <w:p w14:paraId="283DD33F" w14:textId="77777777" w:rsidR="002C4E90" w:rsidRPr="008B4A04" w:rsidRDefault="002C4E90" w:rsidP="002C4E90">
      <w:pPr>
        <w:rPr>
          <w:rFonts w:eastAsia="Calibri" w:cs="Times New Roman"/>
          <w:szCs w:val="24"/>
        </w:rPr>
      </w:pPr>
      <w:r w:rsidRPr="008B4A04">
        <w:rPr>
          <w:rFonts w:eastAsia="Calibri" w:cs="Times New Roman"/>
          <w:szCs w:val="24"/>
        </w:rPr>
        <w:t>Saskaņā ar likumprojektu “Par valsts budžetu 2024</w:t>
      </w:r>
      <w:r>
        <w:rPr>
          <w:rFonts w:eastAsia="Calibri" w:cs="Times New Roman"/>
          <w:szCs w:val="24"/>
        </w:rPr>
        <w:t>. g</w:t>
      </w:r>
      <w:r w:rsidRPr="008B4A04">
        <w:rPr>
          <w:rFonts w:eastAsia="Calibri" w:cs="Times New Roman"/>
          <w:szCs w:val="24"/>
        </w:rPr>
        <w:t>adam un budžeta ietvaru 2024., 2025. un 2026</w:t>
      </w:r>
      <w:r>
        <w:rPr>
          <w:rFonts w:eastAsia="Calibri" w:cs="Times New Roman"/>
          <w:szCs w:val="24"/>
        </w:rPr>
        <w:t>. g</w:t>
      </w:r>
      <w:r w:rsidRPr="008B4A04">
        <w:rPr>
          <w:rFonts w:eastAsia="Calibri" w:cs="Times New Roman"/>
          <w:szCs w:val="24"/>
        </w:rPr>
        <w:t>adam” uzņēmumu vieglo transportlīdzekļu nodokļa ieņēmumi 2024</w:t>
      </w:r>
      <w:r>
        <w:rPr>
          <w:rFonts w:eastAsia="Calibri" w:cs="Times New Roman"/>
          <w:szCs w:val="24"/>
        </w:rPr>
        <w:t>. g</w:t>
      </w:r>
      <w:r w:rsidRPr="008B4A04">
        <w:rPr>
          <w:rFonts w:eastAsia="Calibri" w:cs="Times New Roman"/>
          <w:szCs w:val="24"/>
        </w:rPr>
        <w:t>adā tiek plānoti 33,4</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2025</w:t>
      </w:r>
      <w:r>
        <w:rPr>
          <w:rFonts w:eastAsia="Calibri" w:cs="Times New Roman"/>
          <w:szCs w:val="24"/>
        </w:rPr>
        <w:t>. g</w:t>
      </w:r>
      <w:r w:rsidRPr="008B4A04">
        <w:rPr>
          <w:rFonts w:eastAsia="Calibri" w:cs="Times New Roman"/>
          <w:szCs w:val="24"/>
        </w:rPr>
        <w:t>adā 33,7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un 2026</w:t>
      </w:r>
      <w:r>
        <w:rPr>
          <w:rFonts w:eastAsia="Calibri" w:cs="Times New Roman"/>
          <w:szCs w:val="24"/>
        </w:rPr>
        <w:t>. g</w:t>
      </w:r>
      <w:r w:rsidRPr="008B4A04">
        <w:rPr>
          <w:rFonts w:eastAsia="Calibri" w:cs="Times New Roman"/>
          <w:szCs w:val="24"/>
        </w:rPr>
        <w:t>adā 34,2</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apmērā (skat. 3.</w:t>
      </w:r>
      <w:r>
        <w:rPr>
          <w:rFonts w:eastAsia="Calibri" w:cs="Times New Roman"/>
          <w:szCs w:val="24"/>
        </w:rPr>
        <w:t>15</w:t>
      </w:r>
      <w:r w:rsidRPr="008B4A04">
        <w:rPr>
          <w:rFonts w:eastAsia="Calibri" w:cs="Times New Roman"/>
          <w:szCs w:val="24"/>
        </w:rPr>
        <w:t>. tabulu). Uzņēmumu vieglo transportlīdzekļu nodokļa ieņēmumu plānu ietekmē</w:t>
      </w:r>
      <w:r>
        <w:rPr>
          <w:rFonts w:eastAsia="Calibri" w:cs="Times New Roman"/>
          <w:szCs w:val="24"/>
        </w:rPr>
        <w:t xml:space="preserve"> </w:t>
      </w:r>
      <w:r w:rsidRPr="008B4A04">
        <w:rPr>
          <w:rFonts w:eastAsia="Calibri" w:cs="Times New Roman"/>
          <w:szCs w:val="24"/>
        </w:rPr>
        <w:t>prognozētā</w:t>
      </w:r>
      <w:r>
        <w:rPr>
          <w:rFonts w:eastAsia="Calibri" w:cs="Times New Roman"/>
          <w:szCs w:val="24"/>
        </w:rPr>
        <w:t>s</w:t>
      </w:r>
      <w:r w:rsidRPr="008B4A04">
        <w:rPr>
          <w:rFonts w:eastAsia="Calibri" w:cs="Times New Roman"/>
          <w:szCs w:val="24"/>
        </w:rPr>
        <w:t xml:space="preserve"> ar nodokli apliekamo transportlīdzekļu struktūras un skaita pārmaiņas</w:t>
      </w:r>
      <w:r>
        <w:rPr>
          <w:rFonts w:eastAsia="Calibri" w:cs="Times New Roman"/>
          <w:szCs w:val="24"/>
        </w:rPr>
        <w:t xml:space="preserve">, </w:t>
      </w:r>
      <w:r w:rsidRPr="008B4A04">
        <w:rPr>
          <w:rFonts w:eastAsia="Calibri" w:cs="Times New Roman"/>
          <w:szCs w:val="24"/>
        </w:rPr>
        <w:t>2023</w:t>
      </w:r>
      <w:r>
        <w:rPr>
          <w:rFonts w:eastAsia="Calibri" w:cs="Times New Roman"/>
          <w:szCs w:val="24"/>
        </w:rPr>
        <w:t>. g</w:t>
      </w:r>
      <w:r w:rsidRPr="008B4A04">
        <w:rPr>
          <w:rFonts w:eastAsia="Calibri" w:cs="Times New Roman"/>
          <w:szCs w:val="24"/>
        </w:rPr>
        <w:t xml:space="preserve">adā sagaidāmā izpilde, </w:t>
      </w:r>
      <w:r w:rsidRPr="00B703FF">
        <w:rPr>
          <w:rFonts w:eastAsia="Calibri" w:cs="Times New Roman"/>
          <w:szCs w:val="24"/>
        </w:rPr>
        <w:t>kā arī 3.1. sadaļā minētie pasākumi.</w:t>
      </w:r>
      <w:r>
        <w:rPr>
          <w:rFonts w:eastAsia="Calibri" w:cs="Times New Roman"/>
          <w:szCs w:val="24"/>
        </w:rPr>
        <w:t xml:space="preserve"> </w:t>
      </w:r>
    </w:p>
    <w:p w14:paraId="66DDDDA5" w14:textId="77777777" w:rsidR="002C4E90" w:rsidRPr="004A3BF6" w:rsidRDefault="002C4E90" w:rsidP="002C4E90">
      <w:pPr>
        <w:pStyle w:val="Tabulasnosaukums"/>
      </w:pPr>
      <w:r w:rsidRPr="004A3BF6">
        <w:t>3.</w:t>
      </w:r>
      <w:r>
        <w:t>15</w:t>
      </w:r>
      <w:r w:rsidRPr="004A3BF6">
        <w:t>. tabula. Uzņēmumu vieglo transportlīdzekļu nodokļa ieņēmumi</w:t>
      </w:r>
    </w:p>
    <w:tbl>
      <w:tblPr>
        <w:tblW w:w="494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6236"/>
        <w:gridCol w:w="684"/>
        <w:gridCol w:w="684"/>
        <w:gridCol w:w="684"/>
        <w:gridCol w:w="668"/>
      </w:tblGrid>
      <w:tr w:rsidR="00A30215" w:rsidRPr="004A3BF6" w14:paraId="7FCF9A29" w14:textId="77777777" w:rsidTr="00A30215">
        <w:trPr>
          <w:trHeight w:hRule="exact" w:val="227"/>
          <w:tblHeader/>
          <w:jc w:val="center"/>
        </w:trPr>
        <w:tc>
          <w:tcPr>
            <w:tcW w:w="3481" w:type="pct"/>
            <w:shd w:val="clear" w:color="auto" w:fill="9CC2E5"/>
            <w:noWrap/>
            <w:vAlign w:val="center"/>
            <w:hideMark/>
          </w:tcPr>
          <w:p w14:paraId="688CE0E6" w14:textId="77777777" w:rsidR="002C4E90" w:rsidRPr="002C4E90" w:rsidRDefault="002C4E90" w:rsidP="005D673A">
            <w:pPr>
              <w:pStyle w:val="Tabulasgalvenesrinda"/>
              <w:rPr>
                <w:highlight w:val="yellow"/>
              </w:rPr>
            </w:pPr>
          </w:p>
        </w:tc>
        <w:tc>
          <w:tcPr>
            <w:tcW w:w="382" w:type="pct"/>
            <w:shd w:val="clear" w:color="auto" w:fill="9CC2E5"/>
            <w:vAlign w:val="center"/>
          </w:tcPr>
          <w:p w14:paraId="7F9CCF36" w14:textId="77777777" w:rsidR="002C4E90" w:rsidRPr="002C4E90" w:rsidRDefault="002C4E90" w:rsidP="005D673A">
            <w:pPr>
              <w:pStyle w:val="Tabulasgalvenesrinda"/>
              <w:rPr>
                <w:highlight w:val="yellow"/>
              </w:rPr>
            </w:pPr>
            <w:r w:rsidRPr="002C4E90">
              <w:t>2023</w:t>
            </w:r>
          </w:p>
        </w:tc>
        <w:tc>
          <w:tcPr>
            <w:tcW w:w="382" w:type="pct"/>
            <w:shd w:val="clear" w:color="auto" w:fill="9CC2E5"/>
            <w:vAlign w:val="center"/>
          </w:tcPr>
          <w:p w14:paraId="3DC64DE4" w14:textId="77777777" w:rsidR="002C4E90" w:rsidRPr="002C4E90" w:rsidRDefault="002C4E90" w:rsidP="005D673A">
            <w:pPr>
              <w:pStyle w:val="Tabulasgalvenesrinda"/>
              <w:rPr>
                <w:highlight w:val="yellow"/>
              </w:rPr>
            </w:pPr>
            <w:r w:rsidRPr="002C4E90">
              <w:t>2024</w:t>
            </w:r>
          </w:p>
        </w:tc>
        <w:tc>
          <w:tcPr>
            <w:tcW w:w="382" w:type="pct"/>
            <w:shd w:val="clear" w:color="auto" w:fill="9CC2E5"/>
            <w:noWrap/>
            <w:vAlign w:val="center"/>
            <w:hideMark/>
          </w:tcPr>
          <w:p w14:paraId="7BA706A8" w14:textId="77777777" w:rsidR="002C4E90" w:rsidRPr="002C4E90" w:rsidRDefault="002C4E90" w:rsidP="005D673A">
            <w:pPr>
              <w:pStyle w:val="Tabulasgalvenesrinda"/>
              <w:rPr>
                <w:highlight w:val="yellow"/>
              </w:rPr>
            </w:pPr>
            <w:r w:rsidRPr="002C4E90">
              <w:t>2025</w:t>
            </w:r>
          </w:p>
        </w:tc>
        <w:tc>
          <w:tcPr>
            <w:tcW w:w="373" w:type="pct"/>
            <w:shd w:val="clear" w:color="auto" w:fill="9CC2E5"/>
            <w:vAlign w:val="center"/>
          </w:tcPr>
          <w:p w14:paraId="51B74B46" w14:textId="77777777" w:rsidR="002C4E90" w:rsidRPr="002C4E90" w:rsidRDefault="002C4E90" w:rsidP="005D673A">
            <w:pPr>
              <w:pStyle w:val="Tabulasgalvenesrinda"/>
              <w:rPr>
                <w:highlight w:val="yellow"/>
              </w:rPr>
            </w:pPr>
            <w:r w:rsidRPr="002C4E90">
              <w:t>2026</w:t>
            </w:r>
          </w:p>
        </w:tc>
      </w:tr>
      <w:tr w:rsidR="00A30215" w:rsidRPr="004A3BF6" w14:paraId="6C827BC0" w14:textId="77777777" w:rsidTr="00BB23B3">
        <w:trPr>
          <w:trHeight w:hRule="exact" w:val="454"/>
          <w:jc w:val="center"/>
        </w:trPr>
        <w:tc>
          <w:tcPr>
            <w:tcW w:w="3481" w:type="pct"/>
            <w:shd w:val="clear" w:color="auto" w:fill="auto"/>
            <w:vAlign w:val="center"/>
            <w:hideMark/>
          </w:tcPr>
          <w:p w14:paraId="5A5A2003" w14:textId="77777777" w:rsidR="002C4E90" w:rsidRPr="002C4E90" w:rsidRDefault="002C4E90" w:rsidP="002A7324">
            <w:pPr>
              <w:pStyle w:val="Tabulasteksts"/>
              <w:spacing w:after="0"/>
              <w:ind w:left="0"/>
              <w:rPr>
                <w:szCs w:val="18"/>
                <w:highlight w:val="yellow"/>
              </w:rPr>
            </w:pPr>
            <w:r w:rsidRPr="002C4E90">
              <w:rPr>
                <w:szCs w:val="18"/>
              </w:rPr>
              <w:t>Saskaņā ar likumu “Par valsts budžetu 2024. gadam un budžeta ietvaru 2024., 2025. un 2026. gadam”, milj.</w:t>
            </w:r>
            <w:r w:rsidRPr="002C4E90">
              <w:rPr>
                <w:i/>
                <w:szCs w:val="18"/>
              </w:rPr>
              <w:t> euro</w:t>
            </w:r>
          </w:p>
        </w:tc>
        <w:tc>
          <w:tcPr>
            <w:tcW w:w="382" w:type="pct"/>
            <w:shd w:val="clear" w:color="auto" w:fill="auto"/>
            <w:noWrap/>
            <w:vAlign w:val="center"/>
          </w:tcPr>
          <w:p w14:paraId="4E8AFC83" w14:textId="77777777" w:rsidR="002C4E90" w:rsidRPr="002C4E90" w:rsidRDefault="002C4E90" w:rsidP="00BB23B3">
            <w:pPr>
              <w:pStyle w:val="Tabulascipari"/>
              <w:keepNext/>
              <w:keepLines/>
              <w:spacing w:after="0"/>
              <w:ind w:left="0"/>
              <w:jc w:val="center"/>
              <w:rPr>
                <w:szCs w:val="18"/>
              </w:rPr>
            </w:pPr>
            <w:r w:rsidRPr="002C4E90">
              <w:rPr>
                <w:szCs w:val="18"/>
              </w:rPr>
              <w:t>29,1</w:t>
            </w:r>
            <w:r w:rsidRPr="002C4E90">
              <w:rPr>
                <w:szCs w:val="18"/>
                <w:vertAlign w:val="superscript"/>
              </w:rPr>
              <w:t>1</w:t>
            </w:r>
          </w:p>
        </w:tc>
        <w:tc>
          <w:tcPr>
            <w:tcW w:w="382" w:type="pct"/>
            <w:shd w:val="clear" w:color="auto" w:fill="auto"/>
            <w:noWrap/>
            <w:vAlign w:val="center"/>
          </w:tcPr>
          <w:p w14:paraId="45061D3C" w14:textId="77777777" w:rsidR="002C4E90" w:rsidRPr="002C4E90" w:rsidRDefault="002C4E90" w:rsidP="00BB23B3">
            <w:pPr>
              <w:pStyle w:val="Tabulascipari"/>
              <w:keepNext/>
              <w:keepLines/>
              <w:spacing w:after="0"/>
              <w:ind w:left="0"/>
              <w:jc w:val="center"/>
              <w:rPr>
                <w:szCs w:val="18"/>
              </w:rPr>
            </w:pPr>
            <w:r w:rsidRPr="002C4E90">
              <w:rPr>
                <w:szCs w:val="18"/>
              </w:rPr>
              <w:t>33,4</w:t>
            </w:r>
          </w:p>
        </w:tc>
        <w:tc>
          <w:tcPr>
            <w:tcW w:w="382" w:type="pct"/>
            <w:shd w:val="clear" w:color="auto" w:fill="auto"/>
            <w:noWrap/>
            <w:vAlign w:val="center"/>
          </w:tcPr>
          <w:p w14:paraId="169C5300" w14:textId="77777777" w:rsidR="002C4E90" w:rsidRPr="002C4E90" w:rsidRDefault="002C4E90" w:rsidP="00BB23B3">
            <w:pPr>
              <w:pStyle w:val="Tabulascipari"/>
              <w:keepNext/>
              <w:keepLines/>
              <w:spacing w:after="0"/>
              <w:ind w:left="0"/>
              <w:jc w:val="center"/>
              <w:rPr>
                <w:szCs w:val="18"/>
              </w:rPr>
            </w:pPr>
            <w:r w:rsidRPr="002C4E90">
              <w:rPr>
                <w:szCs w:val="18"/>
              </w:rPr>
              <w:t>33,7</w:t>
            </w:r>
          </w:p>
        </w:tc>
        <w:tc>
          <w:tcPr>
            <w:tcW w:w="373" w:type="pct"/>
            <w:vAlign w:val="center"/>
          </w:tcPr>
          <w:p w14:paraId="0628F66E" w14:textId="77777777" w:rsidR="002C4E90" w:rsidRPr="002C4E90" w:rsidRDefault="002C4E90" w:rsidP="00BB23B3">
            <w:pPr>
              <w:pStyle w:val="Tabulascipari"/>
              <w:keepNext/>
              <w:keepLines/>
              <w:spacing w:after="0"/>
              <w:ind w:left="0"/>
              <w:jc w:val="center"/>
              <w:rPr>
                <w:szCs w:val="18"/>
              </w:rPr>
            </w:pPr>
            <w:r w:rsidRPr="002C4E90">
              <w:rPr>
                <w:szCs w:val="18"/>
              </w:rPr>
              <w:t>34,2</w:t>
            </w:r>
          </w:p>
        </w:tc>
      </w:tr>
      <w:tr w:rsidR="00A30215" w:rsidRPr="004A3BF6" w14:paraId="055B3641" w14:textId="77777777" w:rsidTr="00EE3763">
        <w:trPr>
          <w:trHeight w:hRule="exact" w:val="227"/>
          <w:jc w:val="center"/>
        </w:trPr>
        <w:tc>
          <w:tcPr>
            <w:tcW w:w="3481" w:type="pct"/>
            <w:shd w:val="clear" w:color="auto" w:fill="auto"/>
            <w:noWrap/>
            <w:vAlign w:val="center"/>
            <w:hideMark/>
          </w:tcPr>
          <w:p w14:paraId="64D271E1" w14:textId="77777777" w:rsidR="002C4E90" w:rsidRPr="002C4E90" w:rsidRDefault="002C4E90" w:rsidP="00272F14">
            <w:pPr>
              <w:pStyle w:val="Tabulasteksts"/>
              <w:spacing w:after="0"/>
              <w:ind w:left="391"/>
              <w:rPr>
                <w:i/>
                <w:iCs/>
                <w:szCs w:val="18"/>
                <w:highlight w:val="yellow"/>
              </w:rPr>
            </w:pPr>
            <w:r w:rsidRPr="002C4E90">
              <w:rPr>
                <w:i/>
                <w:iCs/>
                <w:szCs w:val="18"/>
              </w:rPr>
              <w:t>pret IKP, %</w:t>
            </w:r>
          </w:p>
        </w:tc>
        <w:tc>
          <w:tcPr>
            <w:tcW w:w="382" w:type="pct"/>
            <w:shd w:val="clear" w:color="auto" w:fill="auto"/>
            <w:noWrap/>
          </w:tcPr>
          <w:p w14:paraId="7867ABC3" w14:textId="77777777" w:rsidR="002C4E90" w:rsidRPr="002C4E90" w:rsidRDefault="002C4E90" w:rsidP="00EE3763">
            <w:pPr>
              <w:pStyle w:val="Tabulascipari"/>
              <w:keepNext/>
              <w:keepLines/>
              <w:spacing w:after="0"/>
              <w:ind w:left="0"/>
              <w:rPr>
                <w:i/>
                <w:iCs/>
                <w:szCs w:val="18"/>
              </w:rPr>
            </w:pPr>
            <w:r w:rsidRPr="002C4E90">
              <w:rPr>
                <w:i/>
                <w:iCs/>
                <w:szCs w:val="18"/>
              </w:rPr>
              <w:t>0,07</w:t>
            </w:r>
          </w:p>
        </w:tc>
        <w:tc>
          <w:tcPr>
            <w:tcW w:w="382" w:type="pct"/>
            <w:shd w:val="clear" w:color="auto" w:fill="auto"/>
            <w:noWrap/>
          </w:tcPr>
          <w:p w14:paraId="3C354EAD" w14:textId="77777777" w:rsidR="002C4E90" w:rsidRPr="002C4E90" w:rsidRDefault="002C4E90" w:rsidP="00EE3763">
            <w:pPr>
              <w:pStyle w:val="Tabulascipari"/>
              <w:keepNext/>
              <w:keepLines/>
              <w:spacing w:after="0"/>
              <w:ind w:left="0"/>
              <w:rPr>
                <w:i/>
                <w:iCs/>
                <w:szCs w:val="18"/>
              </w:rPr>
            </w:pPr>
            <w:r w:rsidRPr="002C4E90">
              <w:rPr>
                <w:i/>
                <w:iCs/>
                <w:szCs w:val="18"/>
              </w:rPr>
              <w:t>0,07</w:t>
            </w:r>
          </w:p>
        </w:tc>
        <w:tc>
          <w:tcPr>
            <w:tcW w:w="382" w:type="pct"/>
            <w:shd w:val="clear" w:color="auto" w:fill="auto"/>
            <w:noWrap/>
          </w:tcPr>
          <w:p w14:paraId="64181FFB" w14:textId="77777777" w:rsidR="002C4E90" w:rsidRPr="002C4E90" w:rsidRDefault="002C4E90" w:rsidP="00EE3763">
            <w:pPr>
              <w:pStyle w:val="Tabulascipari"/>
              <w:keepNext/>
              <w:keepLines/>
              <w:spacing w:after="0"/>
              <w:ind w:left="0"/>
              <w:rPr>
                <w:i/>
                <w:iCs/>
                <w:szCs w:val="18"/>
              </w:rPr>
            </w:pPr>
            <w:r w:rsidRPr="002C4E90">
              <w:rPr>
                <w:i/>
                <w:iCs/>
                <w:szCs w:val="18"/>
              </w:rPr>
              <w:t>0,07</w:t>
            </w:r>
          </w:p>
        </w:tc>
        <w:tc>
          <w:tcPr>
            <w:tcW w:w="373" w:type="pct"/>
          </w:tcPr>
          <w:p w14:paraId="0C8FD7EC" w14:textId="77777777" w:rsidR="002C4E90" w:rsidRPr="002C4E90" w:rsidRDefault="002C4E90" w:rsidP="00EE3763">
            <w:pPr>
              <w:pStyle w:val="Tabulascipari"/>
              <w:keepNext/>
              <w:keepLines/>
              <w:spacing w:after="0"/>
              <w:ind w:left="0"/>
              <w:rPr>
                <w:i/>
                <w:iCs/>
                <w:szCs w:val="18"/>
              </w:rPr>
            </w:pPr>
            <w:r w:rsidRPr="002C4E90">
              <w:rPr>
                <w:i/>
                <w:iCs/>
                <w:szCs w:val="18"/>
              </w:rPr>
              <w:t>0,07</w:t>
            </w:r>
          </w:p>
        </w:tc>
      </w:tr>
      <w:tr w:rsidR="00A30215" w:rsidRPr="004A3BF6" w14:paraId="3290CE38" w14:textId="77777777" w:rsidTr="00EE3763">
        <w:trPr>
          <w:trHeight w:hRule="exact" w:val="454"/>
          <w:jc w:val="center"/>
        </w:trPr>
        <w:tc>
          <w:tcPr>
            <w:tcW w:w="3481" w:type="pct"/>
            <w:shd w:val="clear" w:color="auto" w:fill="auto"/>
            <w:vAlign w:val="center"/>
            <w:hideMark/>
          </w:tcPr>
          <w:p w14:paraId="173D13F6" w14:textId="1EEF7487" w:rsidR="002C4E90" w:rsidRPr="002C4E90" w:rsidRDefault="002C4E90" w:rsidP="00272F14">
            <w:pPr>
              <w:pStyle w:val="Tabulasteksts"/>
              <w:spacing w:after="0"/>
              <w:ind w:left="0"/>
              <w:rPr>
                <w:szCs w:val="18"/>
              </w:rPr>
            </w:pPr>
            <w:r w:rsidRPr="002C4E90">
              <w:rPr>
                <w:szCs w:val="18"/>
              </w:rPr>
              <w:t>Salīdzinājumā ar likumu “Par valsts budžetu 2023. gadam un budžeta ietvaru 2023., 2024. un 2025. gadam”, milj</w:t>
            </w:r>
            <w:r w:rsidRPr="00272F14">
              <w:rPr>
                <w:i/>
                <w:iCs/>
                <w:szCs w:val="18"/>
              </w:rPr>
              <w:t>. euro</w:t>
            </w:r>
          </w:p>
        </w:tc>
        <w:tc>
          <w:tcPr>
            <w:tcW w:w="382" w:type="pct"/>
            <w:shd w:val="clear" w:color="auto" w:fill="auto"/>
            <w:noWrap/>
          </w:tcPr>
          <w:p w14:paraId="1D338EA0" w14:textId="77777777" w:rsidR="002C4E90" w:rsidRPr="002C4E90" w:rsidRDefault="002C4E90" w:rsidP="00EE3763">
            <w:pPr>
              <w:pStyle w:val="Tabulascipari"/>
              <w:keepNext/>
              <w:keepLines/>
              <w:spacing w:after="0"/>
              <w:ind w:left="0"/>
              <w:rPr>
                <w:i/>
                <w:iCs/>
                <w:szCs w:val="18"/>
              </w:rPr>
            </w:pPr>
            <w:r w:rsidRPr="002C4E90">
              <w:rPr>
                <w:i/>
                <w:iCs/>
                <w:szCs w:val="18"/>
              </w:rPr>
              <w:t>+7,0</w:t>
            </w:r>
          </w:p>
        </w:tc>
        <w:tc>
          <w:tcPr>
            <w:tcW w:w="382" w:type="pct"/>
            <w:shd w:val="clear" w:color="auto" w:fill="auto"/>
            <w:noWrap/>
          </w:tcPr>
          <w:p w14:paraId="5DF343D3" w14:textId="77777777" w:rsidR="002C4E90" w:rsidRPr="002C4E90" w:rsidRDefault="002C4E90" w:rsidP="00EE3763">
            <w:pPr>
              <w:pStyle w:val="Tabulascipari"/>
              <w:keepNext/>
              <w:keepLines/>
              <w:spacing w:after="0"/>
              <w:ind w:left="0"/>
              <w:rPr>
                <w:i/>
                <w:iCs/>
                <w:szCs w:val="18"/>
              </w:rPr>
            </w:pPr>
            <w:r w:rsidRPr="002C4E90">
              <w:rPr>
                <w:i/>
                <w:iCs/>
                <w:szCs w:val="18"/>
              </w:rPr>
              <w:t>+10,8</w:t>
            </w:r>
          </w:p>
        </w:tc>
        <w:tc>
          <w:tcPr>
            <w:tcW w:w="382" w:type="pct"/>
            <w:shd w:val="clear" w:color="auto" w:fill="auto"/>
            <w:noWrap/>
            <w:hideMark/>
          </w:tcPr>
          <w:p w14:paraId="587DDC3A" w14:textId="77777777" w:rsidR="002C4E90" w:rsidRPr="002C4E90" w:rsidRDefault="002C4E90" w:rsidP="00EE3763">
            <w:pPr>
              <w:pStyle w:val="Tabulascipari"/>
              <w:keepNext/>
              <w:keepLines/>
              <w:spacing w:after="0"/>
              <w:ind w:left="0"/>
              <w:rPr>
                <w:i/>
                <w:iCs/>
                <w:szCs w:val="18"/>
              </w:rPr>
            </w:pPr>
            <w:r w:rsidRPr="002C4E90">
              <w:rPr>
                <w:i/>
                <w:iCs/>
                <w:szCs w:val="18"/>
              </w:rPr>
              <w:t>+10,7</w:t>
            </w:r>
          </w:p>
        </w:tc>
        <w:tc>
          <w:tcPr>
            <w:tcW w:w="373" w:type="pct"/>
            <w:shd w:val="clear" w:color="auto" w:fill="auto"/>
          </w:tcPr>
          <w:p w14:paraId="6F769075" w14:textId="77777777" w:rsidR="002C4E90" w:rsidRPr="002C4E90" w:rsidRDefault="002C4E90" w:rsidP="00EE3763">
            <w:pPr>
              <w:pStyle w:val="Tabulascipari"/>
              <w:keepNext/>
              <w:keepLines/>
              <w:spacing w:after="0"/>
              <w:ind w:left="0"/>
              <w:rPr>
                <w:i/>
                <w:iCs/>
                <w:szCs w:val="18"/>
              </w:rPr>
            </w:pPr>
            <w:r w:rsidRPr="002C4E90">
              <w:rPr>
                <w:i/>
                <w:iCs/>
                <w:szCs w:val="18"/>
              </w:rPr>
              <w:t>—</w:t>
            </w:r>
          </w:p>
        </w:tc>
      </w:tr>
      <w:tr w:rsidR="00A30215" w:rsidRPr="004A3BF6" w14:paraId="1DBA0FB0" w14:textId="77777777" w:rsidTr="00EE3763">
        <w:trPr>
          <w:trHeight w:hRule="exact" w:val="454"/>
          <w:jc w:val="center"/>
        </w:trPr>
        <w:tc>
          <w:tcPr>
            <w:tcW w:w="3481" w:type="pct"/>
            <w:shd w:val="clear" w:color="auto" w:fill="auto"/>
            <w:vAlign w:val="center"/>
            <w:hideMark/>
          </w:tcPr>
          <w:p w14:paraId="7843FB9A" w14:textId="77EECB89" w:rsidR="002C4E90" w:rsidRPr="002C4E90" w:rsidRDefault="002C4E90" w:rsidP="00272F14">
            <w:pPr>
              <w:pStyle w:val="Tabulasteksts"/>
              <w:spacing w:after="0"/>
              <w:ind w:left="0"/>
              <w:rPr>
                <w:szCs w:val="18"/>
              </w:rPr>
            </w:pPr>
            <w:r w:rsidRPr="002C4E90">
              <w:rPr>
                <w:szCs w:val="18"/>
              </w:rPr>
              <w:t>Salīdzinājumā ar likumu “Par valsts budžetu 2023. gadam un budžeta ietvaru 2023., 2024. un 2025. gadam”, %</w:t>
            </w:r>
          </w:p>
        </w:tc>
        <w:tc>
          <w:tcPr>
            <w:tcW w:w="382" w:type="pct"/>
            <w:shd w:val="clear" w:color="auto" w:fill="auto"/>
            <w:noWrap/>
          </w:tcPr>
          <w:p w14:paraId="63184B2A" w14:textId="77777777" w:rsidR="002C4E90" w:rsidRPr="002C4E90" w:rsidRDefault="002C4E90" w:rsidP="00EE3763">
            <w:pPr>
              <w:pStyle w:val="Tabulascipari"/>
              <w:keepNext/>
              <w:keepLines/>
              <w:spacing w:after="0"/>
              <w:ind w:left="0"/>
              <w:rPr>
                <w:i/>
                <w:iCs/>
                <w:szCs w:val="18"/>
              </w:rPr>
            </w:pPr>
            <w:r w:rsidRPr="002C4E90">
              <w:rPr>
                <w:i/>
                <w:iCs/>
                <w:szCs w:val="18"/>
              </w:rPr>
              <w:t>+31,7</w:t>
            </w:r>
          </w:p>
        </w:tc>
        <w:tc>
          <w:tcPr>
            <w:tcW w:w="382" w:type="pct"/>
            <w:shd w:val="clear" w:color="auto" w:fill="auto"/>
            <w:noWrap/>
          </w:tcPr>
          <w:p w14:paraId="36086CCA" w14:textId="77777777" w:rsidR="002C4E90" w:rsidRPr="002C4E90" w:rsidRDefault="002C4E90" w:rsidP="00EE3763">
            <w:pPr>
              <w:pStyle w:val="Tabulascipari"/>
              <w:keepNext/>
              <w:keepLines/>
              <w:spacing w:after="0"/>
              <w:ind w:left="0"/>
              <w:rPr>
                <w:i/>
                <w:iCs/>
                <w:szCs w:val="18"/>
              </w:rPr>
            </w:pPr>
            <w:r w:rsidRPr="002C4E90">
              <w:rPr>
                <w:i/>
                <w:iCs/>
                <w:szCs w:val="18"/>
              </w:rPr>
              <w:t>+47,8</w:t>
            </w:r>
          </w:p>
        </w:tc>
        <w:tc>
          <w:tcPr>
            <w:tcW w:w="382" w:type="pct"/>
            <w:shd w:val="clear" w:color="auto" w:fill="auto"/>
            <w:noWrap/>
            <w:hideMark/>
          </w:tcPr>
          <w:p w14:paraId="7C4255C0" w14:textId="77777777" w:rsidR="002C4E90" w:rsidRPr="002C4E90" w:rsidRDefault="002C4E90" w:rsidP="00EE3763">
            <w:pPr>
              <w:pStyle w:val="Tabulascipari"/>
              <w:keepNext/>
              <w:keepLines/>
              <w:spacing w:after="0"/>
              <w:ind w:left="0"/>
              <w:rPr>
                <w:i/>
                <w:iCs/>
                <w:szCs w:val="18"/>
              </w:rPr>
            </w:pPr>
            <w:r w:rsidRPr="002C4E90">
              <w:rPr>
                <w:i/>
                <w:iCs/>
                <w:szCs w:val="18"/>
              </w:rPr>
              <w:t>+46,5</w:t>
            </w:r>
          </w:p>
        </w:tc>
        <w:tc>
          <w:tcPr>
            <w:tcW w:w="373" w:type="pct"/>
            <w:shd w:val="clear" w:color="auto" w:fill="auto"/>
          </w:tcPr>
          <w:p w14:paraId="17E094D3" w14:textId="77777777" w:rsidR="002C4E90" w:rsidRPr="002C4E90" w:rsidRDefault="002C4E90" w:rsidP="00EE3763">
            <w:pPr>
              <w:pStyle w:val="Tabulascipari"/>
              <w:keepNext/>
              <w:keepLines/>
              <w:spacing w:after="0"/>
              <w:ind w:left="0"/>
              <w:rPr>
                <w:i/>
                <w:iCs/>
                <w:szCs w:val="18"/>
              </w:rPr>
            </w:pPr>
            <w:r w:rsidRPr="002C4E90">
              <w:rPr>
                <w:i/>
                <w:iCs/>
                <w:szCs w:val="18"/>
              </w:rPr>
              <w:t>—</w:t>
            </w:r>
          </w:p>
        </w:tc>
      </w:tr>
    </w:tbl>
    <w:p w14:paraId="05F88CC9" w14:textId="77777777" w:rsidR="002C4E90" w:rsidRPr="004A3BF6" w:rsidRDefault="002C4E90" w:rsidP="002C4E90">
      <w:pPr>
        <w:pStyle w:val="Piezme"/>
      </w:pPr>
      <w:r w:rsidRPr="004A3BF6">
        <w:rPr>
          <w:vertAlign w:val="superscript"/>
        </w:rPr>
        <w:t>1</w:t>
      </w:r>
      <w:r w:rsidRPr="004A3BF6">
        <w:t> Prognoze</w:t>
      </w:r>
    </w:p>
    <w:p w14:paraId="3B04986B" w14:textId="77777777" w:rsidR="007E409E" w:rsidRPr="00272F14" w:rsidRDefault="007E409E" w:rsidP="00C00DF7">
      <w:pPr>
        <w:keepNext/>
        <w:keepLines/>
        <w:spacing w:before="240" w:after="240"/>
        <w:ind w:firstLine="0"/>
        <w:jc w:val="center"/>
        <w:outlineLvl w:val="3"/>
        <w:rPr>
          <w:rFonts w:eastAsia="Times New Roman" w:cs="Times New Roman"/>
          <w:b/>
          <w:szCs w:val="20"/>
          <w:lang w:eastAsia="en-US"/>
        </w:rPr>
      </w:pPr>
      <w:r w:rsidRPr="00272F14">
        <w:rPr>
          <w:rFonts w:eastAsia="Times New Roman" w:cs="Times New Roman"/>
          <w:b/>
          <w:szCs w:val="20"/>
          <w:lang w:eastAsia="en-US"/>
        </w:rPr>
        <w:t>Muitas nodoklis</w:t>
      </w:r>
    </w:p>
    <w:p w14:paraId="44FA8696" w14:textId="26468CBC" w:rsidR="00937B81" w:rsidRPr="008B4A04" w:rsidRDefault="00937B81" w:rsidP="00937B81">
      <w:pPr>
        <w:rPr>
          <w:rFonts w:eastAsia="Calibri" w:cs="Times New Roman"/>
          <w:szCs w:val="24"/>
        </w:rPr>
      </w:pPr>
      <w:bookmarkStart w:id="102" w:name="_Toc126236664"/>
      <w:r w:rsidRPr="008B4A04">
        <w:rPr>
          <w:rFonts w:eastAsia="Calibri" w:cs="Times New Roman"/>
          <w:szCs w:val="24"/>
        </w:rPr>
        <w:t xml:space="preserve">Muitas nodoklis tiek piemērots no </w:t>
      </w:r>
      <w:proofErr w:type="spellStart"/>
      <w:r w:rsidRPr="008B4A04">
        <w:rPr>
          <w:rFonts w:eastAsia="Calibri" w:cs="Times New Roman"/>
          <w:szCs w:val="24"/>
        </w:rPr>
        <w:t>ārpussavienības</w:t>
      </w:r>
      <w:proofErr w:type="spellEnd"/>
      <w:r w:rsidRPr="008B4A04">
        <w:rPr>
          <w:rFonts w:eastAsia="Calibri" w:cs="Times New Roman"/>
          <w:szCs w:val="24"/>
        </w:rPr>
        <w:t xml:space="preserve"> valstīm importētajām precēm un ir vienots ES ārējās tirdzniecības instruments, kas ir reglamentējams ar Padomes Regulu (EEK) Nr. 2658/87</w:t>
      </w:r>
      <w:r w:rsidRPr="008B4A04">
        <w:rPr>
          <w:rFonts w:eastAsia="Calibri" w:cs="Times New Roman"/>
          <w:szCs w:val="24"/>
        </w:rPr>
        <w:footnoteReference w:id="36"/>
      </w:r>
      <w:r w:rsidRPr="008B4A04">
        <w:rPr>
          <w:rFonts w:eastAsia="Calibri" w:cs="Times New Roman"/>
          <w:szCs w:val="24"/>
        </w:rPr>
        <w:t xml:space="preserve"> un ar kura palīdzību tiek aizsargāts ES iekšējais tirgus. No muitas nodokļa kopējiem ieņēmumiem </w:t>
      </w:r>
      <w:r w:rsidR="00391CFA">
        <w:rPr>
          <w:rFonts w:eastAsia="Calibri" w:cs="Times New Roman"/>
          <w:szCs w:val="24"/>
        </w:rPr>
        <w:t>75</w:t>
      </w:r>
      <w:r>
        <w:rPr>
          <w:rFonts w:eastAsia="Calibri" w:cs="Times New Roman"/>
          <w:szCs w:val="24"/>
        </w:rPr>
        <w:t> %</w:t>
      </w:r>
      <w:r w:rsidRPr="008B4A04">
        <w:rPr>
          <w:rFonts w:eastAsia="Calibri" w:cs="Times New Roman"/>
          <w:szCs w:val="24"/>
        </w:rPr>
        <w:t xml:space="preserve"> tiek ieskaitīti ES budžetā.</w:t>
      </w:r>
    </w:p>
    <w:p w14:paraId="5A0A0A59" w14:textId="77777777" w:rsidR="00937B81" w:rsidRPr="008B4A04" w:rsidRDefault="00937B81" w:rsidP="00937B81">
      <w:pPr>
        <w:rPr>
          <w:rFonts w:eastAsia="Calibri" w:cs="Times New Roman"/>
          <w:szCs w:val="24"/>
        </w:rPr>
      </w:pPr>
      <w:r w:rsidRPr="008B4A04">
        <w:rPr>
          <w:rFonts w:eastAsia="Calibri" w:cs="Times New Roman"/>
          <w:szCs w:val="24"/>
        </w:rPr>
        <w:t>Muitas nodokļa ieņēmumi 2023</w:t>
      </w:r>
      <w:r>
        <w:rPr>
          <w:rFonts w:eastAsia="Calibri" w:cs="Times New Roman"/>
          <w:szCs w:val="24"/>
        </w:rPr>
        <w:t>. g</w:t>
      </w:r>
      <w:r w:rsidRPr="008B4A04">
        <w:rPr>
          <w:rFonts w:eastAsia="Calibri" w:cs="Times New Roman"/>
          <w:szCs w:val="24"/>
        </w:rPr>
        <w:t>ada 1. pusgadā bija 29,1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ir par 19,7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40,3</w:t>
      </w:r>
      <w:r>
        <w:rPr>
          <w:rFonts w:eastAsia="Calibri" w:cs="Times New Roman"/>
          <w:szCs w:val="24"/>
        </w:rPr>
        <w:t> %</w:t>
      </w:r>
      <w:r w:rsidRPr="008B4A04">
        <w:rPr>
          <w:rFonts w:eastAsia="Calibri" w:cs="Times New Roman"/>
          <w:szCs w:val="24"/>
        </w:rPr>
        <w:t xml:space="preserve"> mazāk nekā pērnā gada attiecīgajā periodā. Kopējie muitas nodokļa ieņēmumi samazinājušies, kam par iemeslu ir </w:t>
      </w:r>
      <w:r w:rsidRPr="008B4A04">
        <w:rPr>
          <w:rFonts w:eastAsia="Times New Roman" w:cs="Times New Roman"/>
          <w:szCs w:val="24"/>
          <w:lang w:eastAsia="en-US"/>
        </w:rPr>
        <w:t>ieviestās sankcijas (skat. Padomes Regulu (EK) Nr. 765/2006</w:t>
      </w:r>
      <w:r w:rsidRPr="008B4A04">
        <w:rPr>
          <w:rFonts w:eastAsia="Times New Roman" w:cs="Times New Roman"/>
          <w:szCs w:val="24"/>
          <w:lang w:eastAsia="en-US"/>
        </w:rPr>
        <w:footnoteReference w:id="37"/>
      </w:r>
      <w:r w:rsidRPr="008B4A04">
        <w:rPr>
          <w:rFonts w:eastAsia="Times New Roman" w:cs="Times New Roman"/>
          <w:szCs w:val="24"/>
          <w:lang w:eastAsia="en-US"/>
        </w:rPr>
        <w:t xml:space="preserve"> un Padomes Regulu (ES) Nr. 833/2014</w:t>
      </w:r>
      <w:r w:rsidRPr="008B4A04">
        <w:rPr>
          <w:rFonts w:eastAsia="Times New Roman" w:cs="Times New Roman"/>
          <w:szCs w:val="24"/>
          <w:lang w:eastAsia="en-US"/>
        </w:rPr>
        <w:footnoteReference w:id="38"/>
      </w:r>
      <w:r w:rsidRPr="008B4A04">
        <w:rPr>
          <w:rFonts w:eastAsia="Times New Roman" w:cs="Times New Roman"/>
          <w:szCs w:val="24"/>
          <w:lang w:eastAsia="en-US"/>
        </w:rPr>
        <w:t>) un novērojama stagnācija apstrādes rūpniecībā</w:t>
      </w:r>
      <w:r w:rsidRPr="008B4A04">
        <w:rPr>
          <w:rFonts w:eastAsia="Calibri" w:cs="Times New Roman"/>
          <w:szCs w:val="24"/>
        </w:rPr>
        <w:t>. 2023</w:t>
      </w:r>
      <w:r>
        <w:rPr>
          <w:rFonts w:eastAsia="Calibri" w:cs="Times New Roman"/>
          <w:szCs w:val="24"/>
        </w:rPr>
        <w:t>. g</w:t>
      </w:r>
      <w:r w:rsidRPr="008B4A04">
        <w:rPr>
          <w:rFonts w:eastAsia="Calibri" w:cs="Times New Roman"/>
          <w:szCs w:val="24"/>
        </w:rPr>
        <w:t>ada 1. pusgadā muitas nodokļa ieņēmumi bija par 11,8</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28,9</w:t>
      </w:r>
      <w:r>
        <w:rPr>
          <w:rFonts w:eastAsia="Calibri" w:cs="Times New Roman"/>
          <w:szCs w:val="24"/>
        </w:rPr>
        <w:t> %</w:t>
      </w:r>
      <w:r w:rsidRPr="008B4A04">
        <w:rPr>
          <w:rFonts w:eastAsia="Calibri" w:cs="Times New Roman"/>
          <w:szCs w:val="24"/>
        </w:rPr>
        <w:t xml:space="preserve"> mazāki nekā plānots.</w:t>
      </w:r>
    </w:p>
    <w:p w14:paraId="4E3BDAB6" w14:textId="77777777" w:rsidR="00937B81" w:rsidRPr="008B4A04" w:rsidRDefault="00937B81" w:rsidP="00937B81">
      <w:pPr>
        <w:rPr>
          <w:rFonts w:eastAsia="Calibri" w:cs="Times New Roman"/>
          <w:szCs w:val="24"/>
        </w:rPr>
      </w:pPr>
      <w:r w:rsidRPr="008B4A04">
        <w:rPr>
          <w:rFonts w:eastAsia="Calibri" w:cs="Times New Roman"/>
          <w:szCs w:val="24"/>
        </w:rPr>
        <w:t>Saskaņā ar likumu “Par valsts budžetu 2024</w:t>
      </w:r>
      <w:r>
        <w:rPr>
          <w:rFonts w:eastAsia="Calibri" w:cs="Times New Roman"/>
          <w:szCs w:val="24"/>
        </w:rPr>
        <w:t>. g</w:t>
      </w:r>
      <w:r w:rsidRPr="008B4A04">
        <w:rPr>
          <w:rFonts w:eastAsia="Calibri" w:cs="Times New Roman"/>
          <w:szCs w:val="24"/>
        </w:rPr>
        <w:t>adam un budžeta ietvaru 2024., 2025. un 2026</w:t>
      </w:r>
      <w:r>
        <w:rPr>
          <w:rFonts w:eastAsia="Calibri" w:cs="Times New Roman"/>
          <w:szCs w:val="24"/>
        </w:rPr>
        <w:t>. g</w:t>
      </w:r>
      <w:r w:rsidRPr="008B4A04">
        <w:rPr>
          <w:rFonts w:eastAsia="Calibri" w:cs="Times New Roman"/>
          <w:szCs w:val="24"/>
        </w:rPr>
        <w:t>adam” PVN neto ieņēmumi tiek plānoti šādos apmēros: 2024</w:t>
      </w:r>
      <w:r>
        <w:rPr>
          <w:rFonts w:eastAsia="Calibri" w:cs="Times New Roman"/>
          <w:szCs w:val="24"/>
        </w:rPr>
        <w:t>. g</w:t>
      </w:r>
      <w:r w:rsidRPr="008B4A04">
        <w:rPr>
          <w:rFonts w:eastAsia="Calibri" w:cs="Times New Roman"/>
          <w:szCs w:val="24"/>
        </w:rPr>
        <w:t>adā – 68,4</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2025</w:t>
      </w:r>
      <w:r>
        <w:rPr>
          <w:rFonts w:eastAsia="Calibri" w:cs="Times New Roman"/>
          <w:szCs w:val="24"/>
        </w:rPr>
        <w:t>. g</w:t>
      </w:r>
      <w:r w:rsidRPr="008B4A04">
        <w:rPr>
          <w:rFonts w:eastAsia="Calibri" w:cs="Times New Roman"/>
          <w:szCs w:val="24"/>
        </w:rPr>
        <w:t>adā – 71,9</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un 2026</w:t>
      </w:r>
      <w:r>
        <w:rPr>
          <w:rFonts w:eastAsia="Calibri" w:cs="Times New Roman"/>
          <w:szCs w:val="24"/>
        </w:rPr>
        <w:t>. g</w:t>
      </w:r>
      <w:r w:rsidRPr="008B4A04">
        <w:rPr>
          <w:rFonts w:eastAsia="Calibri" w:cs="Times New Roman"/>
          <w:szCs w:val="24"/>
        </w:rPr>
        <w:t>adā – 76,5</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(skat. 3.1</w:t>
      </w:r>
      <w:r>
        <w:rPr>
          <w:rFonts w:eastAsia="Calibri" w:cs="Times New Roman"/>
          <w:szCs w:val="24"/>
        </w:rPr>
        <w:t>6</w:t>
      </w:r>
      <w:r w:rsidRPr="008B4A04">
        <w:rPr>
          <w:rFonts w:eastAsia="Calibri" w:cs="Times New Roman"/>
          <w:szCs w:val="24"/>
        </w:rPr>
        <w:t xml:space="preserve">. tabulu). Muitas nodokļa ieņēmumi plānu vidējā termiņā ietekmē prognozētā importa no </w:t>
      </w:r>
      <w:proofErr w:type="spellStart"/>
      <w:r w:rsidRPr="008B4A04">
        <w:rPr>
          <w:rFonts w:eastAsia="Calibri" w:cs="Times New Roman"/>
          <w:szCs w:val="24"/>
        </w:rPr>
        <w:t>ārpussavienības</w:t>
      </w:r>
      <w:proofErr w:type="spellEnd"/>
      <w:r w:rsidRPr="008B4A04">
        <w:rPr>
          <w:rFonts w:eastAsia="Calibri" w:cs="Times New Roman"/>
          <w:szCs w:val="24"/>
        </w:rPr>
        <w:t xml:space="preserve"> valstīm dinamika faktiskajās cenās un 2023</w:t>
      </w:r>
      <w:r>
        <w:rPr>
          <w:rFonts w:eastAsia="Calibri" w:cs="Times New Roman"/>
          <w:szCs w:val="24"/>
        </w:rPr>
        <w:t>. g</w:t>
      </w:r>
      <w:r w:rsidRPr="008B4A04">
        <w:rPr>
          <w:rFonts w:eastAsia="Calibri" w:cs="Times New Roman"/>
          <w:szCs w:val="24"/>
        </w:rPr>
        <w:t>adā sagaidāmā izpilde.</w:t>
      </w:r>
    </w:p>
    <w:p w14:paraId="694264E9" w14:textId="77777777" w:rsidR="00937B81" w:rsidRPr="004A3BF6" w:rsidRDefault="00937B81" w:rsidP="00937B81">
      <w:pPr>
        <w:pStyle w:val="Tabulasnosaukums"/>
      </w:pPr>
      <w:r w:rsidRPr="00634C12">
        <w:lastRenderedPageBreak/>
        <w:t>3.16. tabula. Muitas nodokļa ieņēmumi</w:t>
      </w:r>
    </w:p>
    <w:tbl>
      <w:tblPr>
        <w:tblW w:w="4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0"/>
        <w:gridCol w:w="622"/>
        <w:gridCol w:w="625"/>
        <w:gridCol w:w="627"/>
        <w:gridCol w:w="616"/>
      </w:tblGrid>
      <w:tr w:rsidR="0034370C" w:rsidRPr="00494699" w14:paraId="49AF0053" w14:textId="77777777" w:rsidTr="0034370C">
        <w:trPr>
          <w:cantSplit/>
          <w:trHeight w:hRule="exact" w:val="227"/>
          <w:jc w:val="center"/>
        </w:trPr>
        <w:tc>
          <w:tcPr>
            <w:tcW w:w="3618" w:type="pct"/>
            <w:shd w:val="clear" w:color="auto" w:fill="9CC2E5" w:themeFill="accent1" w:themeFillTint="99"/>
            <w:vAlign w:val="center"/>
          </w:tcPr>
          <w:p w14:paraId="332634F5" w14:textId="77777777" w:rsidR="00937B81" w:rsidRPr="00494699" w:rsidRDefault="00937B81" w:rsidP="005D673A">
            <w:pPr>
              <w:pStyle w:val="Tabulasgalvenesrinda"/>
              <w:rPr>
                <w:highlight w:val="yellow"/>
              </w:rPr>
            </w:pPr>
          </w:p>
        </w:tc>
        <w:tc>
          <w:tcPr>
            <w:tcW w:w="345" w:type="pct"/>
            <w:shd w:val="clear" w:color="auto" w:fill="9CC2E5" w:themeFill="accent1" w:themeFillTint="99"/>
            <w:vAlign w:val="center"/>
          </w:tcPr>
          <w:p w14:paraId="5BCA6D93" w14:textId="77777777" w:rsidR="00937B81" w:rsidRPr="00494699" w:rsidRDefault="00937B81" w:rsidP="005D673A">
            <w:pPr>
              <w:pStyle w:val="Tabulasgalvenesrinda"/>
              <w:rPr>
                <w:highlight w:val="yellow"/>
              </w:rPr>
            </w:pPr>
            <w:r w:rsidRPr="00494699">
              <w:t>2023</w:t>
            </w:r>
          </w:p>
        </w:tc>
        <w:tc>
          <w:tcPr>
            <w:tcW w:w="347" w:type="pct"/>
            <w:shd w:val="clear" w:color="auto" w:fill="9CC2E5" w:themeFill="accent1" w:themeFillTint="99"/>
            <w:vAlign w:val="center"/>
          </w:tcPr>
          <w:p w14:paraId="7FDA80AE" w14:textId="77777777" w:rsidR="00937B81" w:rsidRPr="00494699" w:rsidRDefault="00937B81" w:rsidP="005D673A">
            <w:pPr>
              <w:pStyle w:val="Tabulasgalvenesrinda"/>
              <w:rPr>
                <w:highlight w:val="yellow"/>
              </w:rPr>
            </w:pPr>
            <w:r w:rsidRPr="00494699">
              <w:t>2024</w:t>
            </w:r>
          </w:p>
        </w:tc>
        <w:tc>
          <w:tcPr>
            <w:tcW w:w="348" w:type="pct"/>
            <w:shd w:val="clear" w:color="auto" w:fill="9CC2E5" w:themeFill="accent1" w:themeFillTint="99"/>
            <w:vAlign w:val="center"/>
          </w:tcPr>
          <w:p w14:paraId="7C87A312" w14:textId="77777777" w:rsidR="00937B81" w:rsidRPr="00494699" w:rsidRDefault="00937B81" w:rsidP="005D673A">
            <w:pPr>
              <w:pStyle w:val="Tabulasgalvenesrinda"/>
              <w:rPr>
                <w:highlight w:val="yellow"/>
              </w:rPr>
            </w:pPr>
            <w:r w:rsidRPr="00494699">
              <w:t>2025</w:t>
            </w:r>
          </w:p>
        </w:tc>
        <w:tc>
          <w:tcPr>
            <w:tcW w:w="342" w:type="pct"/>
            <w:shd w:val="clear" w:color="auto" w:fill="9CC2E5" w:themeFill="accent1" w:themeFillTint="99"/>
            <w:vAlign w:val="center"/>
          </w:tcPr>
          <w:p w14:paraId="7A87E026" w14:textId="77777777" w:rsidR="00937B81" w:rsidRPr="00494699" w:rsidRDefault="00937B81" w:rsidP="005D673A">
            <w:pPr>
              <w:pStyle w:val="Tabulasgalvenesrinda"/>
              <w:rPr>
                <w:highlight w:val="yellow"/>
              </w:rPr>
            </w:pPr>
            <w:r w:rsidRPr="00494699">
              <w:t>2026</w:t>
            </w:r>
          </w:p>
        </w:tc>
      </w:tr>
      <w:tr w:rsidR="0034370C" w:rsidRPr="00494699" w14:paraId="60DC88E5" w14:textId="77777777" w:rsidTr="00BB23B3">
        <w:trPr>
          <w:cantSplit/>
          <w:trHeight w:hRule="exact" w:val="454"/>
          <w:jc w:val="center"/>
        </w:trPr>
        <w:tc>
          <w:tcPr>
            <w:tcW w:w="3618" w:type="pct"/>
            <w:vAlign w:val="center"/>
          </w:tcPr>
          <w:p w14:paraId="59AC46FE" w14:textId="77777777" w:rsidR="00937B81" w:rsidRPr="00494699" w:rsidRDefault="00937B81" w:rsidP="002A7324">
            <w:pPr>
              <w:pStyle w:val="Tabulasteksts"/>
              <w:spacing w:after="0"/>
              <w:ind w:left="0"/>
              <w:rPr>
                <w:i/>
                <w:szCs w:val="18"/>
              </w:rPr>
            </w:pPr>
            <w:r w:rsidRPr="00494699">
              <w:rPr>
                <w:szCs w:val="18"/>
              </w:rPr>
              <w:t>Saskaņā ar likumu “Par valsts budžetu 2024. gadam un budžeta ietvaru 2024., 2025. un 2026. gadam”, milj.</w:t>
            </w:r>
            <w:r w:rsidRPr="00494699">
              <w:rPr>
                <w:i/>
                <w:szCs w:val="18"/>
              </w:rPr>
              <w:t> euro</w:t>
            </w:r>
          </w:p>
        </w:tc>
        <w:tc>
          <w:tcPr>
            <w:tcW w:w="345" w:type="pct"/>
            <w:vAlign w:val="center"/>
          </w:tcPr>
          <w:p w14:paraId="412C6C1E" w14:textId="77777777" w:rsidR="00937B81" w:rsidRPr="00494699" w:rsidRDefault="00937B81" w:rsidP="00BB23B3">
            <w:pPr>
              <w:pStyle w:val="Tabulascipari"/>
              <w:keepNext/>
              <w:keepLines/>
              <w:spacing w:after="0"/>
              <w:ind w:left="0"/>
              <w:jc w:val="center"/>
              <w:rPr>
                <w:szCs w:val="18"/>
              </w:rPr>
            </w:pPr>
            <w:r w:rsidRPr="00494699">
              <w:rPr>
                <w:szCs w:val="18"/>
              </w:rPr>
              <w:t>61,2</w:t>
            </w:r>
            <w:r w:rsidRPr="00494699">
              <w:rPr>
                <w:szCs w:val="18"/>
                <w:vertAlign w:val="superscript"/>
              </w:rPr>
              <w:t>1</w:t>
            </w:r>
          </w:p>
        </w:tc>
        <w:tc>
          <w:tcPr>
            <w:tcW w:w="347" w:type="pct"/>
            <w:vAlign w:val="center"/>
          </w:tcPr>
          <w:p w14:paraId="603C9FAD" w14:textId="77777777" w:rsidR="00937B81" w:rsidRPr="00494699" w:rsidRDefault="00937B81" w:rsidP="00BB23B3">
            <w:pPr>
              <w:pStyle w:val="Tabulascipari"/>
              <w:keepNext/>
              <w:keepLines/>
              <w:spacing w:after="0"/>
              <w:ind w:left="0"/>
              <w:jc w:val="center"/>
              <w:rPr>
                <w:szCs w:val="18"/>
              </w:rPr>
            </w:pPr>
            <w:r w:rsidRPr="00494699">
              <w:rPr>
                <w:szCs w:val="18"/>
              </w:rPr>
              <w:t>68,4</w:t>
            </w:r>
          </w:p>
        </w:tc>
        <w:tc>
          <w:tcPr>
            <w:tcW w:w="348" w:type="pct"/>
            <w:vAlign w:val="center"/>
          </w:tcPr>
          <w:p w14:paraId="10C69574" w14:textId="77777777" w:rsidR="00937B81" w:rsidRPr="00494699" w:rsidRDefault="00937B81" w:rsidP="00BB23B3">
            <w:pPr>
              <w:pStyle w:val="Tabulascipari"/>
              <w:keepNext/>
              <w:keepLines/>
              <w:spacing w:after="0"/>
              <w:ind w:left="0"/>
              <w:jc w:val="center"/>
              <w:rPr>
                <w:szCs w:val="18"/>
              </w:rPr>
            </w:pPr>
            <w:r w:rsidRPr="00494699">
              <w:rPr>
                <w:szCs w:val="18"/>
              </w:rPr>
              <w:t>71,9</w:t>
            </w:r>
          </w:p>
        </w:tc>
        <w:tc>
          <w:tcPr>
            <w:tcW w:w="342" w:type="pct"/>
            <w:vAlign w:val="center"/>
          </w:tcPr>
          <w:p w14:paraId="2D60424E" w14:textId="77777777" w:rsidR="00937B81" w:rsidRPr="00494699" w:rsidRDefault="00937B81" w:rsidP="00BB23B3">
            <w:pPr>
              <w:pStyle w:val="Tabulascipari"/>
              <w:keepNext/>
              <w:keepLines/>
              <w:spacing w:after="0"/>
              <w:ind w:left="0"/>
              <w:jc w:val="center"/>
              <w:rPr>
                <w:szCs w:val="18"/>
              </w:rPr>
            </w:pPr>
            <w:r w:rsidRPr="00494699">
              <w:rPr>
                <w:szCs w:val="18"/>
              </w:rPr>
              <w:t>76,5</w:t>
            </w:r>
          </w:p>
        </w:tc>
      </w:tr>
      <w:tr w:rsidR="0034370C" w:rsidRPr="00494699" w14:paraId="1E3CCA60" w14:textId="77777777" w:rsidTr="0034370C">
        <w:trPr>
          <w:cantSplit/>
          <w:trHeight w:hRule="exact" w:val="227"/>
          <w:jc w:val="center"/>
        </w:trPr>
        <w:tc>
          <w:tcPr>
            <w:tcW w:w="3618" w:type="pct"/>
            <w:vAlign w:val="center"/>
          </w:tcPr>
          <w:p w14:paraId="077C9BE0" w14:textId="77777777" w:rsidR="00937B81" w:rsidRPr="00494699" w:rsidRDefault="00937B81" w:rsidP="00634C12">
            <w:pPr>
              <w:pStyle w:val="Tabulasteksts"/>
              <w:spacing w:after="0"/>
              <w:ind w:left="391"/>
              <w:rPr>
                <w:i/>
                <w:iCs/>
                <w:szCs w:val="18"/>
              </w:rPr>
            </w:pPr>
            <w:r w:rsidRPr="00494699">
              <w:rPr>
                <w:i/>
                <w:iCs/>
                <w:szCs w:val="18"/>
              </w:rPr>
              <w:t>pret IKP, %</w:t>
            </w:r>
          </w:p>
        </w:tc>
        <w:tc>
          <w:tcPr>
            <w:tcW w:w="345" w:type="pct"/>
            <w:tcBorders>
              <w:top w:val="single" w:sz="4" w:space="0" w:color="auto"/>
              <w:left w:val="single" w:sz="4" w:space="0" w:color="auto"/>
              <w:bottom w:val="single" w:sz="4" w:space="0" w:color="auto"/>
              <w:right w:val="single" w:sz="4" w:space="0" w:color="auto"/>
            </w:tcBorders>
            <w:shd w:val="clear" w:color="auto" w:fill="auto"/>
          </w:tcPr>
          <w:p w14:paraId="52749C51" w14:textId="77777777" w:rsidR="00937B81" w:rsidRPr="00494699" w:rsidRDefault="00937B81" w:rsidP="00634C12">
            <w:pPr>
              <w:pStyle w:val="Tabulascipari"/>
              <w:keepNext/>
              <w:keepLines/>
              <w:spacing w:after="0"/>
              <w:ind w:left="0"/>
              <w:rPr>
                <w:i/>
                <w:iCs/>
                <w:color w:val="000000"/>
                <w:szCs w:val="18"/>
              </w:rPr>
            </w:pPr>
            <w:r w:rsidRPr="00494699">
              <w:rPr>
                <w:i/>
                <w:iCs/>
                <w:color w:val="000000"/>
                <w:szCs w:val="18"/>
              </w:rPr>
              <w:t>0,14</w:t>
            </w:r>
          </w:p>
        </w:tc>
        <w:tc>
          <w:tcPr>
            <w:tcW w:w="347" w:type="pct"/>
            <w:tcBorders>
              <w:top w:val="single" w:sz="4" w:space="0" w:color="auto"/>
              <w:left w:val="nil"/>
              <w:bottom w:val="single" w:sz="4" w:space="0" w:color="auto"/>
              <w:right w:val="single" w:sz="4" w:space="0" w:color="auto"/>
            </w:tcBorders>
            <w:shd w:val="clear" w:color="auto" w:fill="auto"/>
          </w:tcPr>
          <w:p w14:paraId="5E9DB540" w14:textId="77777777" w:rsidR="00937B81" w:rsidRPr="00494699" w:rsidRDefault="00937B81" w:rsidP="00634C12">
            <w:pPr>
              <w:pStyle w:val="Tabulascipari"/>
              <w:keepNext/>
              <w:keepLines/>
              <w:spacing w:after="0"/>
              <w:ind w:left="0"/>
              <w:rPr>
                <w:i/>
                <w:iCs/>
                <w:color w:val="000000"/>
                <w:szCs w:val="18"/>
              </w:rPr>
            </w:pPr>
            <w:r w:rsidRPr="00494699">
              <w:rPr>
                <w:i/>
                <w:iCs/>
                <w:color w:val="000000"/>
                <w:szCs w:val="18"/>
              </w:rPr>
              <w:t>0,15</w:t>
            </w:r>
          </w:p>
        </w:tc>
        <w:tc>
          <w:tcPr>
            <w:tcW w:w="348" w:type="pct"/>
            <w:tcBorders>
              <w:top w:val="single" w:sz="4" w:space="0" w:color="auto"/>
              <w:left w:val="nil"/>
              <w:bottom w:val="single" w:sz="4" w:space="0" w:color="auto"/>
              <w:right w:val="single" w:sz="4" w:space="0" w:color="auto"/>
            </w:tcBorders>
            <w:shd w:val="clear" w:color="auto" w:fill="auto"/>
          </w:tcPr>
          <w:p w14:paraId="633F52AE" w14:textId="77777777" w:rsidR="00937B81" w:rsidRPr="00494699" w:rsidRDefault="00937B81" w:rsidP="00634C12">
            <w:pPr>
              <w:pStyle w:val="Tabulascipari"/>
              <w:keepNext/>
              <w:keepLines/>
              <w:spacing w:after="0"/>
              <w:ind w:left="0"/>
              <w:rPr>
                <w:i/>
                <w:iCs/>
                <w:color w:val="000000"/>
                <w:szCs w:val="18"/>
              </w:rPr>
            </w:pPr>
            <w:r w:rsidRPr="00494699">
              <w:rPr>
                <w:i/>
                <w:iCs/>
                <w:color w:val="000000"/>
                <w:szCs w:val="18"/>
              </w:rPr>
              <w:t>0,15</w:t>
            </w:r>
          </w:p>
        </w:tc>
        <w:tc>
          <w:tcPr>
            <w:tcW w:w="342" w:type="pct"/>
            <w:tcBorders>
              <w:top w:val="single" w:sz="4" w:space="0" w:color="auto"/>
              <w:left w:val="nil"/>
              <w:bottom w:val="single" w:sz="4" w:space="0" w:color="auto"/>
              <w:right w:val="single" w:sz="4" w:space="0" w:color="auto"/>
            </w:tcBorders>
            <w:shd w:val="clear" w:color="auto" w:fill="auto"/>
          </w:tcPr>
          <w:p w14:paraId="0F53D5C6" w14:textId="77777777" w:rsidR="00937B81" w:rsidRPr="00494699" w:rsidRDefault="00937B81" w:rsidP="00634C12">
            <w:pPr>
              <w:pStyle w:val="Tabulascipari"/>
              <w:keepNext/>
              <w:keepLines/>
              <w:spacing w:after="0"/>
              <w:ind w:left="0"/>
              <w:rPr>
                <w:i/>
                <w:iCs/>
                <w:color w:val="000000"/>
                <w:szCs w:val="18"/>
              </w:rPr>
            </w:pPr>
            <w:r w:rsidRPr="00494699">
              <w:rPr>
                <w:i/>
                <w:iCs/>
                <w:color w:val="000000"/>
                <w:szCs w:val="18"/>
              </w:rPr>
              <w:t>0,15</w:t>
            </w:r>
          </w:p>
        </w:tc>
      </w:tr>
      <w:tr w:rsidR="0034370C" w:rsidRPr="00494699" w14:paraId="43E626F2" w14:textId="77777777" w:rsidTr="0034370C">
        <w:trPr>
          <w:cantSplit/>
          <w:trHeight w:hRule="exact" w:val="454"/>
          <w:jc w:val="center"/>
        </w:trPr>
        <w:tc>
          <w:tcPr>
            <w:tcW w:w="3618" w:type="pct"/>
            <w:vAlign w:val="center"/>
          </w:tcPr>
          <w:p w14:paraId="1D2C7641" w14:textId="054E872F" w:rsidR="00937B81" w:rsidRPr="00494699" w:rsidRDefault="00494699" w:rsidP="00634C12">
            <w:pPr>
              <w:pStyle w:val="Tabulasteksts"/>
              <w:spacing w:after="0"/>
              <w:ind w:left="0"/>
              <w:rPr>
                <w:szCs w:val="18"/>
              </w:rPr>
            </w:pPr>
            <w:r w:rsidRPr="00494699">
              <w:rPr>
                <w:szCs w:val="18"/>
              </w:rPr>
              <w:t>S</w:t>
            </w:r>
            <w:r w:rsidR="00937B81" w:rsidRPr="00494699">
              <w:rPr>
                <w:szCs w:val="18"/>
              </w:rPr>
              <w:t>alīdzinājumā ar likumu “Par valsts budžetu 2023. gadam un budžeta ietvaru 2023., 2024. un 2025. gadam”, milj. </w:t>
            </w:r>
            <w:r w:rsidR="00937B81" w:rsidRPr="00272F14">
              <w:rPr>
                <w:i/>
                <w:iCs/>
                <w:szCs w:val="18"/>
              </w:rPr>
              <w:t>euro</w:t>
            </w:r>
          </w:p>
        </w:tc>
        <w:tc>
          <w:tcPr>
            <w:tcW w:w="345" w:type="pct"/>
          </w:tcPr>
          <w:p w14:paraId="4DC169FD" w14:textId="77777777" w:rsidR="00937B81" w:rsidRPr="00494699" w:rsidRDefault="00937B81" w:rsidP="00634C12">
            <w:pPr>
              <w:pStyle w:val="Tabulascipari"/>
              <w:keepNext/>
              <w:keepLines/>
              <w:spacing w:after="0"/>
              <w:ind w:left="0"/>
              <w:rPr>
                <w:i/>
                <w:iCs/>
                <w:szCs w:val="18"/>
              </w:rPr>
            </w:pPr>
            <w:r w:rsidRPr="00494699">
              <w:rPr>
                <w:i/>
                <w:iCs/>
                <w:szCs w:val="18"/>
              </w:rPr>
              <w:t>-24,6</w:t>
            </w:r>
          </w:p>
        </w:tc>
        <w:tc>
          <w:tcPr>
            <w:tcW w:w="347" w:type="pct"/>
          </w:tcPr>
          <w:p w14:paraId="100BE89A" w14:textId="77777777" w:rsidR="00937B81" w:rsidRPr="00494699" w:rsidRDefault="00937B81" w:rsidP="00634C12">
            <w:pPr>
              <w:pStyle w:val="Tabulascipari"/>
              <w:keepNext/>
              <w:keepLines/>
              <w:spacing w:after="0"/>
              <w:ind w:left="0"/>
              <w:rPr>
                <w:i/>
                <w:iCs/>
                <w:szCs w:val="18"/>
              </w:rPr>
            </w:pPr>
            <w:r w:rsidRPr="00494699">
              <w:rPr>
                <w:i/>
                <w:iCs/>
                <w:szCs w:val="18"/>
              </w:rPr>
              <w:t>-20,9</w:t>
            </w:r>
          </w:p>
        </w:tc>
        <w:tc>
          <w:tcPr>
            <w:tcW w:w="348" w:type="pct"/>
          </w:tcPr>
          <w:p w14:paraId="33E71FAE" w14:textId="77777777" w:rsidR="00937B81" w:rsidRPr="00494699" w:rsidRDefault="00937B81" w:rsidP="00634C12">
            <w:pPr>
              <w:pStyle w:val="Tabulascipari"/>
              <w:keepNext/>
              <w:keepLines/>
              <w:spacing w:after="0"/>
              <w:ind w:left="0"/>
              <w:rPr>
                <w:i/>
                <w:iCs/>
                <w:szCs w:val="18"/>
              </w:rPr>
            </w:pPr>
            <w:r w:rsidRPr="00494699">
              <w:rPr>
                <w:i/>
                <w:iCs/>
                <w:szCs w:val="18"/>
              </w:rPr>
              <w:t>-24,4</w:t>
            </w:r>
          </w:p>
        </w:tc>
        <w:tc>
          <w:tcPr>
            <w:tcW w:w="342" w:type="pct"/>
          </w:tcPr>
          <w:p w14:paraId="44B737D8" w14:textId="77777777" w:rsidR="00937B81" w:rsidRPr="00494699" w:rsidRDefault="00937B81" w:rsidP="00634C12">
            <w:pPr>
              <w:pStyle w:val="Tabulascipari"/>
              <w:keepNext/>
              <w:keepLines/>
              <w:spacing w:after="0"/>
              <w:ind w:left="0"/>
              <w:rPr>
                <w:i/>
                <w:iCs/>
                <w:szCs w:val="18"/>
              </w:rPr>
            </w:pPr>
            <w:r w:rsidRPr="00494699">
              <w:rPr>
                <w:i/>
                <w:iCs/>
                <w:szCs w:val="18"/>
              </w:rPr>
              <w:t>—</w:t>
            </w:r>
          </w:p>
        </w:tc>
      </w:tr>
      <w:tr w:rsidR="0034370C" w:rsidRPr="00494699" w14:paraId="1EA9617A" w14:textId="77777777" w:rsidTr="0034370C">
        <w:trPr>
          <w:cantSplit/>
          <w:trHeight w:hRule="exact" w:val="454"/>
          <w:jc w:val="center"/>
        </w:trPr>
        <w:tc>
          <w:tcPr>
            <w:tcW w:w="3618" w:type="pct"/>
            <w:vAlign w:val="center"/>
          </w:tcPr>
          <w:p w14:paraId="6F70E4B5" w14:textId="3B034CD9" w:rsidR="00937B81" w:rsidRPr="00494699" w:rsidRDefault="00494699" w:rsidP="00634C12">
            <w:pPr>
              <w:pStyle w:val="Tabulasteksts"/>
              <w:spacing w:after="0"/>
              <w:ind w:left="0"/>
              <w:rPr>
                <w:szCs w:val="18"/>
              </w:rPr>
            </w:pPr>
            <w:r w:rsidRPr="00494699">
              <w:rPr>
                <w:szCs w:val="18"/>
              </w:rPr>
              <w:t>S</w:t>
            </w:r>
            <w:r w:rsidR="00937B81" w:rsidRPr="00494699">
              <w:rPr>
                <w:szCs w:val="18"/>
              </w:rPr>
              <w:t>alīdzinājumā ar likumu “Par valsts budžetu 2023. gadam un budžeta ietvaru 2023., 2024. un 2025. gadam”, %</w:t>
            </w:r>
          </w:p>
        </w:tc>
        <w:tc>
          <w:tcPr>
            <w:tcW w:w="345" w:type="pct"/>
          </w:tcPr>
          <w:p w14:paraId="5902E8F1" w14:textId="77777777" w:rsidR="00937B81" w:rsidRPr="00494699" w:rsidRDefault="00937B81" w:rsidP="00634C12">
            <w:pPr>
              <w:pStyle w:val="Tabulascipari"/>
              <w:keepNext/>
              <w:keepLines/>
              <w:spacing w:after="0"/>
              <w:ind w:left="0"/>
              <w:rPr>
                <w:i/>
                <w:iCs/>
                <w:szCs w:val="18"/>
              </w:rPr>
            </w:pPr>
            <w:r w:rsidRPr="00494699">
              <w:rPr>
                <w:i/>
                <w:iCs/>
                <w:szCs w:val="18"/>
              </w:rPr>
              <w:t>-28,7</w:t>
            </w:r>
          </w:p>
        </w:tc>
        <w:tc>
          <w:tcPr>
            <w:tcW w:w="347" w:type="pct"/>
          </w:tcPr>
          <w:p w14:paraId="5FAF42AF" w14:textId="77777777" w:rsidR="00937B81" w:rsidRPr="00494699" w:rsidRDefault="00937B81" w:rsidP="00634C12">
            <w:pPr>
              <w:pStyle w:val="Tabulascipari"/>
              <w:keepNext/>
              <w:keepLines/>
              <w:spacing w:after="0"/>
              <w:ind w:left="0"/>
              <w:rPr>
                <w:i/>
                <w:iCs/>
                <w:szCs w:val="18"/>
              </w:rPr>
            </w:pPr>
            <w:r w:rsidRPr="00494699">
              <w:rPr>
                <w:i/>
                <w:iCs/>
                <w:szCs w:val="18"/>
              </w:rPr>
              <w:t>-23,4</w:t>
            </w:r>
          </w:p>
        </w:tc>
        <w:tc>
          <w:tcPr>
            <w:tcW w:w="348" w:type="pct"/>
          </w:tcPr>
          <w:p w14:paraId="619E2B4F" w14:textId="77777777" w:rsidR="00937B81" w:rsidRPr="00494699" w:rsidRDefault="00937B81" w:rsidP="00634C12">
            <w:pPr>
              <w:pStyle w:val="Tabulascipari"/>
              <w:keepNext/>
              <w:keepLines/>
              <w:spacing w:after="0"/>
              <w:ind w:left="0"/>
              <w:rPr>
                <w:i/>
                <w:iCs/>
                <w:szCs w:val="18"/>
              </w:rPr>
            </w:pPr>
            <w:r w:rsidRPr="00494699">
              <w:rPr>
                <w:i/>
                <w:iCs/>
                <w:szCs w:val="18"/>
              </w:rPr>
              <w:t>-25,3</w:t>
            </w:r>
          </w:p>
        </w:tc>
        <w:tc>
          <w:tcPr>
            <w:tcW w:w="342" w:type="pct"/>
          </w:tcPr>
          <w:p w14:paraId="0BF05995" w14:textId="77777777" w:rsidR="00937B81" w:rsidRPr="00494699" w:rsidRDefault="00937B81" w:rsidP="00634C12">
            <w:pPr>
              <w:pStyle w:val="Tabulascipari"/>
              <w:keepNext/>
              <w:keepLines/>
              <w:spacing w:after="0"/>
              <w:ind w:left="0"/>
              <w:rPr>
                <w:i/>
                <w:iCs/>
                <w:szCs w:val="18"/>
              </w:rPr>
            </w:pPr>
            <w:r w:rsidRPr="00494699">
              <w:rPr>
                <w:i/>
                <w:iCs/>
                <w:szCs w:val="18"/>
              </w:rPr>
              <w:t>—</w:t>
            </w:r>
          </w:p>
        </w:tc>
      </w:tr>
    </w:tbl>
    <w:p w14:paraId="630D4F93" w14:textId="77777777" w:rsidR="00937B81" w:rsidRPr="00494699" w:rsidRDefault="00937B81" w:rsidP="00937B81">
      <w:pPr>
        <w:pStyle w:val="Piezme"/>
      </w:pPr>
      <w:r w:rsidRPr="00494699">
        <w:rPr>
          <w:vertAlign w:val="superscript"/>
        </w:rPr>
        <w:t>1</w:t>
      </w:r>
      <w:r w:rsidRPr="00494699">
        <w:t> Prognoze</w:t>
      </w:r>
    </w:p>
    <w:p w14:paraId="204C7CB2" w14:textId="23AA107B" w:rsidR="006C567F" w:rsidRPr="00634C12" w:rsidRDefault="006C567F" w:rsidP="00DB14A4">
      <w:pPr>
        <w:pStyle w:val="H3"/>
      </w:pPr>
      <w:r w:rsidRPr="00634C12">
        <w:t>3.2.3. Pārējie nodokļi</w:t>
      </w:r>
      <w:bookmarkEnd w:id="102"/>
    </w:p>
    <w:p w14:paraId="1F4B7F5D" w14:textId="77777777" w:rsidR="00494699" w:rsidRPr="00AB29B8" w:rsidRDefault="00494699" w:rsidP="00494699">
      <w:pPr>
        <w:rPr>
          <w:rFonts w:eastAsia="Calibri" w:cs="Times New Roman"/>
          <w:szCs w:val="24"/>
        </w:rPr>
      </w:pPr>
      <w:r w:rsidRPr="00AB29B8">
        <w:rPr>
          <w:rFonts w:eastAsia="Calibri" w:cs="Times New Roman"/>
          <w:szCs w:val="24"/>
        </w:rPr>
        <w:t>2023</w:t>
      </w:r>
      <w:r>
        <w:rPr>
          <w:rFonts w:eastAsia="Calibri" w:cs="Times New Roman"/>
          <w:szCs w:val="24"/>
        </w:rPr>
        <w:t>. g</w:t>
      </w:r>
      <w:r w:rsidRPr="00AB29B8">
        <w:rPr>
          <w:rFonts w:eastAsia="Calibri" w:cs="Times New Roman"/>
          <w:szCs w:val="24"/>
        </w:rPr>
        <w:t>ada 1. pusgadā pārējo nodokļu ieņēmumi bija 58,1</w:t>
      </w:r>
      <w:r>
        <w:rPr>
          <w:rFonts w:eastAsia="Calibri" w:cs="Times New Roman"/>
          <w:szCs w:val="24"/>
        </w:rPr>
        <w:t> milj.</w:t>
      </w:r>
      <w:r w:rsidRPr="00AB29B8">
        <w:rPr>
          <w:rFonts w:eastAsia="Calibri" w:cs="Times New Roman"/>
          <w:szCs w:val="24"/>
        </w:rPr>
        <w:t> </w:t>
      </w:r>
      <w:proofErr w:type="spellStart"/>
      <w:r w:rsidRPr="00770C40">
        <w:rPr>
          <w:rFonts w:eastAsia="Calibri" w:cs="Times New Roman"/>
          <w:i/>
          <w:iCs/>
          <w:szCs w:val="24"/>
        </w:rPr>
        <w:t>euro</w:t>
      </w:r>
      <w:proofErr w:type="spellEnd"/>
      <w:r w:rsidRPr="00AB29B8">
        <w:rPr>
          <w:rFonts w:eastAsia="Calibri" w:cs="Times New Roman"/>
          <w:szCs w:val="24"/>
        </w:rPr>
        <w:t>, kas salīdzinot ar plānu, ir par 4,9</w:t>
      </w:r>
      <w:r>
        <w:rPr>
          <w:rFonts w:eastAsia="Calibri" w:cs="Times New Roman"/>
          <w:szCs w:val="24"/>
        </w:rPr>
        <w:t> milj.</w:t>
      </w:r>
      <w:r w:rsidRPr="00AB29B8">
        <w:rPr>
          <w:rFonts w:eastAsia="Calibri" w:cs="Times New Roman"/>
          <w:szCs w:val="24"/>
        </w:rPr>
        <w:t> </w:t>
      </w:r>
      <w:proofErr w:type="spellStart"/>
      <w:r w:rsidRPr="00770C40">
        <w:rPr>
          <w:rFonts w:eastAsia="Calibri" w:cs="Times New Roman"/>
          <w:i/>
          <w:iCs/>
          <w:szCs w:val="24"/>
        </w:rPr>
        <w:t>euro</w:t>
      </w:r>
      <w:proofErr w:type="spellEnd"/>
      <w:r w:rsidRPr="00AB29B8">
        <w:rPr>
          <w:rFonts w:eastAsia="Calibri" w:cs="Times New Roman"/>
          <w:szCs w:val="24"/>
        </w:rPr>
        <w:t xml:space="preserve"> jeb 9,3 % vairāk, kur lielākā </w:t>
      </w:r>
      <w:proofErr w:type="spellStart"/>
      <w:r w:rsidRPr="00AB29B8">
        <w:rPr>
          <w:rFonts w:eastAsia="Calibri" w:cs="Times New Roman"/>
          <w:szCs w:val="24"/>
        </w:rPr>
        <w:t>pārpilde</w:t>
      </w:r>
      <w:proofErr w:type="spellEnd"/>
      <w:r w:rsidRPr="00AB29B8">
        <w:rPr>
          <w:rFonts w:eastAsia="Calibri" w:cs="Times New Roman"/>
          <w:szCs w:val="24"/>
        </w:rPr>
        <w:t xml:space="preserve"> bija izložu un azartspēļu nodokļa ieņēmumiem. Salīdzinot ar 2022</w:t>
      </w:r>
      <w:r>
        <w:rPr>
          <w:rFonts w:eastAsia="Calibri" w:cs="Times New Roman"/>
          <w:szCs w:val="24"/>
        </w:rPr>
        <w:t>. g</w:t>
      </w:r>
      <w:r w:rsidRPr="00AB29B8">
        <w:rPr>
          <w:rFonts w:eastAsia="Calibri" w:cs="Times New Roman"/>
          <w:szCs w:val="24"/>
        </w:rPr>
        <w:t>ada attiecīgo periodu, pārējo nodokļu ieņēmumi tika iekasēti par 13,8</w:t>
      </w:r>
      <w:r>
        <w:rPr>
          <w:rFonts w:eastAsia="Calibri" w:cs="Times New Roman"/>
          <w:szCs w:val="24"/>
        </w:rPr>
        <w:t> milj.</w:t>
      </w:r>
      <w:r w:rsidRPr="00AB29B8">
        <w:rPr>
          <w:rFonts w:eastAsia="Calibri" w:cs="Times New Roman"/>
          <w:szCs w:val="24"/>
        </w:rPr>
        <w:t> </w:t>
      </w:r>
      <w:proofErr w:type="spellStart"/>
      <w:r w:rsidRPr="00770C40">
        <w:rPr>
          <w:rFonts w:eastAsia="Calibri" w:cs="Times New Roman"/>
          <w:i/>
          <w:iCs/>
          <w:szCs w:val="24"/>
        </w:rPr>
        <w:t>euro</w:t>
      </w:r>
      <w:proofErr w:type="spellEnd"/>
      <w:r w:rsidRPr="00AB29B8">
        <w:rPr>
          <w:rFonts w:eastAsia="Calibri" w:cs="Times New Roman"/>
          <w:szCs w:val="24"/>
        </w:rPr>
        <w:t xml:space="preserve"> jeb 31,1 % vairāk. </w:t>
      </w:r>
    </w:p>
    <w:p w14:paraId="2E61D4F3" w14:textId="77777777" w:rsidR="00494699" w:rsidRPr="00AB29B8" w:rsidRDefault="00494699" w:rsidP="00494699">
      <w:pPr>
        <w:rPr>
          <w:rFonts w:eastAsia="Calibri" w:cs="Times New Roman"/>
          <w:szCs w:val="24"/>
        </w:rPr>
      </w:pPr>
      <w:r w:rsidRPr="00AB29B8">
        <w:rPr>
          <w:rFonts w:eastAsia="Calibri" w:cs="Times New Roman"/>
          <w:szCs w:val="24"/>
        </w:rPr>
        <w:t>Saskaņā ar likumprojektu “Par valsts budžetu 2024</w:t>
      </w:r>
      <w:r>
        <w:rPr>
          <w:rFonts w:eastAsia="Calibri" w:cs="Times New Roman"/>
          <w:szCs w:val="24"/>
        </w:rPr>
        <w:t>. g</w:t>
      </w:r>
      <w:r w:rsidRPr="00AB29B8">
        <w:rPr>
          <w:rFonts w:eastAsia="Calibri" w:cs="Times New Roman"/>
          <w:szCs w:val="24"/>
        </w:rPr>
        <w:t>adam un budžeta ietvaru 2024., 2025. un 2026</w:t>
      </w:r>
      <w:r>
        <w:rPr>
          <w:rFonts w:eastAsia="Calibri" w:cs="Times New Roman"/>
          <w:szCs w:val="24"/>
        </w:rPr>
        <w:t>. g</w:t>
      </w:r>
      <w:r w:rsidRPr="00AB29B8">
        <w:rPr>
          <w:rFonts w:eastAsia="Calibri" w:cs="Times New Roman"/>
          <w:szCs w:val="24"/>
        </w:rPr>
        <w:t>adam” tiek plānots, ka 2024</w:t>
      </w:r>
      <w:r>
        <w:rPr>
          <w:rFonts w:eastAsia="Calibri" w:cs="Times New Roman"/>
          <w:szCs w:val="24"/>
        </w:rPr>
        <w:t>. g</w:t>
      </w:r>
      <w:r w:rsidRPr="00AB29B8">
        <w:rPr>
          <w:rFonts w:eastAsia="Calibri" w:cs="Times New Roman"/>
          <w:szCs w:val="24"/>
        </w:rPr>
        <w:t>adā pārējo nodokļu ieņēmumi veidos 0,9 % no visiem kopbudžeta nodokļiem, kas ir tā pat kā 2023</w:t>
      </w:r>
      <w:r>
        <w:rPr>
          <w:rFonts w:eastAsia="Calibri" w:cs="Times New Roman"/>
          <w:szCs w:val="24"/>
        </w:rPr>
        <w:t>. g</w:t>
      </w:r>
      <w:r w:rsidRPr="00AB29B8">
        <w:rPr>
          <w:rFonts w:eastAsia="Calibri" w:cs="Times New Roman"/>
          <w:szCs w:val="24"/>
        </w:rPr>
        <w:t>adā.</w:t>
      </w:r>
      <w:r>
        <w:rPr>
          <w:rFonts w:eastAsia="Calibri" w:cs="Times New Roman"/>
          <w:szCs w:val="24"/>
        </w:rPr>
        <w:t xml:space="preserve"> </w:t>
      </w:r>
      <w:r w:rsidRPr="00AB29B8">
        <w:rPr>
          <w:rFonts w:eastAsia="Calibri" w:cs="Times New Roman"/>
          <w:szCs w:val="24"/>
        </w:rPr>
        <w:t>2024</w:t>
      </w:r>
      <w:r>
        <w:rPr>
          <w:rFonts w:eastAsia="Calibri" w:cs="Times New Roman"/>
          <w:szCs w:val="24"/>
        </w:rPr>
        <w:t>. g</w:t>
      </w:r>
      <w:r w:rsidRPr="00AB29B8">
        <w:rPr>
          <w:rFonts w:eastAsia="Calibri" w:cs="Times New Roman"/>
          <w:szCs w:val="24"/>
        </w:rPr>
        <w:t>adā pārējo nodokļu ieņēmumu īpatsvars IKP tiek plānots 0,3 %, kas ir 2023</w:t>
      </w:r>
      <w:r>
        <w:rPr>
          <w:rFonts w:eastAsia="Calibri" w:cs="Times New Roman"/>
          <w:szCs w:val="24"/>
        </w:rPr>
        <w:t>. g</w:t>
      </w:r>
      <w:r w:rsidRPr="00AB29B8">
        <w:rPr>
          <w:rFonts w:eastAsia="Calibri" w:cs="Times New Roman"/>
          <w:szCs w:val="24"/>
        </w:rPr>
        <w:t>ada apmērā.</w:t>
      </w:r>
    </w:p>
    <w:p w14:paraId="7A3330A9" w14:textId="77777777" w:rsidR="00494699" w:rsidRPr="00AB29B8" w:rsidRDefault="00494699" w:rsidP="00494699">
      <w:pPr>
        <w:rPr>
          <w:rFonts w:eastAsia="Calibri" w:cs="Times New Roman"/>
          <w:szCs w:val="24"/>
        </w:rPr>
      </w:pPr>
      <w:r w:rsidRPr="00AB29B8">
        <w:rPr>
          <w:rFonts w:eastAsia="Calibri" w:cs="Times New Roman"/>
          <w:szCs w:val="24"/>
        </w:rPr>
        <w:t>Saskaņā ar likumprojektu “Par valsts budžetu 2024</w:t>
      </w:r>
      <w:r>
        <w:rPr>
          <w:rFonts w:eastAsia="Calibri" w:cs="Times New Roman"/>
          <w:szCs w:val="24"/>
        </w:rPr>
        <w:t>. g</w:t>
      </w:r>
      <w:r w:rsidRPr="00AB29B8">
        <w:rPr>
          <w:rFonts w:eastAsia="Calibri" w:cs="Times New Roman"/>
          <w:szCs w:val="24"/>
        </w:rPr>
        <w:t>adam un budžeta ietvaru 2024., 2025. un 2026</w:t>
      </w:r>
      <w:r>
        <w:rPr>
          <w:rFonts w:eastAsia="Calibri" w:cs="Times New Roman"/>
          <w:szCs w:val="24"/>
        </w:rPr>
        <w:t>. g</w:t>
      </w:r>
      <w:r w:rsidRPr="00AB29B8">
        <w:rPr>
          <w:rFonts w:eastAsia="Calibri" w:cs="Times New Roman"/>
          <w:szCs w:val="24"/>
        </w:rPr>
        <w:t>adam” 2024</w:t>
      </w:r>
      <w:r>
        <w:rPr>
          <w:rFonts w:eastAsia="Calibri" w:cs="Times New Roman"/>
          <w:szCs w:val="24"/>
        </w:rPr>
        <w:t>. g</w:t>
      </w:r>
      <w:r w:rsidRPr="00AB29B8">
        <w:rPr>
          <w:rFonts w:eastAsia="Calibri" w:cs="Times New Roman"/>
          <w:szCs w:val="24"/>
        </w:rPr>
        <w:t>adā pārējo nodokļu ieņēmumi tiek plānoti 128,8</w:t>
      </w:r>
      <w:r>
        <w:rPr>
          <w:rFonts w:eastAsia="Calibri" w:cs="Times New Roman"/>
          <w:szCs w:val="24"/>
        </w:rPr>
        <w:t> milj.</w:t>
      </w:r>
      <w:r w:rsidRPr="00AB29B8">
        <w:rPr>
          <w:rFonts w:eastAsia="Calibri" w:cs="Times New Roman"/>
          <w:szCs w:val="24"/>
        </w:rPr>
        <w:t> </w:t>
      </w:r>
      <w:proofErr w:type="spellStart"/>
      <w:r w:rsidRPr="00770C40">
        <w:rPr>
          <w:rFonts w:eastAsia="Calibri" w:cs="Times New Roman"/>
          <w:i/>
          <w:iCs/>
          <w:szCs w:val="24"/>
        </w:rPr>
        <w:t>euro</w:t>
      </w:r>
      <w:proofErr w:type="spellEnd"/>
      <w:r w:rsidRPr="00AB29B8">
        <w:rPr>
          <w:rFonts w:eastAsia="Calibri" w:cs="Times New Roman"/>
          <w:szCs w:val="24"/>
        </w:rPr>
        <w:t>, 2025</w:t>
      </w:r>
      <w:r>
        <w:rPr>
          <w:rFonts w:eastAsia="Calibri" w:cs="Times New Roman"/>
          <w:szCs w:val="24"/>
        </w:rPr>
        <w:t>. g</w:t>
      </w:r>
      <w:r w:rsidRPr="00AB29B8">
        <w:rPr>
          <w:rFonts w:eastAsia="Calibri" w:cs="Times New Roman"/>
          <w:szCs w:val="24"/>
        </w:rPr>
        <w:t>adā 144,7</w:t>
      </w:r>
      <w:r>
        <w:rPr>
          <w:rFonts w:eastAsia="Calibri" w:cs="Times New Roman"/>
          <w:szCs w:val="24"/>
        </w:rPr>
        <w:t> milj.</w:t>
      </w:r>
      <w:r w:rsidRPr="00AB29B8">
        <w:rPr>
          <w:rFonts w:eastAsia="Calibri" w:cs="Times New Roman"/>
          <w:szCs w:val="24"/>
        </w:rPr>
        <w:t> </w:t>
      </w:r>
      <w:proofErr w:type="spellStart"/>
      <w:r w:rsidRPr="00770C40">
        <w:rPr>
          <w:rFonts w:eastAsia="Calibri" w:cs="Times New Roman"/>
          <w:i/>
          <w:iCs/>
          <w:szCs w:val="24"/>
        </w:rPr>
        <w:t>euro</w:t>
      </w:r>
      <w:proofErr w:type="spellEnd"/>
      <w:r w:rsidRPr="00AB29B8">
        <w:rPr>
          <w:rFonts w:eastAsia="Calibri" w:cs="Times New Roman"/>
          <w:szCs w:val="24"/>
        </w:rPr>
        <w:t xml:space="preserve"> un 2026</w:t>
      </w:r>
      <w:r>
        <w:rPr>
          <w:rFonts w:eastAsia="Calibri" w:cs="Times New Roman"/>
          <w:szCs w:val="24"/>
        </w:rPr>
        <w:t>. g</w:t>
      </w:r>
      <w:r w:rsidRPr="00AB29B8">
        <w:rPr>
          <w:rFonts w:eastAsia="Calibri" w:cs="Times New Roman"/>
          <w:szCs w:val="24"/>
        </w:rPr>
        <w:t>adā 158,5</w:t>
      </w:r>
      <w:r>
        <w:rPr>
          <w:rFonts w:eastAsia="Calibri" w:cs="Times New Roman"/>
          <w:szCs w:val="24"/>
        </w:rPr>
        <w:t> milj.</w:t>
      </w:r>
      <w:r w:rsidRPr="00AB29B8">
        <w:rPr>
          <w:rFonts w:eastAsia="Calibri" w:cs="Times New Roman"/>
          <w:szCs w:val="24"/>
        </w:rPr>
        <w:t> </w:t>
      </w:r>
      <w:proofErr w:type="spellStart"/>
      <w:r w:rsidRPr="00770C40">
        <w:rPr>
          <w:rFonts w:eastAsia="Calibri" w:cs="Times New Roman"/>
          <w:i/>
          <w:iCs/>
          <w:szCs w:val="24"/>
        </w:rPr>
        <w:t>euro</w:t>
      </w:r>
      <w:proofErr w:type="spellEnd"/>
      <w:r w:rsidRPr="00AB29B8">
        <w:rPr>
          <w:rFonts w:eastAsia="Calibri" w:cs="Times New Roman"/>
          <w:szCs w:val="24"/>
        </w:rPr>
        <w:t xml:space="preserve"> apmērā (skat. 3.1</w:t>
      </w:r>
      <w:r>
        <w:rPr>
          <w:rFonts w:eastAsia="Calibri" w:cs="Times New Roman"/>
          <w:szCs w:val="24"/>
        </w:rPr>
        <w:t>7</w:t>
      </w:r>
      <w:r w:rsidRPr="00AB29B8">
        <w:rPr>
          <w:rFonts w:eastAsia="Calibri" w:cs="Times New Roman"/>
          <w:szCs w:val="24"/>
        </w:rPr>
        <w:t>. tabulu).</w:t>
      </w:r>
    </w:p>
    <w:p w14:paraId="18DEC10D" w14:textId="77777777" w:rsidR="00494699" w:rsidRPr="004A3BF6" w:rsidRDefault="00494699" w:rsidP="00494699">
      <w:pPr>
        <w:pStyle w:val="Tabulasnosaukums"/>
      </w:pPr>
      <w:r w:rsidRPr="004A3BF6">
        <w:t>3.1</w:t>
      </w:r>
      <w:r>
        <w:t>7</w:t>
      </w:r>
      <w:r w:rsidRPr="004A3BF6">
        <w:t>. tabula. Pārējo nodokļu ieņēmumi,</w:t>
      </w:r>
      <w:r>
        <w:t> milj.</w:t>
      </w:r>
      <w:r w:rsidRPr="004A3BF6">
        <w:t> </w:t>
      </w:r>
      <w:proofErr w:type="spellStart"/>
      <w:r w:rsidRPr="00770C40">
        <w:t>euro</w:t>
      </w:r>
      <w:proofErr w:type="spellEnd"/>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92"/>
        <w:gridCol w:w="684"/>
        <w:gridCol w:w="656"/>
        <w:gridCol w:w="656"/>
        <w:gridCol w:w="668"/>
      </w:tblGrid>
      <w:tr w:rsidR="0034370C" w:rsidRPr="00494699" w14:paraId="12A22FD8" w14:textId="77777777" w:rsidTr="0034370C">
        <w:trPr>
          <w:cantSplit/>
          <w:trHeight w:hRule="exact" w:val="227"/>
          <w:jc w:val="center"/>
        </w:trPr>
        <w:tc>
          <w:tcPr>
            <w:tcW w:w="3513" w:type="pct"/>
            <w:shd w:val="clear" w:color="auto" w:fill="9CC2E5" w:themeFill="accent1" w:themeFillTint="99"/>
            <w:vAlign w:val="center"/>
          </w:tcPr>
          <w:p w14:paraId="34A0DABA" w14:textId="77777777" w:rsidR="00494699" w:rsidRPr="00494699" w:rsidRDefault="00494699" w:rsidP="005D673A">
            <w:pPr>
              <w:pStyle w:val="Tabulasgalvenesrinda"/>
              <w:rPr>
                <w:highlight w:val="yellow"/>
              </w:rPr>
            </w:pPr>
          </w:p>
        </w:tc>
        <w:tc>
          <w:tcPr>
            <w:tcW w:w="382" w:type="pct"/>
            <w:shd w:val="clear" w:color="auto" w:fill="9CC2E5" w:themeFill="accent1" w:themeFillTint="99"/>
            <w:vAlign w:val="center"/>
          </w:tcPr>
          <w:p w14:paraId="19F3E498" w14:textId="77777777" w:rsidR="00494699" w:rsidRPr="00494699" w:rsidRDefault="00494699" w:rsidP="005D673A">
            <w:pPr>
              <w:pStyle w:val="Tabulasgalvenesrinda"/>
              <w:rPr>
                <w:highlight w:val="yellow"/>
              </w:rPr>
            </w:pPr>
            <w:r w:rsidRPr="00494699">
              <w:t>2023</w:t>
            </w:r>
          </w:p>
        </w:tc>
        <w:tc>
          <w:tcPr>
            <w:tcW w:w="366" w:type="pct"/>
            <w:shd w:val="clear" w:color="auto" w:fill="9CC2E5" w:themeFill="accent1" w:themeFillTint="99"/>
            <w:vAlign w:val="center"/>
          </w:tcPr>
          <w:p w14:paraId="3C955896" w14:textId="77777777" w:rsidR="00494699" w:rsidRPr="00494699" w:rsidRDefault="00494699" w:rsidP="005D673A">
            <w:pPr>
              <w:pStyle w:val="Tabulasgalvenesrinda"/>
              <w:rPr>
                <w:highlight w:val="yellow"/>
              </w:rPr>
            </w:pPr>
            <w:r w:rsidRPr="00494699">
              <w:t>2024</w:t>
            </w:r>
          </w:p>
        </w:tc>
        <w:tc>
          <w:tcPr>
            <w:tcW w:w="366" w:type="pct"/>
            <w:shd w:val="clear" w:color="auto" w:fill="9CC2E5" w:themeFill="accent1" w:themeFillTint="99"/>
            <w:vAlign w:val="center"/>
          </w:tcPr>
          <w:p w14:paraId="48744344" w14:textId="77777777" w:rsidR="00494699" w:rsidRPr="00494699" w:rsidRDefault="00494699" w:rsidP="005D673A">
            <w:pPr>
              <w:pStyle w:val="Tabulasgalvenesrinda"/>
              <w:rPr>
                <w:highlight w:val="yellow"/>
              </w:rPr>
            </w:pPr>
            <w:r w:rsidRPr="00494699">
              <w:t>2025</w:t>
            </w:r>
          </w:p>
        </w:tc>
        <w:tc>
          <w:tcPr>
            <w:tcW w:w="373" w:type="pct"/>
            <w:shd w:val="clear" w:color="auto" w:fill="9CC2E5" w:themeFill="accent1" w:themeFillTint="99"/>
            <w:vAlign w:val="center"/>
          </w:tcPr>
          <w:p w14:paraId="2F455A33" w14:textId="77777777" w:rsidR="00494699" w:rsidRPr="00494699" w:rsidRDefault="00494699" w:rsidP="005D673A">
            <w:pPr>
              <w:pStyle w:val="Tabulasgalvenesrinda"/>
              <w:rPr>
                <w:highlight w:val="yellow"/>
              </w:rPr>
            </w:pPr>
            <w:r w:rsidRPr="00494699">
              <w:t>2026</w:t>
            </w:r>
          </w:p>
        </w:tc>
      </w:tr>
      <w:tr w:rsidR="0034370C" w:rsidRPr="00494699" w14:paraId="76D380D2" w14:textId="77777777" w:rsidTr="00BB23B3">
        <w:trPr>
          <w:cantSplit/>
          <w:trHeight w:hRule="exact" w:val="454"/>
          <w:jc w:val="center"/>
        </w:trPr>
        <w:tc>
          <w:tcPr>
            <w:tcW w:w="3513" w:type="pct"/>
            <w:vAlign w:val="center"/>
          </w:tcPr>
          <w:p w14:paraId="731238B9" w14:textId="77777777" w:rsidR="00494699" w:rsidRPr="00494699" w:rsidRDefault="00494699" w:rsidP="002A7324">
            <w:pPr>
              <w:pStyle w:val="Tabulasteksts"/>
              <w:spacing w:after="0"/>
              <w:ind w:left="0"/>
              <w:rPr>
                <w:i/>
                <w:szCs w:val="18"/>
              </w:rPr>
            </w:pPr>
            <w:r w:rsidRPr="00494699">
              <w:rPr>
                <w:szCs w:val="18"/>
              </w:rPr>
              <w:t>Saskaņā ar likumprojektu “Par valsts budžetu 2024. gadam un budžeta ietvaru 2024., 2025. un 2026. gadam”, milj.</w:t>
            </w:r>
            <w:r w:rsidRPr="00494699">
              <w:rPr>
                <w:i/>
                <w:szCs w:val="18"/>
              </w:rPr>
              <w:t> euro</w:t>
            </w:r>
          </w:p>
        </w:tc>
        <w:tc>
          <w:tcPr>
            <w:tcW w:w="382" w:type="pct"/>
            <w:vAlign w:val="center"/>
          </w:tcPr>
          <w:p w14:paraId="1D170772" w14:textId="77777777" w:rsidR="00494699" w:rsidRPr="00494699" w:rsidRDefault="00494699" w:rsidP="00BB23B3">
            <w:pPr>
              <w:pStyle w:val="Tabulascipari"/>
              <w:keepNext/>
              <w:keepLines/>
              <w:spacing w:after="0"/>
              <w:ind w:left="0"/>
              <w:jc w:val="center"/>
              <w:rPr>
                <w:szCs w:val="18"/>
                <w:vertAlign w:val="superscript"/>
              </w:rPr>
            </w:pPr>
            <w:r w:rsidRPr="00494699">
              <w:rPr>
                <w:szCs w:val="18"/>
              </w:rPr>
              <w:t>114,7</w:t>
            </w:r>
            <w:r w:rsidRPr="00494699">
              <w:rPr>
                <w:szCs w:val="18"/>
                <w:vertAlign w:val="superscript"/>
              </w:rPr>
              <w:t>1</w:t>
            </w:r>
          </w:p>
        </w:tc>
        <w:tc>
          <w:tcPr>
            <w:tcW w:w="366" w:type="pct"/>
            <w:vAlign w:val="center"/>
          </w:tcPr>
          <w:p w14:paraId="17856C2B" w14:textId="77777777" w:rsidR="00494699" w:rsidRPr="00494699" w:rsidRDefault="00494699" w:rsidP="00BB23B3">
            <w:pPr>
              <w:pStyle w:val="Tabulascipari"/>
              <w:keepNext/>
              <w:keepLines/>
              <w:spacing w:after="0"/>
              <w:ind w:left="0"/>
              <w:jc w:val="center"/>
              <w:rPr>
                <w:szCs w:val="18"/>
              </w:rPr>
            </w:pPr>
            <w:r w:rsidRPr="00494699">
              <w:rPr>
                <w:szCs w:val="18"/>
              </w:rPr>
              <w:t>128,8</w:t>
            </w:r>
          </w:p>
        </w:tc>
        <w:tc>
          <w:tcPr>
            <w:tcW w:w="366" w:type="pct"/>
            <w:vAlign w:val="center"/>
          </w:tcPr>
          <w:p w14:paraId="74937998" w14:textId="77777777" w:rsidR="00494699" w:rsidRPr="00494699" w:rsidRDefault="00494699" w:rsidP="00BB23B3">
            <w:pPr>
              <w:pStyle w:val="Tabulascipari"/>
              <w:keepNext/>
              <w:keepLines/>
              <w:spacing w:after="0"/>
              <w:ind w:left="0"/>
              <w:jc w:val="center"/>
              <w:rPr>
                <w:szCs w:val="18"/>
              </w:rPr>
            </w:pPr>
            <w:r w:rsidRPr="00494699">
              <w:rPr>
                <w:szCs w:val="18"/>
              </w:rPr>
              <w:t>144,7</w:t>
            </w:r>
          </w:p>
        </w:tc>
        <w:tc>
          <w:tcPr>
            <w:tcW w:w="373" w:type="pct"/>
            <w:vAlign w:val="center"/>
          </w:tcPr>
          <w:p w14:paraId="58ACC377" w14:textId="77777777" w:rsidR="00494699" w:rsidRPr="00494699" w:rsidRDefault="00494699" w:rsidP="00BB23B3">
            <w:pPr>
              <w:pStyle w:val="Tabulascipari"/>
              <w:keepNext/>
              <w:keepLines/>
              <w:spacing w:after="0"/>
              <w:ind w:left="0"/>
              <w:jc w:val="center"/>
              <w:rPr>
                <w:szCs w:val="18"/>
              </w:rPr>
            </w:pPr>
            <w:r w:rsidRPr="00494699">
              <w:rPr>
                <w:szCs w:val="18"/>
              </w:rPr>
              <w:t>158,5</w:t>
            </w:r>
          </w:p>
        </w:tc>
      </w:tr>
      <w:tr w:rsidR="0034370C" w:rsidRPr="00494699" w14:paraId="7B173530" w14:textId="77777777" w:rsidTr="0034370C">
        <w:trPr>
          <w:cantSplit/>
          <w:trHeight w:hRule="exact" w:val="227"/>
          <w:jc w:val="center"/>
        </w:trPr>
        <w:tc>
          <w:tcPr>
            <w:tcW w:w="3513" w:type="pct"/>
            <w:vAlign w:val="center"/>
          </w:tcPr>
          <w:p w14:paraId="2B01FB44" w14:textId="77777777" w:rsidR="00494699" w:rsidRPr="00494699" w:rsidRDefault="00494699" w:rsidP="00634C12">
            <w:pPr>
              <w:pStyle w:val="Tabulasteksts"/>
              <w:spacing w:after="0"/>
              <w:ind w:left="391"/>
              <w:rPr>
                <w:i/>
                <w:iCs/>
                <w:szCs w:val="18"/>
              </w:rPr>
            </w:pPr>
            <w:r w:rsidRPr="00494699">
              <w:rPr>
                <w:i/>
                <w:iCs/>
                <w:szCs w:val="18"/>
              </w:rPr>
              <w:t>pret IKP, %</w:t>
            </w:r>
          </w:p>
        </w:tc>
        <w:tc>
          <w:tcPr>
            <w:tcW w:w="382" w:type="pct"/>
            <w:tcBorders>
              <w:top w:val="single" w:sz="4" w:space="0" w:color="auto"/>
              <w:left w:val="single" w:sz="4" w:space="0" w:color="auto"/>
              <w:bottom w:val="single" w:sz="4" w:space="0" w:color="auto"/>
              <w:right w:val="single" w:sz="4" w:space="0" w:color="auto"/>
            </w:tcBorders>
            <w:shd w:val="clear" w:color="auto" w:fill="auto"/>
          </w:tcPr>
          <w:p w14:paraId="061126AA" w14:textId="77777777" w:rsidR="00494699" w:rsidRPr="00494699" w:rsidRDefault="00494699" w:rsidP="0034370C">
            <w:pPr>
              <w:pStyle w:val="Tabulascipari"/>
              <w:keepNext/>
              <w:keepLines/>
              <w:spacing w:after="0"/>
              <w:ind w:left="0"/>
              <w:rPr>
                <w:i/>
                <w:iCs/>
                <w:color w:val="000000"/>
                <w:szCs w:val="18"/>
              </w:rPr>
            </w:pPr>
            <w:r w:rsidRPr="00494699">
              <w:rPr>
                <w:i/>
                <w:iCs/>
                <w:szCs w:val="18"/>
              </w:rPr>
              <w:t>0,3</w:t>
            </w:r>
          </w:p>
        </w:tc>
        <w:tc>
          <w:tcPr>
            <w:tcW w:w="366" w:type="pct"/>
            <w:tcBorders>
              <w:top w:val="single" w:sz="4" w:space="0" w:color="auto"/>
              <w:left w:val="nil"/>
              <w:bottom w:val="single" w:sz="4" w:space="0" w:color="auto"/>
              <w:right w:val="single" w:sz="4" w:space="0" w:color="auto"/>
            </w:tcBorders>
            <w:shd w:val="clear" w:color="auto" w:fill="auto"/>
          </w:tcPr>
          <w:p w14:paraId="5B04FBC2" w14:textId="77777777" w:rsidR="00494699" w:rsidRPr="00494699" w:rsidRDefault="00494699" w:rsidP="0034370C">
            <w:pPr>
              <w:pStyle w:val="Tabulascipari"/>
              <w:keepNext/>
              <w:keepLines/>
              <w:spacing w:after="0"/>
              <w:ind w:left="0"/>
              <w:rPr>
                <w:i/>
                <w:iCs/>
                <w:color w:val="000000"/>
                <w:szCs w:val="18"/>
              </w:rPr>
            </w:pPr>
            <w:r w:rsidRPr="00494699">
              <w:rPr>
                <w:i/>
                <w:iCs/>
                <w:szCs w:val="18"/>
              </w:rPr>
              <w:t>0,3</w:t>
            </w:r>
          </w:p>
        </w:tc>
        <w:tc>
          <w:tcPr>
            <w:tcW w:w="366" w:type="pct"/>
            <w:tcBorders>
              <w:top w:val="single" w:sz="4" w:space="0" w:color="auto"/>
              <w:left w:val="nil"/>
              <w:bottom w:val="single" w:sz="4" w:space="0" w:color="auto"/>
              <w:right w:val="single" w:sz="4" w:space="0" w:color="auto"/>
            </w:tcBorders>
            <w:shd w:val="clear" w:color="auto" w:fill="auto"/>
          </w:tcPr>
          <w:p w14:paraId="693B1D90" w14:textId="77777777" w:rsidR="00494699" w:rsidRPr="00494699" w:rsidRDefault="00494699" w:rsidP="0034370C">
            <w:pPr>
              <w:pStyle w:val="Tabulascipari"/>
              <w:keepNext/>
              <w:keepLines/>
              <w:spacing w:after="0"/>
              <w:ind w:left="0"/>
              <w:rPr>
                <w:i/>
                <w:iCs/>
                <w:color w:val="000000"/>
                <w:szCs w:val="18"/>
              </w:rPr>
            </w:pPr>
            <w:r w:rsidRPr="00494699">
              <w:rPr>
                <w:i/>
                <w:iCs/>
                <w:szCs w:val="18"/>
              </w:rPr>
              <w:t>0,3</w:t>
            </w:r>
          </w:p>
        </w:tc>
        <w:tc>
          <w:tcPr>
            <w:tcW w:w="373" w:type="pct"/>
            <w:tcBorders>
              <w:top w:val="single" w:sz="4" w:space="0" w:color="auto"/>
              <w:left w:val="nil"/>
              <w:bottom w:val="single" w:sz="4" w:space="0" w:color="auto"/>
              <w:right w:val="single" w:sz="4" w:space="0" w:color="auto"/>
            </w:tcBorders>
            <w:shd w:val="clear" w:color="auto" w:fill="auto"/>
          </w:tcPr>
          <w:p w14:paraId="1BEA0038" w14:textId="77777777" w:rsidR="00494699" w:rsidRPr="00494699" w:rsidRDefault="00494699" w:rsidP="0034370C">
            <w:pPr>
              <w:pStyle w:val="Tabulascipari"/>
              <w:keepNext/>
              <w:keepLines/>
              <w:spacing w:after="0"/>
              <w:ind w:left="0"/>
              <w:rPr>
                <w:i/>
                <w:iCs/>
                <w:color w:val="000000"/>
                <w:szCs w:val="18"/>
              </w:rPr>
            </w:pPr>
            <w:r w:rsidRPr="00494699">
              <w:rPr>
                <w:i/>
                <w:iCs/>
                <w:szCs w:val="18"/>
              </w:rPr>
              <w:t>0,3</w:t>
            </w:r>
          </w:p>
        </w:tc>
      </w:tr>
      <w:tr w:rsidR="0034370C" w:rsidRPr="00494699" w14:paraId="3190E70A" w14:textId="77777777" w:rsidTr="0034370C">
        <w:trPr>
          <w:cantSplit/>
          <w:trHeight w:hRule="exact" w:val="454"/>
          <w:jc w:val="center"/>
        </w:trPr>
        <w:tc>
          <w:tcPr>
            <w:tcW w:w="3513" w:type="pct"/>
            <w:vAlign w:val="center"/>
          </w:tcPr>
          <w:p w14:paraId="44607244" w14:textId="0A43B2A9" w:rsidR="00494699" w:rsidRPr="00494699" w:rsidRDefault="00494699" w:rsidP="00634C12">
            <w:pPr>
              <w:pStyle w:val="Tabulasteksts"/>
              <w:spacing w:after="0"/>
              <w:ind w:left="0"/>
              <w:rPr>
                <w:szCs w:val="18"/>
              </w:rPr>
            </w:pPr>
            <w:r w:rsidRPr="00494699">
              <w:rPr>
                <w:szCs w:val="18"/>
              </w:rPr>
              <w:t>Salīdzinājumā ar likumu “Par valsts budžetu 2023. gadam un budžeta ietvaru 2023., 2024. un 2025. gadam”, milj. </w:t>
            </w:r>
            <w:r w:rsidRPr="00272F14">
              <w:rPr>
                <w:i/>
                <w:iCs/>
                <w:szCs w:val="18"/>
              </w:rPr>
              <w:t>euro</w:t>
            </w:r>
          </w:p>
        </w:tc>
        <w:tc>
          <w:tcPr>
            <w:tcW w:w="382" w:type="pct"/>
          </w:tcPr>
          <w:p w14:paraId="430C700C" w14:textId="77777777" w:rsidR="00494699" w:rsidRPr="00494699" w:rsidRDefault="00494699" w:rsidP="0034370C">
            <w:pPr>
              <w:pStyle w:val="Tabulascipari"/>
              <w:keepNext/>
              <w:keepLines/>
              <w:spacing w:after="0"/>
              <w:ind w:left="0"/>
              <w:rPr>
                <w:i/>
                <w:iCs/>
                <w:szCs w:val="18"/>
              </w:rPr>
            </w:pPr>
            <w:r w:rsidRPr="00494699">
              <w:rPr>
                <w:i/>
                <w:iCs/>
                <w:szCs w:val="18"/>
              </w:rPr>
              <w:t>+6,6</w:t>
            </w:r>
          </w:p>
        </w:tc>
        <w:tc>
          <w:tcPr>
            <w:tcW w:w="366" w:type="pct"/>
          </w:tcPr>
          <w:p w14:paraId="4F3351ED" w14:textId="77777777" w:rsidR="00494699" w:rsidRPr="00494699" w:rsidRDefault="00494699" w:rsidP="0034370C">
            <w:pPr>
              <w:pStyle w:val="Tabulascipari"/>
              <w:keepNext/>
              <w:keepLines/>
              <w:spacing w:after="0"/>
              <w:ind w:left="0"/>
              <w:rPr>
                <w:i/>
                <w:iCs/>
                <w:szCs w:val="18"/>
              </w:rPr>
            </w:pPr>
            <w:r w:rsidRPr="00494699">
              <w:rPr>
                <w:i/>
                <w:iCs/>
                <w:szCs w:val="18"/>
              </w:rPr>
              <w:t>+16,9</w:t>
            </w:r>
          </w:p>
        </w:tc>
        <w:tc>
          <w:tcPr>
            <w:tcW w:w="366" w:type="pct"/>
          </w:tcPr>
          <w:p w14:paraId="7EDADB91" w14:textId="77777777" w:rsidR="00494699" w:rsidRPr="00494699" w:rsidRDefault="00494699" w:rsidP="0034370C">
            <w:pPr>
              <w:pStyle w:val="Tabulascipari"/>
              <w:keepNext/>
              <w:keepLines/>
              <w:spacing w:after="0"/>
              <w:ind w:left="0"/>
              <w:rPr>
                <w:i/>
                <w:iCs/>
                <w:szCs w:val="18"/>
              </w:rPr>
            </w:pPr>
            <w:r w:rsidRPr="00494699">
              <w:rPr>
                <w:i/>
                <w:iCs/>
                <w:szCs w:val="18"/>
              </w:rPr>
              <w:t>+28,7</w:t>
            </w:r>
          </w:p>
        </w:tc>
        <w:tc>
          <w:tcPr>
            <w:tcW w:w="373" w:type="pct"/>
          </w:tcPr>
          <w:p w14:paraId="2D264E27" w14:textId="77777777" w:rsidR="00494699" w:rsidRPr="00494699" w:rsidRDefault="00494699" w:rsidP="0034370C">
            <w:pPr>
              <w:pStyle w:val="Tabulascipari"/>
              <w:keepNext/>
              <w:keepLines/>
              <w:spacing w:after="0"/>
              <w:ind w:left="0"/>
              <w:rPr>
                <w:i/>
                <w:iCs/>
                <w:szCs w:val="18"/>
              </w:rPr>
            </w:pPr>
            <w:r w:rsidRPr="00494699">
              <w:rPr>
                <w:i/>
                <w:iCs/>
                <w:szCs w:val="18"/>
              </w:rPr>
              <w:t>—</w:t>
            </w:r>
          </w:p>
        </w:tc>
      </w:tr>
      <w:tr w:rsidR="0034370C" w:rsidRPr="00494699" w14:paraId="0EDE2C7C" w14:textId="77777777" w:rsidTr="0034370C">
        <w:trPr>
          <w:cantSplit/>
          <w:trHeight w:hRule="exact" w:val="454"/>
          <w:jc w:val="center"/>
        </w:trPr>
        <w:tc>
          <w:tcPr>
            <w:tcW w:w="3513" w:type="pct"/>
            <w:vAlign w:val="center"/>
          </w:tcPr>
          <w:p w14:paraId="1EFC3F4E" w14:textId="75BADDF0" w:rsidR="00494699" w:rsidRPr="00494699" w:rsidRDefault="00494699" w:rsidP="00634C12">
            <w:pPr>
              <w:pStyle w:val="Tabulasteksts"/>
              <w:spacing w:after="0"/>
              <w:ind w:left="0"/>
              <w:rPr>
                <w:szCs w:val="18"/>
              </w:rPr>
            </w:pPr>
            <w:r w:rsidRPr="00494699">
              <w:rPr>
                <w:szCs w:val="18"/>
              </w:rPr>
              <w:t>Salīdzinājumā ar likumu “Par valsts budžetu 2023. gadam un budžeta ietvaru 2023., 2024. un 2025. gadam”, %</w:t>
            </w:r>
          </w:p>
        </w:tc>
        <w:tc>
          <w:tcPr>
            <w:tcW w:w="382" w:type="pct"/>
          </w:tcPr>
          <w:p w14:paraId="4E15508D" w14:textId="77777777" w:rsidR="00494699" w:rsidRPr="00494699" w:rsidRDefault="00494699" w:rsidP="0034370C">
            <w:pPr>
              <w:pStyle w:val="Tabulascipari"/>
              <w:keepNext/>
              <w:keepLines/>
              <w:spacing w:after="0"/>
              <w:ind w:left="0"/>
              <w:rPr>
                <w:i/>
                <w:iCs/>
                <w:szCs w:val="18"/>
              </w:rPr>
            </w:pPr>
            <w:r w:rsidRPr="00494699">
              <w:rPr>
                <w:i/>
                <w:iCs/>
                <w:szCs w:val="18"/>
              </w:rPr>
              <w:t>+6,1</w:t>
            </w:r>
          </w:p>
        </w:tc>
        <w:tc>
          <w:tcPr>
            <w:tcW w:w="366" w:type="pct"/>
          </w:tcPr>
          <w:p w14:paraId="22C01A6D" w14:textId="77777777" w:rsidR="00494699" w:rsidRPr="00494699" w:rsidRDefault="00494699" w:rsidP="0034370C">
            <w:pPr>
              <w:pStyle w:val="Tabulascipari"/>
              <w:keepNext/>
              <w:keepLines/>
              <w:spacing w:after="0"/>
              <w:ind w:left="0"/>
              <w:rPr>
                <w:i/>
                <w:iCs/>
                <w:szCs w:val="18"/>
              </w:rPr>
            </w:pPr>
            <w:r w:rsidRPr="00494699">
              <w:rPr>
                <w:i/>
                <w:iCs/>
                <w:szCs w:val="18"/>
              </w:rPr>
              <w:t>+15,1</w:t>
            </w:r>
          </w:p>
        </w:tc>
        <w:tc>
          <w:tcPr>
            <w:tcW w:w="366" w:type="pct"/>
          </w:tcPr>
          <w:p w14:paraId="3EC27BF9" w14:textId="77777777" w:rsidR="00494699" w:rsidRPr="00494699" w:rsidRDefault="00494699" w:rsidP="0034370C">
            <w:pPr>
              <w:pStyle w:val="Tabulascipari"/>
              <w:keepNext/>
              <w:keepLines/>
              <w:spacing w:after="0"/>
              <w:ind w:left="0"/>
              <w:rPr>
                <w:i/>
                <w:iCs/>
                <w:szCs w:val="18"/>
              </w:rPr>
            </w:pPr>
            <w:r w:rsidRPr="00494699">
              <w:rPr>
                <w:i/>
                <w:iCs/>
                <w:szCs w:val="18"/>
              </w:rPr>
              <w:t>+24,8</w:t>
            </w:r>
          </w:p>
        </w:tc>
        <w:tc>
          <w:tcPr>
            <w:tcW w:w="373" w:type="pct"/>
          </w:tcPr>
          <w:p w14:paraId="461AD806" w14:textId="77777777" w:rsidR="00494699" w:rsidRPr="00494699" w:rsidRDefault="00494699" w:rsidP="0034370C">
            <w:pPr>
              <w:pStyle w:val="Tabulascipari"/>
              <w:keepNext/>
              <w:keepLines/>
              <w:spacing w:after="0"/>
              <w:ind w:left="0"/>
              <w:rPr>
                <w:i/>
                <w:iCs/>
                <w:szCs w:val="18"/>
              </w:rPr>
            </w:pPr>
            <w:r w:rsidRPr="00494699">
              <w:rPr>
                <w:i/>
                <w:iCs/>
                <w:szCs w:val="18"/>
              </w:rPr>
              <w:t>—</w:t>
            </w:r>
          </w:p>
        </w:tc>
      </w:tr>
    </w:tbl>
    <w:p w14:paraId="7C5D3D67" w14:textId="77777777" w:rsidR="00494699" w:rsidRPr="00494699" w:rsidRDefault="00494699" w:rsidP="00494699">
      <w:pPr>
        <w:pStyle w:val="Piezme"/>
      </w:pPr>
      <w:r w:rsidRPr="00494699">
        <w:rPr>
          <w:vertAlign w:val="superscript"/>
        </w:rPr>
        <w:t>1</w:t>
      </w:r>
      <w:r w:rsidRPr="00494699">
        <w:t> Prognoze</w:t>
      </w:r>
    </w:p>
    <w:p w14:paraId="4E035F08" w14:textId="77777777" w:rsidR="007D32EB" w:rsidRPr="0034370C" w:rsidRDefault="007D32EB" w:rsidP="007D32EB">
      <w:pPr>
        <w:keepNext/>
        <w:keepLines/>
        <w:spacing w:before="240" w:after="240"/>
        <w:ind w:firstLine="0"/>
        <w:jc w:val="center"/>
        <w:outlineLvl w:val="3"/>
        <w:rPr>
          <w:rFonts w:eastAsia="Times New Roman" w:cs="Times New Roman"/>
          <w:b/>
          <w:sz w:val="28"/>
          <w:lang w:eastAsia="en-US"/>
        </w:rPr>
      </w:pPr>
      <w:r w:rsidRPr="0034370C">
        <w:rPr>
          <w:rFonts w:eastAsia="Times New Roman" w:cs="Times New Roman"/>
          <w:b/>
          <w:sz w:val="28"/>
          <w:lang w:eastAsia="en-US"/>
        </w:rPr>
        <w:t>Dabas resursu nodoklis</w:t>
      </w:r>
    </w:p>
    <w:p w14:paraId="129A6085" w14:textId="77777777" w:rsidR="00494699" w:rsidRPr="008B4A04" w:rsidRDefault="00494699" w:rsidP="00494699">
      <w:pPr>
        <w:rPr>
          <w:rFonts w:eastAsia="Calibri" w:cs="Times New Roman"/>
          <w:szCs w:val="24"/>
        </w:rPr>
      </w:pPr>
      <w:bookmarkStart w:id="103" w:name="_Toc84756430"/>
      <w:r w:rsidRPr="008B4A04">
        <w:rPr>
          <w:rFonts w:eastAsia="Calibri" w:cs="Times New Roman"/>
          <w:szCs w:val="24"/>
        </w:rPr>
        <w:t xml:space="preserve">Dabas resursu nodokļa maksājumi ir saistīti ar nodokļu maksātāju ekonomiskajām aktivitātēm un to izraisīto vides noslodzi, kā arī veiktajiem vides aizsardzības pasākumiem. Nodokļa mērķis ir veicināt dabas resursu ekonomiski efektīvu izmantošanu, ierobežot vides piesārņošanu, samazināt vidi piesārņojošas produkcijas ražošanu un realizāciju, veicināt jaunu, vidi saudzējošu tehnoloģiju ieviešanu, atbalstīt tautsaimniecības ilgtspējīgu attīstību, kā arī finansiāli nodrošināt vides aizsardzības pasākumus. </w:t>
      </w:r>
    </w:p>
    <w:p w14:paraId="4775841D" w14:textId="77777777" w:rsidR="00494699" w:rsidRPr="008B4A04" w:rsidRDefault="00494699" w:rsidP="00494699">
      <w:pPr>
        <w:rPr>
          <w:rFonts w:eastAsia="Calibri" w:cs="Times New Roman"/>
          <w:szCs w:val="24"/>
        </w:rPr>
      </w:pPr>
      <w:r w:rsidRPr="008B4A04">
        <w:rPr>
          <w:rFonts w:eastAsia="Calibri" w:cs="Times New Roman"/>
          <w:szCs w:val="24"/>
        </w:rPr>
        <w:t>Dabas resursu nodokļa ieņēmumi 2023</w:t>
      </w:r>
      <w:r>
        <w:rPr>
          <w:rFonts w:eastAsia="Calibri" w:cs="Times New Roman"/>
          <w:szCs w:val="24"/>
        </w:rPr>
        <w:t>. g</w:t>
      </w:r>
      <w:r w:rsidRPr="008B4A04">
        <w:rPr>
          <w:rFonts w:eastAsia="Calibri" w:cs="Times New Roman"/>
          <w:szCs w:val="24"/>
        </w:rPr>
        <w:t>ada sešos mēnešos bija 31,1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ir par 5,1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19,6</w:t>
      </w:r>
      <w:r>
        <w:rPr>
          <w:rFonts w:eastAsia="Calibri" w:cs="Times New Roman"/>
          <w:szCs w:val="24"/>
        </w:rPr>
        <w:t> %</w:t>
      </w:r>
      <w:r w:rsidRPr="008B4A04">
        <w:rPr>
          <w:rFonts w:eastAsia="Calibri" w:cs="Times New Roman"/>
          <w:szCs w:val="24"/>
        </w:rPr>
        <w:t xml:space="preserve"> vairāk nekā pērnā gada attiecīgajā periodā. Kopējie dabas resursu nodokļa ieņēmumi palielinājušies galvenokārt par vides piesārņošanu, atkritumu apglabāšanu un ūdens resursu izmantošanu elektroenerģijas ražošanai. 2023</w:t>
      </w:r>
      <w:r>
        <w:rPr>
          <w:rFonts w:eastAsia="Calibri" w:cs="Times New Roman"/>
          <w:szCs w:val="24"/>
        </w:rPr>
        <w:t>. g</w:t>
      </w:r>
      <w:r w:rsidRPr="008B4A04">
        <w:rPr>
          <w:rFonts w:eastAsia="Calibri" w:cs="Times New Roman"/>
          <w:szCs w:val="24"/>
        </w:rPr>
        <w:t>ada sešos mēnešos dabas resursu nodokļa ieņēmumi bija par 2,1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7,4</w:t>
      </w:r>
      <w:r>
        <w:rPr>
          <w:rFonts w:eastAsia="Calibri" w:cs="Times New Roman"/>
          <w:szCs w:val="24"/>
        </w:rPr>
        <w:t> %</w:t>
      </w:r>
      <w:r w:rsidRPr="008B4A04">
        <w:rPr>
          <w:rFonts w:eastAsia="Calibri" w:cs="Times New Roman"/>
          <w:szCs w:val="24"/>
        </w:rPr>
        <w:t xml:space="preserve"> vairāk nekā plānots.</w:t>
      </w:r>
    </w:p>
    <w:p w14:paraId="025A366A" w14:textId="77777777" w:rsidR="00494699" w:rsidRPr="008B4A04" w:rsidRDefault="00494699" w:rsidP="00494699">
      <w:pPr>
        <w:rPr>
          <w:rFonts w:eastAsia="Calibri" w:cs="Times New Roman"/>
          <w:szCs w:val="24"/>
        </w:rPr>
      </w:pPr>
      <w:r w:rsidRPr="008B4A04">
        <w:rPr>
          <w:rFonts w:eastAsia="Calibri" w:cs="Times New Roman"/>
          <w:szCs w:val="24"/>
        </w:rPr>
        <w:t>Saskaņā ar likumu “Par valsts budžetu 2024</w:t>
      </w:r>
      <w:r>
        <w:rPr>
          <w:rFonts w:eastAsia="Calibri" w:cs="Times New Roman"/>
          <w:szCs w:val="24"/>
        </w:rPr>
        <w:t>. g</w:t>
      </w:r>
      <w:r w:rsidRPr="008B4A04">
        <w:rPr>
          <w:rFonts w:eastAsia="Calibri" w:cs="Times New Roman"/>
          <w:szCs w:val="24"/>
        </w:rPr>
        <w:t>adam un budžeta ietvaru 2024., 2025. un 2026</w:t>
      </w:r>
      <w:r>
        <w:rPr>
          <w:rFonts w:eastAsia="Calibri" w:cs="Times New Roman"/>
          <w:szCs w:val="24"/>
        </w:rPr>
        <w:t>. g</w:t>
      </w:r>
      <w:r w:rsidRPr="008B4A04">
        <w:rPr>
          <w:rFonts w:eastAsia="Calibri" w:cs="Times New Roman"/>
          <w:szCs w:val="24"/>
        </w:rPr>
        <w:t>adam” kopējie dabas resursu nodokļa ieņēmumi tiek plānoti šādos apmēros: 2024</w:t>
      </w:r>
      <w:r>
        <w:rPr>
          <w:rFonts w:eastAsia="Calibri" w:cs="Times New Roman"/>
          <w:szCs w:val="24"/>
        </w:rPr>
        <w:t>. g</w:t>
      </w:r>
      <w:r w:rsidRPr="008B4A04">
        <w:rPr>
          <w:rFonts w:eastAsia="Calibri" w:cs="Times New Roman"/>
          <w:szCs w:val="24"/>
        </w:rPr>
        <w:t>adā – 74,0</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(t.sk. valsts pamatbudžetā 55,7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pašvaldību budžetā 18,3</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2025</w:t>
      </w:r>
      <w:r>
        <w:rPr>
          <w:rFonts w:eastAsia="Calibri" w:cs="Times New Roman"/>
          <w:szCs w:val="24"/>
        </w:rPr>
        <w:t>. g</w:t>
      </w:r>
      <w:r w:rsidRPr="008B4A04">
        <w:rPr>
          <w:rFonts w:eastAsia="Calibri" w:cs="Times New Roman"/>
          <w:szCs w:val="24"/>
        </w:rPr>
        <w:t>adā – 89,4</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(t.sk. valsts pamatbudžetā 64,9</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w:t>
      </w:r>
      <w:r w:rsidRPr="008B4A04">
        <w:rPr>
          <w:rFonts w:eastAsia="Calibri" w:cs="Times New Roman"/>
          <w:szCs w:val="24"/>
        </w:rPr>
        <w:lastRenderedPageBreak/>
        <w:t>pašvaldību budžetā 24,6</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un 2026</w:t>
      </w:r>
      <w:r>
        <w:rPr>
          <w:rFonts w:eastAsia="Calibri" w:cs="Times New Roman"/>
          <w:szCs w:val="24"/>
        </w:rPr>
        <w:t>. g</w:t>
      </w:r>
      <w:r w:rsidRPr="008B4A04">
        <w:rPr>
          <w:rFonts w:eastAsia="Calibri" w:cs="Times New Roman"/>
          <w:szCs w:val="24"/>
        </w:rPr>
        <w:t>adā – 102,6</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(t.sk. valsts pamatbudžetā 72,2</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pašvaldību budžetā 30,4</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(skat. 3.</w:t>
      </w:r>
      <w:r>
        <w:rPr>
          <w:rFonts w:eastAsia="Calibri" w:cs="Times New Roman"/>
          <w:szCs w:val="24"/>
        </w:rPr>
        <w:t>18</w:t>
      </w:r>
      <w:r w:rsidRPr="008B4A04">
        <w:rPr>
          <w:rFonts w:eastAsia="Calibri" w:cs="Times New Roman"/>
          <w:szCs w:val="24"/>
        </w:rPr>
        <w:t>. tabulu). Dabas resursu nodokļa ieņēmumu plānu vidējā termiņā ietekmē prognozētā tautsaimniecības attīstības dinamika, 2023</w:t>
      </w:r>
      <w:r>
        <w:rPr>
          <w:rFonts w:eastAsia="Calibri" w:cs="Times New Roman"/>
          <w:szCs w:val="24"/>
        </w:rPr>
        <w:t>. g</w:t>
      </w:r>
      <w:r w:rsidRPr="008B4A04">
        <w:rPr>
          <w:rFonts w:eastAsia="Calibri" w:cs="Times New Roman"/>
          <w:szCs w:val="24"/>
        </w:rPr>
        <w:t>adā sagaidāmā izpilde, kā arī 3.1. sadaļā minētie pasākumi.</w:t>
      </w:r>
    </w:p>
    <w:p w14:paraId="59E626DF" w14:textId="77777777" w:rsidR="00494699" w:rsidRPr="004A3BF6" w:rsidRDefault="00494699" w:rsidP="00494699">
      <w:pPr>
        <w:pStyle w:val="Tabulasnosaukums"/>
      </w:pPr>
      <w:bookmarkStart w:id="104" w:name="_Hlk147149897"/>
      <w:r w:rsidRPr="004A3BF6">
        <w:t>3.</w:t>
      </w:r>
      <w:r>
        <w:t>18</w:t>
      </w:r>
      <w:r w:rsidRPr="004A3BF6">
        <w:t>. </w:t>
      </w:r>
      <w:r w:rsidRPr="004A3BF6">
        <w:rPr>
          <w:lang w:eastAsia="en-US"/>
        </w:rPr>
        <w:t>tabula</w:t>
      </w:r>
      <w:r w:rsidRPr="004A3BF6">
        <w:t>. Dabas resursu nodokļa ieņēmumi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94"/>
        <w:gridCol w:w="630"/>
        <w:gridCol w:w="680"/>
        <w:gridCol w:w="680"/>
        <w:gridCol w:w="668"/>
      </w:tblGrid>
      <w:tr w:rsidR="0034370C" w:rsidRPr="004A3BF6" w14:paraId="22761763" w14:textId="77777777" w:rsidTr="0034370C">
        <w:trPr>
          <w:trHeight w:val="227"/>
          <w:jc w:val="center"/>
        </w:trPr>
        <w:tc>
          <w:tcPr>
            <w:tcW w:w="3515" w:type="pct"/>
            <w:shd w:val="clear" w:color="auto" w:fill="9CC2E5" w:themeFill="accent1" w:themeFillTint="99"/>
            <w:vAlign w:val="center"/>
          </w:tcPr>
          <w:p w14:paraId="6D6E12DA" w14:textId="77777777" w:rsidR="00494699" w:rsidRPr="00494699" w:rsidRDefault="00494699" w:rsidP="005D673A">
            <w:pPr>
              <w:pStyle w:val="Tabulasgalvenesrinda"/>
            </w:pPr>
          </w:p>
        </w:tc>
        <w:tc>
          <w:tcPr>
            <w:tcW w:w="352" w:type="pct"/>
            <w:shd w:val="clear" w:color="auto" w:fill="9CC2E5" w:themeFill="accent1" w:themeFillTint="99"/>
            <w:vAlign w:val="center"/>
          </w:tcPr>
          <w:p w14:paraId="32D61DDF" w14:textId="77777777" w:rsidR="00494699" w:rsidRPr="00494699" w:rsidRDefault="00494699" w:rsidP="005D673A">
            <w:pPr>
              <w:pStyle w:val="Tabulasgalvenesrinda"/>
            </w:pPr>
            <w:r w:rsidRPr="00494699">
              <w:t>2023</w:t>
            </w:r>
          </w:p>
        </w:tc>
        <w:tc>
          <w:tcPr>
            <w:tcW w:w="380" w:type="pct"/>
            <w:shd w:val="clear" w:color="auto" w:fill="9CC2E5" w:themeFill="accent1" w:themeFillTint="99"/>
            <w:vAlign w:val="center"/>
          </w:tcPr>
          <w:p w14:paraId="5B44C469" w14:textId="77777777" w:rsidR="00494699" w:rsidRPr="00494699" w:rsidRDefault="00494699" w:rsidP="005D673A">
            <w:pPr>
              <w:pStyle w:val="Tabulasgalvenesrinda"/>
            </w:pPr>
            <w:r w:rsidRPr="00494699">
              <w:t>2024</w:t>
            </w:r>
          </w:p>
        </w:tc>
        <w:tc>
          <w:tcPr>
            <w:tcW w:w="380" w:type="pct"/>
            <w:shd w:val="clear" w:color="auto" w:fill="9CC2E5" w:themeFill="accent1" w:themeFillTint="99"/>
            <w:vAlign w:val="center"/>
          </w:tcPr>
          <w:p w14:paraId="782FC629" w14:textId="77777777" w:rsidR="00494699" w:rsidRPr="00494699" w:rsidRDefault="00494699" w:rsidP="005D673A">
            <w:pPr>
              <w:pStyle w:val="Tabulasgalvenesrinda"/>
            </w:pPr>
            <w:r w:rsidRPr="00494699">
              <w:t>2025</w:t>
            </w:r>
          </w:p>
        </w:tc>
        <w:tc>
          <w:tcPr>
            <w:tcW w:w="373" w:type="pct"/>
            <w:shd w:val="clear" w:color="auto" w:fill="9CC2E5" w:themeFill="accent1" w:themeFillTint="99"/>
            <w:vAlign w:val="center"/>
          </w:tcPr>
          <w:p w14:paraId="5BD200D0" w14:textId="77777777" w:rsidR="00494699" w:rsidRPr="00494699" w:rsidRDefault="00494699" w:rsidP="005D673A">
            <w:pPr>
              <w:pStyle w:val="Tabulasgalvenesrinda"/>
            </w:pPr>
            <w:r w:rsidRPr="00494699">
              <w:t>2026</w:t>
            </w:r>
          </w:p>
        </w:tc>
      </w:tr>
      <w:bookmarkEnd w:id="104"/>
      <w:tr w:rsidR="0034370C" w:rsidRPr="004A3BF6" w14:paraId="33B46486" w14:textId="77777777" w:rsidTr="00BB23B3">
        <w:trPr>
          <w:trHeight w:val="397"/>
          <w:jc w:val="center"/>
        </w:trPr>
        <w:tc>
          <w:tcPr>
            <w:tcW w:w="3515" w:type="pct"/>
            <w:vAlign w:val="center"/>
          </w:tcPr>
          <w:p w14:paraId="276BF30E" w14:textId="77777777" w:rsidR="00494699" w:rsidRPr="00494699" w:rsidRDefault="00494699" w:rsidP="002A7324">
            <w:pPr>
              <w:pStyle w:val="Tabulasteksts"/>
              <w:spacing w:after="0"/>
              <w:ind w:left="0"/>
              <w:rPr>
                <w:i/>
                <w:szCs w:val="18"/>
              </w:rPr>
            </w:pPr>
            <w:r w:rsidRPr="00494699">
              <w:rPr>
                <w:szCs w:val="18"/>
              </w:rPr>
              <w:t>Saskaņā ar likumu “Par valsts budžetu 2024. gadam un budžeta ietvaru 2024., 2025. un 2026. gadam”, milj.</w:t>
            </w:r>
            <w:r w:rsidRPr="00494699">
              <w:rPr>
                <w:i/>
                <w:szCs w:val="18"/>
              </w:rPr>
              <w:t> euro</w:t>
            </w:r>
          </w:p>
        </w:tc>
        <w:tc>
          <w:tcPr>
            <w:tcW w:w="352" w:type="pct"/>
            <w:vAlign w:val="center"/>
          </w:tcPr>
          <w:p w14:paraId="73581B80" w14:textId="77777777" w:rsidR="00494699" w:rsidRPr="00494699" w:rsidRDefault="00494699" w:rsidP="00BB23B3">
            <w:pPr>
              <w:pStyle w:val="Tabulascipari"/>
              <w:keepNext/>
              <w:keepLines/>
              <w:spacing w:after="0"/>
              <w:ind w:left="0"/>
              <w:jc w:val="center"/>
              <w:rPr>
                <w:szCs w:val="18"/>
              </w:rPr>
            </w:pPr>
            <w:r w:rsidRPr="00494699">
              <w:rPr>
                <w:szCs w:val="18"/>
              </w:rPr>
              <w:t>64,0</w:t>
            </w:r>
            <w:r w:rsidRPr="00494699">
              <w:rPr>
                <w:szCs w:val="18"/>
                <w:vertAlign w:val="superscript"/>
              </w:rPr>
              <w:t>1</w:t>
            </w:r>
          </w:p>
        </w:tc>
        <w:tc>
          <w:tcPr>
            <w:tcW w:w="380" w:type="pct"/>
            <w:vAlign w:val="center"/>
          </w:tcPr>
          <w:p w14:paraId="1623FF47" w14:textId="77777777" w:rsidR="00494699" w:rsidRPr="00494699" w:rsidRDefault="00494699" w:rsidP="00BB23B3">
            <w:pPr>
              <w:pStyle w:val="Tabulascipari"/>
              <w:keepNext/>
              <w:keepLines/>
              <w:spacing w:after="0"/>
              <w:ind w:left="0"/>
              <w:jc w:val="center"/>
              <w:rPr>
                <w:szCs w:val="18"/>
              </w:rPr>
            </w:pPr>
            <w:r w:rsidRPr="00494699">
              <w:rPr>
                <w:szCs w:val="18"/>
              </w:rPr>
              <w:t>74,0</w:t>
            </w:r>
          </w:p>
        </w:tc>
        <w:tc>
          <w:tcPr>
            <w:tcW w:w="380" w:type="pct"/>
            <w:vAlign w:val="center"/>
          </w:tcPr>
          <w:p w14:paraId="7E051158" w14:textId="77777777" w:rsidR="00494699" w:rsidRPr="00494699" w:rsidRDefault="00494699" w:rsidP="00BB23B3">
            <w:pPr>
              <w:pStyle w:val="Tabulascipari"/>
              <w:keepNext/>
              <w:keepLines/>
              <w:spacing w:after="0"/>
              <w:ind w:left="0"/>
              <w:jc w:val="center"/>
              <w:rPr>
                <w:szCs w:val="18"/>
              </w:rPr>
            </w:pPr>
            <w:r w:rsidRPr="00494699">
              <w:rPr>
                <w:szCs w:val="18"/>
              </w:rPr>
              <w:t>89,4</w:t>
            </w:r>
          </w:p>
        </w:tc>
        <w:tc>
          <w:tcPr>
            <w:tcW w:w="373" w:type="pct"/>
            <w:vAlign w:val="center"/>
          </w:tcPr>
          <w:p w14:paraId="237752E8" w14:textId="77777777" w:rsidR="00494699" w:rsidRPr="00494699" w:rsidRDefault="00494699" w:rsidP="00BB23B3">
            <w:pPr>
              <w:pStyle w:val="Tabulascipari"/>
              <w:keepNext/>
              <w:keepLines/>
              <w:spacing w:after="0"/>
              <w:ind w:left="0"/>
              <w:jc w:val="center"/>
              <w:rPr>
                <w:szCs w:val="18"/>
              </w:rPr>
            </w:pPr>
            <w:r w:rsidRPr="00494699">
              <w:rPr>
                <w:szCs w:val="18"/>
              </w:rPr>
              <w:t>102,6</w:t>
            </w:r>
          </w:p>
        </w:tc>
      </w:tr>
      <w:tr w:rsidR="0034370C" w:rsidRPr="004A3BF6" w14:paraId="05443BBC" w14:textId="77777777" w:rsidTr="0034370C">
        <w:trPr>
          <w:trHeight w:val="227"/>
          <w:jc w:val="center"/>
        </w:trPr>
        <w:tc>
          <w:tcPr>
            <w:tcW w:w="3515" w:type="pct"/>
            <w:vAlign w:val="center"/>
          </w:tcPr>
          <w:p w14:paraId="2A814525" w14:textId="77777777" w:rsidR="00494699" w:rsidRPr="00494699" w:rsidRDefault="00494699" w:rsidP="0034370C">
            <w:pPr>
              <w:pStyle w:val="Tabulasteksts"/>
              <w:spacing w:after="0"/>
              <w:ind w:left="340"/>
              <w:rPr>
                <w:i/>
                <w:iCs/>
                <w:szCs w:val="18"/>
              </w:rPr>
            </w:pPr>
            <w:r w:rsidRPr="00494699">
              <w:rPr>
                <w:i/>
                <w:iCs/>
                <w:szCs w:val="18"/>
              </w:rPr>
              <w:t>pret IKP, %</w:t>
            </w:r>
          </w:p>
        </w:tc>
        <w:tc>
          <w:tcPr>
            <w:tcW w:w="352" w:type="pct"/>
          </w:tcPr>
          <w:p w14:paraId="3C465576" w14:textId="77777777" w:rsidR="00494699" w:rsidRPr="00494699" w:rsidRDefault="00494699" w:rsidP="0034370C">
            <w:pPr>
              <w:pStyle w:val="Tabulascipari"/>
              <w:keepNext/>
              <w:keepLines/>
              <w:spacing w:after="0"/>
              <w:ind w:left="0"/>
              <w:rPr>
                <w:i/>
                <w:iCs/>
                <w:szCs w:val="18"/>
              </w:rPr>
            </w:pPr>
            <w:r w:rsidRPr="00494699">
              <w:rPr>
                <w:i/>
                <w:iCs/>
                <w:szCs w:val="18"/>
              </w:rPr>
              <w:t>0,15</w:t>
            </w:r>
          </w:p>
        </w:tc>
        <w:tc>
          <w:tcPr>
            <w:tcW w:w="380" w:type="pct"/>
          </w:tcPr>
          <w:p w14:paraId="71497278" w14:textId="77777777" w:rsidR="00494699" w:rsidRPr="00494699" w:rsidRDefault="00494699" w:rsidP="0034370C">
            <w:pPr>
              <w:pStyle w:val="Tabulascipari"/>
              <w:keepNext/>
              <w:keepLines/>
              <w:spacing w:after="0"/>
              <w:ind w:left="0"/>
              <w:rPr>
                <w:i/>
                <w:iCs/>
                <w:szCs w:val="18"/>
              </w:rPr>
            </w:pPr>
            <w:r w:rsidRPr="00494699">
              <w:rPr>
                <w:i/>
                <w:iCs/>
                <w:szCs w:val="18"/>
              </w:rPr>
              <w:t>0,16</w:t>
            </w:r>
          </w:p>
        </w:tc>
        <w:tc>
          <w:tcPr>
            <w:tcW w:w="380" w:type="pct"/>
          </w:tcPr>
          <w:p w14:paraId="29B9674C" w14:textId="77777777" w:rsidR="00494699" w:rsidRPr="00494699" w:rsidRDefault="00494699" w:rsidP="0034370C">
            <w:pPr>
              <w:pStyle w:val="Tabulascipari"/>
              <w:keepNext/>
              <w:keepLines/>
              <w:spacing w:after="0"/>
              <w:ind w:left="0"/>
              <w:rPr>
                <w:i/>
                <w:iCs/>
                <w:szCs w:val="18"/>
              </w:rPr>
            </w:pPr>
            <w:r w:rsidRPr="00494699">
              <w:rPr>
                <w:i/>
                <w:iCs/>
                <w:szCs w:val="18"/>
              </w:rPr>
              <w:t>0,19</w:t>
            </w:r>
          </w:p>
        </w:tc>
        <w:tc>
          <w:tcPr>
            <w:tcW w:w="373" w:type="pct"/>
          </w:tcPr>
          <w:p w14:paraId="48BC9245" w14:textId="77777777" w:rsidR="00494699" w:rsidRPr="00494699" w:rsidRDefault="00494699" w:rsidP="0034370C">
            <w:pPr>
              <w:pStyle w:val="Tabulascipari"/>
              <w:keepNext/>
              <w:keepLines/>
              <w:spacing w:after="0"/>
              <w:ind w:left="0"/>
              <w:rPr>
                <w:i/>
                <w:iCs/>
                <w:szCs w:val="18"/>
              </w:rPr>
            </w:pPr>
            <w:r w:rsidRPr="00494699">
              <w:rPr>
                <w:i/>
                <w:iCs/>
                <w:szCs w:val="18"/>
              </w:rPr>
              <w:t>0,20</w:t>
            </w:r>
          </w:p>
        </w:tc>
      </w:tr>
      <w:tr w:rsidR="0034370C" w:rsidRPr="004A3BF6" w14:paraId="63C58A99" w14:textId="77777777" w:rsidTr="0034370C">
        <w:trPr>
          <w:trHeight w:val="397"/>
          <w:jc w:val="center"/>
        </w:trPr>
        <w:tc>
          <w:tcPr>
            <w:tcW w:w="3515" w:type="pct"/>
            <w:vAlign w:val="center"/>
          </w:tcPr>
          <w:p w14:paraId="25B44688" w14:textId="1E47B43A" w:rsidR="00494699" w:rsidRPr="00494699" w:rsidRDefault="00494699" w:rsidP="0034370C">
            <w:pPr>
              <w:pStyle w:val="Tabulasteksts"/>
              <w:spacing w:after="0"/>
              <w:ind w:left="0"/>
              <w:rPr>
                <w:szCs w:val="18"/>
              </w:rPr>
            </w:pPr>
            <w:r w:rsidRPr="00494699">
              <w:rPr>
                <w:szCs w:val="18"/>
              </w:rPr>
              <w:t>Salīdzinājumā ar likumu “Par valsts budžetu 2023. gadam un budžeta ietvaru 2023., 2024. un 2025. gadam”, milj. </w:t>
            </w:r>
            <w:r w:rsidRPr="00272F14">
              <w:rPr>
                <w:i/>
                <w:iCs/>
                <w:szCs w:val="18"/>
              </w:rPr>
              <w:t>euro</w:t>
            </w:r>
          </w:p>
        </w:tc>
        <w:tc>
          <w:tcPr>
            <w:tcW w:w="352" w:type="pct"/>
            <w:shd w:val="clear" w:color="auto" w:fill="auto"/>
          </w:tcPr>
          <w:p w14:paraId="1002A1D5" w14:textId="77777777" w:rsidR="00494699" w:rsidRPr="00494699" w:rsidRDefault="00494699" w:rsidP="0034370C">
            <w:pPr>
              <w:pStyle w:val="Tabulascipari"/>
              <w:keepNext/>
              <w:keepLines/>
              <w:spacing w:after="0"/>
              <w:ind w:left="0"/>
              <w:rPr>
                <w:i/>
                <w:szCs w:val="18"/>
              </w:rPr>
            </w:pPr>
            <w:r w:rsidRPr="00494699">
              <w:rPr>
                <w:i/>
                <w:szCs w:val="18"/>
              </w:rPr>
              <w:t>+3,6</w:t>
            </w:r>
          </w:p>
        </w:tc>
        <w:tc>
          <w:tcPr>
            <w:tcW w:w="380" w:type="pct"/>
            <w:shd w:val="clear" w:color="auto" w:fill="auto"/>
          </w:tcPr>
          <w:p w14:paraId="5007145C" w14:textId="77777777" w:rsidR="00494699" w:rsidRPr="00494699" w:rsidRDefault="00494699" w:rsidP="0034370C">
            <w:pPr>
              <w:pStyle w:val="Tabulascipari"/>
              <w:keepNext/>
              <w:keepLines/>
              <w:spacing w:after="0"/>
              <w:ind w:left="0"/>
              <w:rPr>
                <w:i/>
                <w:szCs w:val="18"/>
              </w:rPr>
            </w:pPr>
            <w:r w:rsidRPr="00494699">
              <w:rPr>
                <w:i/>
                <w:szCs w:val="18"/>
              </w:rPr>
              <w:t>+10,3</w:t>
            </w:r>
          </w:p>
        </w:tc>
        <w:tc>
          <w:tcPr>
            <w:tcW w:w="380" w:type="pct"/>
            <w:shd w:val="clear" w:color="auto" w:fill="auto"/>
          </w:tcPr>
          <w:p w14:paraId="3AA4FF2A" w14:textId="77777777" w:rsidR="00494699" w:rsidRPr="00494699" w:rsidRDefault="00494699" w:rsidP="0034370C">
            <w:pPr>
              <w:pStyle w:val="Tabulascipari"/>
              <w:keepNext/>
              <w:keepLines/>
              <w:spacing w:after="0"/>
              <w:ind w:left="0"/>
              <w:rPr>
                <w:i/>
                <w:szCs w:val="18"/>
              </w:rPr>
            </w:pPr>
            <w:r w:rsidRPr="00494699">
              <w:rPr>
                <w:i/>
                <w:szCs w:val="18"/>
              </w:rPr>
              <w:t>+22,2</w:t>
            </w:r>
          </w:p>
        </w:tc>
        <w:tc>
          <w:tcPr>
            <w:tcW w:w="373" w:type="pct"/>
            <w:shd w:val="clear" w:color="auto" w:fill="auto"/>
          </w:tcPr>
          <w:p w14:paraId="66DDBDC1" w14:textId="77777777" w:rsidR="00494699" w:rsidRPr="00494699" w:rsidRDefault="00494699" w:rsidP="0034370C">
            <w:pPr>
              <w:pStyle w:val="Tabulascipari"/>
              <w:keepNext/>
              <w:keepLines/>
              <w:spacing w:after="0"/>
              <w:ind w:left="0"/>
              <w:rPr>
                <w:i/>
                <w:szCs w:val="18"/>
              </w:rPr>
            </w:pPr>
            <w:r w:rsidRPr="00494699">
              <w:rPr>
                <w:i/>
                <w:iCs/>
                <w:szCs w:val="18"/>
              </w:rPr>
              <w:t>—</w:t>
            </w:r>
          </w:p>
        </w:tc>
      </w:tr>
      <w:tr w:rsidR="0034370C" w:rsidRPr="004A3BF6" w14:paraId="403480F6" w14:textId="77777777" w:rsidTr="0034370C">
        <w:trPr>
          <w:trHeight w:val="397"/>
          <w:jc w:val="center"/>
        </w:trPr>
        <w:tc>
          <w:tcPr>
            <w:tcW w:w="3515" w:type="pct"/>
            <w:vAlign w:val="center"/>
          </w:tcPr>
          <w:p w14:paraId="2C630898" w14:textId="21E98948" w:rsidR="00494699" w:rsidRPr="00494699" w:rsidRDefault="00494699" w:rsidP="0034370C">
            <w:pPr>
              <w:pStyle w:val="Tabulasteksts"/>
              <w:spacing w:after="0"/>
              <w:ind w:left="0"/>
              <w:rPr>
                <w:szCs w:val="18"/>
              </w:rPr>
            </w:pPr>
            <w:r w:rsidRPr="00494699">
              <w:rPr>
                <w:szCs w:val="18"/>
              </w:rPr>
              <w:t>Salīdzinājumā ar likumu “Par valsts budžetu 2023. gadam un budžeta ietvaru 2023., 2024. un 2025. gadam”, %</w:t>
            </w:r>
          </w:p>
        </w:tc>
        <w:tc>
          <w:tcPr>
            <w:tcW w:w="352" w:type="pct"/>
          </w:tcPr>
          <w:p w14:paraId="6E4D701B" w14:textId="77777777" w:rsidR="00494699" w:rsidRPr="00494699" w:rsidRDefault="00494699" w:rsidP="0034370C">
            <w:pPr>
              <w:pStyle w:val="Tabulascipari"/>
              <w:keepNext/>
              <w:keepLines/>
              <w:spacing w:after="0"/>
              <w:ind w:left="0"/>
              <w:rPr>
                <w:i/>
                <w:szCs w:val="18"/>
              </w:rPr>
            </w:pPr>
            <w:r w:rsidRPr="00494699">
              <w:rPr>
                <w:i/>
                <w:szCs w:val="18"/>
              </w:rPr>
              <w:t>+6,0</w:t>
            </w:r>
          </w:p>
        </w:tc>
        <w:tc>
          <w:tcPr>
            <w:tcW w:w="380" w:type="pct"/>
          </w:tcPr>
          <w:p w14:paraId="2BD2A130" w14:textId="77777777" w:rsidR="00494699" w:rsidRPr="00494699" w:rsidRDefault="00494699" w:rsidP="0034370C">
            <w:pPr>
              <w:pStyle w:val="Tabulascipari"/>
              <w:keepNext/>
              <w:keepLines/>
              <w:spacing w:after="0"/>
              <w:ind w:left="0"/>
              <w:rPr>
                <w:i/>
                <w:szCs w:val="18"/>
              </w:rPr>
            </w:pPr>
            <w:r w:rsidRPr="00494699">
              <w:rPr>
                <w:i/>
                <w:szCs w:val="18"/>
              </w:rPr>
              <w:t>+16,2</w:t>
            </w:r>
          </w:p>
        </w:tc>
        <w:tc>
          <w:tcPr>
            <w:tcW w:w="380" w:type="pct"/>
          </w:tcPr>
          <w:p w14:paraId="4A7E7F23" w14:textId="77777777" w:rsidR="00494699" w:rsidRPr="00494699" w:rsidRDefault="00494699" w:rsidP="0034370C">
            <w:pPr>
              <w:pStyle w:val="Tabulascipari"/>
              <w:keepNext/>
              <w:keepLines/>
              <w:spacing w:after="0"/>
              <w:ind w:left="0"/>
              <w:rPr>
                <w:i/>
                <w:szCs w:val="18"/>
              </w:rPr>
            </w:pPr>
            <w:r w:rsidRPr="00494699">
              <w:rPr>
                <w:i/>
                <w:szCs w:val="18"/>
              </w:rPr>
              <w:t>+33,1</w:t>
            </w:r>
          </w:p>
        </w:tc>
        <w:tc>
          <w:tcPr>
            <w:tcW w:w="373" w:type="pct"/>
          </w:tcPr>
          <w:p w14:paraId="71E02D3D" w14:textId="77777777" w:rsidR="00494699" w:rsidRPr="00494699" w:rsidRDefault="00494699" w:rsidP="0034370C">
            <w:pPr>
              <w:pStyle w:val="Tabulascipari"/>
              <w:keepNext/>
              <w:keepLines/>
              <w:spacing w:after="0"/>
              <w:ind w:left="0"/>
              <w:rPr>
                <w:i/>
                <w:szCs w:val="18"/>
              </w:rPr>
            </w:pPr>
            <w:r w:rsidRPr="00494699">
              <w:rPr>
                <w:i/>
                <w:iCs/>
                <w:szCs w:val="18"/>
              </w:rPr>
              <w:t>—</w:t>
            </w:r>
          </w:p>
        </w:tc>
      </w:tr>
    </w:tbl>
    <w:p w14:paraId="39442453" w14:textId="77777777" w:rsidR="00494699" w:rsidRPr="004A3BF6" w:rsidRDefault="00494699" w:rsidP="00494699">
      <w:pPr>
        <w:pStyle w:val="Piezme"/>
      </w:pPr>
      <w:bookmarkStart w:id="105" w:name="_Hlk147156831"/>
      <w:r w:rsidRPr="004A3BF6">
        <w:rPr>
          <w:vertAlign w:val="superscript"/>
        </w:rPr>
        <w:t>1</w:t>
      </w:r>
      <w:r w:rsidRPr="004A3BF6">
        <w:t> Prognoze</w:t>
      </w:r>
    </w:p>
    <w:bookmarkEnd w:id="105"/>
    <w:p w14:paraId="22059C3A" w14:textId="77777777" w:rsidR="007D32EB" w:rsidRPr="0034370C" w:rsidRDefault="007D32EB" w:rsidP="00261FA7">
      <w:pPr>
        <w:keepNext/>
        <w:keepLines/>
        <w:spacing w:before="240" w:after="240"/>
        <w:ind w:firstLine="0"/>
        <w:jc w:val="center"/>
        <w:outlineLvl w:val="3"/>
        <w:rPr>
          <w:rFonts w:eastAsia="Times New Roman" w:cs="Times New Roman"/>
          <w:b/>
          <w:sz w:val="28"/>
          <w:lang w:eastAsia="en-US"/>
        </w:rPr>
      </w:pPr>
      <w:r w:rsidRPr="0034370C">
        <w:rPr>
          <w:rFonts w:eastAsia="Times New Roman" w:cs="Times New Roman"/>
          <w:b/>
          <w:sz w:val="28"/>
          <w:lang w:eastAsia="en-US"/>
        </w:rPr>
        <w:t>Izložu un azartspēļu nodoklis</w:t>
      </w:r>
      <w:bookmarkEnd w:id="103"/>
    </w:p>
    <w:p w14:paraId="4BFF5C1D" w14:textId="77777777" w:rsidR="00494699" w:rsidRPr="008B4A04" w:rsidRDefault="00494699" w:rsidP="00494699">
      <w:pPr>
        <w:rPr>
          <w:rFonts w:eastAsia="Calibri" w:cs="Times New Roman"/>
          <w:szCs w:val="24"/>
        </w:rPr>
      </w:pPr>
      <w:r w:rsidRPr="008B4A04">
        <w:rPr>
          <w:rFonts w:eastAsia="Calibri" w:cs="Times New Roman"/>
          <w:szCs w:val="24"/>
        </w:rPr>
        <w:t xml:space="preserve">Izložu un azartspēļu nodokli maksā </w:t>
      </w:r>
      <w:r>
        <w:rPr>
          <w:rFonts w:eastAsia="Calibri" w:cs="Times New Roman"/>
          <w:szCs w:val="24"/>
        </w:rPr>
        <w:t>komersanti</w:t>
      </w:r>
      <w:r w:rsidRPr="008B4A04">
        <w:rPr>
          <w:rFonts w:eastAsia="Calibri" w:cs="Times New Roman"/>
          <w:szCs w:val="24"/>
        </w:rPr>
        <w:t xml:space="preserve">, kas likumā “Par izložu un azartspēļu nodevu un nodokli” noteiktajā kārtībā saņēmuši speciālu atļauju izložu un azartspēļu organizēšanai un uzturēšanai. </w:t>
      </w:r>
    </w:p>
    <w:p w14:paraId="1E7DB05C" w14:textId="675F6333" w:rsidR="00494699" w:rsidRPr="008B4A04" w:rsidRDefault="00494699" w:rsidP="00494699">
      <w:pPr>
        <w:rPr>
          <w:rFonts w:eastAsia="Calibri" w:cs="Times New Roman"/>
          <w:szCs w:val="24"/>
        </w:rPr>
      </w:pPr>
      <w:r w:rsidRPr="008B4A04">
        <w:rPr>
          <w:rFonts w:eastAsia="Calibri" w:cs="Times New Roman"/>
          <w:szCs w:val="24"/>
        </w:rPr>
        <w:t>2023</w:t>
      </w:r>
      <w:r>
        <w:rPr>
          <w:rFonts w:eastAsia="Calibri" w:cs="Times New Roman"/>
          <w:szCs w:val="24"/>
        </w:rPr>
        <w:t>. g</w:t>
      </w:r>
      <w:r w:rsidRPr="008B4A04">
        <w:rPr>
          <w:rFonts w:eastAsia="Calibri" w:cs="Times New Roman"/>
          <w:szCs w:val="24"/>
        </w:rPr>
        <w:t>ada sešos mēnešos izložu un azartspēļu nodokļa ieņēmumi bija 24,4</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salīdzinājumā ar 2022</w:t>
      </w:r>
      <w:r>
        <w:rPr>
          <w:rFonts w:eastAsia="Calibri" w:cs="Times New Roman"/>
          <w:szCs w:val="24"/>
        </w:rPr>
        <w:t>. g</w:t>
      </w:r>
      <w:r w:rsidRPr="008B4A04">
        <w:rPr>
          <w:rFonts w:eastAsia="Calibri" w:cs="Times New Roman"/>
          <w:szCs w:val="24"/>
        </w:rPr>
        <w:t>ada sešiem mēnešiem, ir palielinājušies par 8,8</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55,9</w:t>
      </w:r>
      <w:r>
        <w:rPr>
          <w:rFonts w:eastAsia="Calibri" w:cs="Times New Roman"/>
          <w:szCs w:val="24"/>
        </w:rPr>
        <w:t> %</w:t>
      </w:r>
      <w:r w:rsidRPr="008B4A04">
        <w:rPr>
          <w:rFonts w:eastAsia="Calibri" w:cs="Times New Roman"/>
          <w:szCs w:val="24"/>
        </w:rPr>
        <w:t xml:space="preserve">, kam par iemeslu ir </w:t>
      </w:r>
      <w:r w:rsidRPr="008B4A04">
        <w:rPr>
          <w:rFonts w:cs="Times New Roman"/>
          <w:szCs w:val="24"/>
          <w:lang w:eastAsia="en-US"/>
        </w:rPr>
        <w:t>zemā 2022</w:t>
      </w:r>
      <w:r>
        <w:rPr>
          <w:rFonts w:cs="Times New Roman"/>
          <w:szCs w:val="24"/>
          <w:lang w:eastAsia="en-US"/>
        </w:rPr>
        <w:t>. g</w:t>
      </w:r>
      <w:r w:rsidRPr="008B4A04">
        <w:rPr>
          <w:rFonts w:cs="Times New Roman"/>
          <w:szCs w:val="24"/>
          <w:lang w:eastAsia="en-US"/>
        </w:rPr>
        <w:t xml:space="preserve">ada nodokļa ieņēmumu bāze, ko ietekmēja tādi faktori kā </w:t>
      </w:r>
      <w:r w:rsidRPr="008B4A04">
        <w:rPr>
          <w:rFonts w:eastAsia="Times New Roman" w:cs="Times New Roman"/>
          <w:color w:val="212529"/>
          <w:szCs w:val="24"/>
          <w:shd w:val="clear" w:color="auto" w:fill="FFFFFF"/>
        </w:rPr>
        <w:t>Covid-19 pandēmijas ietekmē noteiktie ierobežojumi līdz 2022</w:t>
      </w:r>
      <w:r>
        <w:rPr>
          <w:rFonts w:eastAsia="Times New Roman" w:cs="Times New Roman"/>
          <w:color w:val="212529"/>
          <w:szCs w:val="24"/>
          <w:shd w:val="clear" w:color="auto" w:fill="FFFFFF"/>
        </w:rPr>
        <w:t>. g</w:t>
      </w:r>
      <w:r w:rsidRPr="008B4A04">
        <w:rPr>
          <w:rFonts w:eastAsia="Times New Roman" w:cs="Times New Roman"/>
          <w:color w:val="212529"/>
          <w:szCs w:val="24"/>
          <w:shd w:val="clear" w:color="auto" w:fill="FFFFFF"/>
        </w:rPr>
        <w:t>ada 28.</w:t>
      </w:r>
      <w:r>
        <w:rPr>
          <w:rFonts w:eastAsia="Times New Roman" w:cs="Times New Roman"/>
          <w:color w:val="212529"/>
          <w:szCs w:val="24"/>
          <w:shd w:val="clear" w:color="auto" w:fill="FFFFFF"/>
        </w:rPr>
        <w:t> </w:t>
      </w:r>
      <w:r w:rsidRPr="008B4A04">
        <w:rPr>
          <w:rFonts w:eastAsia="Times New Roman" w:cs="Times New Roman"/>
          <w:color w:val="212529"/>
          <w:szCs w:val="24"/>
          <w:shd w:val="clear" w:color="auto" w:fill="FFFFFF"/>
        </w:rPr>
        <w:t xml:space="preserve">februārim (ar </w:t>
      </w:r>
      <w:r w:rsidRPr="008B4A04">
        <w:rPr>
          <w:rFonts w:eastAsia="Calibri" w:cs="Times New Roman"/>
          <w:szCs w:val="24"/>
        </w:rPr>
        <w:t xml:space="preserve">azartspēļu organizēšanas aizliegumu visās spēļu zālēs, </w:t>
      </w:r>
      <w:proofErr w:type="spellStart"/>
      <w:r w:rsidRPr="008B4A04">
        <w:rPr>
          <w:rFonts w:eastAsia="Calibri" w:cs="Times New Roman"/>
          <w:szCs w:val="24"/>
        </w:rPr>
        <w:t>bingo</w:t>
      </w:r>
      <w:proofErr w:type="spellEnd"/>
      <w:r w:rsidRPr="008B4A04">
        <w:rPr>
          <w:rFonts w:eastAsia="Calibri" w:cs="Times New Roman"/>
          <w:szCs w:val="24"/>
        </w:rPr>
        <w:t xml:space="preserve"> zālēs, kazino un </w:t>
      </w:r>
      <w:proofErr w:type="spellStart"/>
      <w:r w:rsidRPr="008B4A04">
        <w:rPr>
          <w:rFonts w:eastAsia="Calibri" w:cs="Times New Roman"/>
          <w:szCs w:val="24"/>
        </w:rPr>
        <w:t>totalizatora</w:t>
      </w:r>
      <w:proofErr w:type="spellEnd"/>
      <w:r w:rsidRPr="008B4A04">
        <w:rPr>
          <w:rFonts w:eastAsia="Calibri" w:cs="Times New Roman"/>
          <w:szCs w:val="24"/>
        </w:rPr>
        <w:t xml:space="preserve"> likmju pieņemšanas vietās Latvijas teritorijā)</w:t>
      </w:r>
      <w:r w:rsidRPr="008B4A04">
        <w:rPr>
          <w:rFonts w:eastAsia="Times New Roman" w:cs="Times New Roman"/>
          <w:color w:val="212529"/>
          <w:szCs w:val="24"/>
          <w:shd w:val="clear" w:color="auto" w:fill="FFFFFF"/>
        </w:rPr>
        <w:t xml:space="preserve"> un azartspēļu vietu skaita samazināšanās gan administratīvu</w:t>
      </w:r>
      <w:r w:rsidR="00391CFA">
        <w:rPr>
          <w:rFonts w:eastAsia="Times New Roman" w:cs="Times New Roman"/>
          <w:color w:val="212529"/>
          <w:szCs w:val="24"/>
          <w:shd w:val="clear" w:color="auto" w:fill="FFFFFF"/>
        </w:rPr>
        <w:t>,</w:t>
      </w:r>
      <w:r w:rsidRPr="008B4A04">
        <w:rPr>
          <w:rFonts w:eastAsia="Times New Roman" w:cs="Times New Roman"/>
          <w:color w:val="212529"/>
          <w:szCs w:val="24"/>
          <w:shd w:val="clear" w:color="auto" w:fill="FFFFFF"/>
        </w:rPr>
        <w:t xml:space="preserve"> gan politisku lēmumu rezultātā</w:t>
      </w:r>
      <w:r w:rsidRPr="008B4A04">
        <w:rPr>
          <w:rFonts w:eastAsia="Calibri" w:cs="Times New Roman"/>
          <w:szCs w:val="24"/>
        </w:rPr>
        <w:t>. Salīdzinājumā ar 2023</w:t>
      </w:r>
      <w:r>
        <w:rPr>
          <w:rFonts w:eastAsia="Calibri" w:cs="Times New Roman"/>
          <w:szCs w:val="24"/>
        </w:rPr>
        <w:t>. g</w:t>
      </w:r>
      <w:r w:rsidRPr="008B4A04">
        <w:rPr>
          <w:rFonts w:eastAsia="Calibri" w:cs="Times New Roman"/>
          <w:szCs w:val="24"/>
        </w:rPr>
        <w:t>ada sešu mēnešu plānu, faktiski ir iekasēts par 2,9</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13,5</w:t>
      </w:r>
      <w:r>
        <w:rPr>
          <w:rFonts w:eastAsia="Calibri" w:cs="Times New Roman"/>
          <w:szCs w:val="24"/>
        </w:rPr>
        <w:t> %</w:t>
      </w:r>
      <w:r w:rsidRPr="008B4A04">
        <w:rPr>
          <w:rFonts w:eastAsia="Calibri" w:cs="Times New Roman"/>
          <w:szCs w:val="24"/>
        </w:rPr>
        <w:t xml:space="preserve"> vairāk</w:t>
      </w:r>
      <w:r w:rsidRPr="008B4A04">
        <w:rPr>
          <w:rFonts w:eastAsia="Times New Roman" w:cs="Times New Roman"/>
          <w:color w:val="212529"/>
          <w:szCs w:val="24"/>
          <w:shd w:val="clear" w:color="auto" w:fill="FFFFFF"/>
        </w:rPr>
        <w:t xml:space="preserve">. </w:t>
      </w:r>
    </w:p>
    <w:p w14:paraId="56E37B82" w14:textId="77777777" w:rsidR="00494699" w:rsidRPr="008B4A04" w:rsidRDefault="00494699" w:rsidP="00494699">
      <w:pPr>
        <w:rPr>
          <w:rFonts w:eastAsia="Calibri" w:cs="Times New Roman"/>
          <w:szCs w:val="24"/>
          <w:highlight w:val="yellow"/>
        </w:rPr>
      </w:pPr>
      <w:r w:rsidRPr="008B4A04">
        <w:rPr>
          <w:rFonts w:eastAsia="Calibri" w:cs="Times New Roman"/>
          <w:szCs w:val="24"/>
        </w:rPr>
        <w:t>Saskaņā ar likumprojektu “Par valsts budžetu 2024</w:t>
      </w:r>
      <w:r>
        <w:rPr>
          <w:rFonts w:eastAsia="Calibri" w:cs="Times New Roman"/>
          <w:szCs w:val="24"/>
        </w:rPr>
        <w:t>. g</w:t>
      </w:r>
      <w:r w:rsidRPr="008B4A04">
        <w:rPr>
          <w:rFonts w:eastAsia="Calibri" w:cs="Times New Roman"/>
          <w:szCs w:val="24"/>
        </w:rPr>
        <w:t>adam un budžeta ietvaru 2024., 2025. un 2026</w:t>
      </w:r>
      <w:r>
        <w:rPr>
          <w:rFonts w:eastAsia="Calibri" w:cs="Times New Roman"/>
          <w:szCs w:val="24"/>
        </w:rPr>
        <w:t>. g</w:t>
      </w:r>
      <w:r w:rsidRPr="008B4A04">
        <w:rPr>
          <w:rFonts w:eastAsia="Calibri" w:cs="Times New Roman"/>
          <w:szCs w:val="24"/>
        </w:rPr>
        <w:t>adam” 2024</w:t>
      </w:r>
      <w:r>
        <w:rPr>
          <w:rFonts w:eastAsia="Calibri" w:cs="Times New Roman"/>
          <w:szCs w:val="24"/>
        </w:rPr>
        <w:t>. g</w:t>
      </w:r>
      <w:r w:rsidRPr="008B4A04">
        <w:rPr>
          <w:rFonts w:eastAsia="Calibri" w:cs="Times New Roman"/>
          <w:szCs w:val="24"/>
        </w:rPr>
        <w:t>adā kopējie izložu un azartspēļu nodokļa ieņēmumi tiek plānoti 49,7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apmērā, 2025</w:t>
      </w:r>
      <w:r>
        <w:rPr>
          <w:rFonts w:eastAsia="Calibri" w:cs="Times New Roman"/>
          <w:szCs w:val="24"/>
        </w:rPr>
        <w:t>. g</w:t>
      </w:r>
      <w:r w:rsidRPr="008B4A04">
        <w:rPr>
          <w:rFonts w:eastAsia="Calibri" w:cs="Times New Roman"/>
          <w:szCs w:val="24"/>
        </w:rPr>
        <w:t>adā 50,1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apmērā un 2026</w:t>
      </w:r>
      <w:r>
        <w:rPr>
          <w:rFonts w:eastAsia="Calibri" w:cs="Times New Roman"/>
          <w:szCs w:val="24"/>
        </w:rPr>
        <w:t>. g</w:t>
      </w:r>
      <w:r w:rsidRPr="008B4A04">
        <w:rPr>
          <w:rFonts w:eastAsia="Calibri" w:cs="Times New Roman"/>
          <w:szCs w:val="24"/>
        </w:rPr>
        <w:t>adā 50,6</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apmērā (skat. 3.</w:t>
      </w:r>
      <w:r>
        <w:rPr>
          <w:rFonts w:eastAsia="Calibri" w:cs="Times New Roman"/>
          <w:szCs w:val="24"/>
        </w:rPr>
        <w:t>19</w:t>
      </w:r>
      <w:r w:rsidRPr="008B4A04">
        <w:rPr>
          <w:rFonts w:eastAsia="Calibri" w:cs="Times New Roman"/>
          <w:szCs w:val="24"/>
        </w:rPr>
        <w:t>. tabulu). Sagatavojot izložu un azartspēļu nodokļa ieņēmumu plānu, tika ņemtas vērā nozares attīstības tendences</w:t>
      </w:r>
      <w:bookmarkStart w:id="106" w:name="_Hlk84236922"/>
      <w:r w:rsidRPr="008B4A04">
        <w:rPr>
          <w:rFonts w:eastAsia="Calibri" w:cs="Times New Roman"/>
          <w:szCs w:val="24"/>
        </w:rPr>
        <w:t xml:space="preserve">, </w:t>
      </w:r>
      <w:bookmarkEnd w:id="106"/>
      <w:r w:rsidRPr="008B4A04">
        <w:rPr>
          <w:rFonts w:eastAsia="Calibri" w:cs="Times New Roman"/>
          <w:szCs w:val="24"/>
        </w:rPr>
        <w:t>prognozēj</w:t>
      </w:r>
      <w:r>
        <w:rPr>
          <w:rFonts w:eastAsia="Calibri" w:cs="Times New Roman"/>
          <w:szCs w:val="24"/>
        </w:rPr>
        <w:t>ot</w:t>
      </w:r>
      <w:r w:rsidRPr="008B4A04">
        <w:rPr>
          <w:rFonts w:eastAsia="Calibri" w:cs="Times New Roman"/>
          <w:szCs w:val="24"/>
        </w:rPr>
        <w:t xml:space="preserve"> spēļu automātu skaita samazinājum</w:t>
      </w:r>
      <w:r>
        <w:rPr>
          <w:rFonts w:eastAsia="Calibri" w:cs="Times New Roman"/>
          <w:szCs w:val="24"/>
        </w:rPr>
        <w:t>u</w:t>
      </w:r>
      <w:r w:rsidRPr="008B4A04">
        <w:rPr>
          <w:rFonts w:eastAsia="Calibri" w:cs="Times New Roman"/>
          <w:szCs w:val="24"/>
        </w:rPr>
        <w:t xml:space="preserve"> un interaktīvo azartspēļu organizēšanas ieņēmumu pieaugum</w:t>
      </w:r>
      <w:r>
        <w:rPr>
          <w:rFonts w:eastAsia="Calibri" w:cs="Times New Roman"/>
          <w:szCs w:val="24"/>
        </w:rPr>
        <w:t>u</w:t>
      </w:r>
      <w:r w:rsidRPr="008B4A04">
        <w:rPr>
          <w:rFonts w:eastAsia="Calibri" w:cs="Times New Roman"/>
          <w:szCs w:val="24"/>
        </w:rPr>
        <w:t xml:space="preserve"> turpmākajos gados.</w:t>
      </w:r>
    </w:p>
    <w:p w14:paraId="70060C01" w14:textId="77777777" w:rsidR="00494699" w:rsidRPr="004A3BF6" w:rsidRDefault="00494699" w:rsidP="00494699">
      <w:pPr>
        <w:pStyle w:val="Tabulasnosaukums"/>
      </w:pPr>
      <w:r w:rsidRPr="004A3BF6">
        <w:t>3.</w:t>
      </w:r>
      <w:r>
        <w:t>19</w:t>
      </w:r>
      <w:r w:rsidRPr="004A3BF6">
        <w:t>. tabula. Izložu un azartspēļu nodokļa ieņēmumi</w:t>
      </w:r>
    </w:p>
    <w:tbl>
      <w:tblPr>
        <w:tblW w:w="5000" w:type="pct"/>
        <w:jc w:val="center"/>
        <w:tblLook w:val="04A0" w:firstRow="1" w:lastRow="0" w:firstColumn="1" w:lastColumn="0" w:noHBand="0" w:noVBand="1"/>
      </w:tblPr>
      <w:tblGrid>
        <w:gridCol w:w="6519"/>
        <w:gridCol w:w="618"/>
        <w:gridCol w:w="654"/>
        <w:gridCol w:w="654"/>
        <w:gridCol w:w="616"/>
      </w:tblGrid>
      <w:tr w:rsidR="0034370C" w:rsidRPr="00494699" w14:paraId="1F23CE48" w14:textId="77777777" w:rsidTr="0034370C">
        <w:trPr>
          <w:cantSplit/>
          <w:trHeight w:hRule="exact" w:val="227"/>
          <w:jc w:val="center"/>
        </w:trPr>
        <w:tc>
          <w:tcPr>
            <w:tcW w:w="3597" w:type="pc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33078424" w14:textId="77777777" w:rsidR="00494699" w:rsidRPr="00494699" w:rsidRDefault="00494699" w:rsidP="005D673A">
            <w:pPr>
              <w:pStyle w:val="Tabulasgalvenesrinda"/>
              <w:rPr>
                <w:highlight w:val="yellow"/>
              </w:rPr>
            </w:pPr>
          </w:p>
        </w:tc>
        <w:tc>
          <w:tcPr>
            <w:tcW w:w="341" w:type="pct"/>
            <w:tcBorders>
              <w:top w:val="single" w:sz="4" w:space="0" w:color="auto"/>
              <w:left w:val="nil"/>
              <w:bottom w:val="single" w:sz="4" w:space="0" w:color="auto"/>
              <w:right w:val="single" w:sz="4" w:space="0" w:color="000000"/>
            </w:tcBorders>
            <w:shd w:val="clear" w:color="auto" w:fill="9CC2E5" w:themeFill="accent1" w:themeFillTint="99"/>
            <w:vAlign w:val="center"/>
          </w:tcPr>
          <w:p w14:paraId="426523A2" w14:textId="77777777" w:rsidR="00494699" w:rsidRPr="00494699" w:rsidRDefault="00494699" w:rsidP="005D673A">
            <w:pPr>
              <w:pStyle w:val="Tabulasgalvenesrinda"/>
              <w:rPr>
                <w:highlight w:val="yellow"/>
              </w:rPr>
            </w:pPr>
            <w:r w:rsidRPr="00494699">
              <w:t>2023</w:t>
            </w:r>
          </w:p>
        </w:tc>
        <w:tc>
          <w:tcPr>
            <w:tcW w:w="361" w:type="pct"/>
            <w:tcBorders>
              <w:top w:val="single" w:sz="4" w:space="0" w:color="auto"/>
              <w:left w:val="nil"/>
              <w:bottom w:val="single" w:sz="4" w:space="0" w:color="auto"/>
              <w:right w:val="single" w:sz="4" w:space="0" w:color="000000"/>
            </w:tcBorders>
            <w:shd w:val="clear" w:color="auto" w:fill="9CC2E5" w:themeFill="accent1" w:themeFillTint="99"/>
            <w:vAlign w:val="center"/>
          </w:tcPr>
          <w:p w14:paraId="3D14CD6D" w14:textId="77777777" w:rsidR="00494699" w:rsidRPr="00494699" w:rsidRDefault="00494699" w:rsidP="005D673A">
            <w:pPr>
              <w:pStyle w:val="Tabulasgalvenesrinda"/>
              <w:rPr>
                <w:highlight w:val="yellow"/>
              </w:rPr>
            </w:pPr>
            <w:r w:rsidRPr="00494699">
              <w:t>2024</w:t>
            </w:r>
          </w:p>
        </w:tc>
        <w:tc>
          <w:tcPr>
            <w:tcW w:w="361" w:type="pct"/>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6219A4B0" w14:textId="77777777" w:rsidR="00494699" w:rsidRPr="00494699" w:rsidRDefault="00494699" w:rsidP="005D673A">
            <w:pPr>
              <w:pStyle w:val="Tabulasgalvenesrinda"/>
              <w:rPr>
                <w:highlight w:val="yellow"/>
              </w:rPr>
            </w:pPr>
            <w:r w:rsidRPr="00494699">
              <w:t>2025</w:t>
            </w:r>
          </w:p>
        </w:tc>
        <w:tc>
          <w:tcPr>
            <w:tcW w:w="340" w:type="pct"/>
            <w:tcBorders>
              <w:top w:val="single" w:sz="4" w:space="0" w:color="auto"/>
              <w:left w:val="nil"/>
              <w:bottom w:val="single" w:sz="4" w:space="0" w:color="auto"/>
              <w:right w:val="single" w:sz="4" w:space="0" w:color="auto"/>
            </w:tcBorders>
            <w:shd w:val="clear" w:color="auto" w:fill="9CC2E5" w:themeFill="accent1" w:themeFillTint="99"/>
            <w:vAlign w:val="center"/>
          </w:tcPr>
          <w:p w14:paraId="0CCFE8D4" w14:textId="77777777" w:rsidR="00494699" w:rsidRPr="00494699" w:rsidRDefault="00494699" w:rsidP="005D673A">
            <w:pPr>
              <w:pStyle w:val="Tabulasgalvenesrinda"/>
              <w:rPr>
                <w:highlight w:val="yellow"/>
              </w:rPr>
            </w:pPr>
            <w:r w:rsidRPr="00494699">
              <w:t>2026</w:t>
            </w:r>
          </w:p>
        </w:tc>
      </w:tr>
      <w:tr w:rsidR="0034370C" w:rsidRPr="00494699" w14:paraId="231750F9" w14:textId="77777777" w:rsidTr="00BB23B3">
        <w:trPr>
          <w:cantSplit/>
          <w:trHeight w:hRule="exact" w:val="454"/>
          <w:jc w:val="center"/>
        </w:trPr>
        <w:tc>
          <w:tcPr>
            <w:tcW w:w="3597" w:type="pct"/>
            <w:tcBorders>
              <w:top w:val="nil"/>
              <w:left w:val="single" w:sz="4" w:space="0" w:color="auto"/>
              <w:bottom w:val="single" w:sz="4" w:space="0" w:color="auto"/>
              <w:right w:val="single" w:sz="4" w:space="0" w:color="auto"/>
            </w:tcBorders>
            <w:shd w:val="clear" w:color="auto" w:fill="auto"/>
            <w:vAlign w:val="center"/>
            <w:hideMark/>
          </w:tcPr>
          <w:p w14:paraId="3BAD5BA6" w14:textId="77777777" w:rsidR="00494699" w:rsidRPr="00494699" w:rsidRDefault="00494699" w:rsidP="002A7324">
            <w:pPr>
              <w:pStyle w:val="Tabulasteksts"/>
              <w:spacing w:after="0"/>
              <w:ind w:left="0"/>
              <w:rPr>
                <w:szCs w:val="18"/>
                <w:highlight w:val="yellow"/>
              </w:rPr>
            </w:pPr>
            <w:r w:rsidRPr="00494699">
              <w:rPr>
                <w:szCs w:val="18"/>
              </w:rPr>
              <w:t>Saskaņā ar likumu “Par valsts budžetu 2024. gadam un budžeta ietvaru 2024., 2025. un 2026. gadam”, milj.</w:t>
            </w:r>
            <w:r w:rsidRPr="00494699">
              <w:rPr>
                <w:i/>
                <w:szCs w:val="18"/>
              </w:rPr>
              <w:t> euro</w:t>
            </w:r>
          </w:p>
        </w:tc>
        <w:tc>
          <w:tcPr>
            <w:tcW w:w="341" w:type="pct"/>
            <w:tcBorders>
              <w:top w:val="nil"/>
              <w:left w:val="nil"/>
              <w:bottom w:val="single" w:sz="4" w:space="0" w:color="auto"/>
              <w:right w:val="single" w:sz="4" w:space="0" w:color="auto"/>
            </w:tcBorders>
            <w:shd w:val="clear" w:color="auto" w:fill="auto"/>
            <w:noWrap/>
            <w:vAlign w:val="center"/>
          </w:tcPr>
          <w:p w14:paraId="04A1D1B1" w14:textId="77777777" w:rsidR="00494699" w:rsidRPr="00494699" w:rsidRDefault="00494699" w:rsidP="00BB23B3">
            <w:pPr>
              <w:pStyle w:val="Tabulascipari"/>
              <w:keepNext/>
              <w:keepLines/>
              <w:spacing w:after="0"/>
              <w:ind w:left="0"/>
              <w:jc w:val="center"/>
              <w:rPr>
                <w:color w:val="000000"/>
                <w:szCs w:val="18"/>
                <w:vertAlign w:val="superscript"/>
              </w:rPr>
            </w:pPr>
            <w:r w:rsidRPr="00494699">
              <w:rPr>
                <w:szCs w:val="18"/>
              </w:rPr>
              <w:t>45,6</w:t>
            </w:r>
            <w:r w:rsidRPr="00494699">
              <w:rPr>
                <w:szCs w:val="18"/>
                <w:vertAlign w:val="superscript"/>
              </w:rPr>
              <w:t>1</w:t>
            </w:r>
          </w:p>
        </w:tc>
        <w:tc>
          <w:tcPr>
            <w:tcW w:w="361" w:type="pct"/>
            <w:tcBorders>
              <w:top w:val="nil"/>
              <w:left w:val="nil"/>
              <w:bottom w:val="single" w:sz="4" w:space="0" w:color="auto"/>
              <w:right w:val="single" w:sz="4" w:space="0" w:color="auto"/>
            </w:tcBorders>
            <w:shd w:val="clear" w:color="auto" w:fill="auto"/>
            <w:noWrap/>
            <w:vAlign w:val="center"/>
          </w:tcPr>
          <w:p w14:paraId="4EF6135F" w14:textId="77777777" w:rsidR="00494699" w:rsidRPr="00494699" w:rsidRDefault="00494699" w:rsidP="00BB23B3">
            <w:pPr>
              <w:pStyle w:val="Tabulascipari"/>
              <w:keepNext/>
              <w:keepLines/>
              <w:spacing w:after="0"/>
              <w:ind w:left="0"/>
              <w:jc w:val="center"/>
              <w:rPr>
                <w:color w:val="000000"/>
                <w:szCs w:val="18"/>
              </w:rPr>
            </w:pPr>
            <w:r w:rsidRPr="00494699">
              <w:rPr>
                <w:szCs w:val="18"/>
              </w:rPr>
              <w:t>49,7</w:t>
            </w:r>
          </w:p>
        </w:tc>
        <w:tc>
          <w:tcPr>
            <w:tcW w:w="361" w:type="pct"/>
            <w:tcBorders>
              <w:top w:val="nil"/>
              <w:left w:val="nil"/>
              <w:bottom w:val="single" w:sz="4" w:space="0" w:color="auto"/>
              <w:right w:val="single" w:sz="4" w:space="0" w:color="auto"/>
            </w:tcBorders>
            <w:shd w:val="clear" w:color="auto" w:fill="auto"/>
            <w:noWrap/>
            <w:vAlign w:val="center"/>
          </w:tcPr>
          <w:p w14:paraId="5151F376" w14:textId="77777777" w:rsidR="00494699" w:rsidRPr="00494699" w:rsidRDefault="00494699" w:rsidP="00BB23B3">
            <w:pPr>
              <w:pStyle w:val="Tabulascipari"/>
              <w:keepNext/>
              <w:keepLines/>
              <w:spacing w:after="0"/>
              <w:ind w:left="0"/>
              <w:jc w:val="center"/>
              <w:rPr>
                <w:color w:val="000000"/>
                <w:szCs w:val="18"/>
              </w:rPr>
            </w:pPr>
            <w:r w:rsidRPr="00494699">
              <w:rPr>
                <w:szCs w:val="18"/>
              </w:rPr>
              <w:t>50,1</w:t>
            </w:r>
          </w:p>
        </w:tc>
        <w:tc>
          <w:tcPr>
            <w:tcW w:w="340" w:type="pct"/>
            <w:tcBorders>
              <w:top w:val="nil"/>
              <w:left w:val="nil"/>
              <w:bottom w:val="single" w:sz="4" w:space="0" w:color="auto"/>
              <w:right w:val="single" w:sz="4" w:space="0" w:color="auto"/>
            </w:tcBorders>
            <w:vAlign w:val="center"/>
          </w:tcPr>
          <w:p w14:paraId="4FF5C870" w14:textId="77777777" w:rsidR="00494699" w:rsidRPr="00494699" w:rsidRDefault="00494699" w:rsidP="00BB23B3">
            <w:pPr>
              <w:pStyle w:val="Tabulascipari"/>
              <w:keepNext/>
              <w:keepLines/>
              <w:spacing w:after="0"/>
              <w:ind w:left="0"/>
              <w:jc w:val="center"/>
              <w:rPr>
                <w:color w:val="000000"/>
                <w:szCs w:val="18"/>
              </w:rPr>
            </w:pPr>
            <w:r w:rsidRPr="00494699">
              <w:rPr>
                <w:szCs w:val="18"/>
              </w:rPr>
              <w:t>50,6</w:t>
            </w:r>
          </w:p>
        </w:tc>
      </w:tr>
      <w:tr w:rsidR="0034370C" w:rsidRPr="00494699" w14:paraId="2AC28CB7" w14:textId="77777777" w:rsidTr="0034370C">
        <w:trPr>
          <w:cantSplit/>
          <w:trHeight w:hRule="exact" w:val="227"/>
          <w:jc w:val="center"/>
        </w:trPr>
        <w:tc>
          <w:tcPr>
            <w:tcW w:w="3597" w:type="pct"/>
            <w:tcBorders>
              <w:top w:val="nil"/>
              <w:left w:val="single" w:sz="4" w:space="0" w:color="auto"/>
              <w:bottom w:val="single" w:sz="4" w:space="0" w:color="auto"/>
              <w:right w:val="single" w:sz="4" w:space="0" w:color="auto"/>
            </w:tcBorders>
            <w:shd w:val="clear" w:color="auto" w:fill="auto"/>
            <w:noWrap/>
            <w:vAlign w:val="center"/>
            <w:hideMark/>
          </w:tcPr>
          <w:p w14:paraId="508A2398" w14:textId="77777777" w:rsidR="00494699" w:rsidRPr="00494699" w:rsidRDefault="00494699" w:rsidP="0034370C">
            <w:pPr>
              <w:pStyle w:val="Tabulasteksts"/>
              <w:spacing w:after="0"/>
              <w:ind w:left="340"/>
              <w:rPr>
                <w:i/>
                <w:iCs/>
                <w:szCs w:val="18"/>
                <w:highlight w:val="yellow"/>
              </w:rPr>
            </w:pPr>
            <w:r w:rsidRPr="00494699">
              <w:rPr>
                <w:i/>
                <w:iCs/>
                <w:szCs w:val="18"/>
              </w:rPr>
              <w:t>pret IKP, %</w:t>
            </w:r>
          </w:p>
        </w:tc>
        <w:tc>
          <w:tcPr>
            <w:tcW w:w="341" w:type="pct"/>
            <w:tcBorders>
              <w:top w:val="nil"/>
              <w:left w:val="nil"/>
              <w:bottom w:val="single" w:sz="4" w:space="0" w:color="auto"/>
              <w:right w:val="single" w:sz="4" w:space="0" w:color="auto"/>
            </w:tcBorders>
            <w:shd w:val="clear" w:color="auto" w:fill="auto"/>
            <w:noWrap/>
          </w:tcPr>
          <w:p w14:paraId="5E844E77" w14:textId="77777777" w:rsidR="00494699" w:rsidRPr="00494699" w:rsidRDefault="00494699" w:rsidP="0034370C">
            <w:pPr>
              <w:pStyle w:val="Tabulascipari"/>
              <w:keepNext/>
              <w:keepLines/>
              <w:spacing w:after="0"/>
              <w:ind w:left="0"/>
              <w:rPr>
                <w:i/>
                <w:iCs/>
                <w:color w:val="000000"/>
                <w:szCs w:val="18"/>
              </w:rPr>
            </w:pPr>
            <w:r w:rsidRPr="00494699">
              <w:rPr>
                <w:i/>
                <w:iCs/>
                <w:szCs w:val="18"/>
              </w:rPr>
              <w:t>0,1</w:t>
            </w:r>
          </w:p>
        </w:tc>
        <w:tc>
          <w:tcPr>
            <w:tcW w:w="361" w:type="pct"/>
            <w:tcBorders>
              <w:top w:val="nil"/>
              <w:left w:val="nil"/>
              <w:bottom w:val="single" w:sz="4" w:space="0" w:color="auto"/>
              <w:right w:val="single" w:sz="4" w:space="0" w:color="auto"/>
            </w:tcBorders>
            <w:shd w:val="clear" w:color="auto" w:fill="auto"/>
            <w:noWrap/>
          </w:tcPr>
          <w:p w14:paraId="14C319AD" w14:textId="77777777" w:rsidR="00494699" w:rsidRPr="00494699" w:rsidRDefault="00494699" w:rsidP="0034370C">
            <w:pPr>
              <w:pStyle w:val="Tabulascipari"/>
              <w:keepNext/>
              <w:keepLines/>
              <w:spacing w:after="0"/>
              <w:ind w:left="0"/>
              <w:rPr>
                <w:i/>
                <w:iCs/>
                <w:color w:val="000000"/>
                <w:szCs w:val="18"/>
              </w:rPr>
            </w:pPr>
            <w:r w:rsidRPr="00494699">
              <w:rPr>
                <w:i/>
                <w:iCs/>
                <w:szCs w:val="18"/>
              </w:rPr>
              <w:t>0,1</w:t>
            </w:r>
          </w:p>
        </w:tc>
        <w:tc>
          <w:tcPr>
            <w:tcW w:w="361" w:type="pct"/>
            <w:tcBorders>
              <w:top w:val="nil"/>
              <w:left w:val="nil"/>
              <w:bottom w:val="single" w:sz="4" w:space="0" w:color="auto"/>
              <w:right w:val="single" w:sz="4" w:space="0" w:color="auto"/>
            </w:tcBorders>
            <w:shd w:val="clear" w:color="auto" w:fill="auto"/>
            <w:noWrap/>
          </w:tcPr>
          <w:p w14:paraId="1BBCD1A6" w14:textId="77777777" w:rsidR="00494699" w:rsidRPr="00494699" w:rsidRDefault="00494699" w:rsidP="0034370C">
            <w:pPr>
              <w:pStyle w:val="Tabulascipari"/>
              <w:keepNext/>
              <w:keepLines/>
              <w:spacing w:after="0"/>
              <w:ind w:left="0"/>
              <w:rPr>
                <w:i/>
                <w:iCs/>
                <w:color w:val="000000"/>
                <w:szCs w:val="18"/>
              </w:rPr>
            </w:pPr>
            <w:r w:rsidRPr="00494699">
              <w:rPr>
                <w:i/>
                <w:iCs/>
                <w:szCs w:val="18"/>
              </w:rPr>
              <w:t>0,1</w:t>
            </w:r>
          </w:p>
        </w:tc>
        <w:tc>
          <w:tcPr>
            <w:tcW w:w="340" w:type="pct"/>
            <w:tcBorders>
              <w:top w:val="nil"/>
              <w:left w:val="nil"/>
              <w:bottom w:val="single" w:sz="4" w:space="0" w:color="auto"/>
              <w:right w:val="single" w:sz="4" w:space="0" w:color="auto"/>
            </w:tcBorders>
          </w:tcPr>
          <w:p w14:paraId="35C391F1" w14:textId="77777777" w:rsidR="00494699" w:rsidRPr="00494699" w:rsidRDefault="00494699" w:rsidP="0034370C">
            <w:pPr>
              <w:pStyle w:val="Tabulascipari"/>
              <w:keepNext/>
              <w:keepLines/>
              <w:spacing w:after="0"/>
              <w:ind w:left="0"/>
              <w:rPr>
                <w:i/>
                <w:iCs/>
                <w:color w:val="000000"/>
                <w:szCs w:val="18"/>
              </w:rPr>
            </w:pPr>
            <w:r w:rsidRPr="00494699">
              <w:rPr>
                <w:i/>
                <w:iCs/>
                <w:szCs w:val="18"/>
              </w:rPr>
              <w:t>0,1</w:t>
            </w:r>
          </w:p>
        </w:tc>
      </w:tr>
      <w:tr w:rsidR="0034370C" w:rsidRPr="00494699" w14:paraId="28BD2534" w14:textId="77777777" w:rsidTr="0034370C">
        <w:trPr>
          <w:cantSplit/>
          <w:trHeight w:hRule="exact" w:val="454"/>
          <w:jc w:val="center"/>
        </w:trPr>
        <w:tc>
          <w:tcPr>
            <w:tcW w:w="3597" w:type="pct"/>
            <w:tcBorders>
              <w:top w:val="nil"/>
              <w:left w:val="single" w:sz="4" w:space="0" w:color="auto"/>
              <w:bottom w:val="single" w:sz="4" w:space="0" w:color="auto"/>
              <w:right w:val="single" w:sz="4" w:space="0" w:color="auto"/>
            </w:tcBorders>
            <w:shd w:val="clear" w:color="auto" w:fill="auto"/>
            <w:vAlign w:val="center"/>
            <w:hideMark/>
          </w:tcPr>
          <w:p w14:paraId="049D0ADF" w14:textId="0768D511" w:rsidR="00494699" w:rsidRPr="00494699" w:rsidRDefault="00494699" w:rsidP="0034370C">
            <w:pPr>
              <w:pStyle w:val="Tabulasteksts"/>
              <w:spacing w:after="0"/>
              <w:ind w:left="0"/>
              <w:rPr>
                <w:szCs w:val="18"/>
              </w:rPr>
            </w:pPr>
            <w:r w:rsidRPr="00494699">
              <w:rPr>
                <w:szCs w:val="18"/>
              </w:rPr>
              <w:t>Salīdzinājumā ar likumu “Par valsts budžetu 2023. gadam un budžeta ietvaru 2023., 2024. un 2025. gadam”, milj. </w:t>
            </w:r>
            <w:r w:rsidRPr="00272F14">
              <w:rPr>
                <w:i/>
                <w:iCs/>
                <w:szCs w:val="18"/>
              </w:rPr>
              <w:t>euro</w:t>
            </w:r>
          </w:p>
        </w:tc>
        <w:tc>
          <w:tcPr>
            <w:tcW w:w="341" w:type="pct"/>
            <w:tcBorders>
              <w:top w:val="nil"/>
              <w:left w:val="nil"/>
              <w:bottom w:val="single" w:sz="4" w:space="0" w:color="auto"/>
              <w:right w:val="single" w:sz="4" w:space="0" w:color="auto"/>
            </w:tcBorders>
            <w:shd w:val="clear" w:color="auto" w:fill="auto"/>
            <w:noWrap/>
          </w:tcPr>
          <w:p w14:paraId="17B6BDF1" w14:textId="77777777" w:rsidR="00494699" w:rsidRPr="00494699" w:rsidRDefault="00494699" w:rsidP="0034370C">
            <w:pPr>
              <w:pStyle w:val="Tabulascipari"/>
              <w:keepNext/>
              <w:keepLines/>
              <w:spacing w:after="0"/>
              <w:ind w:left="0"/>
              <w:rPr>
                <w:i/>
                <w:iCs/>
                <w:color w:val="000000"/>
                <w:szCs w:val="18"/>
              </w:rPr>
            </w:pPr>
            <w:r w:rsidRPr="00494699">
              <w:rPr>
                <w:i/>
                <w:iCs/>
                <w:szCs w:val="18"/>
              </w:rPr>
              <w:t>+2,9</w:t>
            </w:r>
          </w:p>
        </w:tc>
        <w:tc>
          <w:tcPr>
            <w:tcW w:w="361" w:type="pct"/>
            <w:tcBorders>
              <w:top w:val="nil"/>
              <w:left w:val="nil"/>
              <w:bottom w:val="single" w:sz="4" w:space="0" w:color="auto"/>
              <w:right w:val="single" w:sz="4" w:space="0" w:color="auto"/>
            </w:tcBorders>
            <w:shd w:val="clear" w:color="auto" w:fill="auto"/>
            <w:noWrap/>
          </w:tcPr>
          <w:p w14:paraId="58A1917A" w14:textId="77777777" w:rsidR="00494699" w:rsidRPr="00494699" w:rsidRDefault="00494699" w:rsidP="0034370C">
            <w:pPr>
              <w:pStyle w:val="Tabulascipari"/>
              <w:keepNext/>
              <w:keepLines/>
              <w:spacing w:after="0"/>
              <w:ind w:left="0"/>
              <w:rPr>
                <w:i/>
                <w:iCs/>
                <w:color w:val="000000"/>
                <w:szCs w:val="18"/>
              </w:rPr>
            </w:pPr>
            <w:r w:rsidRPr="00494699">
              <w:rPr>
                <w:i/>
                <w:iCs/>
                <w:szCs w:val="18"/>
              </w:rPr>
              <w:t>+6,5</w:t>
            </w:r>
          </w:p>
        </w:tc>
        <w:tc>
          <w:tcPr>
            <w:tcW w:w="361" w:type="pct"/>
            <w:tcBorders>
              <w:top w:val="nil"/>
              <w:left w:val="nil"/>
              <w:bottom w:val="single" w:sz="4" w:space="0" w:color="auto"/>
              <w:right w:val="single" w:sz="4" w:space="0" w:color="auto"/>
            </w:tcBorders>
            <w:shd w:val="clear" w:color="auto" w:fill="auto"/>
            <w:noWrap/>
          </w:tcPr>
          <w:p w14:paraId="4956E7BC" w14:textId="77777777" w:rsidR="00494699" w:rsidRPr="00494699" w:rsidRDefault="00494699" w:rsidP="0034370C">
            <w:pPr>
              <w:pStyle w:val="Tabulascipari"/>
              <w:keepNext/>
              <w:keepLines/>
              <w:spacing w:after="0"/>
              <w:ind w:left="0"/>
              <w:rPr>
                <w:i/>
                <w:iCs/>
                <w:color w:val="000000"/>
                <w:szCs w:val="18"/>
              </w:rPr>
            </w:pPr>
            <w:r w:rsidRPr="00494699">
              <w:rPr>
                <w:i/>
                <w:iCs/>
                <w:szCs w:val="18"/>
              </w:rPr>
              <w:t>+6,5</w:t>
            </w:r>
          </w:p>
        </w:tc>
        <w:tc>
          <w:tcPr>
            <w:tcW w:w="340" w:type="pct"/>
            <w:tcBorders>
              <w:top w:val="nil"/>
              <w:left w:val="nil"/>
              <w:bottom w:val="single" w:sz="4" w:space="0" w:color="auto"/>
              <w:right w:val="single" w:sz="4" w:space="0" w:color="auto"/>
            </w:tcBorders>
            <w:shd w:val="clear" w:color="auto" w:fill="auto"/>
          </w:tcPr>
          <w:p w14:paraId="2604FF26" w14:textId="77777777" w:rsidR="00494699" w:rsidRPr="00494699" w:rsidRDefault="00494699" w:rsidP="0034370C">
            <w:pPr>
              <w:pStyle w:val="Tabulascipari"/>
              <w:keepNext/>
              <w:keepLines/>
              <w:spacing w:after="0"/>
              <w:ind w:left="0"/>
              <w:rPr>
                <w:i/>
                <w:iCs/>
                <w:szCs w:val="18"/>
              </w:rPr>
            </w:pPr>
            <w:r w:rsidRPr="00494699">
              <w:rPr>
                <w:i/>
                <w:iCs/>
                <w:szCs w:val="18"/>
              </w:rPr>
              <w:t>—</w:t>
            </w:r>
          </w:p>
        </w:tc>
      </w:tr>
      <w:tr w:rsidR="0034370C" w:rsidRPr="00494699" w14:paraId="030722D8" w14:textId="77777777" w:rsidTr="0034370C">
        <w:trPr>
          <w:cantSplit/>
          <w:trHeight w:hRule="exact" w:val="454"/>
          <w:jc w:val="center"/>
        </w:trPr>
        <w:tc>
          <w:tcPr>
            <w:tcW w:w="3597" w:type="pct"/>
            <w:tcBorders>
              <w:top w:val="nil"/>
              <w:left w:val="single" w:sz="4" w:space="0" w:color="auto"/>
              <w:bottom w:val="single" w:sz="4" w:space="0" w:color="auto"/>
              <w:right w:val="single" w:sz="4" w:space="0" w:color="auto"/>
            </w:tcBorders>
            <w:shd w:val="clear" w:color="auto" w:fill="auto"/>
            <w:vAlign w:val="center"/>
            <w:hideMark/>
          </w:tcPr>
          <w:p w14:paraId="7B4911E8" w14:textId="544F3BB4" w:rsidR="00494699" w:rsidRPr="00494699" w:rsidRDefault="00494699" w:rsidP="0034370C">
            <w:pPr>
              <w:pStyle w:val="Tabulasteksts"/>
              <w:spacing w:after="0"/>
              <w:ind w:left="0"/>
              <w:rPr>
                <w:szCs w:val="18"/>
              </w:rPr>
            </w:pPr>
            <w:r w:rsidRPr="00494699">
              <w:rPr>
                <w:szCs w:val="18"/>
              </w:rPr>
              <w:t>Salīdzinājumā ar likumu “Par valsts budžetu 2023. gadam un budžeta ietvaru 2023., 2024. un 2025. gadam”, %</w:t>
            </w:r>
          </w:p>
        </w:tc>
        <w:tc>
          <w:tcPr>
            <w:tcW w:w="341" w:type="pct"/>
            <w:tcBorders>
              <w:top w:val="nil"/>
              <w:left w:val="nil"/>
              <w:bottom w:val="single" w:sz="4" w:space="0" w:color="auto"/>
              <w:right w:val="single" w:sz="4" w:space="0" w:color="auto"/>
            </w:tcBorders>
            <w:shd w:val="clear" w:color="auto" w:fill="auto"/>
            <w:noWrap/>
          </w:tcPr>
          <w:p w14:paraId="3D40DF34" w14:textId="77777777" w:rsidR="00494699" w:rsidRPr="00494699" w:rsidRDefault="00494699" w:rsidP="0034370C">
            <w:pPr>
              <w:pStyle w:val="Tabulascipari"/>
              <w:keepNext/>
              <w:keepLines/>
              <w:spacing w:after="0"/>
              <w:ind w:left="0"/>
              <w:rPr>
                <w:i/>
                <w:iCs/>
                <w:color w:val="000000"/>
                <w:szCs w:val="18"/>
              </w:rPr>
            </w:pPr>
            <w:r w:rsidRPr="00494699">
              <w:rPr>
                <w:i/>
                <w:iCs/>
                <w:szCs w:val="18"/>
              </w:rPr>
              <w:t>+6,9</w:t>
            </w:r>
          </w:p>
        </w:tc>
        <w:tc>
          <w:tcPr>
            <w:tcW w:w="361" w:type="pct"/>
            <w:tcBorders>
              <w:top w:val="nil"/>
              <w:left w:val="nil"/>
              <w:bottom w:val="single" w:sz="4" w:space="0" w:color="auto"/>
              <w:right w:val="single" w:sz="4" w:space="0" w:color="auto"/>
            </w:tcBorders>
            <w:shd w:val="clear" w:color="auto" w:fill="auto"/>
            <w:noWrap/>
          </w:tcPr>
          <w:p w14:paraId="7CBF9359" w14:textId="77777777" w:rsidR="00494699" w:rsidRPr="00494699" w:rsidRDefault="00494699" w:rsidP="0034370C">
            <w:pPr>
              <w:pStyle w:val="Tabulascipari"/>
              <w:keepNext/>
              <w:keepLines/>
              <w:spacing w:after="0"/>
              <w:ind w:left="0"/>
              <w:rPr>
                <w:i/>
                <w:iCs/>
                <w:color w:val="000000"/>
                <w:szCs w:val="18"/>
              </w:rPr>
            </w:pPr>
            <w:r w:rsidRPr="00494699">
              <w:rPr>
                <w:i/>
                <w:iCs/>
                <w:szCs w:val="18"/>
              </w:rPr>
              <w:t>+15,2</w:t>
            </w:r>
          </w:p>
        </w:tc>
        <w:tc>
          <w:tcPr>
            <w:tcW w:w="361" w:type="pct"/>
            <w:tcBorders>
              <w:top w:val="nil"/>
              <w:left w:val="nil"/>
              <w:bottom w:val="single" w:sz="4" w:space="0" w:color="auto"/>
              <w:right w:val="single" w:sz="4" w:space="0" w:color="auto"/>
            </w:tcBorders>
            <w:shd w:val="clear" w:color="auto" w:fill="auto"/>
            <w:noWrap/>
          </w:tcPr>
          <w:p w14:paraId="5C84A5C8" w14:textId="77777777" w:rsidR="00494699" w:rsidRPr="00494699" w:rsidRDefault="00494699" w:rsidP="0034370C">
            <w:pPr>
              <w:pStyle w:val="Tabulascipari"/>
              <w:keepNext/>
              <w:keepLines/>
              <w:spacing w:after="0"/>
              <w:ind w:left="0"/>
              <w:rPr>
                <w:i/>
                <w:iCs/>
                <w:color w:val="000000"/>
                <w:szCs w:val="18"/>
              </w:rPr>
            </w:pPr>
            <w:r w:rsidRPr="00494699">
              <w:rPr>
                <w:i/>
                <w:iCs/>
                <w:szCs w:val="18"/>
              </w:rPr>
              <w:t>+14,9</w:t>
            </w:r>
          </w:p>
        </w:tc>
        <w:tc>
          <w:tcPr>
            <w:tcW w:w="340" w:type="pct"/>
            <w:tcBorders>
              <w:top w:val="nil"/>
              <w:left w:val="nil"/>
              <w:bottom w:val="single" w:sz="4" w:space="0" w:color="auto"/>
              <w:right w:val="single" w:sz="4" w:space="0" w:color="auto"/>
            </w:tcBorders>
            <w:shd w:val="clear" w:color="auto" w:fill="auto"/>
          </w:tcPr>
          <w:p w14:paraId="67D8CB96" w14:textId="77777777" w:rsidR="00494699" w:rsidRPr="00494699" w:rsidRDefault="00494699" w:rsidP="0034370C">
            <w:pPr>
              <w:pStyle w:val="Tabulascipari"/>
              <w:keepNext/>
              <w:keepLines/>
              <w:spacing w:after="0"/>
              <w:ind w:left="0"/>
              <w:rPr>
                <w:i/>
                <w:iCs/>
                <w:szCs w:val="18"/>
              </w:rPr>
            </w:pPr>
            <w:r w:rsidRPr="00494699">
              <w:rPr>
                <w:i/>
                <w:iCs/>
                <w:szCs w:val="18"/>
              </w:rPr>
              <w:t>—</w:t>
            </w:r>
          </w:p>
        </w:tc>
      </w:tr>
    </w:tbl>
    <w:p w14:paraId="43D07AC8" w14:textId="77777777" w:rsidR="00494699" w:rsidRPr="00494699" w:rsidRDefault="00494699" w:rsidP="00494699">
      <w:pPr>
        <w:pStyle w:val="Piezme"/>
      </w:pPr>
      <w:r w:rsidRPr="00494699">
        <w:rPr>
          <w:vertAlign w:val="superscript"/>
        </w:rPr>
        <w:t>1</w:t>
      </w:r>
      <w:r w:rsidRPr="00494699">
        <w:t> Prognoze</w:t>
      </w:r>
    </w:p>
    <w:p w14:paraId="156F2A36" w14:textId="77777777" w:rsidR="007D32EB" w:rsidRPr="0034370C" w:rsidRDefault="007D32EB" w:rsidP="00AC016C">
      <w:pPr>
        <w:keepNext/>
        <w:keepLines/>
        <w:spacing w:before="240" w:after="240"/>
        <w:ind w:firstLine="0"/>
        <w:jc w:val="center"/>
        <w:outlineLvl w:val="3"/>
        <w:rPr>
          <w:rFonts w:eastAsia="Times New Roman" w:cs="Times New Roman"/>
          <w:b/>
          <w:sz w:val="28"/>
          <w:lang w:eastAsia="en-US"/>
        </w:rPr>
      </w:pPr>
      <w:r w:rsidRPr="0034370C">
        <w:rPr>
          <w:rFonts w:eastAsia="Times New Roman" w:cs="Times New Roman"/>
          <w:b/>
          <w:sz w:val="28"/>
          <w:lang w:eastAsia="en-US"/>
        </w:rPr>
        <w:t>Elektroenerģijas nodoklis</w:t>
      </w:r>
    </w:p>
    <w:p w14:paraId="7C8A04C0" w14:textId="22C336BF" w:rsidR="00494699" w:rsidRPr="008B4A04" w:rsidRDefault="00494699" w:rsidP="00494699">
      <w:pPr>
        <w:rPr>
          <w:rFonts w:eastAsia="Calibri" w:cs="Times New Roman"/>
          <w:szCs w:val="24"/>
          <w:highlight w:val="yellow"/>
        </w:rPr>
      </w:pPr>
      <w:bookmarkStart w:id="107" w:name="_Toc126236665"/>
      <w:bookmarkEnd w:id="83"/>
      <w:r w:rsidRPr="008B4A04">
        <w:rPr>
          <w:rFonts w:eastAsia="Calibri" w:cs="Times New Roman"/>
          <w:szCs w:val="24"/>
        </w:rPr>
        <w:t xml:space="preserve">Elektroenerģijas nodoklis ir daļa no izmaksām, kuras tiek iecenotas tirdzniecības pakalpojumu cenā, jo nodokļu maksātājs ir elektroenerģijas tirgotājs un elektroenerģijas ražotājs. Elektroenerģijas nodokļa likme </w:t>
      </w:r>
      <w:r>
        <w:rPr>
          <w:rFonts w:eastAsia="Calibri" w:cs="Times New Roman"/>
          <w:szCs w:val="24"/>
        </w:rPr>
        <w:t xml:space="preserve">ir nemainīga kopš likuma stāšanās spēkā 01.01.2007. un kopš </w:t>
      </w:r>
      <w:proofErr w:type="spellStart"/>
      <w:r w:rsidRPr="00770C40">
        <w:rPr>
          <w:rFonts w:eastAsia="Calibri" w:cs="Times New Roman"/>
          <w:i/>
          <w:iCs/>
          <w:szCs w:val="24"/>
        </w:rPr>
        <w:t>euro</w:t>
      </w:r>
      <w:proofErr w:type="spellEnd"/>
      <w:r>
        <w:rPr>
          <w:rFonts w:eastAsia="Calibri" w:cs="Times New Roman"/>
          <w:szCs w:val="24"/>
        </w:rPr>
        <w:t xml:space="preserve"> ieviešanas 01.01.2014. </w:t>
      </w:r>
      <w:r w:rsidRPr="008B4A04">
        <w:rPr>
          <w:rFonts w:eastAsia="Calibri" w:cs="Times New Roman"/>
          <w:szCs w:val="24"/>
        </w:rPr>
        <w:t>ir 1,01 </w:t>
      </w:r>
      <w:proofErr w:type="spellStart"/>
      <w:r w:rsidRPr="00770C40">
        <w:rPr>
          <w:rFonts w:eastAsia="Calibri" w:cs="Times New Roman"/>
          <w:i/>
          <w:iCs/>
          <w:szCs w:val="24"/>
        </w:rPr>
        <w:t>euro</w:t>
      </w:r>
      <w:proofErr w:type="spellEnd"/>
      <w:r w:rsidRPr="008B4A04">
        <w:rPr>
          <w:rFonts w:eastAsia="Calibri" w:cs="Times New Roman"/>
          <w:szCs w:val="24"/>
        </w:rPr>
        <w:t xml:space="preserve"> par megavatstundu, tas ir 0,10 </w:t>
      </w:r>
      <w:proofErr w:type="spellStart"/>
      <w:r w:rsidRPr="00770C40">
        <w:rPr>
          <w:rFonts w:eastAsia="Calibri" w:cs="Times New Roman"/>
          <w:i/>
          <w:iCs/>
          <w:szCs w:val="24"/>
        </w:rPr>
        <w:t>euro</w:t>
      </w:r>
      <w:proofErr w:type="spellEnd"/>
      <w:r w:rsidRPr="008B4A04">
        <w:rPr>
          <w:rFonts w:eastAsia="Calibri" w:cs="Times New Roman"/>
          <w:szCs w:val="24"/>
        </w:rPr>
        <w:t xml:space="preserve"> par 100 kilovatiem.</w:t>
      </w:r>
    </w:p>
    <w:p w14:paraId="55E529C4" w14:textId="77777777" w:rsidR="00494699" w:rsidRPr="008B4A04" w:rsidRDefault="00494699" w:rsidP="00494699">
      <w:pPr>
        <w:rPr>
          <w:rFonts w:eastAsia="Calibri" w:cs="Times New Roman"/>
          <w:szCs w:val="24"/>
          <w:highlight w:val="yellow"/>
        </w:rPr>
      </w:pPr>
      <w:r w:rsidRPr="008B4A04">
        <w:rPr>
          <w:rFonts w:eastAsia="Calibri" w:cs="Times New Roman"/>
          <w:szCs w:val="24"/>
        </w:rPr>
        <w:lastRenderedPageBreak/>
        <w:t>Elektroenerģijas nodokļa ieņēmumi 2023</w:t>
      </w:r>
      <w:r>
        <w:rPr>
          <w:rFonts w:eastAsia="Calibri" w:cs="Times New Roman"/>
          <w:szCs w:val="24"/>
        </w:rPr>
        <w:t>. g</w:t>
      </w:r>
      <w:r w:rsidRPr="008B4A04">
        <w:rPr>
          <w:rFonts w:eastAsia="Calibri" w:cs="Times New Roman"/>
          <w:szCs w:val="24"/>
        </w:rPr>
        <w:t>ada sešos mēnešos bija 2,5</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salīdzinot ar 2022</w:t>
      </w:r>
      <w:r>
        <w:rPr>
          <w:rFonts w:eastAsia="Calibri" w:cs="Times New Roman"/>
          <w:szCs w:val="24"/>
        </w:rPr>
        <w:t>. g</w:t>
      </w:r>
      <w:r w:rsidRPr="008B4A04">
        <w:rPr>
          <w:rFonts w:eastAsia="Calibri" w:cs="Times New Roman"/>
          <w:szCs w:val="24"/>
        </w:rPr>
        <w:t>ada sešiem mēnešiem, bija par 0,1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2,9</w:t>
      </w:r>
      <w:r>
        <w:rPr>
          <w:rFonts w:eastAsia="Calibri" w:cs="Times New Roman"/>
          <w:szCs w:val="24"/>
        </w:rPr>
        <w:t> %</w:t>
      </w:r>
      <w:r w:rsidRPr="008B4A04">
        <w:rPr>
          <w:rFonts w:eastAsia="Calibri" w:cs="Times New Roman"/>
          <w:szCs w:val="24"/>
        </w:rPr>
        <w:t xml:space="preserve"> mazāk. Salīdzinājumā ar 2023</w:t>
      </w:r>
      <w:r>
        <w:rPr>
          <w:rFonts w:eastAsia="Calibri" w:cs="Times New Roman"/>
          <w:szCs w:val="24"/>
        </w:rPr>
        <w:t>. g</w:t>
      </w:r>
      <w:r w:rsidRPr="008B4A04">
        <w:rPr>
          <w:rFonts w:eastAsia="Calibri" w:cs="Times New Roman"/>
          <w:szCs w:val="24"/>
        </w:rPr>
        <w:t>ada sešu mēnešu plānu, ieņēmumi ir mazāki par 0,1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3,9</w:t>
      </w:r>
      <w:r>
        <w:rPr>
          <w:rFonts w:eastAsia="Calibri" w:cs="Times New Roman"/>
          <w:szCs w:val="24"/>
        </w:rPr>
        <w:t> %</w:t>
      </w:r>
      <w:r w:rsidRPr="008B4A04">
        <w:rPr>
          <w:rFonts w:eastAsia="Calibri" w:cs="Times New Roman"/>
          <w:szCs w:val="24"/>
        </w:rPr>
        <w:t>.</w:t>
      </w:r>
    </w:p>
    <w:p w14:paraId="53803352" w14:textId="77777777" w:rsidR="00494699" w:rsidRPr="008B4A04" w:rsidRDefault="00494699" w:rsidP="00494699">
      <w:pPr>
        <w:rPr>
          <w:rFonts w:eastAsia="Calibri" w:cs="Times New Roman"/>
          <w:szCs w:val="24"/>
        </w:rPr>
      </w:pPr>
      <w:r w:rsidRPr="008B4A04">
        <w:rPr>
          <w:rFonts w:eastAsia="Calibri" w:cs="Times New Roman"/>
          <w:szCs w:val="24"/>
        </w:rPr>
        <w:t>Saskaņā ar likumprojektu “Par valsts budžetu 2024</w:t>
      </w:r>
      <w:r>
        <w:rPr>
          <w:rFonts w:eastAsia="Calibri" w:cs="Times New Roman"/>
          <w:szCs w:val="24"/>
        </w:rPr>
        <w:t>. g</w:t>
      </w:r>
      <w:r w:rsidRPr="008B4A04">
        <w:rPr>
          <w:rFonts w:eastAsia="Calibri" w:cs="Times New Roman"/>
          <w:szCs w:val="24"/>
        </w:rPr>
        <w:t>adam un budžeta ietvaru 2024., 2025. un 2026</w:t>
      </w:r>
      <w:r>
        <w:rPr>
          <w:rFonts w:eastAsia="Calibri" w:cs="Times New Roman"/>
          <w:szCs w:val="24"/>
        </w:rPr>
        <w:t>. g</w:t>
      </w:r>
      <w:r w:rsidRPr="008B4A04">
        <w:rPr>
          <w:rFonts w:eastAsia="Calibri" w:cs="Times New Roman"/>
          <w:szCs w:val="24"/>
        </w:rPr>
        <w:t>adam”, 2024. un 2025</w:t>
      </w:r>
      <w:r>
        <w:rPr>
          <w:rFonts w:eastAsia="Calibri" w:cs="Times New Roman"/>
          <w:szCs w:val="24"/>
        </w:rPr>
        <w:t>. g</w:t>
      </w:r>
      <w:r w:rsidRPr="008B4A04">
        <w:rPr>
          <w:rFonts w:eastAsia="Calibri" w:cs="Times New Roman"/>
          <w:szCs w:val="24"/>
        </w:rPr>
        <w:t>adā elektroenerģijas nodokļa ieņēmumi tiek plānoti 5,2</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apmērā, bet 2026</w:t>
      </w:r>
      <w:r>
        <w:rPr>
          <w:rFonts w:eastAsia="Calibri" w:cs="Times New Roman"/>
          <w:szCs w:val="24"/>
        </w:rPr>
        <w:t>. g</w:t>
      </w:r>
      <w:r w:rsidRPr="008B4A04">
        <w:rPr>
          <w:rFonts w:eastAsia="Calibri" w:cs="Times New Roman"/>
          <w:szCs w:val="24"/>
        </w:rPr>
        <w:t>adā 5,3</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apmērā (skat. 3.2</w:t>
      </w:r>
      <w:r>
        <w:rPr>
          <w:rFonts w:eastAsia="Calibri" w:cs="Times New Roman"/>
          <w:szCs w:val="24"/>
        </w:rPr>
        <w:t>0</w:t>
      </w:r>
      <w:r w:rsidRPr="008B4A04">
        <w:rPr>
          <w:rFonts w:eastAsia="Calibri" w:cs="Times New Roman"/>
          <w:szCs w:val="24"/>
        </w:rPr>
        <w:t>. tabulu).</w:t>
      </w:r>
    </w:p>
    <w:p w14:paraId="783DB8F0" w14:textId="77777777" w:rsidR="00494699" w:rsidRPr="004A3BF6" w:rsidRDefault="00494699" w:rsidP="00494699">
      <w:pPr>
        <w:pStyle w:val="Tabulasnosaukums"/>
      </w:pPr>
      <w:r w:rsidRPr="004A3BF6">
        <w:t>3.2</w:t>
      </w:r>
      <w:r>
        <w:t>0</w:t>
      </w:r>
      <w:r w:rsidRPr="004A3BF6">
        <w:t>. tabula. Elektroenerģijas nodokļa ieņēmumi</w:t>
      </w:r>
    </w:p>
    <w:tbl>
      <w:tblPr>
        <w:tblW w:w="4988" w:type="pct"/>
        <w:jc w:val="center"/>
        <w:tblLook w:val="04A0" w:firstRow="1" w:lastRow="0" w:firstColumn="1" w:lastColumn="0" w:noHBand="0" w:noVBand="1"/>
      </w:tblPr>
      <w:tblGrid>
        <w:gridCol w:w="6575"/>
        <w:gridCol w:w="616"/>
        <w:gridCol w:w="616"/>
        <w:gridCol w:w="616"/>
        <w:gridCol w:w="616"/>
      </w:tblGrid>
      <w:tr w:rsidR="008A2D7F" w:rsidRPr="00494699" w14:paraId="42CF7C65" w14:textId="77777777" w:rsidTr="008A2D7F">
        <w:trPr>
          <w:cantSplit/>
          <w:trHeight w:hRule="exact" w:val="227"/>
          <w:jc w:val="center"/>
        </w:trPr>
        <w:tc>
          <w:tcPr>
            <w:tcW w:w="3637" w:type="pc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72ECBB75" w14:textId="77777777" w:rsidR="00494699" w:rsidRPr="00494699" w:rsidRDefault="00494699" w:rsidP="005D673A">
            <w:pPr>
              <w:pStyle w:val="Tabulasgalvenesrinda"/>
              <w:rPr>
                <w:highlight w:val="yellow"/>
              </w:rPr>
            </w:pPr>
          </w:p>
        </w:tc>
        <w:tc>
          <w:tcPr>
            <w:tcW w:w="341" w:type="pct"/>
            <w:tcBorders>
              <w:top w:val="single" w:sz="4" w:space="0" w:color="auto"/>
              <w:left w:val="nil"/>
              <w:bottom w:val="single" w:sz="4" w:space="0" w:color="auto"/>
              <w:right w:val="single" w:sz="4" w:space="0" w:color="000000"/>
            </w:tcBorders>
            <w:shd w:val="clear" w:color="auto" w:fill="9CC2E5" w:themeFill="accent1" w:themeFillTint="99"/>
            <w:vAlign w:val="center"/>
          </w:tcPr>
          <w:p w14:paraId="7EE06379" w14:textId="77777777" w:rsidR="00494699" w:rsidRPr="00494699" w:rsidRDefault="00494699" w:rsidP="005D673A">
            <w:pPr>
              <w:pStyle w:val="Tabulasgalvenesrinda"/>
              <w:rPr>
                <w:highlight w:val="yellow"/>
              </w:rPr>
            </w:pPr>
            <w:r w:rsidRPr="00494699">
              <w:t>2023</w:t>
            </w:r>
          </w:p>
        </w:tc>
        <w:tc>
          <w:tcPr>
            <w:tcW w:w="341" w:type="pct"/>
            <w:tcBorders>
              <w:top w:val="single" w:sz="4" w:space="0" w:color="auto"/>
              <w:left w:val="nil"/>
              <w:bottom w:val="single" w:sz="4" w:space="0" w:color="auto"/>
              <w:right w:val="single" w:sz="4" w:space="0" w:color="000000"/>
            </w:tcBorders>
            <w:shd w:val="clear" w:color="auto" w:fill="9CC2E5" w:themeFill="accent1" w:themeFillTint="99"/>
            <w:vAlign w:val="center"/>
          </w:tcPr>
          <w:p w14:paraId="01550F6C" w14:textId="77777777" w:rsidR="00494699" w:rsidRPr="00494699" w:rsidRDefault="00494699" w:rsidP="005D673A">
            <w:pPr>
              <w:pStyle w:val="Tabulasgalvenesrinda"/>
              <w:rPr>
                <w:highlight w:val="yellow"/>
              </w:rPr>
            </w:pPr>
            <w:r w:rsidRPr="00494699">
              <w:t>2024</w:t>
            </w:r>
          </w:p>
        </w:tc>
        <w:tc>
          <w:tcPr>
            <w:tcW w:w="341" w:type="pct"/>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373D5C74" w14:textId="77777777" w:rsidR="00494699" w:rsidRPr="00494699" w:rsidRDefault="00494699" w:rsidP="005D673A">
            <w:pPr>
              <w:pStyle w:val="Tabulasgalvenesrinda"/>
              <w:rPr>
                <w:highlight w:val="yellow"/>
              </w:rPr>
            </w:pPr>
            <w:r w:rsidRPr="00494699">
              <w:t>2025</w:t>
            </w:r>
          </w:p>
        </w:tc>
        <w:tc>
          <w:tcPr>
            <w:tcW w:w="341" w:type="pct"/>
            <w:tcBorders>
              <w:top w:val="single" w:sz="4" w:space="0" w:color="auto"/>
              <w:left w:val="nil"/>
              <w:bottom w:val="single" w:sz="4" w:space="0" w:color="auto"/>
              <w:right w:val="single" w:sz="4" w:space="0" w:color="auto"/>
            </w:tcBorders>
            <w:shd w:val="clear" w:color="auto" w:fill="9CC2E5" w:themeFill="accent1" w:themeFillTint="99"/>
            <w:vAlign w:val="center"/>
          </w:tcPr>
          <w:p w14:paraId="4810AD27" w14:textId="77777777" w:rsidR="00494699" w:rsidRPr="00494699" w:rsidRDefault="00494699" w:rsidP="005D673A">
            <w:pPr>
              <w:pStyle w:val="Tabulasgalvenesrinda"/>
              <w:rPr>
                <w:highlight w:val="yellow"/>
              </w:rPr>
            </w:pPr>
            <w:r w:rsidRPr="00494699">
              <w:t>2026</w:t>
            </w:r>
          </w:p>
        </w:tc>
      </w:tr>
      <w:tr w:rsidR="008A2D7F" w:rsidRPr="00494699" w14:paraId="6244DD52" w14:textId="77777777" w:rsidTr="00BB23B3">
        <w:trPr>
          <w:cantSplit/>
          <w:trHeight w:hRule="exact" w:val="454"/>
          <w:jc w:val="center"/>
        </w:trPr>
        <w:tc>
          <w:tcPr>
            <w:tcW w:w="3637" w:type="pct"/>
            <w:tcBorders>
              <w:top w:val="nil"/>
              <w:left w:val="single" w:sz="4" w:space="0" w:color="auto"/>
              <w:bottom w:val="single" w:sz="4" w:space="0" w:color="auto"/>
              <w:right w:val="single" w:sz="4" w:space="0" w:color="auto"/>
            </w:tcBorders>
            <w:shd w:val="clear" w:color="auto" w:fill="auto"/>
            <w:vAlign w:val="center"/>
            <w:hideMark/>
          </w:tcPr>
          <w:p w14:paraId="2CE4169E" w14:textId="77777777" w:rsidR="00494699" w:rsidRPr="00494699" w:rsidRDefault="00494699" w:rsidP="0034370C">
            <w:pPr>
              <w:pStyle w:val="Tabulasteksts"/>
              <w:spacing w:after="0"/>
              <w:ind w:left="0"/>
              <w:rPr>
                <w:szCs w:val="18"/>
                <w:highlight w:val="yellow"/>
              </w:rPr>
            </w:pPr>
            <w:r w:rsidRPr="00494699">
              <w:rPr>
                <w:szCs w:val="18"/>
              </w:rPr>
              <w:t>Saskaņā ar likumprojektu “Par budžeta ietvaru 2024., 2025. un 2026. gadam”, milj. </w:t>
            </w:r>
            <w:r w:rsidRPr="00494699">
              <w:rPr>
                <w:i/>
                <w:iCs/>
                <w:szCs w:val="18"/>
              </w:rPr>
              <w:t>euro</w:t>
            </w:r>
          </w:p>
        </w:tc>
        <w:tc>
          <w:tcPr>
            <w:tcW w:w="341" w:type="pct"/>
            <w:tcBorders>
              <w:top w:val="nil"/>
              <w:left w:val="nil"/>
              <w:bottom w:val="single" w:sz="4" w:space="0" w:color="auto"/>
              <w:right w:val="single" w:sz="4" w:space="0" w:color="auto"/>
            </w:tcBorders>
            <w:shd w:val="clear" w:color="auto" w:fill="auto"/>
            <w:noWrap/>
            <w:vAlign w:val="center"/>
          </w:tcPr>
          <w:p w14:paraId="454482C4" w14:textId="77777777" w:rsidR="00494699" w:rsidRPr="008A2D7F" w:rsidRDefault="00494699" w:rsidP="00BB23B3">
            <w:pPr>
              <w:pStyle w:val="Tabulascipari"/>
              <w:keepNext/>
              <w:keepLines/>
              <w:spacing w:after="0"/>
              <w:ind w:left="0"/>
              <w:jc w:val="center"/>
              <w:rPr>
                <w:color w:val="000000"/>
                <w:szCs w:val="18"/>
              </w:rPr>
            </w:pPr>
            <w:r w:rsidRPr="008A2D7F">
              <w:rPr>
                <w:szCs w:val="18"/>
              </w:rPr>
              <w:t>5,1</w:t>
            </w:r>
            <w:r w:rsidRPr="008A2D7F">
              <w:rPr>
                <w:szCs w:val="18"/>
                <w:vertAlign w:val="superscript"/>
              </w:rPr>
              <w:t>1</w:t>
            </w:r>
          </w:p>
        </w:tc>
        <w:tc>
          <w:tcPr>
            <w:tcW w:w="341" w:type="pct"/>
            <w:tcBorders>
              <w:top w:val="nil"/>
              <w:left w:val="nil"/>
              <w:bottom w:val="single" w:sz="4" w:space="0" w:color="auto"/>
              <w:right w:val="single" w:sz="4" w:space="0" w:color="auto"/>
            </w:tcBorders>
            <w:shd w:val="clear" w:color="auto" w:fill="auto"/>
            <w:noWrap/>
            <w:vAlign w:val="center"/>
          </w:tcPr>
          <w:p w14:paraId="70596B19" w14:textId="77777777" w:rsidR="00494699" w:rsidRPr="008A2D7F" w:rsidRDefault="00494699" w:rsidP="00BB23B3">
            <w:pPr>
              <w:pStyle w:val="Tabulascipari"/>
              <w:keepNext/>
              <w:keepLines/>
              <w:spacing w:after="0"/>
              <w:ind w:left="0"/>
              <w:jc w:val="center"/>
              <w:rPr>
                <w:color w:val="000000"/>
                <w:szCs w:val="18"/>
              </w:rPr>
            </w:pPr>
            <w:r w:rsidRPr="008A2D7F">
              <w:rPr>
                <w:szCs w:val="18"/>
              </w:rPr>
              <w:t>5,2</w:t>
            </w:r>
          </w:p>
        </w:tc>
        <w:tc>
          <w:tcPr>
            <w:tcW w:w="341" w:type="pct"/>
            <w:tcBorders>
              <w:top w:val="nil"/>
              <w:left w:val="nil"/>
              <w:bottom w:val="single" w:sz="4" w:space="0" w:color="auto"/>
              <w:right w:val="single" w:sz="4" w:space="0" w:color="auto"/>
            </w:tcBorders>
            <w:shd w:val="clear" w:color="auto" w:fill="auto"/>
            <w:noWrap/>
            <w:vAlign w:val="center"/>
          </w:tcPr>
          <w:p w14:paraId="316E8C61" w14:textId="77777777" w:rsidR="00494699" w:rsidRPr="008A2D7F" w:rsidRDefault="00494699" w:rsidP="00BB23B3">
            <w:pPr>
              <w:pStyle w:val="Tabulascipari"/>
              <w:keepNext/>
              <w:keepLines/>
              <w:spacing w:after="0"/>
              <w:ind w:left="0"/>
              <w:jc w:val="center"/>
              <w:rPr>
                <w:color w:val="000000"/>
                <w:szCs w:val="18"/>
              </w:rPr>
            </w:pPr>
            <w:r w:rsidRPr="008A2D7F">
              <w:rPr>
                <w:szCs w:val="18"/>
              </w:rPr>
              <w:t>5,2</w:t>
            </w:r>
          </w:p>
        </w:tc>
        <w:tc>
          <w:tcPr>
            <w:tcW w:w="341" w:type="pct"/>
            <w:tcBorders>
              <w:top w:val="nil"/>
              <w:left w:val="nil"/>
              <w:bottom w:val="single" w:sz="4" w:space="0" w:color="auto"/>
              <w:right w:val="single" w:sz="4" w:space="0" w:color="auto"/>
            </w:tcBorders>
            <w:vAlign w:val="center"/>
          </w:tcPr>
          <w:p w14:paraId="790C2719" w14:textId="77777777" w:rsidR="00494699" w:rsidRPr="008A2D7F" w:rsidRDefault="00494699" w:rsidP="00BB23B3">
            <w:pPr>
              <w:pStyle w:val="Tabulascipari"/>
              <w:keepNext/>
              <w:keepLines/>
              <w:spacing w:after="0"/>
              <w:ind w:left="0"/>
              <w:jc w:val="center"/>
              <w:rPr>
                <w:color w:val="000000"/>
                <w:szCs w:val="18"/>
              </w:rPr>
            </w:pPr>
            <w:r w:rsidRPr="008A2D7F">
              <w:rPr>
                <w:szCs w:val="18"/>
              </w:rPr>
              <w:t>5,3</w:t>
            </w:r>
          </w:p>
        </w:tc>
      </w:tr>
      <w:tr w:rsidR="008A2D7F" w:rsidRPr="00494699" w14:paraId="0A9CE478" w14:textId="77777777" w:rsidTr="008A2D7F">
        <w:trPr>
          <w:cantSplit/>
          <w:trHeight w:hRule="exact" w:val="227"/>
          <w:jc w:val="center"/>
        </w:trPr>
        <w:tc>
          <w:tcPr>
            <w:tcW w:w="3637" w:type="pct"/>
            <w:tcBorders>
              <w:top w:val="nil"/>
              <w:left w:val="single" w:sz="4" w:space="0" w:color="auto"/>
              <w:bottom w:val="single" w:sz="4" w:space="0" w:color="auto"/>
              <w:right w:val="single" w:sz="4" w:space="0" w:color="auto"/>
            </w:tcBorders>
            <w:shd w:val="clear" w:color="auto" w:fill="auto"/>
            <w:noWrap/>
            <w:vAlign w:val="center"/>
            <w:hideMark/>
          </w:tcPr>
          <w:p w14:paraId="06EB7AB8" w14:textId="77777777" w:rsidR="00494699" w:rsidRPr="00494699" w:rsidRDefault="00494699" w:rsidP="0034370C">
            <w:pPr>
              <w:pStyle w:val="Tabulasteksts"/>
              <w:spacing w:after="0"/>
              <w:ind w:left="340"/>
              <w:rPr>
                <w:i/>
                <w:iCs/>
                <w:szCs w:val="18"/>
                <w:highlight w:val="yellow"/>
              </w:rPr>
            </w:pPr>
            <w:r w:rsidRPr="00494699">
              <w:rPr>
                <w:i/>
                <w:iCs/>
                <w:szCs w:val="18"/>
              </w:rPr>
              <w:t>pret IKP, %</w:t>
            </w:r>
          </w:p>
        </w:tc>
        <w:tc>
          <w:tcPr>
            <w:tcW w:w="341" w:type="pct"/>
            <w:tcBorders>
              <w:top w:val="nil"/>
              <w:left w:val="nil"/>
              <w:bottom w:val="single" w:sz="4" w:space="0" w:color="auto"/>
              <w:right w:val="single" w:sz="4" w:space="0" w:color="auto"/>
            </w:tcBorders>
            <w:shd w:val="clear" w:color="auto" w:fill="auto"/>
            <w:noWrap/>
          </w:tcPr>
          <w:p w14:paraId="12CF95DA" w14:textId="77777777" w:rsidR="00494699" w:rsidRPr="008A2D7F" w:rsidRDefault="00494699" w:rsidP="0034370C">
            <w:pPr>
              <w:pStyle w:val="Tabulascipari"/>
              <w:keepNext/>
              <w:keepLines/>
              <w:spacing w:after="0"/>
              <w:ind w:left="0"/>
              <w:rPr>
                <w:color w:val="000000"/>
                <w:szCs w:val="18"/>
              </w:rPr>
            </w:pPr>
            <w:r w:rsidRPr="008A2D7F">
              <w:rPr>
                <w:szCs w:val="18"/>
              </w:rPr>
              <w:t>0,01</w:t>
            </w:r>
          </w:p>
        </w:tc>
        <w:tc>
          <w:tcPr>
            <w:tcW w:w="341" w:type="pct"/>
            <w:tcBorders>
              <w:top w:val="nil"/>
              <w:left w:val="nil"/>
              <w:bottom w:val="single" w:sz="4" w:space="0" w:color="auto"/>
              <w:right w:val="single" w:sz="4" w:space="0" w:color="auto"/>
            </w:tcBorders>
            <w:shd w:val="clear" w:color="auto" w:fill="auto"/>
            <w:noWrap/>
          </w:tcPr>
          <w:p w14:paraId="40B477BB" w14:textId="77777777" w:rsidR="00494699" w:rsidRPr="008A2D7F" w:rsidRDefault="00494699" w:rsidP="0034370C">
            <w:pPr>
              <w:pStyle w:val="Tabulascipari"/>
              <w:keepNext/>
              <w:keepLines/>
              <w:spacing w:after="0"/>
              <w:ind w:left="0"/>
              <w:rPr>
                <w:color w:val="000000"/>
                <w:szCs w:val="18"/>
              </w:rPr>
            </w:pPr>
            <w:r w:rsidRPr="008A2D7F">
              <w:rPr>
                <w:szCs w:val="18"/>
              </w:rPr>
              <w:t>0,01</w:t>
            </w:r>
          </w:p>
        </w:tc>
        <w:tc>
          <w:tcPr>
            <w:tcW w:w="341" w:type="pct"/>
            <w:tcBorders>
              <w:top w:val="nil"/>
              <w:left w:val="nil"/>
              <w:bottom w:val="single" w:sz="4" w:space="0" w:color="auto"/>
              <w:right w:val="single" w:sz="4" w:space="0" w:color="auto"/>
            </w:tcBorders>
            <w:shd w:val="clear" w:color="auto" w:fill="auto"/>
            <w:noWrap/>
          </w:tcPr>
          <w:p w14:paraId="666208DD" w14:textId="77777777" w:rsidR="00494699" w:rsidRPr="008A2D7F" w:rsidRDefault="00494699" w:rsidP="0034370C">
            <w:pPr>
              <w:pStyle w:val="Tabulascipari"/>
              <w:keepNext/>
              <w:keepLines/>
              <w:spacing w:after="0"/>
              <w:ind w:left="0"/>
              <w:rPr>
                <w:color w:val="000000"/>
                <w:szCs w:val="18"/>
              </w:rPr>
            </w:pPr>
            <w:r w:rsidRPr="008A2D7F">
              <w:rPr>
                <w:szCs w:val="18"/>
              </w:rPr>
              <w:t>0,01</w:t>
            </w:r>
          </w:p>
        </w:tc>
        <w:tc>
          <w:tcPr>
            <w:tcW w:w="341" w:type="pct"/>
            <w:tcBorders>
              <w:top w:val="nil"/>
              <w:left w:val="nil"/>
              <w:bottom w:val="single" w:sz="4" w:space="0" w:color="auto"/>
              <w:right w:val="single" w:sz="4" w:space="0" w:color="auto"/>
            </w:tcBorders>
          </w:tcPr>
          <w:p w14:paraId="59FAEE82" w14:textId="77777777" w:rsidR="00494699" w:rsidRPr="008A2D7F" w:rsidRDefault="00494699" w:rsidP="0034370C">
            <w:pPr>
              <w:pStyle w:val="Tabulascipari"/>
              <w:keepNext/>
              <w:keepLines/>
              <w:spacing w:after="0"/>
              <w:ind w:left="0"/>
              <w:rPr>
                <w:color w:val="000000"/>
                <w:szCs w:val="18"/>
              </w:rPr>
            </w:pPr>
            <w:r w:rsidRPr="008A2D7F">
              <w:rPr>
                <w:szCs w:val="18"/>
              </w:rPr>
              <w:t>0,01</w:t>
            </w:r>
          </w:p>
        </w:tc>
      </w:tr>
      <w:tr w:rsidR="008A2D7F" w:rsidRPr="00494699" w14:paraId="22702145" w14:textId="77777777" w:rsidTr="008A2D7F">
        <w:trPr>
          <w:cantSplit/>
          <w:trHeight w:hRule="exact" w:val="454"/>
          <w:jc w:val="center"/>
        </w:trPr>
        <w:tc>
          <w:tcPr>
            <w:tcW w:w="3637" w:type="pct"/>
            <w:tcBorders>
              <w:top w:val="nil"/>
              <w:left w:val="single" w:sz="4" w:space="0" w:color="auto"/>
              <w:bottom w:val="single" w:sz="4" w:space="0" w:color="auto"/>
              <w:right w:val="single" w:sz="4" w:space="0" w:color="auto"/>
            </w:tcBorders>
            <w:shd w:val="clear" w:color="auto" w:fill="auto"/>
            <w:vAlign w:val="center"/>
            <w:hideMark/>
          </w:tcPr>
          <w:p w14:paraId="3FF59102" w14:textId="53EFBD62" w:rsidR="00494699" w:rsidRPr="00494699" w:rsidRDefault="00494699" w:rsidP="0034370C">
            <w:pPr>
              <w:pStyle w:val="Tabulasteksts"/>
              <w:spacing w:after="0"/>
              <w:ind w:left="0"/>
              <w:rPr>
                <w:szCs w:val="18"/>
              </w:rPr>
            </w:pPr>
            <w:r w:rsidRPr="00494699">
              <w:rPr>
                <w:szCs w:val="18"/>
              </w:rPr>
              <w:t>Salīdzinājumā ar likumu “Par vidēja termiņa budžeta ietvaru 2023., 2024. un 2025. gadam”, milj. </w:t>
            </w:r>
            <w:r w:rsidRPr="008A2D7F">
              <w:rPr>
                <w:i/>
                <w:iCs/>
                <w:szCs w:val="18"/>
              </w:rPr>
              <w:t>euro</w:t>
            </w:r>
          </w:p>
        </w:tc>
        <w:tc>
          <w:tcPr>
            <w:tcW w:w="341" w:type="pct"/>
            <w:tcBorders>
              <w:top w:val="nil"/>
              <w:left w:val="nil"/>
              <w:bottom w:val="single" w:sz="4" w:space="0" w:color="auto"/>
              <w:right w:val="single" w:sz="4" w:space="0" w:color="auto"/>
            </w:tcBorders>
            <w:shd w:val="clear" w:color="auto" w:fill="auto"/>
            <w:noWrap/>
          </w:tcPr>
          <w:p w14:paraId="4AC8C328" w14:textId="77777777" w:rsidR="00494699" w:rsidRPr="008A2D7F" w:rsidRDefault="00494699" w:rsidP="0034370C">
            <w:pPr>
              <w:pStyle w:val="Tabulascipari"/>
              <w:keepNext/>
              <w:keepLines/>
              <w:spacing w:after="0"/>
              <w:ind w:left="0"/>
              <w:rPr>
                <w:color w:val="000000"/>
                <w:szCs w:val="18"/>
              </w:rPr>
            </w:pPr>
            <w:r w:rsidRPr="008A2D7F">
              <w:rPr>
                <w:szCs w:val="18"/>
              </w:rPr>
              <w:t>0,0</w:t>
            </w:r>
          </w:p>
        </w:tc>
        <w:tc>
          <w:tcPr>
            <w:tcW w:w="341" w:type="pct"/>
            <w:tcBorders>
              <w:top w:val="nil"/>
              <w:left w:val="nil"/>
              <w:bottom w:val="single" w:sz="4" w:space="0" w:color="auto"/>
              <w:right w:val="single" w:sz="4" w:space="0" w:color="auto"/>
            </w:tcBorders>
            <w:shd w:val="clear" w:color="auto" w:fill="auto"/>
            <w:noWrap/>
          </w:tcPr>
          <w:p w14:paraId="12F3AFAC" w14:textId="77777777" w:rsidR="00494699" w:rsidRPr="008A2D7F" w:rsidRDefault="00494699" w:rsidP="0034370C">
            <w:pPr>
              <w:pStyle w:val="Tabulascipari"/>
              <w:keepNext/>
              <w:keepLines/>
              <w:spacing w:after="0"/>
              <w:ind w:left="0"/>
              <w:rPr>
                <w:color w:val="000000"/>
                <w:szCs w:val="18"/>
              </w:rPr>
            </w:pPr>
            <w:r w:rsidRPr="008A2D7F">
              <w:rPr>
                <w:szCs w:val="18"/>
              </w:rPr>
              <w:t>0,0</w:t>
            </w:r>
          </w:p>
        </w:tc>
        <w:tc>
          <w:tcPr>
            <w:tcW w:w="341" w:type="pct"/>
            <w:tcBorders>
              <w:top w:val="nil"/>
              <w:left w:val="nil"/>
              <w:bottom w:val="single" w:sz="4" w:space="0" w:color="auto"/>
              <w:right w:val="single" w:sz="4" w:space="0" w:color="auto"/>
            </w:tcBorders>
            <w:shd w:val="clear" w:color="auto" w:fill="auto"/>
            <w:noWrap/>
            <w:hideMark/>
          </w:tcPr>
          <w:p w14:paraId="29A720AB" w14:textId="77777777" w:rsidR="00494699" w:rsidRPr="008A2D7F" w:rsidRDefault="00494699" w:rsidP="0034370C">
            <w:pPr>
              <w:pStyle w:val="Tabulascipari"/>
              <w:keepNext/>
              <w:keepLines/>
              <w:spacing w:after="0"/>
              <w:ind w:left="0"/>
              <w:rPr>
                <w:color w:val="000000"/>
                <w:szCs w:val="18"/>
              </w:rPr>
            </w:pPr>
            <w:r w:rsidRPr="008A2D7F">
              <w:rPr>
                <w:szCs w:val="18"/>
              </w:rPr>
              <w:t>0,0</w:t>
            </w:r>
          </w:p>
        </w:tc>
        <w:tc>
          <w:tcPr>
            <w:tcW w:w="341" w:type="pct"/>
            <w:tcBorders>
              <w:top w:val="nil"/>
              <w:left w:val="nil"/>
              <w:bottom w:val="single" w:sz="4" w:space="0" w:color="auto"/>
              <w:right w:val="single" w:sz="4" w:space="0" w:color="auto"/>
            </w:tcBorders>
            <w:shd w:val="clear" w:color="auto" w:fill="auto"/>
          </w:tcPr>
          <w:p w14:paraId="0B9D0908" w14:textId="77777777" w:rsidR="00494699" w:rsidRPr="008A2D7F" w:rsidRDefault="00494699" w:rsidP="0034370C">
            <w:pPr>
              <w:pStyle w:val="Tabulascipari"/>
              <w:keepNext/>
              <w:keepLines/>
              <w:spacing w:after="0"/>
              <w:ind w:left="0"/>
              <w:rPr>
                <w:szCs w:val="18"/>
              </w:rPr>
            </w:pPr>
            <w:r w:rsidRPr="008A2D7F">
              <w:rPr>
                <w:szCs w:val="18"/>
              </w:rPr>
              <w:t>—</w:t>
            </w:r>
          </w:p>
        </w:tc>
      </w:tr>
      <w:tr w:rsidR="008A2D7F" w:rsidRPr="00494699" w14:paraId="65FF8FF6" w14:textId="77777777" w:rsidTr="008A2D7F">
        <w:trPr>
          <w:cantSplit/>
          <w:trHeight w:hRule="exact" w:val="454"/>
          <w:jc w:val="center"/>
        </w:trPr>
        <w:tc>
          <w:tcPr>
            <w:tcW w:w="3637" w:type="pct"/>
            <w:tcBorders>
              <w:top w:val="nil"/>
              <w:left w:val="single" w:sz="4" w:space="0" w:color="auto"/>
              <w:bottom w:val="single" w:sz="4" w:space="0" w:color="auto"/>
              <w:right w:val="single" w:sz="4" w:space="0" w:color="auto"/>
            </w:tcBorders>
            <w:shd w:val="clear" w:color="auto" w:fill="auto"/>
            <w:vAlign w:val="center"/>
            <w:hideMark/>
          </w:tcPr>
          <w:p w14:paraId="42B911BC" w14:textId="741EE060" w:rsidR="00494699" w:rsidRPr="00494699" w:rsidRDefault="00494699" w:rsidP="0034370C">
            <w:pPr>
              <w:pStyle w:val="Tabulasteksts"/>
              <w:spacing w:after="0"/>
              <w:ind w:left="0"/>
              <w:rPr>
                <w:szCs w:val="18"/>
              </w:rPr>
            </w:pPr>
            <w:r w:rsidRPr="00494699">
              <w:rPr>
                <w:szCs w:val="18"/>
              </w:rPr>
              <w:t>Salīdzinājumā ar likumu “Par vidēja termiņa budžeta ietvaru 2023., 2024. un 2025. gadam”, %</w:t>
            </w:r>
          </w:p>
        </w:tc>
        <w:tc>
          <w:tcPr>
            <w:tcW w:w="341" w:type="pct"/>
            <w:tcBorders>
              <w:top w:val="nil"/>
              <w:left w:val="nil"/>
              <w:bottom w:val="single" w:sz="4" w:space="0" w:color="auto"/>
              <w:right w:val="single" w:sz="4" w:space="0" w:color="auto"/>
            </w:tcBorders>
            <w:shd w:val="clear" w:color="auto" w:fill="auto"/>
            <w:noWrap/>
          </w:tcPr>
          <w:p w14:paraId="50EA1F94" w14:textId="77777777" w:rsidR="00494699" w:rsidRPr="008A2D7F" w:rsidRDefault="00494699" w:rsidP="0034370C">
            <w:pPr>
              <w:pStyle w:val="Tabulascipari"/>
              <w:keepNext/>
              <w:keepLines/>
              <w:spacing w:after="0"/>
              <w:ind w:left="0"/>
              <w:rPr>
                <w:color w:val="000000"/>
                <w:szCs w:val="18"/>
              </w:rPr>
            </w:pPr>
            <w:r w:rsidRPr="008A2D7F">
              <w:rPr>
                <w:szCs w:val="18"/>
              </w:rPr>
              <w:t>0,0</w:t>
            </w:r>
          </w:p>
        </w:tc>
        <w:tc>
          <w:tcPr>
            <w:tcW w:w="341" w:type="pct"/>
            <w:tcBorders>
              <w:top w:val="nil"/>
              <w:left w:val="nil"/>
              <w:bottom w:val="single" w:sz="4" w:space="0" w:color="auto"/>
              <w:right w:val="single" w:sz="4" w:space="0" w:color="auto"/>
            </w:tcBorders>
            <w:shd w:val="clear" w:color="auto" w:fill="auto"/>
            <w:noWrap/>
          </w:tcPr>
          <w:p w14:paraId="40CA5924" w14:textId="77777777" w:rsidR="00494699" w:rsidRPr="008A2D7F" w:rsidRDefault="00494699" w:rsidP="0034370C">
            <w:pPr>
              <w:pStyle w:val="Tabulascipari"/>
              <w:keepNext/>
              <w:keepLines/>
              <w:spacing w:after="0"/>
              <w:ind w:left="0"/>
              <w:rPr>
                <w:color w:val="000000"/>
                <w:szCs w:val="18"/>
              </w:rPr>
            </w:pPr>
            <w:r w:rsidRPr="008A2D7F">
              <w:rPr>
                <w:szCs w:val="18"/>
              </w:rPr>
              <w:t>0,0</w:t>
            </w:r>
          </w:p>
        </w:tc>
        <w:tc>
          <w:tcPr>
            <w:tcW w:w="341" w:type="pct"/>
            <w:tcBorders>
              <w:top w:val="nil"/>
              <w:left w:val="nil"/>
              <w:bottom w:val="single" w:sz="4" w:space="0" w:color="auto"/>
              <w:right w:val="single" w:sz="4" w:space="0" w:color="auto"/>
            </w:tcBorders>
            <w:shd w:val="clear" w:color="auto" w:fill="auto"/>
            <w:noWrap/>
            <w:hideMark/>
          </w:tcPr>
          <w:p w14:paraId="2DCA94E5" w14:textId="77777777" w:rsidR="00494699" w:rsidRPr="008A2D7F" w:rsidRDefault="00494699" w:rsidP="0034370C">
            <w:pPr>
              <w:pStyle w:val="Tabulascipari"/>
              <w:keepNext/>
              <w:keepLines/>
              <w:spacing w:after="0"/>
              <w:ind w:left="0"/>
              <w:rPr>
                <w:color w:val="000000"/>
                <w:szCs w:val="18"/>
              </w:rPr>
            </w:pPr>
            <w:r w:rsidRPr="008A2D7F">
              <w:rPr>
                <w:szCs w:val="18"/>
              </w:rPr>
              <w:t>0,0</w:t>
            </w:r>
          </w:p>
        </w:tc>
        <w:tc>
          <w:tcPr>
            <w:tcW w:w="341" w:type="pct"/>
            <w:tcBorders>
              <w:top w:val="nil"/>
              <w:left w:val="nil"/>
              <w:bottom w:val="single" w:sz="4" w:space="0" w:color="auto"/>
              <w:right w:val="single" w:sz="4" w:space="0" w:color="auto"/>
            </w:tcBorders>
            <w:shd w:val="clear" w:color="auto" w:fill="auto"/>
          </w:tcPr>
          <w:p w14:paraId="4FBECE5C" w14:textId="77777777" w:rsidR="00494699" w:rsidRPr="008A2D7F" w:rsidRDefault="00494699" w:rsidP="0034370C">
            <w:pPr>
              <w:pStyle w:val="Tabulascipari"/>
              <w:keepNext/>
              <w:keepLines/>
              <w:spacing w:after="0"/>
              <w:ind w:left="0"/>
              <w:rPr>
                <w:szCs w:val="18"/>
              </w:rPr>
            </w:pPr>
            <w:r w:rsidRPr="008A2D7F">
              <w:rPr>
                <w:szCs w:val="18"/>
              </w:rPr>
              <w:t>—</w:t>
            </w:r>
          </w:p>
        </w:tc>
      </w:tr>
    </w:tbl>
    <w:p w14:paraId="1842C9D4" w14:textId="77777777" w:rsidR="00494699" w:rsidRPr="00494699" w:rsidRDefault="00494699" w:rsidP="00494699">
      <w:pPr>
        <w:pStyle w:val="Piezme"/>
      </w:pPr>
      <w:r w:rsidRPr="00494699">
        <w:rPr>
          <w:vertAlign w:val="superscript"/>
        </w:rPr>
        <w:t>1</w:t>
      </w:r>
      <w:r w:rsidRPr="00494699">
        <w:t> Prognoze</w:t>
      </w:r>
    </w:p>
    <w:p w14:paraId="1E238091" w14:textId="47C6E6C0" w:rsidR="003F3FCD" w:rsidRPr="008A2D7F" w:rsidRDefault="000548A5" w:rsidP="00863814">
      <w:pPr>
        <w:pStyle w:val="H2"/>
        <w:rPr>
          <w:rFonts w:eastAsia="Times New Roman"/>
        </w:rPr>
      </w:pPr>
      <w:r w:rsidRPr="008A2D7F">
        <w:rPr>
          <w:rFonts w:eastAsia="Times New Roman"/>
        </w:rPr>
        <w:t xml:space="preserve">3.3. Valsts pamatbudžeta </w:t>
      </w:r>
      <w:proofErr w:type="spellStart"/>
      <w:r w:rsidRPr="008A2D7F">
        <w:rPr>
          <w:rFonts w:eastAsia="Times New Roman"/>
        </w:rPr>
        <w:t>nenodokļu</w:t>
      </w:r>
      <w:proofErr w:type="spellEnd"/>
      <w:r w:rsidRPr="008A2D7F">
        <w:rPr>
          <w:rFonts w:eastAsia="Times New Roman"/>
        </w:rPr>
        <w:t xml:space="preserve"> ieņēmumi</w:t>
      </w:r>
      <w:bookmarkEnd w:id="107"/>
    </w:p>
    <w:p w14:paraId="3C44188B" w14:textId="77777777" w:rsidR="00C64805" w:rsidRPr="008B4A04" w:rsidRDefault="00C64805" w:rsidP="00C64805">
      <w:pPr>
        <w:rPr>
          <w:rFonts w:eastAsia="Calibri" w:cs="Times New Roman"/>
          <w:szCs w:val="24"/>
          <w:highlight w:val="yellow"/>
        </w:rPr>
      </w:pPr>
      <w:bookmarkStart w:id="108" w:name="_Toc126236666"/>
      <w:r w:rsidRPr="008B4A04">
        <w:rPr>
          <w:rFonts w:eastAsia="Calibri" w:cs="Times New Roman"/>
          <w:szCs w:val="24"/>
        </w:rPr>
        <w:t xml:space="preserve">Pamatbudžeta </w:t>
      </w:r>
      <w:proofErr w:type="spellStart"/>
      <w:r w:rsidRPr="008B4A04">
        <w:rPr>
          <w:rFonts w:eastAsia="Calibri" w:cs="Times New Roman"/>
          <w:szCs w:val="24"/>
        </w:rPr>
        <w:t>nenodokļu</w:t>
      </w:r>
      <w:proofErr w:type="spellEnd"/>
      <w:r w:rsidRPr="008B4A04">
        <w:rPr>
          <w:rFonts w:eastAsia="Calibri" w:cs="Times New Roman"/>
          <w:szCs w:val="24"/>
        </w:rPr>
        <w:t xml:space="preserve"> ieņēmumi 2023</w:t>
      </w:r>
      <w:r>
        <w:rPr>
          <w:rFonts w:eastAsia="Calibri" w:cs="Times New Roman"/>
          <w:szCs w:val="24"/>
        </w:rPr>
        <w:t>. g</w:t>
      </w:r>
      <w:r w:rsidRPr="008B4A04">
        <w:rPr>
          <w:rFonts w:eastAsia="Calibri" w:cs="Times New Roman"/>
          <w:szCs w:val="24"/>
        </w:rPr>
        <w:t>ada sešos mēnešos bija 594,7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ir par 147,0</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32,8</w:t>
      </w:r>
      <w:r>
        <w:rPr>
          <w:rFonts w:eastAsia="Calibri" w:cs="Times New Roman"/>
          <w:szCs w:val="24"/>
        </w:rPr>
        <w:t> %</w:t>
      </w:r>
      <w:r w:rsidRPr="008B4A04">
        <w:rPr>
          <w:rFonts w:eastAsia="Calibri" w:cs="Times New Roman"/>
          <w:szCs w:val="24"/>
        </w:rPr>
        <w:t xml:space="preserve"> vairāk kā plānots. Salīdzinot ar 2022</w:t>
      </w:r>
      <w:r>
        <w:rPr>
          <w:rFonts w:eastAsia="Calibri" w:cs="Times New Roman"/>
          <w:szCs w:val="24"/>
        </w:rPr>
        <w:t>. g</w:t>
      </w:r>
      <w:r w:rsidRPr="008B4A04">
        <w:rPr>
          <w:rFonts w:eastAsia="Calibri" w:cs="Times New Roman"/>
          <w:szCs w:val="24"/>
        </w:rPr>
        <w:t xml:space="preserve">ada sešiem mēnešiem, </w:t>
      </w:r>
      <w:proofErr w:type="spellStart"/>
      <w:r w:rsidRPr="008B4A04">
        <w:rPr>
          <w:rFonts w:eastAsia="Calibri" w:cs="Times New Roman"/>
          <w:szCs w:val="24"/>
        </w:rPr>
        <w:t>nenodokļu</w:t>
      </w:r>
      <w:proofErr w:type="spellEnd"/>
      <w:r w:rsidRPr="008B4A04">
        <w:rPr>
          <w:rFonts w:eastAsia="Calibri" w:cs="Times New Roman"/>
          <w:szCs w:val="24"/>
        </w:rPr>
        <w:t xml:space="preserve"> ieņēmumi ir iekasēti par 228,3</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62,3</w:t>
      </w:r>
      <w:r>
        <w:rPr>
          <w:rFonts w:eastAsia="Calibri" w:cs="Times New Roman"/>
          <w:szCs w:val="24"/>
        </w:rPr>
        <w:t> %</w:t>
      </w:r>
      <w:r w:rsidRPr="008B4A04">
        <w:rPr>
          <w:rFonts w:eastAsia="Calibri" w:cs="Times New Roman"/>
          <w:szCs w:val="24"/>
        </w:rPr>
        <w:t xml:space="preserve"> vairāk. </w:t>
      </w:r>
      <w:proofErr w:type="spellStart"/>
      <w:r w:rsidRPr="008B4A04">
        <w:rPr>
          <w:rFonts w:eastAsia="Calibri" w:cs="Times New Roman"/>
          <w:szCs w:val="24"/>
        </w:rPr>
        <w:t>Nenodokļu</w:t>
      </w:r>
      <w:proofErr w:type="spellEnd"/>
      <w:r w:rsidRPr="008B4A04">
        <w:rPr>
          <w:rFonts w:eastAsia="Calibri" w:cs="Times New Roman"/>
          <w:szCs w:val="24"/>
        </w:rPr>
        <w:t xml:space="preserve"> ieņēmumu plāna pārpildi pamatā nodrošināja </w:t>
      </w:r>
      <w:r>
        <w:rPr>
          <w:rFonts w:eastAsia="Calibri" w:cs="Times New Roman"/>
          <w:szCs w:val="24"/>
        </w:rPr>
        <w:t>augstāki</w:t>
      </w:r>
      <w:r w:rsidRPr="008B4A04">
        <w:rPr>
          <w:rFonts w:eastAsia="Calibri" w:cs="Times New Roman"/>
          <w:szCs w:val="24"/>
        </w:rPr>
        <w:t xml:space="preserve"> ieņēmumi no dividendēm (ieņēmumi no valsts kapitāla izmantošanas)</w:t>
      </w:r>
      <w:r>
        <w:rPr>
          <w:rFonts w:eastAsia="Calibri" w:cs="Times New Roman"/>
          <w:szCs w:val="24"/>
        </w:rPr>
        <w:t xml:space="preserve"> – </w:t>
      </w:r>
      <w:r w:rsidRPr="008B4A04">
        <w:rPr>
          <w:rFonts w:eastAsia="Calibri" w:cs="Times New Roman"/>
          <w:szCs w:val="24"/>
        </w:rPr>
        <w:t xml:space="preserve">plāna </w:t>
      </w:r>
      <w:proofErr w:type="spellStart"/>
      <w:r w:rsidRPr="008B4A04">
        <w:rPr>
          <w:rFonts w:eastAsia="Calibri" w:cs="Times New Roman"/>
          <w:szCs w:val="24"/>
        </w:rPr>
        <w:t>pārpilde</w:t>
      </w:r>
      <w:proofErr w:type="spellEnd"/>
      <w:r w:rsidRPr="008B4A04">
        <w:rPr>
          <w:rFonts w:eastAsia="Calibri" w:cs="Times New Roman"/>
          <w:szCs w:val="24"/>
        </w:rPr>
        <w:t xml:space="preserve"> bija 85,4</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34,1</w:t>
      </w:r>
      <w:r>
        <w:rPr>
          <w:rFonts w:eastAsia="Calibri" w:cs="Times New Roman"/>
          <w:szCs w:val="24"/>
        </w:rPr>
        <w:t> %</w:t>
      </w:r>
      <w:r w:rsidRPr="008B4A04">
        <w:rPr>
          <w:rFonts w:eastAsia="Calibri" w:cs="Times New Roman"/>
          <w:szCs w:val="24"/>
        </w:rPr>
        <w:t>.</w:t>
      </w:r>
    </w:p>
    <w:p w14:paraId="1B6E5135" w14:textId="77777777" w:rsidR="00C64805" w:rsidRPr="008B4A04" w:rsidRDefault="00C64805" w:rsidP="00C64805">
      <w:pPr>
        <w:spacing w:after="0"/>
        <w:rPr>
          <w:rFonts w:eastAsia="Calibri" w:cs="Times New Roman"/>
          <w:szCs w:val="24"/>
        </w:rPr>
      </w:pPr>
      <w:r w:rsidRPr="008B4A04">
        <w:rPr>
          <w:rFonts w:eastAsia="Calibri" w:cs="Times New Roman"/>
          <w:szCs w:val="24"/>
        </w:rPr>
        <w:t xml:space="preserve">Tāpat nozīmīga </w:t>
      </w:r>
      <w:proofErr w:type="spellStart"/>
      <w:r w:rsidRPr="008B4A04">
        <w:rPr>
          <w:rFonts w:eastAsia="Calibri" w:cs="Times New Roman"/>
          <w:szCs w:val="24"/>
        </w:rPr>
        <w:t>pārpilde</w:t>
      </w:r>
      <w:proofErr w:type="spellEnd"/>
      <w:r w:rsidRPr="008B4A04">
        <w:rPr>
          <w:rFonts w:eastAsia="Calibri" w:cs="Times New Roman"/>
          <w:szCs w:val="24"/>
        </w:rPr>
        <w:t xml:space="preserve"> ir arī šādās </w:t>
      </w:r>
      <w:proofErr w:type="spellStart"/>
      <w:r w:rsidRPr="008B4A04">
        <w:rPr>
          <w:rFonts w:eastAsia="Calibri" w:cs="Times New Roman"/>
          <w:szCs w:val="24"/>
        </w:rPr>
        <w:t>nenodokļu</w:t>
      </w:r>
      <w:proofErr w:type="spellEnd"/>
      <w:r w:rsidRPr="008B4A04">
        <w:rPr>
          <w:rFonts w:eastAsia="Calibri" w:cs="Times New Roman"/>
          <w:szCs w:val="24"/>
        </w:rPr>
        <w:t xml:space="preserve"> pozīcijās: </w:t>
      </w:r>
    </w:p>
    <w:p w14:paraId="722E2762" w14:textId="77777777" w:rsidR="00C64805" w:rsidRPr="008D7E7F" w:rsidRDefault="00C64805" w:rsidP="00C64805">
      <w:pPr>
        <w:pStyle w:val="ListParagraph"/>
        <w:numPr>
          <w:ilvl w:val="0"/>
          <w:numId w:val="46"/>
        </w:numPr>
        <w:spacing w:afterLines="120" w:after="288"/>
        <w:ind w:left="0" w:firstLine="720"/>
        <w:rPr>
          <w:rFonts w:eastAsia="Calibri" w:cs="Times New Roman"/>
          <w:szCs w:val="24"/>
        </w:rPr>
      </w:pPr>
      <w:r w:rsidRPr="008D7E7F">
        <w:rPr>
          <w:rFonts w:eastAsia="Calibri" w:cs="Times New Roman"/>
          <w:szCs w:val="24"/>
        </w:rPr>
        <w:t xml:space="preserve">procentu ieņēmumi par kontu atlikumiem: </w:t>
      </w:r>
      <w:r>
        <w:rPr>
          <w:rFonts w:eastAsia="Calibri" w:cs="Times New Roman"/>
          <w:szCs w:val="24"/>
        </w:rPr>
        <w:t>+</w:t>
      </w:r>
      <w:r w:rsidRPr="008D7E7F">
        <w:rPr>
          <w:rFonts w:eastAsia="Calibri" w:cs="Times New Roman"/>
          <w:szCs w:val="24"/>
        </w:rPr>
        <w:t>13,2</w:t>
      </w:r>
      <w:r>
        <w:rPr>
          <w:rFonts w:eastAsia="Calibri" w:cs="Times New Roman"/>
          <w:szCs w:val="24"/>
        </w:rPr>
        <w:t> milj.</w:t>
      </w:r>
      <w:r w:rsidRPr="008D7E7F">
        <w:rPr>
          <w:rFonts w:eastAsia="Calibri" w:cs="Times New Roman"/>
          <w:szCs w:val="24"/>
        </w:rPr>
        <w:t> </w:t>
      </w:r>
      <w:proofErr w:type="spellStart"/>
      <w:r w:rsidRPr="00770C40">
        <w:rPr>
          <w:rFonts w:eastAsia="Calibri" w:cs="Times New Roman"/>
          <w:i/>
          <w:iCs/>
          <w:szCs w:val="24"/>
        </w:rPr>
        <w:t>euro</w:t>
      </w:r>
      <w:proofErr w:type="spellEnd"/>
      <w:r w:rsidRPr="008D7E7F">
        <w:rPr>
          <w:rFonts w:eastAsia="Calibri" w:cs="Times New Roman"/>
          <w:szCs w:val="24"/>
        </w:rPr>
        <w:t xml:space="preserve"> jeb 81,0</w:t>
      </w:r>
      <w:r>
        <w:rPr>
          <w:rFonts w:eastAsia="Calibri" w:cs="Times New Roman"/>
          <w:szCs w:val="24"/>
        </w:rPr>
        <w:t> %</w:t>
      </w:r>
      <w:r w:rsidRPr="008D7E7F">
        <w:rPr>
          <w:rFonts w:eastAsia="Calibri" w:cs="Times New Roman"/>
          <w:szCs w:val="24"/>
        </w:rPr>
        <w:t>;</w:t>
      </w:r>
    </w:p>
    <w:p w14:paraId="6FA9BF3A" w14:textId="77777777" w:rsidR="00C64805" w:rsidRPr="008D7E7F" w:rsidRDefault="00C64805" w:rsidP="00C64805">
      <w:pPr>
        <w:pStyle w:val="ListParagraph"/>
        <w:numPr>
          <w:ilvl w:val="0"/>
          <w:numId w:val="46"/>
        </w:numPr>
        <w:ind w:left="0" w:firstLine="720"/>
        <w:rPr>
          <w:rFonts w:eastAsia="Calibri" w:cs="Times New Roman"/>
          <w:szCs w:val="24"/>
        </w:rPr>
      </w:pPr>
      <w:r w:rsidRPr="008D7E7F">
        <w:rPr>
          <w:rFonts w:eastAsia="Calibri" w:cs="Times New Roman"/>
          <w:szCs w:val="24"/>
        </w:rPr>
        <w:t xml:space="preserve">pārējie </w:t>
      </w:r>
      <w:proofErr w:type="spellStart"/>
      <w:r w:rsidRPr="008D7E7F">
        <w:rPr>
          <w:rFonts w:eastAsia="Calibri" w:cs="Times New Roman"/>
          <w:szCs w:val="24"/>
        </w:rPr>
        <w:t>nenodokļu</w:t>
      </w:r>
      <w:proofErr w:type="spellEnd"/>
      <w:r w:rsidRPr="008D7E7F">
        <w:rPr>
          <w:rFonts w:eastAsia="Calibri" w:cs="Times New Roman"/>
          <w:szCs w:val="24"/>
        </w:rPr>
        <w:t xml:space="preserve"> ieņēmumi un ieņēmumi no valsts (pašvaldības) īpašuma pārdošanas un nodokļu pamatparāda kapitalizācijas: </w:t>
      </w:r>
      <w:r>
        <w:rPr>
          <w:rFonts w:eastAsia="Calibri" w:cs="Times New Roman"/>
          <w:szCs w:val="24"/>
        </w:rPr>
        <w:t>+</w:t>
      </w:r>
      <w:r w:rsidRPr="008D7E7F">
        <w:rPr>
          <w:rFonts w:eastAsia="Calibri" w:cs="Times New Roman"/>
          <w:szCs w:val="24"/>
        </w:rPr>
        <w:t>23,7</w:t>
      </w:r>
      <w:r>
        <w:rPr>
          <w:rFonts w:eastAsia="Calibri" w:cs="Times New Roman"/>
          <w:szCs w:val="24"/>
        </w:rPr>
        <w:t> milj.</w:t>
      </w:r>
      <w:r w:rsidRPr="008D7E7F">
        <w:rPr>
          <w:rFonts w:eastAsia="Calibri" w:cs="Times New Roman"/>
          <w:szCs w:val="24"/>
        </w:rPr>
        <w:t> </w:t>
      </w:r>
      <w:proofErr w:type="spellStart"/>
      <w:r w:rsidRPr="00770C40">
        <w:rPr>
          <w:rFonts w:eastAsia="Calibri" w:cs="Times New Roman"/>
          <w:i/>
          <w:iCs/>
          <w:szCs w:val="24"/>
        </w:rPr>
        <w:t>euro</w:t>
      </w:r>
      <w:proofErr w:type="spellEnd"/>
      <w:r w:rsidRPr="008D7E7F">
        <w:rPr>
          <w:rFonts w:eastAsia="Calibri" w:cs="Times New Roman"/>
          <w:szCs w:val="24"/>
        </w:rPr>
        <w:t xml:space="preserve"> jeb 132,7</w:t>
      </w:r>
      <w:r>
        <w:rPr>
          <w:rFonts w:eastAsia="Calibri" w:cs="Times New Roman"/>
          <w:szCs w:val="24"/>
        </w:rPr>
        <w:t> %</w:t>
      </w:r>
      <w:r w:rsidRPr="008D7E7F">
        <w:rPr>
          <w:rFonts w:eastAsia="Calibri" w:cs="Times New Roman"/>
          <w:szCs w:val="24"/>
        </w:rPr>
        <w:t>, ko galvenokārt sekmēja ieņēmumu no konfiscēto noziedzīgi iegūto līdzekļu realizācijas, ko budžetā ieskaita zvērināti tiesu izpildītāji gada plāna pārsniegšana 3,2 reizes sešu mēnešu laikā.</w:t>
      </w:r>
    </w:p>
    <w:p w14:paraId="5E1A122C" w14:textId="77777777" w:rsidR="00C64805" w:rsidRPr="00EC49B3" w:rsidRDefault="00C64805" w:rsidP="00C64805">
      <w:pPr>
        <w:spacing w:after="0"/>
        <w:rPr>
          <w:rFonts w:eastAsia="Calibri" w:cs="Times New Roman"/>
          <w:szCs w:val="24"/>
        </w:rPr>
      </w:pPr>
      <w:r w:rsidRPr="00EC49B3">
        <w:rPr>
          <w:rFonts w:eastAsia="Calibri" w:cs="Times New Roman"/>
          <w:szCs w:val="24"/>
        </w:rPr>
        <w:t xml:space="preserve">Saskaņā ar likumprojektu “Par valsts budžetu 2024. gadam un budžeta ietvaru 2024., 2025. un 2026. gadam” 2024. gadā valsts pamatbudžeta </w:t>
      </w:r>
      <w:proofErr w:type="spellStart"/>
      <w:r w:rsidRPr="00EC49B3">
        <w:rPr>
          <w:rFonts w:eastAsia="Calibri" w:cs="Times New Roman"/>
          <w:szCs w:val="24"/>
        </w:rPr>
        <w:t>nenodokļu</w:t>
      </w:r>
      <w:proofErr w:type="spellEnd"/>
      <w:r w:rsidRPr="00EC49B3">
        <w:rPr>
          <w:rFonts w:eastAsia="Calibri" w:cs="Times New Roman"/>
          <w:szCs w:val="24"/>
        </w:rPr>
        <w:t xml:space="preserve"> ieņēmumi tiek plānoti 853,6 milj. </w:t>
      </w:r>
      <w:proofErr w:type="spellStart"/>
      <w:r w:rsidRPr="004204C4">
        <w:rPr>
          <w:rFonts w:eastAsia="Calibri" w:cs="Times New Roman"/>
          <w:i/>
          <w:iCs/>
          <w:szCs w:val="24"/>
        </w:rPr>
        <w:t>euro</w:t>
      </w:r>
      <w:proofErr w:type="spellEnd"/>
      <w:r w:rsidRPr="00EC49B3">
        <w:rPr>
          <w:rFonts w:eastAsia="Calibri" w:cs="Times New Roman"/>
          <w:szCs w:val="24"/>
        </w:rPr>
        <w:t>, 2025. gadā 654,8 milj. </w:t>
      </w:r>
      <w:proofErr w:type="spellStart"/>
      <w:r w:rsidRPr="004204C4">
        <w:rPr>
          <w:rFonts w:eastAsia="Calibri" w:cs="Times New Roman"/>
          <w:i/>
          <w:iCs/>
          <w:szCs w:val="24"/>
        </w:rPr>
        <w:t>euro</w:t>
      </w:r>
      <w:proofErr w:type="spellEnd"/>
      <w:r w:rsidRPr="00EC49B3">
        <w:rPr>
          <w:rFonts w:eastAsia="Calibri" w:cs="Times New Roman"/>
          <w:szCs w:val="24"/>
        </w:rPr>
        <w:t xml:space="preserve"> un 2026. gadā 629,0 milj. </w:t>
      </w:r>
      <w:proofErr w:type="spellStart"/>
      <w:r w:rsidRPr="004204C4">
        <w:rPr>
          <w:rFonts w:eastAsia="Calibri" w:cs="Times New Roman"/>
          <w:i/>
          <w:iCs/>
          <w:szCs w:val="24"/>
        </w:rPr>
        <w:t>euro</w:t>
      </w:r>
      <w:proofErr w:type="spellEnd"/>
      <w:r w:rsidRPr="00EC49B3">
        <w:rPr>
          <w:rFonts w:eastAsia="Calibri" w:cs="Times New Roman"/>
          <w:szCs w:val="24"/>
        </w:rPr>
        <w:t xml:space="preserve"> apmērā (skat</w:t>
      </w:r>
      <w:r w:rsidRPr="004204C4">
        <w:rPr>
          <w:rFonts w:eastAsia="Calibri" w:cs="Times New Roman"/>
          <w:szCs w:val="24"/>
        </w:rPr>
        <w:t>. 3.</w:t>
      </w:r>
      <w:r>
        <w:rPr>
          <w:rFonts w:eastAsia="Calibri" w:cs="Times New Roman"/>
          <w:szCs w:val="24"/>
        </w:rPr>
        <w:t>21</w:t>
      </w:r>
      <w:r w:rsidRPr="004204C4">
        <w:rPr>
          <w:rFonts w:eastAsia="Calibri" w:cs="Times New Roman"/>
          <w:szCs w:val="24"/>
        </w:rPr>
        <w:t>.</w:t>
      </w:r>
      <w:r w:rsidRPr="00EC49B3">
        <w:rPr>
          <w:rFonts w:eastAsia="Calibri" w:cs="Times New Roman"/>
          <w:szCs w:val="24"/>
        </w:rPr>
        <w:t> tabulu).</w:t>
      </w:r>
    </w:p>
    <w:p w14:paraId="293816CD" w14:textId="77777777" w:rsidR="00C64805" w:rsidRPr="00EC49B3" w:rsidRDefault="00C64805" w:rsidP="00C64805">
      <w:pPr>
        <w:pStyle w:val="Zmjums"/>
        <w:keepLines/>
        <w:rPr>
          <w:rFonts w:eastAsia="Calibri"/>
          <w:szCs w:val="24"/>
          <w:lang w:eastAsia="en-US"/>
        </w:rPr>
      </w:pPr>
      <w:r w:rsidRPr="00EC49B3">
        <w:drawing>
          <wp:inline distT="0" distB="0" distL="0" distR="0" wp14:anchorId="5F0C893B" wp14:editId="7EF97452">
            <wp:extent cx="5760085" cy="2160000"/>
            <wp:effectExtent l="0" t="0" r="0" b="0"/>
            <wp:docPr id="1467942532" name="Chart 1">
              <a:extLst xmlns:a="http://schemas.openxmlformats.org/drawingml/2006/main">
                <a:ext uri="{FF2B5EF4-FFF2-40B4-BE49-F238E27FC236}">
                  <a16:creationId xmlns:a16="http://schemas.microsoft.com/office/drawing/2014/main" id="{9162D57B-40AC-485F-8532-05B79F42E9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7CF70C4" w14:textId="77777777" w:rsidR="00C64805" w:rsidRPr="00EC49B3" w:rsidRDefault="00C64805" w:rsidP="00C64805">
      <w:pPr>
        <w:pStyle w:val="Zmjumanosaukums"/>
      </w:pPr>
      <w:r w:rsidRPr="00EC49B3">
        <w:t xml:space="preserve">3.3. att. Valsts pamatbudžeta </w:t>
      </w:r>
      <w:proofErr w:type="spellStart"/>
      <w:r w:rsidRPr="00EC49B3">
        <w:t>nenodokļu</w:t>
      </w:r>
      <w:proofErr w:type="spellEnd"/>
      <w:r w:rsidRPr="00EC49B3">
        <w:t xml:space="preserve"> ieņēmumi 2023. un 2024. gadā</w:t>
      </w:r>
    </w:p>
    <w:p w14:paraId="1C25F52F" w14:textId="22B56FA1" w:rsidR="00C64805" w:rsidRPr="00EC49B3" w:rsidRDefault="00C64805" w:rsidP="00C64805">
      <w:pPr>
        <w:rPr>
          <w:rFonts w:eastAsia="Calibri" w:cs="Times New Roman"/>
          <w:szCs w:val="24"/>
        </w:rPr>
      </w:pPr>
      <w:r w:rsidRPr="00EC49B3">
        <w:rPr>
          <w:rFonts w:eastAsia="Times New Roman" w:cs="Times New Roman"/>
          <w:noProof/>
          <w:szCs w:val="24"/>
        </w:rPr>
        <w:lastRenderedPageBreak/>
        <w:t xml:space="preserve">Saskaņā ar likumprojektu “Par </w:t>
      </w:r>
      <w:r w:rsidR="00BB23B3" w:rsidRPr="00DD7A9F">
        <w:rPr>
          <w:rFonts w:eastAsia="Times New Roman" w:cs="Times New Roman"/>
          <w:noProof/>
          <w:szCs w:val="24"/>
        </w:rPr>
        <w:t xml:space="preserve">valsts budžetu 2024. gadam un </w:t>
      </w:r>
      <w:r w:rsidRPr="00EC49B3">
        <w:rPr>
          <w:rFonts w:eastAsia="Times New Roman" w:cs="Times New Roman"/>
          <w:noProof/>
          <w:szCs w:val="24"/>
        </w:rPr>
        <w:t>budžeta ietvaru 2024., 2025. un 2026. gadam”</w:t>
      </w:r>
      <w:r w:rsidRPr="00EC49B3">
        <w:rPr>
          <w:rFonts w:eastAsia="Calibri" w:cs="Times New Roman"/>
          <w:szCs w:val="24"/>
        </w:rPr>
        <w:t xml:space="preserve"> 2024. gadā lielākais valsts pamatbudžeta </w:t>
      </w:r>
      <w:proofErr w:type="spellStart"/>
      <w:r w:rsidRPr="00EC49B3">
        <w:rPr>
          <w:rFonts w:eastAsia="Calibri" w:cs="Times New Roman"/>
          <w:szCs w:val="24"/>
        </w:rPr>
        <w:t>nenodokļu</w:t>
      </w:r>
      <w:proofErr w:type="spellEnd"/>
      <w:r w:rsidRPr="00EC49B3">
        <w:rPr>
          <w:rFonts w:eastAsia="Calibri" w:cs="Times New Roman"/>
          <w:szCs w:val="24"/>
        </w:rPr>
        <w:t xml:space="preserve"> ieņēmumu pieaugums 36,5 milj. </w:t>
      </w:r>
      <w:proofErr w:type="spellStart"/>
      <w:r w:rsidRPr="00770C40">
        <w:rPr>
          <w:rFonts w:eastAsia="Calibri" w:cs="Times New Roman"/>
          <w:i/>
          <w:iCs/>
          <w:szCs w:val="24"/>
        </w:rPr>
        <w:t>euro</w:t>
      </w:r>
      <w:proofErr w:type="spellEnd"/>
      <w:r w:rsidRPr="00EC49B3">
        <w:rPr>
          <w:rFonts w:eastAsia="Calibri" w:cs="Times New Roman"/>
          <w:szCs w:val="24"/>
        </w:rPr>
        <w:t xml:space="preserve"> jeb 63,4 % apmērā tiek plānots no pārējiem </w:t>
      </w:r>
      <w:proofErr w:type="spellStart"/>
      <w:r w:rsidRPr="00EC49B3">
        <w:rPr>
          <w:rFonts w:eastAsia="Calibri" w:cs="Times New Roman"/>
          <w:szCs w:val="24"/>
        </w:rPr>
        <w:t>nenodokļu</w:t>
      </w:r>
      <w:proofErr w:type="spellEnd"/>
      <w:r w:rsidRPr="00EC49B3">
        <w:rPr>
          <w:rFonts w:eastAsia="Calibri" w:cs="Times New Roman"/>
          <w:szCs w:val="24"/>
        </w:rPr>
        <w:t xml:space="preserve"> ieņēmumiem. </w:t>
      </w:r>
      <w:proofErr w:type="spellStart"/>
      <w:r w:rsidRPr="00EC49B3">
        <w:rPr>
          <w:rFonts w:eastAsia="Calibri" w:cs="Times New Roman"/>
          <w:color w:val="000000" w:themeColor="text1"/>
          <w:szCs w:val="24"/>
        </w:rPr>
        <w:t>Nenodokļu</w:t>
      </w:r>
      <w:proofErr w:type="spellEnd"/>
      <w:r w:rsidRPr="00EC49B3">
        <w:rPr>
          <w:rFonts w:eastAsia="Calibri" w:cs="Times New Roman"/>
          <w:color w:val="000000" w:themeColor="text1"/>
          <w:szCs w:val="24"/>
        </w:rPr>
        <w:t xml:space="preserve"> ieņēmumu samazinājums 44,9 milj. </w:t>
      </w:r>
      <w:proofErr w:type="spellStart"/>
      <w:r w:rsidRPr="00770C40">
        <w:rPr>
          <w:rFonts w:eastAsia="Calibri" w:cs="Times New Roman"/>
          <w:i/>
          <w:iCs/>
          <w:color w:val="000000" w:themeColor="text1"/>
          <w:szCs w:val="24"/>
        </w:rPr>
        <w:t>euro</w:t>
      </w:r>
      <w:proofErr w:type="spellEnd"/>
      <w:r w:rsidRPr="00EC49B3">
        <w:rPr>
          <w:rFonts w:eastAsia="Calibri" w:cs="Times New Roman"/>
          <w:color w:val="000000" w:themeColor="text1"/>
          <w:szCs w:val="24"/>
        </w:rPr>
        <w:t xml:space="preserve"> jeb 22,8 % apmērā tiek plānots no valsts (pašvaldību) nodevu un kancelejas nodevu ieņēmumiem</w:t>
      </w:r>
      <w:r>
        <w:rPr>
          <w:rFonts w:eastAsia="Calibri" w:cs="Times New Roman"/>
          <w:color w:val="000000" w:themeColor="text1"/>
          <w:szCs w:val="24"/>
        </w:rPr>
        <w:t>, ko pamatā ietekmēs</w:t>
      </w:r>
      <w:r w:rsidRPr="00734AFA">
        <w:rPr>
          <w:rFonts w:eastAsia="Calibri" w:cs="Times New Roman"/>
          <w:color w:val="000000" w:themeColor="text1"/>
          <w:szCs w:val="24"/>
        </w:rPr>
        <w:t xml:space="preserve"> pāreja uz jauno valsts naftas produktu krājumu pārvaldības modeli</w:t>
      </w:r>
      <w:r w:rsidRPr="00EC49B3">
        <w:rPr>
          <w:rFonts w:eastAsia="Calibri" w:cs="Times New Roman"/>
          <w:color w:val="000000" w:themeColor="text1"/>
          <w:szCs w:val="24"/>
        </w:rPr>
        <w:t>.</w:t>
      </w:r>
    </w:p>
    <w:p w14:paraId="773BC7B7" w14:textId="77777777" w:rsidR="00C64805" w:rsidRPr="00EC49B3" w:rsidRDefault="00C64805" w:rsidP="00C64805">
      <w:pPr>
        <w:pStyle w:val="Zmjums"/>
        <w:keepLines/>
      </w:pPr>
      <w:r w:rsidRPr="00EC49B3">
        <w:drawing>
          <wp:inline distT="0" distB="0" distL="0" distR="0" wp14:anchorId="42F07077" wp14:editId="4062FF9F">
            <wp:extent cx="5760085" cy="2904978"/>
            <wp:effectExtent l="0" t="0" r="0" b="0"/>
            <wp:docPr id="1078363347" name="Chart 1">
              <a:extLst xmlns:a="http://schemas.openxmlformats.org/drawingml/2006/main">
                <a:ext uri="{FF2B5EF4-FFF2-40B4-BE49-F238E27FC236}">
                  <a16:creationId xmlns:a16="http://schemas.microsoft.com/office/drawing/2014/main" id="{D80F1747-8D5A-4022-9F76-62973D4F23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B69A7CC" w14:textId="77777777" w:rsidR="00C64805" w:rsidRPr="00EC49B3" w:rsidRDefault="00C64805" w:rsidP="00C64805">
      <w:pPr>
        <w:pStyle w:val="Zmjumanosaukums"/>
      </w:pPr>
      <w:r w:rsidRPr="00EC49B3">
        <w:t xml:space="preserve">3.4. att. Valsts pamatbudžeta </w:t>
      </w:r>
      <w:proofErr w:type="spellStart"/>
      <w:r w:rsidRPr="00EC49B3">
        <w:t>nenodokļu</w:t>
      </w:r>
      <w:proofErr w:type="spellEnd"/>
      <w:r w:rsidRPr="00EC49B3">
        <w:t xml:space="preserve"> ieņēmumu sadalījums 2024. gadā, %</w:t>
      </w:r>
    </w:p>
    <w:p w14:paraId="2F5721BD" w14:textId="77777777" w:rsidR="00C64805" w:rsidRPr="00EC49B3" w:rsidRDefault="00C64805" w:rsidP="00C64805">
      <w:pPr>
        <w:rPr>
          <w:rFonts w:eastAsia="Calibri" w:cs="Times New Roman"/>
          <w:szCs w:val="24"/>
        </w:rPr>
      </w:pPr>
      <w:r w:rsidRPr="00EC49B3">
        <w:rPr>
          <w:rFonts w:eastAsia="Calibri" w:cs="Times New Roman"/>
          <w:szCs w:val="24"/>
        </w:rPr>
        <w:t xml:space="preserve">2024. gadā tiek plānots, ka ieņēmumi no uzņēmējdarbības un īpašuma veidos 67,2 % no kopējiem valsts pamatbudžeta </w:t>
      </w:r>
      <w:proofErr w:type="spellStart"/>
      <w:r w:rsidRPr="00EC49B3">
        <w:rPr>
          <w:rFonts w:eastAsia="Calibri" w:cs="Times New Roman"/>
          <w:szCs w:val="24"/>
        </w:rPr>
        <w:t>nenodokļu</w:t>
      </w:r>
      <w:proofErr w:type="spellEnd"/>
      <w:r w:rsidRPr="00EC49B3">
        <w:rPr>
          <w:rFonts w:eastAsia="Calibri" w:cs="Times New Roman"/>
          <w:szCs w:val="24"/>
        </w:rPr>
        <w:t xml:space="preserve"> ieņēmumiem. Turklāt šos ieņēmumus lielākoties (43,7 % apmērā) veidos ieņēmumi no dividendēm.</w:t>
      </w:r>
    </w:p>
    <w:p w14:paraId="3CB62754" w14:textId="77777777" w:rsidR="00C64805" w:rsidRDefault="00C64805" w:rsidP="00C64805">
      <w:pPr>
        <w:rPr>
          <w:rFonts w:eastAsia="Calibri" w:cs="Times New Roman"/>
          <w:szCs w:val="24"/>
        </w:rPr>
      </w:pPr>
      <w:r w:rsidRPr="00EC49B3">
        <w:rPr>
          <w:rFonts w:eastAsia="Calibri" w:cs="Times New Roman"/>
          <w:szCs w:val="24"/>
        </w:rPr>
        <w:t>Ieņēmumi no dividendēm 2024. gadā tiek plānoti 373,2 milj. </w:t>
      </w:r>
      <w:proofErr w:type="spellStart"/>
      <w:r w:rsidRPr="00770C40">
        <w:rPr>
          <w:rFonts w:eastAsia="Calibri" w:cs="Times New Roman"/>
          <w:i/>
          <w:iCs/>
          <w:szCs w:val="24"/>
        </w:rPr>
        <w:t>euro</w:t>
      </w:r>
      <w:proofErr w:type="spellEnd"/>
      <w:r w:rsidRPr="00EC49B3">
        <w:rPr>
          <w:rFonts w:eastAsia="Calibri" w:cs="Times New Roman"/>
          <w:szCs w:val="24"/>
        </w:rPr>
        <w:t>, 2025. gadā 227,7 milj. </w:t>
      </w:r>
      <w:proofErr w:type="spellStart"/>
      <w:r w:rsidRPr="00770C40">
        <w:rPr>
          <w:rFonts w:eastAsia="Calibri" w:cs="Times New Roman"/>
          <w:i/>
          <w:iCs/>
          <w:szCs w:val="24"/>
        </w:rPr>
        <w:t>euro</w:t>
      </w:r>
      <w:proofErr w:type="spellEnd"/>
      <w:r w:rsidRPr="00EC49B3">
        <w:rPr>
          <w:rFonts w:eastAsia="Calibri" w:cs="Times New Roman"/>
          <w:szCs w:val="24"/>
        </w:rPr>
        <w:t xml:space="preserve"> un 2026. gadā 205,5 milj. </w:t>
      </w:r>
      <w:proofErr w:type="spellStart"/>
      <w:r w:rsidRPr="00770C40">
        <w:rPr>
          <w:rFonts w:eastAsia="Calibri" w:cs="Times New Roman"/>
          <w:i/>
          <w:iCs/>
          <w:szCs w:val="24"/>
        </w:rPr>
        <w:t>euro</w:t>
      </w:r>
      <w:proofErr w:type="spellEnd"/>
      <w:r w:rsidRPr="00EC49B3">
        <w:rPr>
          <w:rFonts w:eastAsia="Calibri" w:cs="Times New Roman"/>
          <w:szCs w:val="24"/>
        </w:rPr>
        <w:t xml:space="preserve">. Plāns veidots, pamatojoties uz lielāko valsts kapitālsabiedrību sniegtajām peļņas prognozēm vidējā termiņā, kā arī saskaņā ar MK noteikumiem Nr. 72 “Kārtība, kādā tiek prognozēti, noteikti un veikti maksājumi par valsts kapitāla izmantošanu”, kurā noteikts, ka minimālo dividendēs izmaksājamo peļņas daļu nosaka 64 % apmērā no attiecīgās kapitālsabiedrības peļņas (UIN aprēķinot un nomaksājot UIN regulējošos normatīvajos aktos noteiktajā kārtībā). Papildus tam dividenžu un </w:t>
      </w:r>
      <w:proofErr w:type="spellStart"/>
      <w:r w:rsidRPr="00EC49B3">
        <w:rPr>
          <w:rFonts w:eastAsia="Calibri" w:cs="Times New Roman"/>
          <w:szCs w:val="24"/>
        </w:rPr>
        <w:t>nenodokļu</w:t>
      </w:r>
      <w:proofErr w:type="spellEnd"/>
      <w:r w:rsidRPr="00EC49B3">
        <w:rPr>
          <w:rFonts w:eastAsia="Calibri" w:cs="Times New Roman"/>
          <w:szCs w:val="24"/>
        </w:rPr>
        <w:t xml:space="preserve"> ieņēmumus ietekmē arī 3.1. sadaļā minētie pasākumi.</w:t>
      </w:r>
    </w:p>
    <w:p w14:paraId="330F88EC" w14:textId="77777777" w:rsidR="00C64805" w:rsidRPr="00EC49B3" w:rsidRDefault="00C64805" w:rsidP="00C64805">
      <w:pPr>
        <w:pStyle w:val="Tabulasnosaukums"/>
      </w:pPr>
      <w:r w:rsidRPr="00EC49B3">
        <w:t>3.2</w:t>
      </w:r>
      <w:r>
        <w:t>1</w:t>
      </w:r>
      <w:r w:rsidRPr="00EC49B3">
        <w:t xml:space="preserve">. tabula. Valsts pamatbudžeta </w:t>
      </w:r>
      <w:proofErr w:type="spellStart"/>
      <w:r w:rsidRPr="00EC49B3">
        <w:t>nenodokļu</w:t>
      </w:r>
      <w:proofErr w:type="spellEnd"/>
      <w:r w:rsidRPr="00EC49B3">
        <w:t xml:space="preserve"> ieņēmumi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203"/>
        <w:gridCol w:w="738"/>
        <w:gridCol w:w="790"/>
        <w:gridCol w:w="672"/>
        <w:gridCol w:w="658"/>
      </w:tblGrid>
      <w:tr w:rsidR="00EE3763" w:rsidRPr="00F54A36" w14:paraId="4E35CE57" w14:textId="77777777" w:rsidTr="00EE3763">
        <w:trPr>
          <w:cantSplit/>
          <w:trHeight w:hRule="exact" w:val="227"/>
          <w:jc w:val="center"/>
        </w:trPr>
        <w:tc>
          <w:tcPr>
            <w:tcW w:w="3423" w:type="pct"/>
            <w:shd w:val="clear" w:color="auto" w:fill="9CC2E5" w:themeFill="accent1" w:themeFillTint="99"/>
            <w:vAlign w:val="center"/>
          </w:tcPr>
          <w:p w14:paraId="7604A38B" w14:textId="77777777" w:rsidR="00C64805" w:rsidRPr="00C64805" w:rsidRDefault="00C64805" w:rsidP="005D673A">
            <w:pPr>
              <w:pStyle w:val="Tabulasgalvenesrinda"/>
            </w:pPr>
          </w:p>
        </w:tc>
        <w:tc>
          <w:tcPr>
            <w:tcW w:w="407" w:type="pct"/>
            <w:tcBorders>
              <w:bottom w:val="single" w:sz="4" w:space="0" w:color="auto"/>
            </w:tcBorders>
            <w:shd w:val="clear" w:color="auto" w:fill="9CC2E5" w:themeFill="accent1" w:themeFillTint="99"/>
            <w:vAlign w:val="center"/>
          </w:tcPr>
          <w:p w14:paraId="2B02F539" w14:textId="77777777" w:rsidR="00C64805" w:rsidRPr="00C64805" w:rsidRDefault="00C64805" w:rsidP="005D673A">
            <w:pPr>
              <w:pStyle w:val="Tabulasgalvenesrinda"/>
            </w:pPr>
            <w:r w:rsidRPr="00C64805">
              <w:t>2023</w:t>
            </w:r>
          </w:p>
        </w:tc>
        <w:tc>
          <w:tcPr>
            <w:tcW w:w="436" w:type="pct"/>
            <w:tcBorders>
              <w:bottom w:val="single" w:sz="4" w:space="0" w:color="auto"/>
            </w:tcBorders>
            <w:shd w:val="clear" w:color="auto" w:fill="9CC2E5" w:themeFill="accent1" w:themeFillTint="99"/>
            <w:vAlign w:val="center"/>
          </w:tcPr>
          <w:p w14:paraId="2B864A93" w14:textId="77777777" w:rsidR="00C64805" w:rsidRPr="00C64805" w:rsidRDefault="00C64805" w:rsidP="005D673A">
            <w:pPr>
              <w:pStyle w:val="Tabulasgalvenesrinda"/>
            </w:pPr>
            <w:r w:rsidRPr="00C64805">
              <w:t>2024</w:t>
            </w:r>
          </w:p>
        </w:tc>
        <w:tc>
          <w:tcPr>
            <w:tcW w:w="371" w:type="pct"/>
            <w:tcBorders>
              <w:bottom w:val="single" w:sz="4" w:space="0" w:color="auto"/>
            </w:tcBorders>
            <w:shd w:val="clear" w:color="auto" w:fill="9CC2E5" w:themeFill="accent1" w:themeFillTint="99"/>
            <w:vAlign w:val="center"/>
          </w:tcPr>
          <w:p w14:paraId="59E7AC16" w14:textId="77777777" w:rsidR="00C64805" w:rsidRPr="00C64805" w:rsidRDefault="00C64805" w:rsidP="005D673A">
            <w:pPr>
              <w:pStyle w:val="Tabulasgalvenesrinda"/>
            </w:pPr>
            <w:r w:rsidRPr="00C64805">
              <w:t>2025</w:t>
            </w:r>
          </w:p>
        </w:tc>
        <w:tc>
          <w:tcPr>
            <w:tcW w:w="364" w:type="pct"/>
            <w:tcBorders>
              <w:bottom w:val="single" w:sz="4" w:space="0" w:color="auto"/>
            </w:tcBorders>
            <w:shd w:val="clear" w:color="auto" w:fill="9CC2E5" w:themeFill="accent1" w:themeFillTint="99"/>
            <w:vAlign w:val="center"/>
          </w:tcPr>
          <w:p w14:paraId="27C1BB29" w14:textId="77777777" w:rsidR="00C64805" w:rsidRPr="00C64805" w:rsidRDefault="00C64805" w:rsidP="005D673A">
            <w:pPr>
              <w:pStyle w:val="Tabulasgalvenesrinda"/>
            </w:pPr>
            <w:r w:rsidRPr="00C64805">
              <w:t>2026</w:t>
            </w:r>
          </w:p>
        </w:tc>
      </w:tr>
      <w:tr w:rsidR="00EE3763" w:rsidRPr="00F54A36" w14:paraId="1F2C8D2C" w14:textId="77777777" w:rsidTr="00BB23B3">
        <w:trPr>
          <w:cantSplit/>
          <w:trHeight w:hRule="exact" w:val="454"/>
          <w:jc w:val="center"/>
        </w:trPr>
        <w:tc>
          <w:tcPr>
            <w:tcW w:w="3423" w:type="pct"/>
            <w:vAlign w:val="center"/>
          </w:tcPr>
          <w:p w14:paraId="0139AD29" w14:textId="77777777" w:rsidR="00C64805" w:rsidRPr="00C64805" w:rsidRDefault="00C64805" w:rsidP="008A2D7F">
            <w:pPr>
              <w:pStyle w:val="Tabulasteksts"/>
              <w:spacing w:after="0"/>
              <w:ind w:left="0"/>
              <w:rPr>
                <w:i/>
                <w:szCs w:val="18"/>
              </w:rPr>
            </w:pPr>
            <w:r w:rsidRPr="00C64805">
              <w:rPr>
                <w:szCs w:val="18"/>
              </w:rPr>
              <w:t>Saskaņā ar likumprojektu “Par budžeta ietvaru 2024., 2025. un 2026. gadam”, milj. </w:t>
            </w:r>
            <w:r w:rsidRPr="00C64805">
              <w:rPr>
                <w:i/>
                <w:iCs/>
                <w:szCs w:val="18"/>
              </w:rPr>
              <w:t>euro</w:t>
            </w:r>
          </w:p>
        </w:tc>
        <w:tc>
          <w:tcPr>
            <w:tcW w:w="407" w:type="pct"/>
            <w:tcBorders>
              <w:top w:val="single" w:sz="4" w:space="0" w:color="auto"/>
              <w:left w:val="nil"/>
              <w:bottom w:val="single" w:sz="4" w:space="0" w:color="auto"/>
              <w:right w:val="single" w:sz="4" w:space="0" w:color="auto"/>
            </w:tcBorders>
            <w:shd w:val="clear" w:color="auto" w:fill="auto"/>
            <w:vAlign w:val="center"/>
          </w:tcPr>
          <w:p w14:paraId="1CB4B14C" w14:textId="77777777" w:rsidR="00C64805" w:rsidRPr="00C64805" w:rsidRDefault="00C64805" w:rsidP="00BB23B3">
            <w:pPr>
              <w:pStyle w:val="Tabulascipari"/>
              <w:keepNext/>
              <w:keepLines/>
              <w:spacing w:after="0"/>
              <w:ind w:left="0"/>
              <w:jc w:val="center"/>
              <w:rPr>
                <w:szCs w:val="18"/>
              </w:rPr>
            </w:pPr>
            <w:r w:rsidRPr="00C64805">
              <w:rPr>
                <w:szCs w:val="18"/>
              </w:rPr>
              <w:t>843,1</w:t>
            </w:r>
            <w:r w:rsidRPr="00C64805">
              <w:rPr>
                <w:szCs w:val="18"/>
                <w:vertAlign w:val="superscript"/>
              </w:rPr>
              <w:t>1</w:t>
            </w:r>
          </w:p>
        </w:tc>
        <w:tc>
          <w:tcPr>
            <w:tcW w:w="436" w:type="pct"/>
            <w:tcBorders>
              <w:top w:val="single" w:sz="4" w:space="0" w:color="auto"/>
              <w:left w:val="nil"/>
              <w:bottom w:val="single" w:sz="4" w:space="0" w:color="auto"/>
              <w:right w:val="single" w:sz="4" w:space="0" w:color="auto"/>
            </w:tcBorders>
            <w:shd w:val="clear" w:color="auto" w:fill="auto"/>
            <w:vAlign w:val="center"/>
          </w:tcPr>
          <w:p w14:paraId="5B027B50" w14:textId="77777777" w:rsidR="00C64805" w:rsidRPr="00C64805" w:rsidRDefault="00C64805" w:rsidP="00BB23B3">
            <w:pPr>
              <w:pStyle w:val="Tabulascipari"/>
              <w:keepNext/>
              <w:keepLines/>
              <w:spacing w:after="0"/>
              <w:ind w:left="0"/>
              <w:jc w:val="center"/>
              <w:rPr>
                <w:szCs w:val="18"/>
              </w:rPr>
            </w:pPr>
            <w:r w:rsidRPr="00C64805">
              <w:rPr>
                <w:szCs w:val="18"/>
              </w:rPr>
              <w:t>853,6</w:t>
            </w:r>
          </w:p>
        </w:tc>
        <w:tc>
          <w:tcPr>
            <w:tcW w:w="371" w:type="pct"/>
            <w:tcBorders>
              <w:top w:val="single" w:sz="4" w:space="0" w:color="auto"/>
              <w:left w:val="single" w:sz="4" w:space="0" w:color="auto"/>
              <w:bottom w:val="single" w:sz="4" w:space="0" w:color="auto"/>
              <w:right w:val="nil"/>
            </w:tcBorders>
            <w:shd w:val="clear" w:color="auto" w:fill="auto"/>
            <w:vAlign w:val="center"/>
          </w:tcPr>
          <w:p w14:paraId="09419514" w14:textId="77777777" w:rsidR="00C64805" w:rsidRPr="00C64805" w:rsidRDefault="00C64805" w:rsidP="00BB23B3">
            <w:pPr>
              <w:pStyle w:val="Tabulascipari"/>
              <w:keepNext/>
              <w:keepLines/>
              <w:spacing w:after="0"/>
              <w:ind w:left="0"/>
              <w:jc w:val="center"/>
              <w:rPr>
                <w:szCs w:val="18"/>
              </w:rPr>
            </w:pPr>
            <w:r w:rsidRPr="00C64805">
              <w:rPr>
                <w:szCs w:val="18"/>
              </w:rPr>
              <w:t>654,8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400D65D" w14:textId="635E1920" w:rsidR="00C64805" w:rsidRPr="00C64805" w:rsidRDefault="00C64805" w:rsidP="00BB23B3">
            <w:pPr>
              <w:pStyle w:val="Tabulascipari"/>
              <w:keepNext/>
              <w:keepLines/>
              <w:spacing w:after="0"/>
              <w:ind w:left="0"/>
              <w:jc w:val="center"/>
              <w:rPr>
                <w:szCs w:val="18"/>
              </w:rPr>
            </w:pPr>
            <w:r w:rsidRPr="00C64805">
              <w:rPr>
                <w:szCs w:val="18"/>
              </w:rPr>
              <w:t>629,0</w:t>
            </w:r>
          </w:p>
        </w:tc>
      </w:tr>
      <w:tr w:rsidR="00EE3763" w:rsidRPr="00F54A36" w14:paraId="6F80B22B" w14:textId="77777777" w:rsidTr="00EE3763">
        <w:trPr>
          <w:cantSplit/>
          <w:trHeight w:hRule="exact" w:val="227"/>
          <w:jc w:val="center"/>
        </w:trPr>
        <w:tc>
          <w:tcPr>
            <w:tcW w:w="3423" w:type="pct"/>
            <w:vAlign w:val="center"/>
          </w:tcPr>
          <w:p w14:paraId="0B308D3B" w14:textId="77777777" w:rsidR="00C64805" w:rsidRPr="00C64805" w:rsidRDefault="00C64805" w:rsidP="008A2D7F">
            <w:pPr>
              <w:pStyle w:val="Tabulasteksts"/>
              <w:spacing w:after="0"/>
              <w:ind w:left="340"/>
              <w:rPr>
                <w:i/>
                <w:iCs/>
                <w:szCs w:val="18"/>
              </w:rPr>
            </w:pPr>
            <w:r w:rsidRPr="00C64805">
              <w:rPr>
                <w:i/>
                <w:iCs/>
                <w:szCs w:val="18"/>
              </w:rPr>
              <w:t>pret IKP, %</w:t>
            </w:r>
          </w:p>
        </w:tc>
        <w:tc>
          <w:tcPr>
            <w:tcW w:w="407" w:type="pct"/>
            <w:tcBorders>
              <w:top w:val="single" w:sz="4" w:space="0" w:color="auto"/>
              <w:left w:val="nil"/>
              <w:bottom w:val="single" w:sz="4" w:space="0" w:color="auto"/>
              <w:right w:val="single" w:sz="4" w:space="0" w:color="auto"/>
            </w:tcBorders>
            <w:shd w:val="clear" w:color="auto" w:fill="auto"/>
          </w:tcPr>
          <w:p w14:paraId="60A6C568" w14:textId="77777777" w:rsidR="00C64805" w:rsidRPr="00C64805" w:rsidRDefault="00C64805" w:rsidP="00EE3763">
            <w:pPr>
              <w:pStyle w:val="Tabulascipari"/>
              <w:keepNext/>
              <w:keepLines/>
              <w:spacing w:after="0"/>
              <w:ind w:left="0"/>
              <w:rPr>
                <w:i/>
                <w:iCs/>
                <w:szCs w:val="18"/>
              </w:rPr>
            </w:pPr>
            <w:r w:rsidRPr="00C64805">
              <w:rPr>
                <w:i/>
                <w:iCs/>
                <w:szCs w:val="18"/>
              </w:rPr>
              <w:t>2,0</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78F010BA" w14:textId="77777777" w:rsidR="00C64805" w:rsidRPr="00C64805" w:rsidRDefault="00C64805" w:rsidP="00EE3763">
            <w:pPr>
              <w:pStyle w:val="Tabulascipari"/>
              <w:keepNext/>
              <w:keepLines/>
              <w:spacing w:after="0"/>
              <w:ind w:left="0"/>
              <w:rPr>
                <w:i/>
                <w:iCs/>
                <w:szCs w:val="18"/>
              </w:rPr>
            </w:pPr>
            <w:r w:rsidRPr="00C64805">
              <w:rPr>
                <w:i/>
                <w:iCs/>
                <w:szCs w:val="18"/>
              </w:rPr>
              <w:t>1,9</w:t>
            </w:r>
          </w:p>
        </w:tc>
        <w:tc>
          <w:tcPr>
            <w:tcW w:w="371" w:type="pct"/>
            <w:tcBorders>
              <w:top w:val="single" w:sz="4" w:space="0" w:color="auto"/>
              <w:left w:val="single" w:sz="4" w:space="0" w:color="auto"/>
              <w:bottom w:val="single" w:sz="4" w:space="0" w:color="auto"/>
              <w:right w:val="single" w:sz="4" w:space="0" w:color="auto"/>
            </w:tcBorders>
            <w:shd w:val="clear" w:color="auto" w:fill="auto"/>
          </w:tcPr>
          <w:p w14:paraId="2CBEA9A1" w14:textId="77777777" w:rsidR="00C64805" w:rsidRPr="00C64805" w:rsidRDefault="00C64805" w:rsidP="00EE3763">
            <w:pPr>
              <w:pStyle w:val="Tabulascipari"/>
              <w:keepNext/>
              <w:keepLines/>
              <w:spacing w:after="0"/>
              <w:ind w:left="0"/>
              <w:rPr>
                <w:i/>
                <w:iCs/>
                <w:szCs w:val="18"/>
              </w:rPr>
            </w:pPr>
            <w:r w:rsidRPr="00C64805">
              <w:rPr>
                <w:i/>
                <w:iCs/>
                <w:szCs w:val="18"/>
              </w:rPr>
              <w:t>1,4</w:t>
            </w:r>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297E5B48" w14:textId="77777777" w:rsidR="00C64805" w:rsidRPr="00C64805" w:rsidRDefault="00C64805" w:rsidP="00EE3763">
            <w:pPr>
              <w:pStyle w:val="Tabulascipari"/>
              <w:keepNext/>
              <w:keepLines/>
              <w:spacing w:after="0"/>
              <w:ind w:left="0"/>
              <w:rPr>
                <w:i/>
                <w:iCs/>
                <w:szCs w:val="18"/>
              </w:rPr>
            </w:pPr>
            <w:r w:rsidRPr="00C64805">
              <w:rPr>
                <w:i/>
                <w:iCs/>
                <w:szCs w:val="18"/>
              </w:rPr>
              <w:t>1,2</w:t>
            </w:r>
          </w:p>
        </w:tc>
      </w:tr>
      <w:tr w:rsidR="00EE3763" w:rsidRPr="00F54A36" w14:paraId="100B48D2" w14:textId="77777777" w:rsidTr="00EE3763">
        <w:trPr>
          <w:cantSplit/>
          <w:trHeight w:hRule="exact" w:val="454"/>
          <w:jc w:val="center"/>
        </w:trPr>
        <w:tc>
          <w:tcPr>
            <w:tcW w:w="3423" w:type="pct"/>
            <w:vAlign w:val="center"/>
          </w:tcPr>
          <w:p w14:paraId="374013BB" w14:textId="4D332FE7" w:rsidR="00C64805" w:rsidRPr="00C64805" w:rsidRDefault="00C64805" w:rsidP="008A2D7F">
            <w:pPr>
              <w:pStyle w:val="Tabulasteksts"/>
              <w:spacing w:after="0"/>
              <w:ind w:left="0"/>
              <w:rPr>
                <w:szCs w:val="18"/>
              </w:rPr>
            </w:pPr>
            <w:r w:rsidRPr="00C64805">
              <w:rPr>
                <w:szCs w:val="18"/>
              </w:rPr>
              <w:t>Salīdzinājumā ar likumu “Par vidēja termiņa budžeta ietvaru 2023., 2024. un 2025. gadam”, milj. </w:t>
            </w:r>
            <w:r w:rsidRPr="008A2D7F">
              <w:rPr>
                <w:i/>
                <w:iCs/>
                <w:szCs w:val="18"/>
              </w:rPr>
              <w:t>euro</w:t>
            </w:r>
          </w:p>
        </w:tc>
        <w:tc>
          <w:tcPr>
            <w:tcW w:w="407" w:type="pct"/>
            <w:tcBorders>
              <w:top w:val="single" w:sz="4" w:space="0" w:color="auto"/>
              <w:left w:val="nil"/>
              <w:bottom w:val="single" w:sz="4" w:space="0" w:color="auto"/>
              <w:right w:val="single" w:sz="4" w:space="0" w:color="auto"/>
            </w:tcBorders>
            <w:shd w:val="clear" w:color="auto" w:fill="auto"/>
          </w:tcPr>
          <w:p w14:paraId="3041CD5E" w14:textId="77777777" w:rsidR="00C64805" w:rsidRPr="00C64805" w:rsidRDefault="00C64805" w:rsidP="00EE3763">
            <w:pPr>
              <w:pStyle w:val="Tabulascipari"/>
              <w:keepNext/>
              <w:keepLines/>
              <w:spacing w:after="0"/>
              <w:ind w:left="0"/>
              <w:rPr>
                <w:i/>
                <w:iCs/>
                <w:szCs w:val="18"/>
              </w:rPr>
            </w:pPr>
            <w:r w:rsidRPr="00C64805">
              <w:rPr>
                <w:i/>
                <w:iCs/>
                <w:szCs w:val="18"/>
              </w:rPr>
              <w:t xml:space="preserve">+96,3 </w:t>
            </w:r>
          </w:p>
        </w:tc>
        <w:tc>
          <w:tcPr>
            <w:tcW w:w="436" w:type="pct"/>
            <w:tcBorders>
              <w:top w:val="single" w:sz="4" w:space="0" w:color="auto"/>
              <w:left w:val="nil"/>
              <w:bottom w:val="single" w:sz="4" w:space="0" w:color="auto"/>
              <w:right w:val="single" w:sz="4" w:space="0" w:color="auto"/>
            </w:tcBorders>
            <w:shd w:val="clear" w:color="auto" w:fill="auto"/>
          </w:tcPr>
          <w:p w14:paraId="67706038" w14:textId="77777777" w:rsidR="00C64805" w:rsidRPr="00C64805" w:rsidRDefault="00C64805" w:rsidP="00EE3763">
            <w:pPr>
              <w:pStyle w:val="Tabulascipari"/>
              <w:keepNext/>
              <w:keepLines/>
              <w:spacing w:after="0"/>
              <w:ind w:left="0"/>
              <w:rPr>
                <w:i/>
                <w:iCs/>
                <w:szCs w:val="18"/>
              </w:rPr>
            </w:pPr>
            <w:r w:rsidRPr="00C64805">
              <w:rPr>
                <w:i/>
                <w:iCs/>
                <w:szCs w:val="18"/>
              </w:rPr>
              <w:t>+236,9</w:t>
            </w:r>
          </w:p>
        </w:tc>
        <w:tc>
          <w:tcPr>
            <w:tcW w:w="371" w:type="pct"/>
            <w:tcBorders>
              <w:top w:val="single" w:sz="4" w:space="0" w:color="auto"/>
              <w:left w:val="single" w:sz="4" w:space="0" w:color="auto"/>
              <w:bottom w:val="single" w:sz="4" w:space="0" w:color="auto"/>
              <w:right w:val="nil"/>
            </w:tcBorders>
            <w:shd w:val="clear" w:color="auto" w:fill="auto"/>
          </w:tcPr>
          <w:p w14:paraId="5D2832B6" w14:textId="77777777" w:rsidR="00C64805" w:rsidRPr="00C64805" w:rsidRDefault="00C64805" w:rsidP="00EE3763">
            <w:pPr>
              <w:pStyle w:val="Tabulascipari"/>
              <w:keepNext/>
              <w:keepLines/>
              <w:spacing w:after="0"/>
              <w:ind w:left="0"/>
              <w:rPr>
                <w:i/>
                <w:iCs/>
                <w:szCs w:val="18"/>
              </w:rPr>
            </w:pPr>
            <w:r w:rsidRPr="00C64805">
              <w:rPr>
                <w:i/>
                <w:iCs/>
                <w:szCs w:val="18"/>
              </w:rPr>
              <w:t>+36,1</w:t>
            </w:r>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6A2E5F4F" w14:textId="77777777" w:rsidR="00C64805" w:rsidRPr="00C64805" w:rsidRDefault="00C64805" w:rsidP="00EE3763">
            <w:pPr>
              <w:pStyle w:val="Tabulascipari"/>
              <w:keepNext/>
              <w:keepLines/>
              <w:spacing w:after="0"/>
              <w:ind w:left="0"/>
              <w:rPr>
                <w:i/>
                <w:iCs/>
                <w:szCs w:val="18"/>
              </w:rPr>
            </w:pPr>
            <w:r w:rsidRPr="00C64805">
              <w:rPr>
                <w:i/>
                <w:iCs/>
                <w:szCs w:val="18"/>
              </w:rPr>
              <w:t>—</w:t>
            </w:r>
          </w:p>
        </w:tc>
      </w:tr>
      <w:tr w:rsidR="00EE3763" w:rsidRPr="00F54A36" w14:paraId="20827398" w14:textId="77777777" w:rsidTr="00EE3763">
        <w:trPr>
          <w:cantSplit/>
          <w:trHeight w:hRule="exact" w:val="454"/>
          <w:jc w:val="center"/>
        </w:trPr>
        <w:tc>
          <w:tcPr>
            <w:tcW w:w="3423" w:type="pct"/>
            <w:vAlign w:val="center"/>
          </w:tcPr>
          <w:p w14:paraId="1BF56214" w14:textId="00B2921B" w:rsidR="00C64805" w:rsidRPr="00C64805" w:rsidRDefault="00C64805" w:rsidP="008A2D7F">
            <w:pPr>
              <w:pStyle w:val="Tabulasteksts"/>
              <w:spacing w:after="0"/>
              <w:ind w:left="0"/>
              <w:rPr>
                <w:szCs w:val="18"/>
              </w:rPr>
            </w:pPr>
            <w:r w:rsidRPr="00C64805">
              <w:rPr>
                <w:szCs w:val="18"/>
              </w:rPr>
              <w:t>Salīdzinājumā ar likumu “Par vidēja termiņa budžeta ietvaru 2023., 2024. un 2025. gadam”, %</w:t>
            </w:r>
          </w:p>
        </w:tc>
        <w:tc>
          <w:tcPr>
            <w:tcW w:w="407" w:type="pct"/>
            <w:tcBorders>
              <w:top w:val="single" w:sz="4" w:space="0" w:color="auto"/>
              <w:left w:val="nil"/>
              <w:bottom w:val="single" w:sz="4" w:space="0" w:color="auto"/>
              <w:right w:val="single" w:sz="4" w:space="0" w:color="auto"/>
            </w:tcBorders>
            <w:shd w:val="clear" w:color="auto" w:fill="auto"/>
          </w:tcPr>
          <w:p w14:paraId="2FC05F2D" w14:textId="77777777" w:rsidR="00C64805" w:rsidRPr="00C64805" w:rsidRDefault="00C64805" w:rsidP="00EE3763">
            <w:pPr>
              <w:pStyle w:val="Tabulascipari"/>
              <w:keepNext/>
              <w:keepLines/>
              <w:spacing w:after="0"/>
              <w:ind w:left="0"/>
              <w:rPr>
                <w:i/>
                <w:iCs/>
                <w:szCs w:val="18"/>
              </w:rPr>
            </w:pPr>
            <w:r w:rsidRPr="00C64805">
              <w:rPr>
                <w:i/>
                <w:iCs/>
                <w:szCs w:val="18"/>
              </w:rPr>
              <w:t>+12,9</w:t>
            </w:r>
          </w:p>
        </w:tc>
        <w:tc>
          <w:tcPr>
            <w:tcW w:w="436" w:type="pct"/>
            <w:tcBorders>
              <w:top w:val="single" w:sz="4" w:space="0" w:color="auto"/>
              <w:left w:val="nil"/>
              <w:bottom w:val="single" w:sz="4" w:space="0" w:color="auto"/>
              <w:right w:val="single" w:sz="4" w:space="0" w:color="auto"/>
            </w:tcBorders>
            <w:shd w:val="clear" w:color="auto" w:fill="auto"/>
          </w:tcPr>
          <w:p w14:paraId="021006E3" w14:textId="77777777" w:rsidR="00C64805" w:rsidRPr="00C64805" w:rsidRDefault="00C64805" w:rsidP="00EE3763">
            <w:pPr>
              <w:pStyle w:val="Tabulascipari"/>
              <w:keepNext/>
              <w:keepLines/>
              <w:spacing w:after="0"/>
              <w:ind w:left="0"/>
              <w:rPr>
                <w:i/>
                <w:iCs/>
                <w:szCs w:val="18"/>
              </w:rPr>
            </w:pPr>
            <w:r w:rsidRPr="00C64805">
              <w:rPr>
                <w:i/>
                <w:iCs/>
                <w:szCs w:val="18"/>
              </w:rPr>
              <w:t>+38,4</w:t>
            </w:r>
          </w:p>
        </w:tc>
        <w:tc>
          <w:tcPr>
            <w:tcW w:w="371" w:type="pct"/>
            <w:tcBorders>
              <w:top w:val="single" w:sz="4" w:space="0" w:color="auto"/>
              <w:left w:val="single" w:sz="4" w:space="0" w:color="auto"/>
              <w:bottom w:val="single" w:sz="4" w:space="0" w:color="auto"/>
              <w:right w:val="nil"/>
            </w:tcBorders>
            <w:shd w:val="clear" w:color="auto" w:fill="auto"/>
          </w:tcPr>
          <w:p w14:paraId="3BE4D528" w14:textId="77777777" w:rsidR="00C64805" w:rsidRPr="00C64805" w:rsidRDefault="00C64805" w:rsidP="00EE3763">
            <w:pPr>
              <w:pStyle w:val="Tabulascipari"/>
              <w:keepNext/>
              <w:keepLines/>
              <w:spacing w:after="0"/>
              <w:ind w:left="0"/>
              <w:rPr>
                <w:i/>
                <w:iCs/>
                <w:szCs w:val="18"/>
              </w:rPr>
            </w:pPr>
            <w:r w:rsidRPr="00C64805">
              <w:rPr>
                <w:i/>
                <w:iCs/>
                <w:szCs w:val="18"/>
              </w:rPr>
              <w:t>+5,8</w:t>
            </w:r>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54D23D31" w14:textId="77777777" w:rsidR="00C64805" w:rsidRPr="00C64805" w:rsidRDefault="00C64805" w:rsidP="00EE3763">
            <w:pPr>
              <w:pStyle w:val="Tabulascipari"/>
              <w:keepNext/>
              <w:keepLines/>
              <w:spacing w:after="0"/>
              <w:ind w:left="0"/>
              <w:rPr>
                <w:i/>
                <w:iCs/>
                <w:szCs w:val="18"/>
              </w:rPr>
            </w:pPr>
            <w:r w:rsidRPr="00C64805">
              <w:rPr>
                <w:i/>
                <w:iCs/>
                <w:szCs w:val="18"/>
              </w:rPr>
              <w:t>—</w:t>
            </w:r>
          </w:p>
        </w:tc>
      </w:tr>
    </w:tbl>
    <w:p w14:paraId="47994C2F" w14:textId="77777777" w:rsidR="00C64805" w:rsidRPr="004A3BF6" w:rsidRDefault="00C64805" w:rsidP="00C64805">
      <w:pPr>
        <w:pStyle w:val="Piezme"/>
      </w:pPr>
      <w:r w:rsidRPr="00EC49B3">
        <w:rPr>
          <w:vertAlign w:val="superscript"/>
        </w:rPr>
        <w:t>1</w:t>
      </w:r>
      <w:r w:rsidRPr="00EC49B3">
        <w:t> Prognoze</w:t>
      </w:r>
    </w:p>
    <w:p w14:paraId="7B4FF012" w14:textId="421A556A" w:rsidR="006C567F" w:rsidRPr="00B87F0C" w:rsidRDefault="006C567F" w:rsidP="00863814">
      <w:pPr>
        <w:pStyle w:val="H2"/>
        <w:rPr>
          <w:rFonts w:eastAsia="Times New Roman"/>
        </w:rPr>
      </w:pPr>
      <w:r w:rsidRPr="00B87F0C">
        <w:rPr>
          <w:rFonts w:eastAsia="Times New Roman"/>
        </w:rPr>
        <w:t>3.4. Pašu ieņēmumi un ārvalstu finanšu palīdzība</w:t>
      </w:r>
      <w:bookmarkEnd w:id="108"/>
    </w:p>
    <w:p w14:paraId="66A13267" w14:textId="77777777" w:rsidR="00B87F0C" w:rsidRPr="00B87F0C" w:rsidRDefault="00B87F0C" w:rsidP="00B87F0C">
      <w:pPr>
        <w:rPr>
          <w:rFonts w:eastAsia="Times New Roman" w:cs="Times New Roman"/>
          <w:sz w:val="22"/>
          <w:szCs w:val="20"/>
          <w:lang w:eastAsia="en-US"/>
        </w:rPr>
      </w:pPr>
      <w:bookmarkStart w:id="109" w:name="_Toc126236667"/>
      <w:r w:rsidRPr="00B87F0C">
        <w:rPr>
          <w:rFonts w:eastAsia="Times New Roman" w:cs="Times New Roman"/>
          <w:szCs w:val="20"/>
          <w:lang w:eastAsia="en-US"/>
        </w:rPr>
        <w:t>Ieņēmumi no maksas pakalpojumiem un citiem pašu ieņēmumiem valsts pamat</w:t>
      </w:r>
      <w:r w:rsidRPr="00B87F0C">
        <w:rPr>
          <w:rFonts w:eastAsia="Times New Roman" w:cs="Times New Roman"/>
          <w:szCs w:val="20"/>
          <w:lang w:eastAsia="en-US"/>
        </w:rPr>
        <w:softHyphen/>
        <w:t xml:space="preserve">budžetā 2024. gadā tiek plānoti 125,7 milj. </w:t>
      </w:r>
      <w:proofErr w:type="spellStart"/>
      <w:r w:rsidRPr="00B87F0C">
        <w:rPr>
          <w:rFonts w:eastAsia="Times New Roman" w:cs="Times New Roman"/>
          <w:i/>
          <w:iCs/>
          <w:szCs w:val="20"/>
          <w:lang w:eastAsia="en-US"/>
        </w:rPr>
        <w:t>euro</w:t>
      </w:r>
      <w:proofErr w:type="spellEnd"/>
      <w:r w:rsidRPr="00B87F0C">
        <w:rPr>
          <w:rFonts w:eastAsia="Times New Roman" w:cs="Times New Roman"/>
          <w:szCs w:val="20"/>
          <w:lang w:eastAsia="en-US"/>
        </w:rPr>
        <w:t xml:space="preserve"> apmērā, kas ir par 3,6 milj. </w:t>
      </w:r>
      <w:proofErr w:type="spellStart"/>
      <w:r w:rsidRPr="00B87F0C">
        <w:rPr>
          <w:rFonts w:eastAsia="Times New Roman" w:cs="Times New Roman"/>
          <w:i/>
          <w:iCs/>
          <w:szCs w:val="20"/>
          <w:lang w:eastAsia="en-US"/>
        </w:rPr>
        <w:t>euro</w:t>
      </w:r>
      <w:proofErr w:type="spellEnd"/>
      <w:r w:rsidRPr="00B87F0C">
        <w:rPr>
          <w:rFonts w:eastAsia="Times New Roman" w:cs="Times New Roman"/>
          <w:szCs w:val="20"/>
          <w:lang w:eastAsia="en-US"/>
        </w:rPr>
        <w:t xml:space="preserve"> jeb 3,0% vairāk nekā </w:t>
      </w:r>
      <w:r w:rsidRPr="00B87F0C">
        <w:rPr>
          <w:rFonts w:eastAsia="Times New Roman" w:cs="Times New Roman"/>
          <w:szCs w:val="20"/>
          <w:lang w:eastAsia="en-US"/>
        </w:rPr>
        <w:lastRenderedPageBreak/>
        <w:t>plānots 2023. gadā. 2022. gadā valsts pamatbudžetā ieņēmumi no maksas pakal</w:t>
      </w:r>
      <w:r w:rsidRPr="00B87F0C">
        <w:rPr>
          <w:rFonts w:eastAsia="Times New Roman" w:cs="Times New Roman"/>
          <w:szCs w:val="20"/>
          <w:lang w:eastAsia="en-US"/>
        </w:rPr>
        <w:softHyphen/>
        <w:t xml:space="preserve">pojumiem un citiem pašu ieņēmumiem bija plānoti 105,5 milj. </w:t>
      </w:r>
      <w:proofErr w:type="spellStart"/>
      <w:r w:rsidRPr="00B87F0C">
        <w:rPr>
          <w:rFonts w:eastAsia="Times New Roman" w:cs="Times New Roman"/>
          <w:i/>
          <w:iCs/>
          <w:szCs w:val="20"/>
          <w:lang w:eastAsia="en-US"/>
        </w:rPr>
        <w:t>euro</w:t>
      </w:r>
      <w:proofErr w:type="spellEnd"/>
      <w:r w:rsidRPr="00B87F0C">
        <w:rPr>
          <w:rFonts w:eastAsia="Times New Roman" w:cs="Times New Roman"/>
          <w:szCs w:val="20"/>
          <w:lang w:eastAsia="en-US"/>
        </w:rPr>
        <w:t xml:space="preserve"> apmērā. Valsts speciālajā budžetā ieņēmumi no maksas pakalpojumiem un citiem pašu ieņēmumiem 2024. gadā plānoti tādā pašā apmērā kā 2023. gadā </w:t>
      </w:r>
      <w:r w:rsidRPr="00B87F0C">
        <w:rPr>
          <w:rFonts w:eastAsia="Times New Roman" w:cs="Times New Roman"/>
          <w:szCs w:val="20"/>
          <w:lang w:eastAsia="en-US"/>
        </w:rPr>
        <w:softHyphen/>
      </w:r>
      <w:r w:rsidRPr="00B87F0C">
        <w:rPr>
          <w:rFonts w:eastAsia="Times New Roman" w:cs="Times New Roman"/>
          <w:szCs w:val="20"/>
          <w:lang w:eastAsia="en-US"/>
        </w:rPr>
        <w:softHyphen/>
      </w:r>
      <w:r w:rsidRPr="00B87F0C">
        <w:rPr>
          <w:rFonts w:eastAsia="Times New Roman" w:cs="Times New Roman"/>
          <w:szCs w:val="20"/>
          <w:lang w:eastAsia="en-US"/>
        </w:rPr>
        <w:softHyphen/>
      </w:r>
      <w:r w:rsidRPr="00B87F0C">
        <w:rPr>
          <w:rFonts w:eastAsia="Times New Roman" w:cs="Times New Roman"/>
          <w:szCs w:val="20"/>
          <w:lang w:eastAsia="en-US"/>
        </w:rPr>
        <w:noBreakHyphen/>
        <w:t xml:space="preserve"> 0,06 milj. </w:t>
      </w:r>
      <w:proofErr w:type="spellStart"/>
      <w:r w:rsidRPr="00B87F0C">
        <w:rPr>
          <w:rFonts w:eastAsia="Times New Roman" w:cs="Times New Roman"/>
          <w:i/>
          <w:iCs/>
          <w:szCs w:val="20"/>
          <w:lang w:eastAsia="en-US"/>
        </w:rPr>
        <w:t>euro</w:t>
      </w:r>
      <w:proofErr w:type="spellEnd"/>
      <w:r w:rsidRPr="00B87F0C">
        <w:rPr>
          <w:rFonts w:eastAsia="Times New Roman" w:cs="Times New Roman"/>
          <w:szCs w:val="20"/>
          <w:lang w:eastAsia="en-US"/>
        </w:rPr>
        <w:t>, 2022. gadā valsts speciālajā budžetā ieņēmumi no maksas pakal</w:t>
      </w:r>
      <w:r w:rsidRPr="00B87F0C">
        <w:rPr>
          <w:rFonts w:eastAsia="Times New Roman" w:cs="Times New Roman"/>
          <w:szCs w:val="20"/>
          <w:lang w:eastAsia="en-US"/>
        </w:rPr>
        <w:softHyphen/>
        <w:t xml:space="preserve">pojumiem un citiem pašu ieņēmumiem bija plānoti 0,02 milj. </w:t>
      </w:r>
      <w:proofErr w:type="spellStart"/>
      <w:r w:rsidRPr="00B87F0C">
        <w:rPr>
          <w:rFonts w:eastAsia="Times New Roman" w:cs="Times New Roman"/>
          <w:i/>
          <w:iCs/>
          <w:szCs w:val="20"/>
          <w:lang w:eastAsia="en-US"/>
        </w:rPr>
        <w:t>euro</w:t>
      </w:r>
      <w:proofErr w:type="spellEnd"/>
      <w:r w:rsidRPr="00B87F0C">
        <w:rPr>
          <w:rFonts w:eastAsia="Times New Roman" w:cs="Times New Roman"/>
          <w:szCs w:val="20"/>
          <w:lang w:eastAsia="en-US"/>
        </w:rPr>
        <w:t xml:space="preserve"> apmērā.</w:t>
      </w:r>
    </w:p>
    <w:p w14:paraId="5117780D" w14:textId="77777777" w:rsidR="00B87F0C" w:rsidRPr="00C74630" w:rsidRDefault="00B87F0C" w:rsidP="00B87F0C">
      <w:pPr>
        <w:rPr>
          <w:rFonts w:eastAsia="Times New Roman" w:cs="Times New Roman"/>
          <w:szCs w:val="20"/>
          <w:lang w:eastAsia="en-US"/>
        </w:rPr>
      </w:pPr>
      <w:r w:rsidRPr="00B87F0C">
        <w:rPr>
          <w:rFonts w:eastAsia="Times New Roman" w:cs="Times New Roman"/>
          <w:szCs w:val="20"/>
          <w:lang w:eastAsia="en-US"/>
        </w:rPr>
        <w:t xml:space="preserve">Valsts pamatbudžetā ieņēmumi no ārvalstu finanšu palīdzības 2024. gadā tiek plānoti 1 849,4 milj. </w:t>
      </w:r>
      <w:proofErr w:type="spellStart"/>
      <w:r w:rsidRPr="00B87F0C">
        <w:rPr>
          <w:rFonts w:eastAsia="Times New Roman" w:cs="Times New Roman"/>
          <w:i/>
          <w:iCs/>
          <w:szCs w:val="20"/>
          <w:lang w:eastAsia="en-US"/>
        </w:rPr>
        <w:t>euro</w:t>
      </w:r>
      <w:proofErr w:type="spellEnd"/>
      <w:r w:rsidRPr="00B87F0C">
        <w:rPr>
          <w:rFonts w:eastAsia="Times New Roman" w:cs="Times New Roman"/>
          <w:szCs w:val="20"/>
          <w:lang w:eastAsia="en-US"/>
        </w:rPr>
        <w:t xml:space="preserve"> apmērā, kas ir par 338,9 milj. </w:t>
      </w:r>
      <w:proofErr w:type="spellStart"/>
      <w:r w:rsidRPr="00B87F0C">
        <w:rPr>
          <w:rFonts w:eastAsia="Times New Roman" w:cs="Times New Roman"/>
          <w:i/>
          <w:iCs/>
          <w:szCs w:val="20"/>
          <w:lang w:eastAsia="en-US"/>
        </w:rPr>
        <w:t>euro</w:t>
      </w:r>
      <w:proofErr w:type="spellEnd"/>
      <w:r w:rsidRPr="00B87F0C">
        <w:rPr>
          <w:rFonts w:eastAsia="Times New Roman" w:cs="Times New Roman"/>
          <w:i/>
          <w:iCs/>
          <w:szCs w:val="20"/>
          <w:lang w:eastAsia="en-US"/>
        </w:rPr>
        <w:t xml:space="preserve"> </w:t>
      </w:r>
      <w:r w:rsidRPr="00B87F0C">
        <w:rPr>
          <w:rFonts w:eastAsia="Times New Roman" w:cs="Times New Roman"/>
          <w:szCs w:val="20"/>
          <w:lang w:eastAsia="en-US"/>
        </w:rPr>
        <w:t xml:space="preserve">jeb 22,4% vairāk nekā plānots 2023. gadā. 2022. gadā valsts pamatbudžetā ieņēmumi no ārvalstu finanšu palīdzības bija plānoti 1 485,6 milj. </w:t>
      </w:r>
      <w:proofErr w:type="spellStart"/>
      <w:r w:rsidRPr="00B87F0C">
        <w:rPr>
          <w:rFonts w:eastAsia="Times New Roman" w:cs="Times New Roman"/>
          <w:i/>
          <w:iCs/>
          <w:szCs w:val="20"/>
          <w:lang w:eastAsia="en-US"/>
        </w:rPr>
        <w:t>euro</w:t>
      </w:r>
      <w:proofErr w:type="spellEnd"/>
      <w:r w:rsidRPr="00B87F0C">
        <w:rPr>
          <w:rFonts w:eastAsia="Times New Roman" w:cs="Times New Roman"/>
          <w:szCs w:val="20"/>
          <w:lang w:eastAsia="en-US"/>
        </w:rPr>
        <w:t xml:space="preserve"> apmērā.</w:t>
      </w:r>
    </w:p>
    <w:p w14:paraId="3BFBC622" w14:textId="278AB16B" w:rsidR="00FB33CF" w:rsidRPr="008A2D7F" w:rsidRDefault="006C567F" w:rsidP="00636357">
      <w:pPr>
        <w:pStyle w:val="H2"/>
        <w:rPr>
          <w:rFonts w:eastAsia="Times New Roman"/>
        </w:rPr>
      </w:pPr>
      <w:r w:rsidRPr="008A2D7F">
        <w:rPr>
          <w:rFonts w:eastAsia="Times New Roman"/>
        </w:rPr>
        <w:t>3.5. Nodokļu atvieglojumu (atlaižu) un nodokļu parādu summas</w:t>
      </w:r>
      <w:bookmarkEnd w:id="109"/>
    </w:p>
    <w:p w14:paraId="28D7F4CF" w14:textId="0B861546" w:rsidR="006C567F" w:rsidRPr="008A2D7F" w:rsidRDefault="006C567F" w:rsidP="00DB14A4">
      <w:pPr>
        <w:pStyle w:val="H3"/>
      </w:pPr>
      <w:bookmarkStart w:id="110" w:name="_Toc126236668"/>
      <w:r w:rsidRPr="008A2D7F">
        <w:t>3.5.1. Nodokļu atvieglojumi un atlaides</w:t>
      </w:r>
      <w:bookmarkEnd w:id="110"/>
    </w:p>
    <w:p w14:paraId="3185F6A4" w14:textId="77777777" w:rsidR="00C64805" w:rsidRPr="008B4A04" w:rsidRDefault="00C64805" w:rsidP="00C64805">
      <w:pPr>
        <w:rPr>
          <w:rFonts w:eastAsia="Calibri" w:cs="Times New Roman"/>
          <w:szCs w:val="24"/>
        </w:rPr>
      </w:pPr>
      <w:r w:rsidRPr="008B4A04">
        <w:rPr>
          <w:rFonts w:eastAsia="Calibri" w:cs="Times New Roman"/>
          <w:szCs w:val="24"/>
        </w:rPr>
        <w:t xml:space="preserve">Par nodokļu atvieglojumu var uzskatīt jebkuras novirzes no attiecīgās valsts likumos noteiktā vispārējā nodokļu režīma, kas kādam nodokļu maksātājam vai maksātāju grupai paredz nodokļa sloga samazinājumu vai izdevīgāku nodokļa nomaksas kārtību, vadoties pēc kritērija, ka nodokļu maksātājs vai to grupa atbilst nodokļu likumā noteiktai pazīmei (ienākumu apmērs, ģimenes stāvoklis, saimnieciskās darbības veids u.tml.). Nodokļu atvieglojumiem var būt dažādas formas: izņēmumi ar nodokli apliekamajā bāzē; ar nodokli neapliekamā bāzes daļa (piemēram, neapliekamais minimums); samazinātas likmes; atlikts nodokļa maksājums; samazinājums nodokļu saistībās. </w:t>
      </w:r>
    </w:p>
    <w:p w14:paraId="7B53CAE4" w14:textId="1F7BBE1D" w:rsidR="00C64805" w:rsidRPr="008B4A04" w:rsidRDefault="00C64805" w:rsidP="00C64805">
      <w:pPr>
        <w:rPr>
          <w:rFonts w:eastAsia="Calibri" w:cs="Times New Roman"/>
          <w:szCs w:val="24"/>
        </w:rPr>
      </w:pPr>
      <w:r w:rsidRPr="008B4A04">
        <w:rPr>
          <w:rFonts w:eastAsia="Calibri" w:cs="Times New Roman"/>
          <w:szCs w:val="24"/>
        </w:rPr>
        <w:t>Tā kā nodokļu atvieglojumi nav faktiskie budžeta izdevumi, tad atvieglojum</w:t>
      </w:r>
      <w:r w:rsidR="00BB23B3">
        <w:rPr>
          <w:rFonts w:eastAsia="Calibri" w:cs="Times New Roman"/>
          <w:szCs w:val="24"/>
        </w:rPr>
        <w:t>u</w:t>
      </w:r>
      <w:r w:rsidRPr="008B4A04">
        <w:rPr>
          <w:rFonts w:eastAsia="Calibri" w:cs="Times New Roman"/>
          <w:szCs w:val="24"/>
        </w:rPr>
        <w:t xml:space="preserve"> apmērs ir nosacīts novērtējums, cik būtu jāmaksā nodokļ</w:t>
      </w:r>
      <w:r w:rsidR="00BB23B3">
        <w:rPr>
          <w:rFonts w:eastAsia="Calibri" w:cs="Times New Roman"/>
          <w:szCs w:val="24"/>
        </w:rPr>
        <w:t>os</w:t>
      </w:r>
      <w:r w:rsidRPr="008B4A04">
        <w:rPr>
          <w:rFonts w:eastAsia="Calibri" w:cs="Times New Roman"/>
          <w:szCs w:val="24"/>
        </w:rPr>
        <w:t xml:space="preserve"> vispārīgā gadījumā. Nodokļu atvieglojumi ir svarīgs instruments nodokļu politikas, kā arī valsts ilgtspējīgas attīstības un vides politikas mērķu īsteno</w:t>
      </w:r>
      <w:r w:rsidRPr="008B4A04">
        <w:rPr>
          <w:rFonts w:eastAsia="Calibri" w:cs="Times New Roman"/>
          <w:szCs w:val="24"/>
        </w:rPr>
        <w:softHyphen/>
        <w:t xml:space="preserve">šanai, sniedzot vērā ņemamu atbalstu iedzīvotājiem, īpaši sociāli mazāk aizsargātiem iedzīvotājiem (piemēram, zemu ienākumu saņēmējiem, pensionāriem un personām, kurām apgādībā ir bērni). </w:t>
      </w:r>
    </w:p>
    <w:p w14:paraId="589B7A72" w14:textId="02C3198C" w:rsidR="00C64805" w:rsidRPr="008B4A04" w:rsidRDefault="00BB23B3" w:rsidP="00C64805">
      <w:pPr>
        <w:rPr>
          <w:rFonts w:eastAsia="Calibri" w:cs="Times New Roman"/>
          <w:szCs w:val="24"/>
        </w:rPr>
      </w:pPr>
      <w:r>
        <w:rPr>
          <w:rFonts w:eastAsia="Calibri" w:cs="Times New Roman"/>
          <w:szCs w:val="24"/>
        </w:rPr>
        <w:t>Detalizētāka informācija</w:t>
      </w:r>
      <w:r w:rsidR="00C64805" w:rsidRPr="008B4A04">
        <w:rPr>
          <w:rFonts w:eastAsia="Calibri" w:cs="Times New Roman"/>
          <w:szCs w:val="24"/>
        </w:rPr>
        <w:t xml:space="preserve"> par nodokļu atvieglojumiem pieejama FM mājaslapā pie nozares politikas “</w:t>
      </w:r>
      <w:r w:rsidR="00C64805" w:rsidRPr="008B4A04">
        <w:rPr>
          <w:rFonts w:eastAsia="Calibri" w:cs="Times New Roman"/>
          <w:i/>
          <w:iCs/>
          <w:szCs w:val="24"/>
        </w:rPr>
        <w:t>Nodokļu un nodevu politika</w:t>
      </w:r>
      <w:r w:rsidR="00C64805" w:rsidRPr="008B4A04">
        <w:rPr>
          <w:rFonts w:eastAsia="Calibri" w:cs="Times New Roman"/>
          <w:szCs w:val="24"/>
        </w:rPr>
        <w:t>” – sadaļ</w:t>
      </w:r>
      <w:r w:rsidR="00C64805">
        <w:rPr>
          <w:rFonts w:eastAsia="Calibri" w:cs="Times New Roman"/>
          <w:szCs w:val="24"/>
        </w:rPr>
        <w:t>ā</w:t>
      </w:r>
      <w:r w:rsidR="00C64805" w:rsidRPr="008B4A04">
        <w:rPr>
          <w:rFonts w:eastAsia="Calibri" w:cs="Times New Roman"/>
          <w:szCs w:val="24"/>
        </w:rPr>
        <w:t xml:space="preserve"> “</w:t>
      </w:r>
      <w:r w:rsidR="00C64805" w:rsidRPr="008B4A04">
        <w:rPr>
          <w:rFonts w:eastAsia="Calibri" w:cs="Times New Roman"/>
          <w:i/>
          <w:iCs/>
          <w:szCs w:val="24"/>
        </w:rPr>
        <w:t>No</w:t>
      </w:r>
      <w:r w:rsidR="00C64805">
        <w:rPr>
          <w:rFonts w:eastAsia="Calibri" w:cs="Times New Roman"/>
          <w:i/>
          <w:iCs/>
          <w:szCs w:val="24"/>
        </w:rPr>
        <w:t>dokļu atvieglojumi</w:t>
      </w:r>
      <w:r w:rsidR="00C64805" w:rsidRPr="008B4A04">
        <w:rPr>
          <w:rFonts w:eastAsia="Calibri" w:cs="Times New Roman"/>
          <w:szCs w:val="24"/>
        </w:rPr>
        <w:t>”</w:t>
      </w:r>
      <w:r>
        <w:rPr>
          <w:rFonts w:eastAsia="Calibri" w:cs="Times New Roman"/>
          <w:szCs w:val="24"/>
        </w:rPr>
        <w:t>.</w:t>
      </w:r>
    </w:p>
    <w:p w14:paraId="5FB55DB9" w14:textId="77777777" w:rsidR="00C64805" w:rsidRPr="00C64805" w:rsidRDefault="00C64805" w:rsidP="00C64805">
      <w:pPr>
        <w:pStyle w:val="Heading4"/>
        <w:jc w:val="center"/>
        <w:rPr>
          <w:rFonts w:ascii="Times New Roman" w:hAnsi="Times New Roman" w:cs="Times New Roman"/>
          <w:i w:val="0"/>
          <w:iCs w:val="0"/>
          <w:sz w:val="28"/>
          <w:szCs w:val="24"/>
        </w:rPr>
      </w:pPr>
      <w:r w:rsidRPr="00C64805">
        <w:rPr>
          <w:rFonts w:ascii="Times New Roman" w:hAnsi="Times New Roman" w:cs="Times New Roman"/>
          <w:i w:val="0"/>
          <w:iCs w:val="0"/>
          <w:sz w:val="28"/>
          <w:szCs w:val="24"/>
        </w:rPr>
        <w:t>Uzņēmumu ienākuma nodoklis</w:t>
      </w:r>
    </w:p>
    <w:p w14:paraId="4BD97B24" w14:textId="77777777" w:rsidR="00C64805" w:rsidRPr="008B4A04" w:rsidRDefault="00C64805" w:rsidP="00C64805">
      <w:pPr>
        <w:rPr>
          <w:rFonts w:eastAsia="Calibri" w:cs="Times New Roman"/>
          <w:szCs w:val="24"/>
        </w:rPr>
      </w:pPr>
      <w:r w:rsidRPr="008B4A04">
        <w:rPr>
          <w:rFonts w:eastAsia="Calibri" w:cs="Times New Roman"/>
          <w:szCs w:val="24"/>
        </w:rPr>
        <w:t>Saskaņā ar UIN deklarāciju datiem, aprēķināt</w:t>
      </w:r>
      <w:r>
        <w:rPr>
          <w:rFonts w:eastAsia="Calibri" w:cs="Times New Roman"/>
          <w:szCs w:val="24"/>
        </w:rPr>
        <w:t>ie</w:t>
      </w:r>
      <w:r w:rsidRPr="008B4A04">
        <w:rPr>
          <w:rFonts w:eastAsia="Calibri" w:cs="Times New Roman"/>
          <w:szCs w:val="24"/>
        </w:rPr>
        <w:t xml:space="preserve"> UIN a</w:t>
      </w:r>
      <w:r>
        <w:rPr>
          <w:rFonts w:eastAsia="Calibri" w:cs="Times New Roman"/>
          <w:szCs w:val="24"/>
        </w:rPr>
        <w:t>tvieglojumi</w:t>
      </w:r>
      <w:r w:rsidRPr="008B4A04">
        <w:rPr>
          <w:rFonts w:eastAsia="Calibri" w:cs="Times New Roman"/>
          <w:szCs w:val="24"/>
        </w:rPr>
        <w:t xml:space="preserve"> 2022</w:t>
      </w:r>
      <w:r>
        <w:rPr>
          <w:rFonts w:eastAsia="Calibri" w:cs="Times New Roman"/>
          <w:szCs w:val="24"/>
        </w:rPr>
        <w:t>. g</w:t>
      </w:r>
      <w:r w:rsidRPr="008B4A04">
        <w:rPr>
          <w:rFonts w:eastAsia="Calibri" w:cs="Times New Roman"/>
          <w:szCs w:val="24"/>
        </w:rPr>
        <w:t>adā bija 40,7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apmērā, kas ir par 3,8</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10,2</w:t>
      </w:r>
      <w:r>
        <w:rPr>
          <w:rFonts w:eastAsia="Calibri" w:cs="Times New Roman"/>
          <w:szCs w:val="24"/>
        </w:rPr>
        <w:t> %</w:t>
      </w:r>
      <w:r w:rsidRPr="008B4A04">
        <w:rPr>
          <w:rFonts w:eastAsia="Calibri" w:cs="Times New Roman"/>
          <w:szCs w:val="24"/>
        </w:rPr>
        <w:t xml:space="preserve"> vairāk nekā tika aprēķināts 2021</w:t>
      </w:r>
      <w:r>
        <w:rPr>
          <w:rFonts w:eastAsia="Calibri" w:cs="Times New Roman"/>
          <w:szCs w:val="24"/>
        </w:rPr>
        <w:t>. g</w:t>
      </w:r>
      <w:r w:rsidRPr="008B4A04">
        <w:rPr>
          <w:rFonts w:eastAsia="Calibri" w:cs="Times New Roman"/>
          <w:szCs w:val="24"/>
        </w:rPr>
        <w:t>adā (skatīt 3.</w:t>
      </w:r>
      <w:r>
        <w:rPr>
          <w:rFonts w:eastAsia="Calibri" w:cs="Times New Roman"/>
          <w:szCs w:val="24"/>
        </w:rPr>
        <w:t>22</w:t>
      </w:r>
      <w:r w:rsidRPr="008B4A04">
        <w:rPr>
          <w:rFonts w:eastAsia="Calibri" w:cs="Times New Roman"/>
          <w:szCs w:val="24"/>
        </w:rPr>
        <w:t>. tabulu).</w:t>
      </w:r>
    </w:p>
    <w:p w14:paraId="7155F45C" w14:textId="77777777" w:rsidR="00C64805" w:rsidRPr="004A3BF6" w:rsidRDefault="00C64805" w:rsidP="00C64805">
      <w:pPr>
        <w:pStyle w:val="Tabulasnosaukums"/>
      </w:pPr>
      <w:r w:rsidRPr="00EC49B3">
        <w:lastRenderedPageBreak/>
        <w:t>3.22.</w:t>
      </w:r>
      <w:r w:rsidRPr="004E1882">
        <w:t> tabula</w:t>
      </w:r>
      <w:r w:rsidRPr="004A3BF6">
        <w:t xml:space="preserve">. Nodokļu maksātāju iesniegto </w:t>
      </w:r>
      <w:r>
        <w:t>UIN</w:t>
      </w:r>
      <w:r w:rsidRPr="004A3BF6">
        <w:t xml:space="preserve"> 2021. un 2022. taksācijas gada deklarāciju rindu apkopojums</w:t>
      </w:r>
    </w:p>
    <w:tbl>
      <w:tblPr>
        <w:tblW w:w="4932" w:type="pct"/>
        <w:jc w:val="center"/>
        <w:tblCellMar>
          <w:left w:w="30" w:type="dxa"/>
          <w:right w:w="30" w:type="dxa"/>
        </w:tblCellMar>
        <w:tblLook w:val="0000" w:firstRow="0" w:lastRow="0" w:firstColumn="0" w:lastColumn="0" w:noHBand="0" w:noVBand="0"/>
      </w:tblPr>
      <w:tblGrid>
        <w:gridCol w:w="4964"/>
        <w:gridCol w:w="991"/>
        <w:gridCol w:w="993"/>
        <w:gridCol w:w="1134"/>
        <w:gridCol w:w="850"/>
      </w:tblGrid>
      <w:tr w:rsidR="00C64805" w:rsidRPr="004A3BF6" w14:paraId="17B64585" w14:textId="77777777" w:rsidTr="006B13BC">
        <w:trPr>
          <w:trHeight w:val="227"/>
          <w:tblHeader/>
          <w:jc w:val="center"/>
        </w:trPr>
        <w:tc>
          <w:tcPr>
            <w:tcW w:w="2778" w:type="pct"/>
            <w:vMerge w:val="restart"/>
            <w:tcBorders>
              <w:top w:val="single" w:sz="6" w:space="0" w:color="auto"/>
              <w:left w:val="single" w:sz="6" w:space="0" w:color="auto"/>
              <w:right w:val="single" w:sz="6" w:space="0" w:color="auto"/>
            </w:tcBorders>
            <w:shd w:val="clear" w:color="auto" w:fill="9CC2E5" w:themeFill="accent1" w:themeFillTint="99"/>
            <w:vAlign w:val="center"/>
          </w:tcPr>
          <w:p w14:paraId="098C56ED" w14:textId="77777777" w:rsidR="00C64805" w:rsidRPr="004A3BF6" w:rsidRDefault="00C64805" w:rsidP="005D673A">
            <w:pPr>
              <w:pStyle w:val="Tabulasgalvenesrinda"/>
              <w:rPr>
                <w:rFonts w:eastAsia="Calibri"/>
              </w:rPr>
            </w:pPr>
            <w:r w:rsidRPr="004A3BF6">
              <w:rPr>
                <w:rFonts w:eastAsia="Calibri"/>
              </w:rPr>
              <w:t xml:space="preserve">Nodokļa </w:t>
            </w:r>
            <w:r>
              <w:rPr>
                <w:rFonts w:eastAsia="Calibri"/>
              </w:rPr>
              <w:t>atvieglojumi</w:t>
            </w:r>
          </w:p>
        </w:tc>
        <w:tc>
          <w:tcPr>
            <w:tcW w:w="1111" w:type="pct"/>
            <w:gridSpan w:val="2"/>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67EF6BFB" w14:textId="77777777" w:rsidR="00C64805" w:rsidRPr="004A3BF6" w:rsidRDefault="00C64805" w:rsidP="005D673A">
            <w:pPr>
              <w:pStyle w:val="Tabulasgalvenesrinda"/>
              <w:rPr>
                <w:rFonts w:eastAsia="Calibri"/>
              </w:rPr>
            </w:pPr>
            <w:r w:rsidRPr="004A3BF6">
              <w:rPr>
                <w:rFonts w:eastAsia="Calibri"/>
              </w:rPr>
              <w:t>Deklarētā nodokļa atlaižu summa</w:t>
            </w:r>
            <w:r w:rsidRPr="004A3BF6">
              <w:rPr>
                <w:rFonts w:eastAsia="Calibri"/>
                <w:vertAlign w:val="superscript"/>
              </w:rPr>
              <w:t>1</w:t>
            </w:r>
            <w:r w:rsidRPr="006A0A9C">
              <w:rPr>
                <w:rFonts w:eastAsia="Calibri"/>
                <w:szCs w:val="20"/>
              </w:rPr>
              <w:t>, tūkst.</w:t>
            </w:r>
            <w:r w:rsidRPr="006A0A9C">
              <w:rPr>
                <w:rFonts w:eastAsia="Calibri"/>
                <w:i/>
                <w:iCs/>
                <w:szCs w:val="20"/>
              </w:rPr>
              <w:t xml:space="preserve"> </w:t>
            </w:r>
            <w:proofErr w:type="spellStart"/>
            <w:r w:rsidRPr="00770C40">
              <w:rPr>
                <w:rFonts w:eastAsia="Calibri"/>
                <w:i/>
                <w:iCs/>
                <w:szCs w:val="20"/>
              </w:rPr>
              <w:t>euro</w:t>
            </w:r>
            <w:proofErr w:type="spellEnd"/>
          </w:p>
        </w:tc>
        <w:tc>
          <w:tcPr>
            <w:tcW w:w="1111" w:type="pct"/>
            <w:gridSpan w:val="2"/>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670E6AA0" w14:textId="77777777" w:rsidR="00C64805" w:rsidRPr="004A3BF6" w:rsidRDefault="00C64805" w:rsidP="005D673A">
            <w:pPr>
              <w:pStyle w:val="Tabulasgalvenesrinda"/>
              <w:rPr>
                <w:rFonts w:eastAsia="Calibri"/>
              </w:rPr>
            </w:pPr>
            <w:r w:rsidRPr="004A3BF6">
              <w:rPr>
                <w:rFonts w:eastAsia="Calibri"/>
              </w:rPr>
              <w:t>Izmaiņas</w:t>
            </w:r>
          </w:p>
          <w:p w14:paraId="2F1D724A" w14:textId="1963BFD6" w:rsidR="00C64805" w:rsidRPr="004A3BF6" w:rsidRDefault="00C64805" w:rsidP="005D673A">
            <w:pPr>
              <w:pStyle w:val="Tabulasgalvenesrinda"/>
              <w:rPr>
                <w:rFonts w:eastAsia="Calibri"/>
              </w:rPr>
            </w:pPr>
            <w:r w:rsidRPr="004A3BF6">
              <w:rPr>
                <w:rFonts w:eastAsia="Calibri"/>
              </w:rPr>
              <w:t>(2022</w:t>
            </w:r>
            <w:r>
              <w:rPr>
                <w:rFonts w:eastAsia="Calibri"/>
              </w:rPr>
              <w:t>–</w:t>
            </w:r>
            <w:r w:rsidRPr="004A3BF6">
              <w:rPr>
                <w:rFonts w:eastAsia="Calibri"/>
              </w:rPr>
              <w:t>2021)</w:t>
            </w:r>
          </w:p>
        </w:tc>
      </w:tr>
      <w:tr w:rsidR="00C64805" w:rsidRPr="004A3BF6" w14:paraId="12CB327F" w14:textId="77777777" w:rsidTr="006B13BC">
        <w:trPr>
          <w:trHeight w:val="227"/>
          <w:tblHeader/>
          <w:jc w:val="center"/>
        </w:trPr>
        <w:tc>
          <w:tcPr>
            <w:tcW w:w="2778" w:type="pct"/>
            <w:vMerge/>
            <w:tcBorders>
              <w:left w:val="single" w:sz="6" w:space="0" w:color="auto"/>
              <w:bottom w:val="single" w:sz="6" w:space="0" w:color="auto"/>
              <w:right w:val="single" w:sz="6" w:space="0" w:color="auto"/>
            </w:tcBorders>
            <w:shd w:val="clear" w:color="auto" w:fill="9CC2E5" w:themeFill="accent1" w:themeFillTint="99"/>
            <w:vAlign w:val="center"/>
          </w:tcPr>
          <w:p w14:paraId="4695C17A" w14:textId="77777777" w:rsidR="00C64805" w:rsidRPr="004A3BF6" w:rsidRDefault="00C64805" w:rsidP="005D673A">
            <w:pPr>
              <w:pStyle w:val="Tabulasgalvenesrinda"/>
              <w:rPr>
                <w:rFonts w:eastAsia="Calibri"/>
              </w:rPr>
            </w:pPr>
          </w:p>
        </w:tc>
        <w:tc>
          <w:tcPr>
            <w:tcW w:w="555"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7A2C4E11" w14:textId="3393737E" w:rsidR="00C64805" w:rsidRPr="00576A41" w:rsidRDefault="00C64805" w:rsidP="005D673A">
            <w:pPr>
              <w:pStyle w:val="Tabulasgalvenesrinda"/>
              <w:rPr>
                <w:rFonts w:eastAsia="Calibri"/>
              </w:rPr>
            </w:pPr>
            <w:r w:rsidRPr="00576A41">
              <w:rPr>
                <w:rFonts w:eastAsia="Calibri"/>
              </w:rPr>
              <w:t>2021</w:t>
            </w:r>
          </w:p>
        </w:tc>
        <w:tc>
          <w:tcPr>
            <w:tcW w:w="555"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10BBDFD5" w14:textId="29449149" w:rsidR="00C64805" w:rsidRPr="00576A41" w:rsidRDefault="00C64805" w:rsidP="005D673A">
            <w:pPr>
              <w:pStyle w:val="Tabulasgalvenesrinda"/>
              <w:rPr>
                <w:rFonts w:eastAsia="Calibri"/>
              </w:rPr>
            </w:pPr>
            <w:r w:rsidRPr="00576A41">
              <w:rPr>
                <w:rFonts w:eastAsia="Calibri"/>
              </w:rPr>
              <w:t>2022</w:t>
            </w:r>
          </w:p>
        </w:tc>
        <w:tc>
          <w:tcPr>
            <w:tcW w:w="635"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1286B963" w14:textId="3AC28529" w:rsidR="00C64805" w:rsidRPr="00576A41" w:rsidRDefault="006B13BC" w:rsidP="005D673A">
            <w:pPr>
              <w:pStyle w:val="Tabulasgalvenesrinda"/>
              <w:rPr>
                <w:rFonts w:eastAsia="Calibri"/>
              </w:rPr>
            </w:pPr>
            <w:r>
              <w:rPr>
                <w:rFonts w:eastAsia="Calibri"/>
              </w:rPr>
              <w:t xml:space="preserve"> </w:t>
            </w:r>
            <w:r w:rsidR="00C64805" w:rsidRPr="00576A41">
              <w:rPr>
                <w:rFonts w:eastAsia="Calibri"/>
              </w:rPr>
              <w:t xml:space="preserve">tūkst. </w:t>
            </w:r>
            <w:proofErr w:type="spellStart"/>
            <w:r w:rsidR="00C64805" w:rsidRPr="008A2D7F">
              <w:rPr>
                <w:rFonts w:eastAsia="Calibri"/>
                <w:i/>
                <w:iCs/>
              </w:rPr>
              <w:t>euro</w:t>
            </w:r>
            <w:proofErr w:type="spellEnd"/>
          </w:p>
        </w:tc>
        <w:tc>
          <w:tcPr>
            <w:tcW w:w="476"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5582B79F" w14:textId="77777777" w:rsidR="00C64805" w:rsidRPr="00576A41" w:rsidRDefault="00C64805" w:rsidP="005D673A">
            <w:pPr>
              <w:pStyle w:val="Tabulasgalvenesrinda"/>
              <w:rPr>
                <w:rFonts w:eastAsia="Calibri"/>
              </w:rPr>
            </w:pPr>
            <w:r>
              <w:rPr>
                <w:rFonts w:eastAsia="Calibri"/>
              </w:rPr>
              <w:t> %</w:t>
            </w:r>
          </w:p>
        </w:tc>
      </w:tr>
      <w:tr w:rsidR="00C64805" w:rsidRPr="004A3BF6" w14:paraId="595C33D2" w14:textId="77777777" w:rsidTr="006B13BC">
        <w:trPr>
          <w:trHeight w:val="284"/>
          <w:jc w:val="center"/>
        </w:trPr>
        <w:tc>
          <w:tcPr>
            <w:tcW w:w="2778" w:type="pct"/>
            <w:tcBorders>
              <w:top w:val="single" w:sz="6" w:space="0" w:color="auto"/>
              <w:left w:val="single" w:sz="6" w:space="0" w:color="auto"/>
              <w:bottom w:val="single" w:sz="6" w:space="0" w:color="auto"/>
              <w:right w:val="single" w:sz="6" w:space="0" w:color="auto"/>
            </w:tcBorders>
            <w:vAlign w:val="center"/>
          </w:tcPr>
          <w:p w14:paraId="185CDC8D" w14:textId="77777777" w:rsidR="00C64805" w:rsidRPr="004A3BF6" w:rsidRDefault="00C64805" w:rsidP="008A2D7F">
            <w:pPr>
              <w:pStyle w:val="Tabulasteksts"/>
              <w:spacing w:after="0"/>
              <w:ind w:left="0"/>
              <w:rPr>
                <w:rFonts w:eastAsia="Calibri"/>
              </w:rPr>
            </w:pPr>
            <w:r w:rsidRPr="004A3BF6">
              <w:rPr>
                <w:rFonts w:eastAsia="Calibri"/>
              </w:rPr>
              <w:t xml:space="preserve">Nodokļa </w:t>
            </w:r>
            <w:r>
              <w:rPr>
                <w:rFonts w:eastAsia="Calibri"/>
              </w:rPr>
              <w:t xml:space="preserve">atvieglojums </w:t>
            </w:r>
            <w:r w:rsidRPr="004A3BF6">
              <w:rPr>
                <w:rFonts w:eastAsia="Calibri"/>
              </w:rPr>
              <w:t xml:space="preserve">par </w:t>
            </w:r>
            <w:r>
              <w:rPr>
                <w:rFonts w:eastAsia="Calibri"/>
              </w:rPr>
              <w:t xml:space="preserve">veiktajiem </w:t>
            </w:r>
            <w:r w:rsidRPr="0078693B">
              <w:rPr>
                <w:rFonts w:eastAsia="Calibri"/>
              </w:rPr>
              <w:t>ziedojumiem (85% no ziedotās summas)</w:t>
            </w:r>
          </w:p>
        </w:tc>
        <w:tc>
          <w:tcPr>
            <w:tcW w:w="555" w:type="pct"/>
            <w:tcBorders>
              <w:top w:val="single" w:sz="6" w:space="0" w:color="auto"/>
              <w:left w:val="single" w:sz="6" w:space="0" w:color="auto"/>
              <w:bottom w:val="single" w:sz="6" w:space="0" w:color="auto"/>
              <w:right w:val="single" w:sz="6" w:space="0" w:color="auto"/>
            </w:tcBorders>
          </w:tcPr>
          <w:p w14:paraId="3D85B95B" w14:textId="77777777" w:rsidR="00C64805" w:rsidRPr="004A3BF6" w:rsidRDefault="00C64805" w:rsidP="008A2D7F">
            <w:pPr>
              <w:pStyle w:val="Tabulascipari"/>
              <w:spacing w:after="0"/>
              <w:ind w:left="0"/>
              <w:rPr>
                <w:rFonts w:eastAsia="Calibri"/>
              </w:rPr>
            </w:pPr>
            <w:r w:rsidRPr="004A3BF6">
              <w:rPr>
                <w:rFonts w:eastAsia="Calibri"/>
              </w:rPr>
              <w:t>9 393,7</w:t>
            </w:r>
          </w:p>
        </w:tc>
        <w:tc>
          <w:tcPr>
            <w:tcW w:w="555" w:type="pct"/>
            <w:tcBorders>
              <w:top w:val="single" w:sz="6" w:space="0" w:color="auto"/>
              <w:left w:val="single" w:sz="6" w:space="0" w:color="auto"/>
              <w:bottom w:val="single" w:sz="6" w:space="0" w:color="auto"/>
              <w:right w:val="single" w:sz="6" w:space="0" w:color="auto"/>
            </w:tcBorders>
          </w:tcPr>
          <w:p w14:paraId="4E24B15F" w14:textId="77777777" w:rsidR="00C64805" w:rsidRPr="004A3BF6" w:rsidRDefault="00C64805" w:rsidP="008A2D7F">
            <w:pPr>
              <w:pStyle w:val="Tabulascipari"/>
              <w:spacing w:after="0"/>
              <w:ind w:left="0"/>
              <w:rPr>
                <w:rFonts w:eastAsia="Calibri"/>
              </w:rPr>
            </w:pPr>
            <w:r w:rsidRPr="004A3BF6">
              <w:rPr>
                <w:rFonts w:eastAsia="Calibri"/>
              </w:rPr>
              <w:t>8 585,9</w:t>
            </w:r>
          </w:p>
        </w:tc>
        <w:tc>
          <w:tcPr>
            <w:tcW w:w="635" w:type="pct"/>
            <w:tcBorders>
              <w:top w:val="single" w:sz="6" w:space="0" w:color="auto"/>
              <w:left w:val="single" w:sz="6" w:space="0" w:color="auto"/>
              <w:bottom w:val="single" w:sz="6" w:space="0" w:color="auto"/>
              <w:right w:val="single" w:sz="6" w:space="0" w:color="auto"/>
            </w:tcBorders>
          </w:tcPr>
          <w:p w14:paraId="70B57721" w14:textId="77777777" w:rsidR="00C64805" w:rsidRPr="004A3BF6" w:rsidRDefault="00C64805" w:rsidP="008A2D7F">
            <w:pPr>
              <w:pStyle w:val="Tabulascipari"/>
              <w:spacing w:after="0"/>
              <w:ind w:left="0"/>
              <w:rPr>
                <w:rFonts w:eastAsia="Calibri"/>
              </w:rPr>
            </w:pPr>
            <w:r w:rsidRPr="004A3BF6">
              <w:rPr>
                <w:rFonts w:eastAsia="Calibri"/>
              </w:rPr>
              <w:t>-807,8</w:t>
            </w:r>
          </w:p>
        </w:tc>
        <w:tc>
          <w:tcPr>
            <w:tcW w:w="476" w:type="pct"/>
            <w:tcBorders>
              <w:top w:val="single" w:sz="6" w:space="0" w:color="auto"/>
              <w:left w:val="single" w:sz="6" w:space="0" w:color="auto"/>
              <w:bottom w:val="single" w:sz="6" w:space="0" w:color="auto"/>
              <w:right w:val="single" w:sz="6" w:space="0" w:color="auto"/>
            </w:tcBorders>
          </w:tcPr>
          <w:p w14:paraId="7CA82339" w14:textId="77777777" w:rsidR="00C64805" w:rsidRPr="004A3BF6" w:rsidRDefault="00C64805" w:rsidP="008A2D7F">
            <w:pPr>
              <w:pStyle w:val="Tabulascipari"/>
              <w:spacing w:after="0"/>
              <w:ind w:left="0"/>
              <w:rPr>
                <w:rFonts w:eastAsia="Calibri"/>
              </w:rPr>
            </w:pPr>
            <w:r w:rsidRPr="004A3BF6">
              <w:rPr>
                <w:rFonts w:eastAsia="Calibri"/>
              </w:rPr>
              <w:t>-8,6</w:t>
            </w:r>
          </w:p>
        </w:tc>
      </w:tr>
      <w:tr w:rsidR="00C64805" w:rsidRPr="004A3BF6" w14:paraId="2A98EDDF" w14:textId="77777777" w:rsidTr="006B13BC">
        <w:trPr>
          <w:trHeight w:val="284"/>
          <w:jc w:val="center"/>
        </w:trPr>
        <w:tc>
          <w:tcPr>
            <w:tcW w:w="2778" w:type="pct"/>
            <w:tcBorders>
              <w:top w:val="single" w:sz="6" w:space="0" w:color="auto"/>
              <w:left w:val="single" w:sz="6" w:space="0" w:color="auto"/>
              <w:bottom w:val="single" w:sz="6" w:space="0" w:color="auto"/>
              <w:right w:val="single" w:sz="6" w:space="0" w:color="auto"/>
            </w:tcBorders>
            <w:vAlign w:val="center"/>
          </w:tcPr>
          <w:p w14:paraId="413CF1B4" w14:textId="77777777" w:rsidR="00C64805" w:rsidRPr="0078693B" w:rsidRDefault="00C64805" w:rsidP="008A2D7F">
            <w:pPr>
              <w:pStyle w:val="Tabulasteksts"/>
              <w:spacing w:after="0"/>
              <w:ind w:left="0"/>
              <w:rPr>
                <w:rFonts w:eastAsia="Calibri"/>
              </w:rPr>
            </w:pPr>
            <w:r>
              <w:rPr>
                <w:rFonts w:eastAsia="Calibri"/>
              </w:rPr>
              <w:t>Atvieglojuma</w:t>
            </w:r>
            <w:r w:rsidRPr="0078693B">
              <w:rPr>
                <w:rFonts w:eastAsia="Calibri"/>
              </w:rPr>
              <w:t xml:space="preserve"> summa, kuru aprēķina nodokļa maksātājs, kurš turpina piemērot UIN atlaidi saskaņā ar likuma "</w:t>
            </w:r>
            <w:r w:rsidRPr="004C7AC5">
              <w:rPr>
                <w:rFonts w:eastAsia="Calibri"/>
                <w:i/>
                <w:iCs/>
              </w:rPr>
              <w:t>Par nodokļa piemērošanu brīvostās un speciālajās ekonomiskajās zonās</w:t>
            </w:r>
            <w:r w:rsidRPr="0078693B">
              <w:rPr>
                <w:rFonts w:eastAsia="Calibri"/>
              </w:rPr>
              <w:t>"</w:t>
            </w:r>
          </w:p>
        </w:tc>
        <w:tc>
          <w:tcPr>
            <w:tcW w:w="555" w:type="pct"/>
            <w:tcBorders>
              <w:top w:val="single" w:sz="6" w:space="0" w:color="auto"/>
              <w:left w:val="single" w:sz="6" w:space="0" w:color="auto"/>
              <w:bottom w:val="single" w:sz="6" w:space="0" w:color="auto"/>
              <w:right w:val="single" w:sz="6" w:space="0" w:color="auto"/>
            </w:tcBorders>
          </w:tcPr>
          <w:p w14:paraId="5A116E3D" w14:textId="77777777" w:rsidR="00C64805" w:rsidRPr="004A3BF6" w:rsidRDefault="00C64805" w:rsidP="008A2D7F">
            <w:pPr>
              <w:pStyle w:val="Tabulascipari"/>
              <w:spacing w:after="0"/>
              <w:ind w:left="0"/>
              <w:rPr>
                <w:rFonts w:eastAsia="Calibri"/>
              </w:rPr>
            </w:pPr>
            <w:r w:rsidRPr="004A3BF6">
              <w:rPr>
                <w:rFonts w:eastAsia="Calibri"/>
              </w:rPr>
              <w:t>3 944,7</w:t>
            </w:r>
          </w:p>
        </w:tc>
        <w:tc>
          <w:tcPr>
            <w:tcW w:w="555" w:type="pct"/>
            <w:tcBorders>
              <w:top w:val="single" w:sz="6" w:space="0" w:color="auto"/>
              <w:left w:val="single" w:sz="6" w:space="0" w:color="auto"/>
              <w:bottom w:val="single" w:sz="6" w:space="0" w:color="auto"/>
              <w:right w:val="single" w:sz="6" w:space="0" w:color="auto"/>
            </w:tcBorders>
          </w:tcPr>
          <w:p w14:paraId="69BF10EB" w14:textId="77777777" w:rsidR="00C64805" w:rsidRPr="004A3BF6" w:rsidRDefault="00C64805" w:rsidP="008A2D7F">
            <w:pPr>
              <w:pStyle w:val="Tabulascipari"/>
              <w:spacing w:after="0"/>
              <w:ind w:left="0"/>
              <w:rPr>
                <w:rFonts w:eastAsia="Calibri"/>
              </w:rPr>
            </w:pPr>
            <w:r w:rsidRPr="004A3BF6">
              <w:rPr>
                <w:rFonts w:eastAsia="Calibri"/>
              </w:rPr>
              <w:t>6 400,1</w:t>
            </w:r>
          </w:p>
        </w:tc>
        <w:tc>
          <w:tcPr>
            <w:tcW w:w="635" w:type="pct"/>
            <w:tcBorders>
              <w:top w:val="single" w:sz="6" w:space="0" w:color="auto"/>
              <w:left w:val="single" w:sz="6" w:space="0" w:color="auto"/>
              <w:bottom w:val="single" w:sz="6" w:space="0" w:color="auto"/>
              <w:right w:val="single" w:sz="6" w:space="0" w:color="auto"/>
            </w:tcBorders>
          </w:tcPr>
          <w:p w14:paraId="61F903C0" w14:textId="77777777" w:rsidR="00C64805" w:rsidRPr="004A3BF6" w:rsidRDefault="00C64805" w:rsidP="008A2D7F">
            <w:pPr>
              <w:pStyle w:val="Tabulascipari"/>
              <w:spacing w:after="0"/>
              <w:ind w:left="0"/>
              <w:rPr>
                <w:rFonts w:eastAsia="Calibri"/>
              </w:rPr>
            </w:pPr>
            <w:r>
              <w:rPr>
                <w:rFonts w:eastAsia="Calibri"/>
              </w:rPr>
              <w:t>+</w:t>
            </w:r>
            <w:r w:rsidRPr="004A3BF6">
              <w:rPr>
                <w:rFonts w:eastAsia="Calibri"/>
              </w:rPr>
              <w:t>2 455,4</w:t>
            </w:r>
          </w:p>
        </w:tc>
        <w:tc>
          <w:tcPr>
            <w:tcW w:w="476" w:type="pct"/>
            <w:tcBorders>
              <w:top w:val="single" w:sz="6" w:space="0" w:color="auto"/>
              <w:left w:val="single" w:sz="6" w:space="0" w:color="auto"/>
              <w:bottom w:val="single" w:sz="6" w:space="0" w:color="auto"/>
              <w:right w:val="single" w:sz="6" w:space="0" w:color="auto"/>
            </w:tcBorders>
          </w:tcPr>
          <w:p w14:paraId="2911CAAC" w14:textId="77777777" w:rsidR="00C64805" w:rsidRPr="004A3BF6" w:rsidRDefault="00C64805" w:rsidP="008A2D7F">
            <w:pPr>
              <w:pStyle w:val="Tabulascipari"/>
              <w:spacing w:after="0"/>
              <w:ind w:left="0"/>
              <w:rPr>
                <w:rFonts w:eastAsia="Calibri"/>
              </w:rPr>
            </w:pPr>
            <w:r>
              <w:rPr>
                <w:rFonts w:eastAsia="Calibri"/>
              </w:rPr>
              <w:t>+</w:t>
            </w:r>
            <w:r w:rsidRPr="004A3BF6">
              <w:rPr>
                <w:rFonts w:eastAsia="Calibri"/>
              </w:rPr>
              <w:t>62,2</w:t>
            </w:r>
          </w:p>
        </w:tc>
      </w:tr>
      <w:tr w:rsidR="00C64805" w:rsidRPr="004A3BF6" w14:paraId="40607445" w14:textId="77777777" w:rsidTr="006B13BC">
        <w:trPr>
          <w:trHeight w:val="284"/>
          <w:jc w:val="center"/>
        </w:trPr>
        <w:tc>
          <w:tcPr>
            <w:tcW w:w="2778" w:type="pct"/>
            <w:tcBorders>
              <w:top w:val="single" w:sz="6" w:space="0" w:color="auto"/>
              <w:left w:val="single" w:sz="6" w:space="0" w:color="auto"/>
              <w:bottom w:val="single" w:sz="6" w:space="0" w:color="auto"/>
              <w:right w:val="single" w:sz="6" w:space="0" w:color="auto"/>
            </w:tcBorders>
            <w:vAlign w:val="center"/>
          </w:tcPr>
          <w:p w14:paraId="47EA3F21" w14:textId="77777777" w:rsidR="00C64805" w:rsidRPr="0078693B" w:rsidRDefault="00C64805" w:rsidP="008A2D7F">
            <w:pPr>
              <w:pStyle w:val="Tabulasteksts"/>
              <w:spacing w:after="0"/>
              <w:ind w:left="0"/>
              <w:rPr>
                <w:rFonts w:eastAsia="Calibri"/>
              </w:rPr>
            </w:pPr>
            <w:r>
              <w:rPr>
                <w:rFonts w:eastAsia="Calibri"/>
              </w:rPr>
              <w:t>Atvieglojuma</w:t>
            </w:r>
            <w:r w:rsidRPr="0078693B">
              <w:rPr>
                <w:rFonts w:eastAsia="Calibri"/>
              </w:rPr>
              <w:t xml:space="preserve"> summa, kuru aprēķina nodokļa maksātājs, kurš turpina piemērot UIN atlaidi saskaņā ar likuma "</w:t>
            </w:r>
            <w:r w:rsidRPr="004C7AC5">
              <w:rPr>
                <w:rFonts w:eastAsia="Calibri"/>
                <w:i/>
                <w:iCs/>
              </w:rPr>
              <w:t>Par uzņēmumu ienākuma nodokli</w:t>
            </w:r>
            <w:r w:rsidRPr="0078693B">
              <w:rPr>
                <w:rFonts w:eastAsia="Calibri"/>
              </w:rPr>
              <w:t>" 17.2 pantu (kas spēkā līdz 31.12.2017.)</w:t>
            </w:r>
          </w:p>
        </w:tc>
        <w:tc>
          <w:tcPr>
            <w:tcW w:w="555" w:type="pct"/>
            <w:tcBorders>
              <w:top w:val="single" w:sz="6" w:space="0" w:color="auto"/>
              <w:left w:val="single" w:sz="6" w:space="0" w:color="auto"/>
              <w:bottom w:val="single" w:sz="6" w:space="0" w:color="auto"/>
              <w:right w:val="single" w:sz="6" w:space="0" w:color="auto"/>
            </w:tcBorders>
          </w:tcPr>
          <w:p w14:paraId="0084BAE5" w14:textId="77777777" w:rsidR="00C64805" w:rsidRPr="004A3BF6" w:rsidRDefault="00C64805" w:rsidP="008A2D7F">
            <w:pPr>
              <w:pStyle w:val="Tabulascipari"/>
              <w:spacing w:after="0"/>
              <w:ind w:left="0"/>
              <w:rPr>
                <w:rFonts w:eastAsia="Calibri"/>
              </w:rPr>
            </w:pPr>
            <w:r w:rsidRPr="004A3BF6">
              <w:rPr>
                <w:rFonts w:eastAsia="Calibri"/>
              </w:rPr>
              <w:t>1 373,4</w:t>
            </w:r>
          </w:p>
        </w:tc>
        <w:tc>
          <w:tcPr>
            <w:tcW w:w="555" w:type="pct"/>
            <w:tcBorders>
              <w:top w:val="single" w:sz="6" w:space="0" w:color="auto"/>
              <w:left w:val="single" w:sz="6" w:space="0" w:color="auto"/>
              <w:bottom w:val="single" w:sz="6" w:space="0" w:color="auto"/>
              <w:right w:val="single" w:sz="6" w:space="0" w:color="auto"/>
            </w:tcBorders>
          </w:tcPr>
          <w:p w14:paraId="7F0297DD" w14:textId="77777777" w:rsidR="00C64805" w:rsidRPr="004A3BF6" w:rsidRDefault="00C64805" w:rsidP="008A2D7F">
            <w:pPr>
              <w:pStyle w:val="Tabulascipari"/>
              <w:spacing w:after="0"/>
              <w:ind w:left="0"/>
              <w:rPr>
                <w:rFonts w:eastAsia="Calibri"/>
              </w:rPr>
            </w:pPr>
            <w:r w:rsidRPr="004A3BF6">
              <w:rPr>
                <w:rFonts w:eastAsia="Calibri"/>
              </w:rPr>
              <w:t>962,5</w:t>
            </w:r>
          </w:p>
        </w:tc>
        <w:tc>
          <w:tcPr>
            <w:tcW w:w="635" w:type="pct"/>
            <w:tcBorders>
              <w:top w:val="single" w:sz="6" w:space="0" w:color="auto"/>
              <w:left w:val="single" w:sz="6" w:space="0" w:color="auto"/>
              <w:bottom w:val="single" w:sz="6" w:space="0" w:color="auto"/>
              <w:right w:val="single" w:sz="6" w:space="0" w:color="auto"/>
            </w:tcBorders>
          </w:tcPr>
          <w:p w14:paraId="2188EDBA" w14:textId="77777777" w:rsidR="00C64805" w:rsidRPr="004A3BF6" w:rsidRDefault="00C64805" w:rsidP="008A2D7F">
            <w:pPr>
              <w:pStyle w:val="Tabulascipari"/>
              <w:spacing w:after="0"/>
              <w:ind w:left="0"/>
              <w:rPr>
                <w:rFonts w:eastAsia="Calibri"/>
              </w:rPr>
            </w:pPr>
            <w:r w:rsidRPr="004A3BF6">
              <w:rPr>
                <w:rFonts w:eastAsia="Calibri"/>
              </w:rPr>
              <w:t>-410,9</w:t>
            </w:r>
          </w:p>
        </w:tc>
        <w:tc>
          <w:tcPr>
            <w:tcW w:w="476" w:type="pct"/>
            <w:tcBorders>
              <w:top w:val="single" w:sz="6" w:space="0" w:color="auto"/>
              <w:left w:val="single" w:sz="6" w:space="0" w:color="auto"/>
              <w:bottom w:val="single" w:sz="6" w:space="0" w:color="auto"/>
              <w:right w:val="single" w:sz="6" w:space="0" w:color="auto"/>
            </w:tcBorders>
          </w:tcPr>
          <w:p w14:paraId="1D14C1ED" w14:textId="77777777" w:rsidR="00C64805" w:rsidRPr="004A3BF6" w:rsidRDefault="00C64805" w:rsidP="008A2D7F">
            <w:pPr>
              <w:pStyle w:val="Tabulascipari"/>
              <w:spacing w:after="0"/>
              <w:ind w:left="0"/>
              <w:rPr>
                <w:rFonts w:eastAsia="Calibri"/>
              </w:rPr>
            </w:pPr>
            <w:r w:rsidRPr="004A3BF6">
              <w:rPr>
                <w:rFonts w:eastAsia="Calibri"/>
              </w:rPr>
              <w:t>-29,9</w:t>
            </w:r>
          </w:p>
        </w:tc>
      </w:tr>
      <w:tr w:rsidR="00C64805" w:rsidRPr="004A3BF6" w14:paraId="2D9B3BF0" w14:textId="77777777" w:rsidTr="006B13BC">
        <w:trPr>
          <w:trHeight w:val="284"/>
          <w:jc w:val="center"/>
        </w:trPr>
        <w:tc>
          <w:tcPr>
            <w:tcW w:w="2778" w:type="pct"/>
            <w:tcBorders>
              <w:top w:val="single" w:sz="6" w:space="0" w:color="auto"/>
              <w:left w:val="single" w:sz="6" w:space="0" w:color="auto"/>
              <w:bottom w:val="single" w:sz="6" w:space="0" w:color="auto"/>
              <w:right w:val="single" w:sz="6" w:space="0" w:color="auto"/>
            </w:tcBorders>
            <w:vAlign w:val="center"/>
          </w:tcPr>
          <w:p w14:paraId="4F59465E" w14:textId="77777777" w:rsidR="00C64805" w:rsidRPr="0078693B" w:rsidRDefault="00C64805" w:rsidP="008A2D7F">
            <w:pPr>
              <w:pStyle w:val="Tabulasteksts"/>
              <w:spacing w:after="0"/>
              <w:ind w:left="0"/>
              <w:rPr>
                <w:rFonts w:eastAsia="Calibri"/>
              </w:rPr>
            </w:pPr>
            <w:r w:rsidRPr="0078693B">
              <w:rPr>
                <w:rFonts w:eastAsia="Calibri"/>
              </w:rPr>
              <w:t>50% no summas, kas saņemta subsīdiju veidā kā valsts atbalsts lauksaimniecībai vai ES atbalsts lauksaimniecībai un lauku attīstībai</w:t>
            </w:r>
          </w:p>
        </w:tc>
        <w:tc>
          <w:tcPr>
            <w:tcW w:w="555" w:type="pct"/>
            <w:tcBorders>
              <w:top w:val="single" w:sz="6" w:space="0" w:color="auto"/>
              <w:left w:val="single" w:sz="6" w:space="0" w:color="auto"/>
              <w:bottom w:val="single" w:sz="6" w:space="0" w:color="auto"/>
              <w:right w:val="single" w:sz="6" w:space="0" w:color="auto"/>
            </w:tcBorders>
          </w:tcPr>
          <w:p w14:paraId="2EED730B" w14:textId="77777777" w:rsidR="00C64805" w:rsidRPr="004A3BF6" w:rsidRDefault="00C64805" w:rsidP="008A2D7F">
            <w:pPr>
              <w:pStyle w:val="Tabulascipari"/>
              <w:spacing w:after="0"/>
              <w:ind w:left="0"/>
              <w:rPr>
                <w:rFonts w:eastAsia="Calibri"/>
              </w:rPr>
            </w:pPr>
            <w:r w:rsidRPr="004A3BF6">
              <w:rPr>
                <w:rFonts w:eastAsia="Calibri"/>
              </w:rPr>
              <w:t>16 064,8</w:t>
            </w:r>
          </w:p>
        </w:tc>
        <w:tc>
          <w:tcPr>
            <w:tcW w:w="555" w:type="pct"/>
            <w:tcBorders>
              <w:top w:val="single" w:sz="6" w:space="0" w:color="auto"/>
              <w:left w:val="single" w:sz="6" w:space="0" w:color="auto"/>
              <w:bottom w:val="single" w:sz="6" w:space="0" w:color="auto"/>
              <w:right w:val="single" w:sz="6" w:space="0" w:color="auto"/>
            </w:tcBorders>
          </w:tcPr>
          <w:p w14:paraId="6663403D" w14:textId="77777777" w:rsidR="00C64805" w:rsidRPr="004A3BF6" w:rsidRDefault="00C64805" w:rsidP="008A2D7F">
            <w:pPr>
              <w:pStyle w:val="Tabulascipari"/>
              <w:spacing w:after="0"/>
              <w:ind w:left="0"/>
              <w:rPr>
                <w:rFonts w:eastAsia="Calibri"/>
              </w:rPr>
            </w:pPr>
            <w:r w:rsidRPr="004A3BF6">
              <w:rPr>
                <w:rFonts w:eastAsia="Calibri"/>
              </w:rPr>
              <w:t>22 910,7</w:t>
            </w:r>
          </w:p>
        </w:tc>
        <w:tc>
          <w:tcPr>
            <w:tcW w:w="635" w:type="pct"/>
            <w:tcBorders>
              <w:top w:val="single" w:sz="6" w:space="0" w:color="auto"/>
              <w:left w:val="single" w:sz="6" w:space="0" w:color="auto"/>
              <w:bottom w:val="single" w:sz="6" w:space="0" w:color="auto"/>
              <w:right w:val="single" w:sz="6" w:space="0" w:color="auto"/>
            </w:tcBorders>
          </w:tcPr>
          <w:p w14:paraId="08A45CCC" w14:textId="77777777" w:rsidR="00C64805" w:rsidRPr="004A3BF6" w:rsidRDefault="00C64805" w:rsidP="008A2D7F">
            <w:pPr>
              <w:pStyle w:val="Tabulascipari"/>
              <w:spacing w:after="0"/>
              <w:ind w:left="0"/>
              <w:rPr>
                <w:rFonts w:eastAsia="Calibri"/>
              </w:rPr>
            </w:pPr>
            <w:r>
              <w:rPr>
                <w:rFonts w:eastAsia="Calibri"/>
              </w:rPr>
              <w:t>+</w:t>
            </w:r>
            <w:r w:rsidRPr="004A3BF6">
              <w:rPr>
                <w:rFonts w:eastAsia="Calibri"/>
              </w:rPr>
              <w:t>6 845,9</w:t>
            </w:r>
          </w:p>
        </w:tc>
        <w:tc>
          <w:tcPr>
            <w:tcW w:w="476" w:type="pct"/>
            <w:tcBorders>
              <w:top w:val="single" w:sz="6" w:space="0" w:color="auto"/>
              <w:left w:val="single" w:sz="6" w:space="0" w:color="auto"/>
              <w:bottom w:val="single" w:sz="6" w:space="0" w:color="auto"/>
              <w:right w:val="single" w:sz="6" w:space="0" w:color="auto"/>
            </w:tcBorders>
          </w:tcPr>
          <w:p w14:paraId="2488C285" w14:textId="77777777" w:rsidR="00C64805" w:rsidRPr="004A3BF6" w:rsidRDefault="00C64805" w:rsidP="008A2D7F">
            <w:pPr>
              <w:pStyle w:val="Tabulascipari"/>
              <w:spacing w:after="0"/>
              <w:ind w:left="0"/>
              <w:rPr>
                <w:rFonts w:eastAsia="Calibri"/>
              </w:rPr>
            </w:pPr>
            <w:r>
              <w:rPr>
                <w:rFonts w:eastAsia="Calibri"/>
              </w:rPr>
              <w:t>+</w:t>
            </w:r>
            <w:r w:rsidRPr="004A3BF6">
              <w:rPr>
                <w:rFonts w:eastAsia="Calibri"/>
              </w:rPr>
              <w:t>42,6</w:t>
            </w:r>
          </w:p>
        </w:tc>
      </w:tr>
      <w:tr w:rsidR="00C64805" w:rsidRPr="004A3BF6" w14:paraId="1CCAB156" w14:textId="77777777" w:rsidTr="006B13BC">
        <w:trPr>
          <w:trHeight w:val="284"/>
          <w:jc w:val="center"/>
        </w:trPr>
        <w:tc>
          <w:tcPr>
            <w:tcW w:w="2778" w:type="pct"/>
            <w:tcBorders>
              <w:top w:val="single" w:sz="6" w:space="0" w:color="auto"/>
              <w:left w:val="single" w:sz="6" w:space="0" w:color="auto"/>
              <w:bottom w:val="single" w:sz="6" w:space="0" w:color="auto"/>
              <w:right w:val="single" w:sz="6" w:space="0" w:color="auto"/>
            </w:tcBorders>
            <w:vAlign w:val="center"/>
          </w:tcPr>
          <w:p w14:paraId="375734F0" w14:textId="77777777" w:rsidR="00C64805" w:rsidRPr="004A3BF6" w:rsidRDefault="00C64805" w:rsidP="008A2D7F">
            <w:pPr>
              <w:pStyle w:val="Tabulasteksts"/>
              <w:spacing w:after="0"/>
              <w:ind w:left="0"/>
              <w:rPr>
                <w:rFonts w:eastAsia="Calibri"/>
                <w:b/>
                <w:bCs/>
              </w:rPr>
            </w:pPr>
            <w:r w:rsidRPr="004A3BF6">
              <w:rPr>
                <w:rFonts w:eastAsia="Calibri"/>
                <w:b/>
                <w:bCs/>
              </w:rPr>
              <w:t>Kopā</w:t>
            </w:r>
          </w:p>
        </w:tc>
        <w:tc>
          <w:tcPr>
            <w:tcW w:w="555" w:type="pct"/>
            <w:tcBorders>
              <w:top w:val="single" w:sz="6" w:space="0" w:color="auto"/>
              <w:left w:val="single" w:sz="6" w:space="0" w:color="auto"/>
              <w:bottom w:val="single" w:sz="6" w:space="0" w:color="auto"/>
              <w:right w:val="single" w:sz="6" w:space="0" w:color="auto"/>
            </w:tcBorders>
          </w:tcPr>
          <w:p w14:paraId="2796B15B" w14:textId="77777777" w:rsidR="00C64805" w:rsidRPr="004A3BF6" w:rsidRDefault="00C64805" w:rsidP="008A2D7F">
            <w:pPr>
              <w:pStyle w:val="Tabulascipari"/>
              <w:spacing w:after="0"/>
              <w:ind w:left="0"/>
              <w:rPr>
                <w:rFonts w:eastAsia="Calibri"/>
                <w:b/>
                <w:bCs/>
              </w:rPr>
            </w:pPr>
            <w:r w:rsidRPr="004A3BF6">
              <w:rPr>
                <w:rFonts w:eastAsia="Calibri"/>
                <w:b/>
                <w:bCs/>
              </w:rPr>
              <w:t>36 969,2</w:t>
            </w:r>
          </w:p>
        </w:tc>
        <w:tc>
          <w:tcPr>
            <w:tcW w:w="555" w:type="pct"/>
            <w:tcBorders>
              <w:top w:val="single" w:sz="6" w:space="0" w:color="auto"/>
              <w:left w:val="single" w:sz="6" w:space="0" w:color="auto"/>
              <w:bottom w:val="single" w:sz="6" w:space="0" w:color="auto"/>
              <w:right w:val="single" w:sz="6" w:space="0" w:color="auto"/>
            </w:tcBorders>
          </w:tcPr>
          <w:p w14:paraId="5B1EC58D" w14:textId="77777777" w:rsidR="00C64805" w:rsidRPr="004A3BF6" w:rsidRDefault="00C64805" w:rsidP="008A2D7F">
            <w:pPr>
              <w:pStyle w:val="Tabulascipari"/>
              <w:spacing w:after="0"/>
              <w:ind w:left="0"/>
              <w:rPr>
                <w:rFonts w:eastAsia="Calibri"/>
                <w:b/>
                <w:bCs/>
              </w:rPr>
            </w:pPr>
            <w:r w:rsidRPr="004A3BF6">
              <w:rPr>
                <w:rFonts w:eastAsia="Calibri"/>
                <w:b/>
                <w:bCs/>
              </w:rPr>
              <w:t>40 730,9</w:t>
            </w:r>
          </w:p>
        </w:tc>
        <w:tc>
          <w:tcPr>
            <w:tcW w:w="635" w:type="pct"/>
            <w:tcBorders>
              <w:top w:val="single" w:sz="6" w:space="0" w:color="auto"/>
              <w:left w:val="single" w:sz="6" w:space="0" w:color="auto"/>
              <w:bottom w:val="single" w:sz="6" w:space="0" w:color="auto"/>
              <w:right w:val="single" w:sz="6" w:space="0" w:color="auto"/>
            </w:tcBorders>
          </w:tcPr>
          <w:p w14:paraId="468D95BA" w14:textId="77777777" w:rsidR="00C64805" w:rsidRPr="004A3BF6" w:rsidRDefault="00C64805" w:rsidP="008A2D7F">
            <w:pPr>
              <w:pStyle w:val="Tabulascipari"/>
              <w:spacing w:after="0"/>
              <w:ind w:left="0"/>
              <w:rPr>
                <w:rFonts w:eastAsia="Calibri"/>
                <w:b/>
                <w:bCs/>
              </w:rPr>
            </w:pPr>
            <w:r w:rsidRPr="00A22969">
              <w:rPr>
                <w:rFonts w:eastAsia="Calibri"/>
                <w:b/>
                <w:bCs/>
              </w:rPr>
              <w:t>+</w:t>
            </w:r>
            <w:r w:rsidRPr="004A3BF6">
              <w:rPr>
                <w:rFonts w:eastAsia="Calibri"/>
                <w:b/>
                <w:bCs/>
              </w:rPr>
              <w:t>3 761,7</w:t>
            </w:r>
          </w:p>
        </w:tc>
        <w:tc>
          <w:tcPr>
            <w:tcW w:w="476" w:type="pct"/>
            <w:tcBorders>
              <w:top w:val="single" w:sz="6" w:space="0" w:color="auto"/>
              <w:left w:val="single" w:sz="6" w:space="0" w:color="auto"/>
              <w:bottom w:val="single" w:sz="6" w:space="0" w:color="auto"/>
              <w:right w:val="single" w:sz="6" w:space="0" w:color="auto"/>
            </w:tcBorders>
          </w:tcPr>
          <w:p w14:paraId="40B5E2CD" w14:textId="77777777" w:rsidR="00C64805" w:rsidRPr="004A3BF6" w:rsidRDefault="00C64805" w:rsidP="008A2D7F">
            <w:pPr>
              <w:pStyle w:val="Tabulascipari"/>
              <w:spacing w:after="0"/>
              <w:ind w:left="0"/>
              <w:rPr>
                <w:rFonts w:eastAsia="Calibri"/>
                <w:b/>
                <w:bCs/>
              </w:rPr>
            </w:pPr>
            <w:r w:rsidRPr="00A22969">
              <w:rPr>
                <w:rFonts w:eastAsia="Calibri"/>
                <w:b/>
                <w:bCs/>
              </w:rPr>
              <w:t>+</w:t>
            </w:r>
            <w:r w:rsidRPr="004A3BF6">
              <w:rPr>
                <w:rFonts w:eastAsia="Calibri"/>
                <w:b/>
                <w:bCs/>
              </w:rPr>
              <w:t>10,2</w:t>
            </w:r>
          </w:p>
        </w:tc>
      </w:tr>
    </w:tbl>
    <w:p w14:paraId="2701E212" w14:textId="77777777" w:rsidR="00C64805" w:rsidRDefault="00C64805" w:rsidP="00C64805">
      <w:pPr>
        <w:pStyle w:val="Piezme"/>
      </w:pPr>
      <w:r w:rsidRPr="004A3BF6">
        <w:rPr>
          <w:vertAlign w:val="superscript"/>
        </w:rPr>
        <w:t>1</w:t>
      </w:r>
      <w:r w:rsidRPr="004A3BF6">
        <w:t> </w:t>
      </w:r>
      <w:r w:rsidRPr="00576A41">
        <w:t>Dati uz 12.09.2023.</w:t>
      </w:r>
    </w:p>
    <w:p w14:paraId="5904450C" w14:textId="77777777" w:rsidR="009C4F36" w:rsidRPr="004A3BF6" w:rsidRDefault="009C4F36" w:rsidP="00C64805">
      <w:pPr>
        <w:pStyle w:val="Piezme"/>
      </w:pPr>
    </w:p>
    <w:p w14:paraId="0E4A9E5D" w14:textId="77777777" w:rsidR="00C64805" w:rsidRPr="008B4A04" w:rsidRDefault="00C64805" w:rsidP="00C64805">
      <w:pPr>
        <w:rPr>
          <w:rFonts w:eastAsia="Calibri" w:cs="Times New Roman"/>
          <w:szCs w:val="24"/>
        </w:rPr>
      </w:pPr>
      <w:r w:rsidRPr="008B4A04">
        <w:rPr>
          <w:rFonts w:eastAsia="Calibri" w:cs="Times New Roman"/>
          <w:szCs w:val="24"/>
        </w:rPr>
        <w:t xml:space="preserve">No deklarētās nodokļa </w:t>
      </w:r>
      <w:r>
        <w:rPr>
          <w:rFonts w:eastAsia="Calibri" w:cs="Times New Roman"/>
          <w:szCs w:val="24"/>
        </w:rPr>
        <w:t>atvieglojuma</w:t>
      </w:r>
      <w:r w:rsidRPr="008B4A04">
        <w:rPr>
          <w:rFonts w:eastAsia="Calibri" w:cs="Times New Roman"/>
          <w:szCs w:val="24"/>
        </w:rPr>
        <w:t xml:space="preserve"> summas 2022</w:t>
      </w:r>
      <w:r>
        <w:rPr>
          <w:rFonts w:eastAsia="Calibri" w:cs="Times New Roman"/>
          <w:szCs w:val="24"/>
        </w:rPr>
        <w:t>. g</w:t>
      </w:r>
      <w:r w:rsidRPr="008B4A04">
        <w:rPr>
          <w:rFonts w:eastAsia="Calibri" w:cs="Times New Roman"/>
          <w:szCs w:val="24"/>
        </w:rPr>
        <w:t>adā 56,2</w:t>
      </w:r>
      <w:r>
        <w:rPr>
          <w:rFonts w:eastAsia="Calibri" w:cs="Times New Roman"/>
          <w:szCs w:val="24"/>
        </w:rPr>
        <w:t> %</w:t>
      </w:r>
      <w:r w:rsidRPr="008B4A04">
        <w:rPr>
          <w:rFonts w:eastAsia="Calibri" w:cs="Times New Roman"/>
          <w:szCs w:val="24"/>
        </w:rPr>
        <w:t xml:space="preserve"> jeb 22,91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ir pārskata gada ar nodokli apliekamās bāzes samazinājums apjomā, kas atbilst 50</w:t>
      </w:r>
      <w:r>
        <w:rPr>
          <w:rFonts w:eastAsia="Calibri" w:cs="Times New Roman"/>
          <w:szCs w:val="24"/>
        </w:rPr>
        <w:t> %</w:t>
      </w:r>
      <w:r w:rsidRPr="008B4A04">
        <w:rPr>
          <w:rFonts w:eastAsia="Calibri" w:cs="Times New Roman"/>
          <w:szCs w:val="24"/>
        </w:rPr>
        <w:t xml:space="preserve"> no summas, kas saņemta kā valsts atbalsts lauksaimniecībai vai </w:t>
      </w:r>
      <w:r>
        <w:rPr>
          <w:rFonts w:eastAsia="Calibri" w:cs="Times New Roman"/>
          <w:szCs w:val="24"/>
        </w:rPr>
        <w:t>ES</w:t>
      </w:r>
      <w:r w:rsidRPr="008B4A04">
        <w:rPr>
          <w:rFonts w:eastAsia="Calibri" w:cs="Times New Roman"/>
          <w:szCs w:val="24"/>
        </w:rPr>
        <w:t xml:space="preserve"> atbalsts lauksaimniecībai un lauku attīstībai, bet ne vairāk kā par taksācijas periodā ar nodokli apliekamajā bāzē iekļauto ar nodokli apliekamo objektu kopsummu, turklāt tai vērojams būtisks pieaugums. Savukārt aprēķināt</w:t>
      </w:r>
      <w:r>
        <w:rPr>
          <w:rFonts w:eastAsia="Calibri" w:cs="Times New Roman"/>
          <w:szCs w:val="24"/>
        </w:rPr>
        <w:t>ais</w:t>
      </w:r>
      <w:r w:rsidRPr="008B4A04">
        <w:rPr>
          <w:rFonts w:eastAsia="Calibri" w:cs="Times New Roman"/>
          <w:szCs w:val="24"/>
        </w:rPr>
        <w:t xml:space="preserve"> nodokļa </w:t>
      </w:r>
      <w:r>
        <w:rPr>
          <w:rFonts w:eastAsia="Calibri" w:cs="Times New Roman"/>
          <w:szCs w:val="24"/>
        </w:rPr>
        <w:t>atvieglojums</w:t>
      </w:r>
      <w:r w:rsidRPr="008B4A04">
        <w:rPr>
          <w:rFonts w:eastAsia="Calibri" w:cs="Times New Roman"/>
          <w:szCs w:val="24"/>
        </w:rPr>
        <w:t xml:space="preserve"> par ziedojumiem samazinājusies par 0,81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8,6</w:t>
      </w:r>
      <w:r>
        <w:rPr>
          <w:rFonts w:eastAsia="Calibri" w:cs="Times New Roman"/>
          <w:szCs w:val="24"/>
        </w:rPr>
        <w:t> %</w:t>
      </w:r>
      <w:r w:rsidRPr="008B4A04">
        <w:rPr>
          <w:rFonts w:eastAsia="Calibri" w:cs="Times New Roman"/>
          <w:szCs w:val="24"/>
        </w:rPr>
        <w:t xml:space="preserve">. </w:t>
      </w:r>
    </w:p>
    <w:p w14:paraId="5FAA16BF" w14:textId="77777777" w:rsidR="00C64805" w:rsidRPr="00C64805" w:rsidRDefault="00C64805" w:rsidP="00C64805">
      <w:pPr>
        <w:pStyle w:val="Heading4"/>
        <w:jc w:val="center"/>
        <w:rPr>
          <w:rFonts w:ascii="Times New Roman" w:hAnsi="Times New Roman" w:cs="Times New Roman"/>
          <w:i w:val="0"/>
          <w:iCs w:val="0"/>
          <w:sz w:val="28"/>
          <w:szCs w:val="24"/>
        </w:rPr>
      </w:pPr>
      <w:r w:rsidRPr="00C64805">
        <w:rPr>
          <w:rFonts w:ascii="Times New Roman" w:hAnsi="Times New Roman" w:cs="Times New Roman"/>
          <w:i w:val="0"/>
          <w:iCs w:val="0"/>
          <w:sz w:val="28"/>
          <w:szCs w:val="24"/>
        </w:rPr>
        <w:t>Iedzīvotāju ienākuma nodoklis</w:t>
      </w:r>
    </w:p>
    <w:p w14:paraId="1B3789BC" w14:textId="2778D2C0" w:rsidR="00C64805" w:rsidRPr="008B4A04" w:rsidRDefault="00C64805" w:rsidP="00C64805">
      <w:pPr>
        <w:rPr>
          <w:rFonts w:eastAsia="Calibri" w:cs="Times New Roman"/>
          <w:szCs w:val="24"/>
        </w:rPr>
      </w:pPr>
      <w:r w:rsidRPr="008B4A04">
        <w:rPr>
          <w:rFonts w:eastAsia="Calibri" w:cs="Times New Roman"/>
          <w:szCs w:val="24"/>
        </w:rPr>
        <w:t>Saskaņā ar paziņojumu par fiziskajai personām izmaksātajām summām un IIN deklarāciju datiem, vērtēto piešķirto IIN atvieglojumu apmēri 2022</w:t>
      </w:r>
      <w:r>
        <w:rPr>
          <w:rFonts w:eastAsia="Calibri" w:cs="Times New Roman"/>
          <w:szCs w:val="24"/>
        </w:rPr>
        <w:t>. g</w:t>
      </w:r>
      <w:r w:rsidRPr="008B4A04">
        <w:rPr>
          <w:rFonts w:eastAsia="Calibri" w:cs="Times New Roman"/>
          <w:szCs w:val="24"/>
        </w:rPr>
        <w:t>adā bija ap 5,3 m</w:t>
      </w:r>
      <w:r w:rsidR="00BB23B3">
        <w:rPr>
          <w:rFonts w:eastAsia="Calibri" w:cs="Times New Roman"/>
          <w:szCs w:val="24"/>
        </w:rPr>
        <w:t>ljrd.</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ir par 15,5</w:t>
      </w:r>
      <w:r>
        <w:rPr>
          <w:rFonts w:eastAsia="Calibri" w:cs="Times New Roman"/>
          <w:szCs w:val="24"/>
        </w:rPr>
        <w:t> %</w:t>
      </w:r>
      <w:r w:rsidRPr="008B4A04">
        <w:rPr>
          <w:rFonts w:eastAsia="Calibri" w:cs="Times New Roman"/>
          <w:szCs w:val="24"/>
        </w:rPr>
        <w:t xml:space="preserve"> vairāk nekā 2021</w:t>
      </w:r>
      <w:r>
        <w:rPr>
          <w:rFonts w:eastAsia="Calibri" w:cs="Times New Roman"/>
          <w:szCs w:val="24"/>
        </w:rPr>
        <w:t>. g</w:t>
      </w:r>
      <w:r w:rsidRPr="008B4A04">
        <w:rPr>
          <w:rFonts w:eastAsia="Calibri" w:cs="Times New Roman"/>
          <w:szCs w:val="24"/>
        </w:rPr>
        <w:t>adā (skatīt 3.</w:t>
      </w:r>
      <w:r>
        <w:rPr>
          <w:rFonts w:eastAsia="Calibri" w:cs="Times New Roman"/>
          <w:szCs w:val="24"/>
        </w:rPr>
        <w:t>23</w:t>
      </w:r>
      <w:r w:rsidRPr="008B4A04">
        <w:rPr>
          <w:rFonts w:eastAsia="Calibri" w:cs="Times New Roman"/>
          <w:szCs w:val="24"/>
        </w:rPr>
        <w:t>. tabulu).</w:t>
      </w:r>
    </w:p>
    <w:p w14:paraId="3CABBDCD" w14:textId="77777777" w:rsidR="00C64805" w:rsidRPr="009C4F36" w:rsidRDefault="00C64805" w:rsidP="00C64805">
      <w:pPr>
        <w:pStyle w:val="Tabulasnosaukums"/>
      </w:pPr>
      <w:r w:rsidRPr="009C4F36">
        <w:t>3.23. tabula. Paziņojumu par fiziskai personai izmaksātajām summām un fizisko personu saimnieciskā darba veicēju iesniegto 2021. un 2022. gada ienākumu deklarāciju apkopojums</w:t>
      </w:r>
    </w:p>
    <w:tbl>
      <w:tblPr>
        <w:tblW w:w="4926" w:type="pct"/>
        <w:jc w:val="center"/>
        <w:tblLook w:val="04A0" w:firstRow="1" w:lastRow="0" w:firstColumn="1" w:lastColumn="0" w:noHBand="0" w:noVBand="1"/>
      </w:tblPr>
      <w:tblGrid>
        <w:gridCol w:w="2358"/>
        <w:gridCol w:w="2456"/>
        <w:gridCol w:w="1134"/>
        <w:gridCol w:w="1136"/>
        <w:gridCol w:w="1134"/>
        <w:gridCol w:w="709"/>
      </w:tblGrid>
      <w:tr w:rsidR="006B13BC" w:rsidRPr="004A3BF6" w14:paraId="695A7B97" w14:textId="77777777" w:rsidTr="006B13BC">
        <w:trPr>
          <w:trHeight w:val="454"/>
          <w:jc w:val="center"/>
        </w:trPr>
        <w:tc>
          <w:tcPr>
            <w:tcW w:w="2697" w:type="pct"/>
            <w:gridSpan w:val="2"/>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239D2669" w14:textId="77777777" w:rsidR="00C64805" w:rsidRPr="008A2D7F" w:rsidRDefault="00C64805" w:rsidP="005D673A">
            <w:pPr>
              <w:pStyle w:val="Tabulasgalvenesrinda"/>
              <w:rPr>
                <w:rFonts w:eastAsia="Calibri"/>
              </w:rPr>
            </w:pPr>
            <w:r w:rsidRPr="008A2D7F">
              <w:rPr>
                <w:rFonts w:eastAsia="Calibri"/>
              </w:rPr>
              <w:t>Nodokļa atvieglojumi</w:t>
            </w:r>
          </w:p>
        </w:tc>
        <w:tc>
          <w:tcPr>
            <w:tcW w:w="1271" w:type="pct"/>
            <w:gridSpan w:val="2"/>
            <w:tcBorders>
              <w:top w:val="single" w:sz="4" w:space="0" w:color="auto"/>
              <w:left w:val="nil"/>
              <w:bottom w:val="single" w:sz="4" w:space="0" w:color="auto"/>
              <w:right w:val="single" w:sz="4" w:space="0" w:color="auto"/>
            </w:tcBorders>
            <w:shd w:val="clear" w:color="auto" w:fill="9CC2E5" w:themeFill="accent1" w:themeFillTint="99"/>
            <w:vAlign w:val="center"/>
            <w:hideMark/>
          </w:tcPr>
          <w:p w14:paraId="5ED741D1" w14:textId="77777777" w:rsidR="00C64805" w:rsidRPr="008A2D7F" w:rsidRDefault="00C64805" w:rsidP="005D673A">
            <w:pPr>
              <w:pStyle w:val="Tabulasgalvenesrinda"/>
              <w:rPr>
                <w:rFonts w:eastAsia="Calibri"/>
              </w:rPr>
            </w:pPr>
            <w:r w:rsidRPr="008A2D7F">
              <w:rPr>
                <w:rFonts w:eastAsia="Calibri"/>
              </w:rPr>
              <w:t>Aprēķinātā atvieglojumu summa</w:t>
            </w:r>
            <w:r w:rsidRPr="008A2D7F">
              <w:rPr>
                <w:rFonts w:eastAsia="Calibri"/>
                <w:vertAlign w:val="superscript"/>
              </w:rPr>
              <w:t>1</w:t>
            </w:r>
            <w:r w:rsidRPr="008A2D7F">
              <w:rPr>
                <w:rFonts w:eastAsia="Calibri"/>
                <w:szCs w:val="20"/>
              </w:rPr>
              <w:t>, tūkst.</w:t>
            </w:r>
            <w:r w:rsidRPr="008A2D7F">
              <w:rPr>
                <w:rFonts w:eastAsia="Calibri"/>
                <w:i/>
                <w:iCs/>
                <w:szCs w:val="20"/>
              </w:rPr>
              <w:t xml:space="preserve"> </w:t>
            </w:r>
            <w:proofErr w:type="spellStart"/>
            <w:r w:rsidRPr="008A2D7F">
              <w:rPr>
                <w:rFonts w:eastAsia="Calibri"/>
                <w:i/>
                <w:iCs/>
                <w:szCs w:val="20"/>
              </w:rPr>
              <w:t>euro</w:t>
            </w:r>
            <w:proofErr w:type="spellEnd"/>
          </w:p>
        </w:tc>
        <w:tc>
          <w:tcPr>
            <w:tcW w:w="1032" w:type="pct"/>
            <w:gridSpan w:val="2"/>
            <w:tcBorders>
              <w:top w:val="single" w:sz="4" w:space="0" w:color="auto"/>
              <w:left w:val="nil"/>
              <w:bottom w:val="single" w:sz="4" w:space="0" w:color="auto"/>
              <w:right w:val="single" w:sz="4" w:space="0" w:color="000000"/>
            </w:tcBorders>
            <w:shd w:val="clear" w:color="auto" w:fill="9CC2E5" w:themeFill="accent1" w:themeFillTint="99"/>
            <w:vAlign w:val="center"/>
            <w:hideMark/>
          </w:tcPr>
          <w:p w14:paraId="0304C732" w14:textId="1A1342B8" w:rsidR="00C64805" w:rsidRPr="008A2D7F" w:rsidRDefault="00C64805" w:rsidP="005D673A">
            <w:pPr>
              <w:pStyle w:val="Tabulasgalvenesrinda"/>
              <w:rPr>
                <w:rFonts w:eastAsia="Calibri"/>
              </w:rPr>
            </w:pPr>
            <w:r w:rsidRPr="008A2D7F">
              <w:rPr>
                <w:rFonts w:eastAsia="Calibri"/>
              </w:rPr>
              <w:t>Izmaiņas</w:t>
            </w:r>
            <w:r w:rsidRPr="008A2D7F">
              <w:rPr>
                <w:rFonts w:eastAsia="Calibri"/>
              </w:rPr>
              <w:br/>
              <w:t>(2022–2021)</w:t>
            </w:r>
          </w:p>
        </w:tc>
      </w:tr>
      <w:tr w:rsidR="006B13BC" w:rsidRPr="004A3BF6" w14:paraId="23E23862" w14:textId="77777777" w:rsidTr="006B13BC">
        <w:trPr>
          <w:trHeight w:val="255"/>
          <w:jc w:val="center"/>
        </w:trPr>
        <w:tc>
          <w:tcPr>
            <w:tcW w:w="2697" w:type="pct"/>
            <w:gridSpan w:val="2"/>
            <w:vMerge/>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4F443310" w14:textId="77777777" w:rsidR="00C64805" w:rsidRPr="008A2D7F" w:rsidRDefault="00C64805" w:rsidP="005D673A">
            <w:pPr>
              <w:pStyle w:val="Tabulasgalvenesrinda"/>
              <w:rPr>
                <w:rFonts w:eastAsia="Calibri"/>
              </w:rPr>
            </w:pPr>
          </w:p>
        </w:tc>
        <w:tc>
          <w:tcPr>
            <w:tcW w:w="635" w:type="pct"/>
            <w:tcBorders>
              <w:top w:val="nil"/>
              <w:left w:val="nil"/>
              <w:bottom w:val="single" w:sz="4" w:space="0" w:color="auto"/>
              <w:right w:val="single" w:sz="4" w:space="0" w:color="auto"/>
            </w:tcBorders>
            <w:shd w:val="clear" w:color="auto" w:fill="9CC2E5" w:themeFill="accent1" w:themeFillTint="99"/>
            <w:vAlign w:val="center"/>
            <w:hideMark/>
          </w:tcPr>
          <w:p w14:paraId="0667CA2D" w14:textId="2D5E839A" w:rsidR="00C64805" w:rsidRPr="008A2D7F" w:rsidRDefault="00C64805" w:rsidP="005D673A">
            <w:pPr>
              <w:pStyle w:val="Tabulasgalvenesrinda"/>
              <w:rPr>
                <w:rFonts w:eastAsia="Calibri"/>
              </w:rPr>
            </w:pPr>
            <w:r w:rsidRPr="008A2D7F">
              <w:rPr>
                <w:rFonts w:eastAsia="Calibri"/>
              </w:rPr>
              <w:t>2021</w:t>
            </w:r>
          </w:p>
        </w:tc>
        <w:tc>
          <w:tcPr>
            <w:tcW w:w="636" w:type="pct"/>
            <w:tcBorders>
              <w:top w:val="nil"/>
              <w:left w:val="nil"/>
              <w:bottom w:val="single" w:sz="4" w:space="0" w:color="auto"/>
              <w:right w:val="single" w:sz="4" w:space="0" w:color="auto"/>
            </w:tcBorders>
            <w:shd w:val="clear" w:color="auto" w:fill="9CC2E5" w:themeFill="accent1" w:themeFillTint="99"/>
            <w:vAlign w:val="center"/>
            <w:hideMark/>
          </w:tcPr>
          <w:p w14:paraId="56C3E043" w14:textId="51C3BA31" w:rsidR="00C64805" w:rsidRPr="008A2D7F" w:rsidRDefault="00C64805" w:rsidP="005D673A">
            <w:pPr>
              <w:pStyle w:val="Tabulasgalvenesrinda"/>
              <w:rPr>
                <w:rFonts w:eastAsia="Calibri"/>
              </w:rPr>
            </w:pPr>
            <w:r w:rsidRPr="008A2D7F">
              <w:rPr>
                <w:rFonts w:eastAsia="Calibri"/>
              </w:rPr>
              <w:t>2022</w:t>
            </w:r>
          </w:p>
        </w:tc>
        <w:tc>
          <w:tcPr>
            <w:tcW w:w="635" w:type="pct"/>
            <w:tcBorders>
              <w:top w:val="nil"/>
              <w:left w:val="nil"/>
              <w:bottom w:val="single" w:sz="4" w:space="0" w:color="auto"/>
              <w:right w:val="single" w:sz="4" w:space="0" w:color="auto"/>
            </w:tcBorders>
            <w:shd w:val="clear" w:color="auto" w:fill="9CC2E5" w:themeFill="accent1" w:themeFillTint="99"/>
            <w:noWrap/>
            <w:vAlign w:val="center"/>
            <w:hideMark/>
          </w:tcPr>
          <w:p w14:paraId="337F41DB" w14:textId="77777777" w:rsidR="00C64805" w:rsidRPr="008A2D7F" w:rsidRDefault="00C64805" w:rsidP="005D673A">
            <w:pPr>
              <w:pStyle w:val="Tabulasgalvenesrinda"/>
              <w:rPr>
                <w:rFonts w:eastAsia="Calibri"/>
              </w:rPr>
            </w:pPr>
            <w:r w:rsidRPr="008A2D7F">
              <w:rPr>
                <w:rFonts w:eastAsia="Calibri"/>
              </w:rPr>
              <w:t>tūkst.</w:t>
            </w:r>
            <w:r w:rsidRPr="008A2D7F">
              <w:rPr>
                <w:rFonts w:eastAsia="Calibri"/>
                <w:i/>
                <w:iCs/>
              </w:rPr>
              <w:t xml:space="preserve"> </w:t>
            </w:r>
            <w:proofErr w:type="spellStart"/>
            <w:r w:rsidRPr="008A2D7F">
              <w:rPr>
                <w:rFonts w:eastAsia="Calibri"/>
                <w:i/>
                <w:iCs/>
              </w:rPr>
              <w:t>euro</w:t>
            </w:r>
            <w:proofErr w:type="spellEnd"/>
          </w:p>
        </w:tc>
        <w:tc>
          <w:tcPr>
            <w:tcW w:w="397" w:type="pct"/>
            <w:tcBorders>
              <w:top w:val="nil"/>
              <w:left w:val="nil"/>
              <w:bottom w:val="single" w:sz="4" w:space="0" w:color="auto"/>
              <w:right w:val="single" w:sz="4" w:space="0" w:color="auto"/>
            </w:tcBorders>
            <w:shd w:val="clear" w:color="auto" w:fill="9CC2E5" w:themeFill="accent1" w:themeFillTint="99"/>
            <w:noWrap/>
            <w:vAlign w:val="center"/>
            <w:hideMark/>
          </w:tcPr>
          <w:p w14:paraId="340E4E65" w14:textId="77777777" w:rsidR="00C64805" w:rsidRPr="008A2D7F" w:rsidRDefault="00C64805" w:rsidP="005D673A">
            <w:pPr>
              <w:pStyle w:val="Tabulasgalvenesrinda"/>
              <w:rPr>
                <w:rFonts w:eastAsia="Calibri"/>
              </w:rPr>
            </w:pPr>
            <w:r w:rsidRPr="008A2D7F">
              <w:rPr>
                <w:rFonts w:eastAsia="Calibri"/>
              </w:rPr>
              <w:t> %</w:t>
            </w:r>
          </w:p>
        </w:tc>
      </w:tr>
      <w:tr w:rsidR="006B13BC" w:rsidRPr="004A3BF6" w14:paraId="5DE67C9A" w14:textId="77777777" w:rsidTr="006B13BC">
        <w:trPr>
          <w:trHeight w:val="284"/>
          <w:jc w:val="center"/>
        </w:trPr>
        <w:tc>
          <w:tcPr>
            <w:tcW w:w="1321" w:type="pct"/>
            <w:vMerge w:val="restart"/>
            <w:tcBorders>
              <w:top w:val="nil"/>
              <w:left w:val="single" w:sz="4" w:space="0" w:color="auto"/>
              <w:bottom w:val="single" w:sz="4" w:space="0" w:color="auto"/>
              <w:right w:val="single" w:sz="4" w:space="0" w:color="auto"/>
            </w:tcBorders>
            <w:shd w:val="clear" w:color="auto" w:fill="auto"/>
            <w:vAlign w:val="center"/>
            <w:hideMark/>
          </w:tcPr>
          <w:p w14:paraId="3899CA37" w14:textId="77777777" w:rsidR="00C64805" w:rsidRPr="00EE3763" w:rsidRDefault="00C64805" w:rsidP="008A2D7F">
            <w:pPr>
              <w:pStyle w:val="Tabulasteksts"/>
              <w:spacing w:after="0"/>
              <w:ind w:left="0"/>
              <w:rPr>
                <w:rFonts w:eastAsia="Calibri"/>
                <w:b/>
                <w:bCs/>
              </w:rPr>
            </w:pPr>
            <w:r w:rsidRPr="00EE3763">
              <w:rPr>
                <w:rFonts w:eastAsia="Calibri"/>
                <w:b/>
                <w:bCs/>
              </w:rPr>
              <w:t>Neapliekamais minimums</w:t>
            </w:r>
            <w:r w:rsidRPr="00EE3763">
              <w:rPr>
                <w:b/>
                <w:bCs/>
                <w:vertAlign w:val="superscript"/>
              </w:rPr>
              <w:t>2</w:t>
            </w:r>
          </w:p>
        </w:tc>
        <w:tc>
          <w:tcPr>
            <w:tcW w:w="1376" w:type="pct"/>
            <w:tcBorders>
              <w:top w:val="nil"/>
              <w:left w:val="nil"/>
              <w:bottom w:val="single" w:sz="4" w:space="0" w:color="auto"/>
              <w:right w:val="single" w:sz="4" w:space="0" w:color="auto"/>
            </w:tcBorders>
            <w:shd w:val="clear" w:color="auto" w:fill="auto"/>
            <w:noWrap/>
            <w:vAlign w:val="center"/>
            <w:hideMark/>
          </w:tcPr>
          <w:p w14:paraId="7EEF65CF" w14:textId="77777777" w:rsidR="00C64805" w:rsidRPr="008A2D7F" w:rsidRDefault="00C64805" w:rsidP="008A2D7F">
            <w:pPr>
              <w:pStyle w:val="Tabulasteksts"/>
              <w:spacing w:after="0"/>
              <w:ind w:left="0"/>
              <w:rPr>
                <w:rFonts w:eastAsia="Calibri"/>
              </w:rPr>
            </w:pPr>
            <w:r w:rsidRPr="008A2D7F">
              <w:rPr>
                <w:rFonts w:eastAsia="Calibri"/>
              </w:rPr>
              <w:t>pensionāriem</w:t>
            </w:r>
          </w:p>
        </w:tc>
        <w:tc>
          <w:tcPr>
            <w:tcW w:w="635" w:type="pct"/>
            <w:tcBorders>
              <w:top w:val="nil"/>
              <w:left w:val="nil"/>
              <w:bottom w:val="single" w:sz="4" w:space="0" w:color="auto"/>
              <w:right w:val="single" w:sz="4" w:space="0" w:color="auto"/>
            </w:tcBorders>
            <w:shd w:val="clear" w:color="auto" w:fill="auto"/>
            <w:noWrap/>
          </w:tcPr>
          <w:p w14:paraId="4121C17E" w14:textId="77777777" w:rsidR="00C64805" w:rsidRPr="000A6C77" w:rsidRDefault="00C64805" w:rsidP="006B13BC">
            <w:pPr>
              <w:pStyle w:val="Tabulascipari"/>
              <w:spacing w:after="0"/>
              <w:ind w:left="0"/>
              <w:rPr>
                <w:rFonts w:eastAsia="Calibri"/>
              </w:rPr>
            </w:pPr>
            <w:r w:rsidRPr="000A6C77">
              <w:rPr>
                <w:rFonts w:eastAsia="Calibri"/>
              </w:rPr>
              <w:t>1 865 028,1</w:t>
            </w:r>
          </w:p>
        </w:tc>
        <w:tc>
          <w:tcPr>
            <w:tcW w:w="636" w:type="pct"/>
            <w:tcBorders>
              <w:top w:val="nil"/>
              <w:left w:val="nil"/>
              <w:bottom w:val="single" w:sz="4" w:space="0" w:color="auto"/>
              <w:right w:val="single" w:sz="4" w:space="0" w:color="auto"/>
            </w:tcBorders>
            <w:shd w:val="clear" w:color="auto" w:fill="auto"/>
            <w:noWrap/>
          </w:tcPr>
          <w:p w14:paraId="4708CC06" w14:textId="77777777" w:rsidR="00C64805" w:rsidRPr="000A6C77" w:rsidRDefault="00C64805" w:rsidP="006B13BC">
            <w:pPr>
              <w:pStyle w:val="Tabulascipari"/>
              <w:spacing w:after="0"/>
              <w:ind w:left="0"/>
              <w:rPr>
                <w:rFonts w:eastAsia="Calibri"/>
              </w:rPr>
            </w:pPr>
            <w:r w:rsidRPr="000A6C77">
              <w:rPr>
                <w:rFonts w:eastAsia="Calibri"/>
              </w:rPr>
              <w:t>2 221 223,0</w:t>
            </w:r>
          </w:p>
        </w:tc>
        <w:tc>
          <w:tcPr>
            <w:tcW w:w="635" w:type="pct"/>
            <w:tcBorders>
              <w:top w:val="nil"/>
              <w:left w:val="nil"/>
              <w:bottom w:val="single" w:sz="4" w:space="0" w:color="auto"/>
              <w:right w:val="single" w:sz="4" w:space="0" w:color="auto"/>
            </w:tcBorders>
            <w:shd w:val="clear" w:color="auto" w:fill="auto"/>
            <w:noWrap/>
          </w:tcPr>
          <w:p w14:paraId="3787E66F" w14:textId="77777777" w:rsidR="00C64805" w:rsidRPr="000A6C77" w:rsidRDefault="00C64805" w:rsidP="006B13BC">
            <w:pPr>
              <w:pStyle w:val="Tabulascipari"/>
              <w:spacing w:after="0"/>
              <w:ind w:left="0"/>
              <w:rPr>
                <w:rFonts w:eastAsia="Calibri"/>
              </w:rPr>
            </w:pPr>
            <w:r w:rsidRPr="000A6C77">
              <w:rPr>
                <w:rFonts w:eastAsia="Calibri"/>
              </w:rPr>
              <w:t>+356 194,9</w:t>
            </w:r>
          </w:p>
        </w:tc>
        <w:tc>
          <w:tcPr>
            <w:tcW w:w="397" w:type="pct"/>
            <w:tcBorders>
              <w:top w:val="nil"/>
              <w:left w:val="nil"/>
              <w:bottom w:val="single" w:sz="4" w:space="0" w:color="auto"/>
              <w:right w:val="single" w:sz="4" w:space="0" w:color="auto"/>
            </w:tcBorders>
            <w:shd w:val="clear" w:color="auto" w:fill="auto"/>
            <w:noWrap/>
          </w:tcPr>
          <w:p w14:paraId="73A00B82" w14:textId="77777777" w:rsidR="00C64805" w:rsidRPr="000A6C77" w:rsidRDefault="00C64805" w:rsidP="006B13BC">
            <w:pPr>
              <w:pStyle w:val="Tabulascipari"/>
              <w:spacing w:after="0"/>
              <w:ind w:left="0"/>
              <w:rPr>
                <w:rFonts w:eastAsia="Calibri"/>
              </w:rPr>
            </w:pPr>
            <w:r w:rsidRPr="000A6C77">
              <w:rPr>
                <w:rFonts w:eastAsia="Calibri"/>
              </w:rPr>
              <w:t>+19,1</w:t>
            </w:r>
          </w:p>
        </w:tc>
      </w:tr>
      <w:tr w:rsidR="006B13BC" w:rsidRPr="004A3BF6" w14:paraId="10A86FF1" w14:textId="77777777" w:rsidTr="006B13BC">
        <w:trPr>
          <w:trHeight w:val="284"/>
          <w:jc w:val="center"/>
        </w:trPr>
        <w:tc>
          <w:tcPr>
            <w:tcW w:w="1321" w:type="pct"/>
            <w:vMerge/>
            <w:tcBorders>
              <w:top w:val="nil"/>
              <w:left w:val="single" w:sz="4" w:space="0" w:color="auto"/>
              <w:bottom w:val="single" w:sz="4" w:space="0" w:color="auto"/>
              <w:right w:val="single" w:sz="4" w:space="0" w:color="auto"/>
            </w:tcBorders>
            <w:vAlign w:val="center"/>
            <w:hideMark/>
          </w:tcPr>
          <w:p w14:paraId="6E46FBE1" w14:textId="77777777" w:rsidR="00C64805" w:rsidRPr="008A2D7F" w:rsidRDefault="00C64805" w:rsidP="008A2D7F">
            <w:pPr>
              <w:pStyle w:val="Tabulasteksts"/>
              <w:spacing w:after="0"/>
              <w:ind w:left="0"/>
              <w:rPr>
                <w:rFonts w:eastAsia="Calibri"/>
              </w:rPr>
            </w:pPr>
          </w:p>
        </w:tc>
        <w:tc>
          <w:tcPr>
            <w:tcW w:w="1376" w:type="pct"/>
            <w:tcBorders>
              <w:top w:val="nil"/>
              <w:left w:val="nil"/>
              <w:bottom w:val="single" w:sz="4" w:space="0" w:color="auto"/>
              <w:right w:val="single" w:sz="4" w:space="0" w:color="auto"/>
            </w:tcBorders>
            <w:shd w:val="clear" w:color="auto" w:fill="auto"/>
            <w:noWrap/>
            <w:vAlign w:val="center"/>
            <w:hideMark/>
          </w:tcPr>
          <w:p w14:paraId="3439E212" w14:textId="77777777" w:rsidR="00C64805" w:rsidRPr="008A2D7F" w:rsidRDefault="00C64805" w:rsidP="008A2D7F">
            <w:pPr>
              <w:pStyle w:val="Tabulasteksts"/>
              <w:spacing w:after="0"/>
              <w:ind w:left="0"/>
              <w:rPr>
                <w:rFonts w:eastAsia="Calibri"/>
              </w:rPr>
            </w:pPr>
            <w:r w:rsidRPr="008A2D7F">
              <w:rPr>
                <w:rFonts w:eastAsia="Calibri"/>
              </w:rPr>
              <w:t>pārējiem</w:t>
            </w:r>
          </w:p>
        </w:tc>
        <w:tc>
          <w:tcPr>
            <w:tcW w:w="635" w:type="pct"/>
            <w:tcBorders>
              <w:top w:val="nil"/>
              <w:left w:val="nil"/>
              <w:bottom w:val="single" w:sz="4" w:space="0" w:color="auto"/>
              <w:right w:val="single" w:sz="4" w:space="0" w:color="auto"/>
            </w:tcBorders>
            <w:shd w:val="clear" w:color="auto" w:fill="auto"/>
            <w:noWrap/>
          </w:tcPr>
          <w:p w14:paraId="2BA2A5C8" w14:textId="77777777" w:rsidR="00C64805" w:rsidRPr="000A6C77" w:rsidRDefault="00C64805" w:rsidP="006B13BC">
            <w:pPr>
              <w:pStyle w:val="Tabulascipari"/>
              <w:spacing w:after="0"/>
              <w:ind w:left="0"/>
              <w:rPr>
                <w:rFonts w:eastAsia="Calibri"/>
              </w:rPr>
            </w:pPr>
            <w:r w:rsidRPr="000A6C77">
              <w:rPr>
                <w:rFonts w:eastAsia="Calibri"/>
              </w:rPr>
              <w:t>1 413 248,5</w:t>
            </w:r>
          </w:p>
        </w:tc>
        <w:tc>
          <w:tcPr>
            <w:tcW w:w="636" w:type="pct"/>
            <w:tcBorders>
              <w:top w:val="nil"/>
              <w:left w:val="nil"/>
              <w:bottom w:val="single" w:sz="4" w:space="0" w:color="auto"/>
              <w:right w:val="single" w:sz="4" w:space="0" w:color="auto"/>
            </w:tcBorders>
            <w:shd w:val="clear" w:color="auto" w:fill="auto"/>
            <w:noWrap/>
          </w:tcPr>
          <w:p w14:paraId="19BEA9F3" w14:textId="77777777" w:rsidR="00C64805" w:rsidRPr="000A6C77" w:rsidRDefault="00C64805" w:rsidP="006B13BC">
            <w:pPr>
              <w:pStyle w:val="Tabulascipari"/>
              <w:spacing w:after="0"/>
              <w:ind w:left="0"/>
              <w:rPr>
                <w:rFonts w:eastAsia="Calibri"/>
              </w:rPr>
            </w:pPr>
            <w:r w:rsidRPr="000A6C77">
              <w:rPr>
                <w:rFonts w:eastAsia="Calibri"/>
              </w:rPr>
              <w:t>1 776 623,2</w:t>
            </w:r>
          </w:p>
        </w:tc>
        <w:tc>
          <w:tcPr>
            <w:tcW w:w="635" w:type="pct"/>
            <w:tcBorders>
              <w:top w:val="nil"/>
              <w:left w:val="nil"/>
              <w:bottom w:val="single" w:sz="4" w:space="0" w:color="auto"/>
              <w:right w:val="single" w:sz="4" w:space="0" w:color="auto"/>
            </w:tcBorders>
            <w:shd w:val="clear" w:color="auto" w:fill="auto"/>
            <w:noWrap/>
          </w:tcPr>
          <w:p w14:paraId="428A7CE9" w14:textId="77777777" w:rsidR="00C64805" w:rsidRPr="000A6C77" w:rsidRDefault="00C64805" w:rsidP="006B13BC">
            <w:pPr>
              <w:pStyle w:val="Tabulascipari"/>
              <w:spacing w:after="0"/>
              <w:ind w:left="0"/>
              <w:rPr>
                <w:rFonts w:eastAsia="Calibri"/>
              </w:rPr>
            </w:pPr>
            <w:r w:rsidRPr="000A6C77">
              <w:rPr>
                <w:rFonts w:eastAsia="Calibri"/>
              </w:rPr>
              <w:t>+363 374,7</w:t>
            </w:r>
          </w:p>
        </w:tc>
        <w:tc>
          <w:tcPr>
            <w:tcW w:w="397" w:type="pct"/>
            <w:tcBorders>
              <w:top w:val="nil"/>
              <w:left w:val="nil"/>
              <w:bottom w:val="single" w:sz="4" w:space="0" w:color="auto"/>
              <w:right w:val="single" w:sz="4" w:space="0" w:color="auto"/>
            </w:tcBorders>
            <w:shd w:val="clear" w:color="auto" w:fill="auto"/>
            <w:noWrap/>
          </w:tcPr>
          <w:p w14:paraId="55E6C1DF" w14:textId="77777777" w:rsidR="00C64805" w:rsidRPr="000A6C77" w:rsidRDefault="00C64805" w:rsidP="006B13BC">
            <w:pPr>
              <w:pStyle w:val="Tabulascipari"/>
              <w:spacing w:after="0"/>
              <w:ind w:left="0"/>
              <w:rPr>
                <w:rFonts w:eastAsia="Calibri"/>
              </w:rPr>
            </w:pPr>
            <w:r w:rsidRPr="000A6C77">
              <w:rPr>
                <w:rFonts w:eastAsia="Calibri"/>
              </w:rPr>
              <w:t>+25,7</w:t>
            </w:r>
          </w:p>
        </w:tc>
      </w:tr>
      <w:tr w:rsidR="006B13BC" w:rsidRPr="004A3BF6" w14:paraId="0D44DF1D" w14:textId="77777777" w:rsidTr="006B13BC">
        <w:trPr>
          <w:trHeight w:val="284"/>
          <w:jc w:val="center"/>
        </w:trPr>
        <w:tc>
          <w:tcPr>
            <w:tcW w:w="269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B218E" w14:textId="77777777" w:rsidR="00C64805" w:rsidRPr="008A2D7F" w:rsidRDefault="00C64805" w:rsidP="008A2D7F">
            <w:pPr>
              <w:pStyle w:val="Tabulasteksts"/>
              <w:spacing w:after="0"/>
              <w:ind w:left="0"/>
              <w:rPr>
                <w:rFonts w:eastAsia="Calibri"/>
              </w:rPr>
            </w:pPr>
            <w:r w:rsidRPr="008A2D7F">
              <w:rPr>
                <w:rFonts w:eastAsia="Calibri"/>
              </w:rPr>
              <w:t>Par apgādājamiem</w:t>
            </w:r>
            <w:r w:rsidRPr="008A2D7F">
              <w:rPr>
                <w:vertAlign w:val="superscript"/>
              </w:rPr>
              <w:t>2</w:t>
            </w:r>
          </w:p>
        </w:tc>
        <w:tc>
          <w:tcPr>
            <w:tcW w:w="635" w:type="pct"/>
            <w:tcBorders>
              <w:top w:val="nil"/>
              <w:left w:val="nil"/>
              <w:bottom w:val="single" w:sz="4" w:space="0" w:color="auto"/>
              <w:right w:val="single" w:sz="4" w:space="0" w:color="auto"/>
            </w:tcBorders>
            <w:shd w:val="clear" w:color="auto" w:fill="auto"/>
            <w:noWrap/>
          </w:tcPr>
          <w:p w14:paraId="79A3167B" w14:textId="77777777" w:rsidR="00C64805" w:rsidRPr="008A2D7F" w:rsidRDefault="00C64805" w:rsidP="006B13BC">
            <w:pPr>
              <w:pStyle w:val="Tabulascipari"/>
              <w:spacing w:after="0"/>
              <w:ind w:left="0"/>
              <w:rPr>
                <w:rFonts w:eastAsia="Calibri"/>
              </w:rPr>
            </w:pPr>
            <w:r w:rsidRPr="008A2D7F">
              <w:rPr>
                <w:rFonts w:eastAsia="Calibri"/>
              </w:rPr>
              <w:t>857 735,2</w:t>
            </w:r>
          </w:p>
        </w:tc>
        <w:tc>
          <w:tcPr>
            <w:tcW w:w="636" w:type="pct"/>
            <w:tcBorders>
              <w:top w:val="nil"/>
              <w:left w:val="nil"/>
              <w:bottom w:val="single" w:sz="4" w:space="0" w:color="auto"/>
              <w:right w:val="single" w:sz="4" w:space="0" w:color="auto"/>
            </w:tcBorders>
            <w:shd w:val="clear" w:color="auto" w:fill="auto"/>
            <w:noWrap/>
          </w:tcPr>
          <w:p w14:paraId="00A25AFB" w14:textId="77777777" w:rsidR="00C64805" w:rsidRPr="008A2D7F" w:rsidRDefault="00C64805" w:rsidP="006B13BC">
            <w:pPr>
              <w:pStyle w:val="Tabulascipari"/>
              <w:spacing w:after="0"/>
              <w:ind w:left="0"/>
              <w:rPr>
                <w:rFonts w:eastAsia="Calibri"/>
              </w:rPr>
            </w:pPr>
            <w:r w:rsidRPr="008A2D7F">
              <w:rPr>
                <w:rFonts w:eastAsia="Calibri"/>
              </w:rPr>
              <w:t>863 888,6</w:t>
            </w:r>
          </w:p>
        </w:tc>
        <w:tc>
          <w:tcPr>
            <w:tcW w:w="635" w:type="pct"/>
            <w:tcBorders>
              <w:top w:val="nil"/>
              <w:left w:val="nil"/>
              <w:bottom w:val="single" w:sz="4" w:space="0" w:color="auto"/>
              <w:right w:val="single" w:sz="4" w:space="0" w:color="auto"/>
            </w:tcBorders>
            <w:shd w:val="clear" w:color="auto" w:fill="auto"/>
            <w:noWrap/>
          </w:tcPr>
          <w:p w14:paraId="6F89110B" w14:textId="77777777" w:rsidR="00C64805" w:rsidRPr="008A2D7F" w:rsidRDefault="00C64805" w:rsidP="006B13BC">
            <w:pPr>
              <w:pStyle w:val="Tabulascipari"/>
              <w:spacing w:after="0"/>
              <w:ind w:left="0"/>
              <w:rPr>
                <w:rFonts w:eastAsia="Calibri"/>
              </w:rPr>
            </w:pPr>
            <w:r w:rsidRPr="008A2D7F">
              <w:rPr>
                <w:rFonts w:eastAsia="Calibri"/>
              </w:rPr>
              <w:t>+6 153,5</w:t>
            </w:r>
          </w:p>
        </w:tc>
        <w:tc>
          <w:tcPr>
            <w:tcW w:w="397" w:type="pct"/>
            <w:tcBorders>
              <w:top w:val="nil"/>
              <w:left w:val="nil"/>
              <w:bottom w:val="single" w:sz="4" w:space="0" w:color="auto"/>
              <w:right w:val="single" w:sz="4" w:space="0" w:color="auto"/>
            </w:tcBorders>
            <w:shd w:val="clear" w:color="auto" w:fill="auto"/>
            <w:noWrap/>
          </w:tcPr>
          <w:p w14:paraId="785FC63C" w14:textId="77777777" w:rsidR="00C64805" w:rsidRPr="008A2D7F" w:rsidRDefault="00C64805" w:rsidP="006B13BC">
            <w:pPr>
              <w:pStyle w:val="Tabulascipari"/>
              <w:spacing w:after="0"/>
              <w:ind w:left="0"/>
              <w:rPr>
                <w:rFonts w:eastAsia="Calibri"/>
              </w:rPr>
            </w:pPr>
            <w:r w:rsidRPr="008A2D7F">
              <w:rPr>
                <w:rFonts w:eastAsia="Calibri"/>
              </w:rPr>
              <w:t>+0,7</w:t>
            </w:r>
          </w:p>
        </w:tc>
      </w:tr>
      <w:tr w:rsidR="006B13BC" w:rsidRPr="004A3BF6" w14:paraId="29C33C96" w14:textId="77777777" w:rsidTr="006B13BC">
        <w:trPr>
          <w:trHeight w:val="284"/>
          <w:jc w:val="center"/>
        </w:trPr>
        <w:tc>
          <w:tcPr>
            <w:tcW w:w="269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023FE" w14:textId="77777777" w:rsidR="00C64805" w:rsidRPr="008A2D7F" w:rsidRDefault="00C64805" w:rsidP="008A2D7F">
            <w:pPr>
              <w:pStyle w:val="Tabulasteksts"/>
              <w:spacing w:after="0"/>
              <w:ind w:left="0"/>
              <w:rPr>
                <w:rFonts w:eastAsia="Calibri"/>
              </w:rPr>
            </w:pPr>
            <w:r w:rsidRPr="008A2D7F">
              <w:rPr>
                <w:rFonts w:eastAsia="Calibri"/>
              </w:rPr>
              <w:t>Par invaliditāti</w:t>
            </w:r>
            <w:r w:rsidRPr="008A2D7F">
              <w:rPr>
                <w:vertAlign w:val="superscript"/>
              </w:rPr>
              <w:t>2</w:t>
            </w:r>
          </w:p>
        </w:tc>
        <w:tc>
          <w:tcPr>
            <w:tcW w:w="635" w:type="pct"/>
            <w:tcBorders>
              <w:top w:val="nil"/>
              <w:left w:val="nil"/>
              <w:bottom w:val="single" w:sz="4" w:space="0" w:color="auto"/>
              <w:right w:val="single" w:sz="4" w:space="0" w:color="auto"/>
            </w:tcBorders>
            <w:shd w:val="clear" w:color="auto" w:fill="auto"/>
            <w:noWrap/>
          </w:tcPr>
          <w:p w14:paraId="1FE1938D" w14:textId="77777777" w:rsidR="00C64805" w:rsidRPr="008A2D7F" w:rsidRDefault="00C64805" w:rsidP="006B13BC">
            <w:pPr>
              <w:pStyle w:val="Tabulascipari"/>
              <w:spacing w:after="0"/>
              <w:ind w:left="0"/>
              <w:rPr>
                <w:rFonts w:eastAsia="Calibri"/>
              </w:rPr>
            </w:pPr>
            <w:r w:rsidRPr="008A2D7F">
              <w:rPr>
                <w:rFonts w:eastAsia="Calibri"/>
              </w:rPr>
              <w:t>127 925,5</w:t>
            </w:r>
          </w:p>
        </w:tc>
        <w:tc>
          <w:tcPr>
            <w:tcW w:w="636" w:type="pct"/>
            <w:tcBorders>
              <w:top w:val="nil"/>
              <w:left w:val="nil"/>
              <w:bottom w:val="single" w:sz="4" w:space="0" w:color="auto"/>
              <w:right w:val="single" w:sz="4" w:space="0" w:color="auto"/>
            </w:tcBorders>
            <w:shd w:val="clear" w:color="auto" w:fill="auto"/>
            <w:noWrap/>
          </w:tcPr>
          <w:p w14:paraId="2BE65E9E" w14:textId="77777777" w:rsidR="00C64805" w:rsidRPr="008A2D7F" w:rsidRDefault="00C64805" w:rsidP="006B13BC">
            <w:pPr>
              <w:pStyle w:val="Tabulascipari"/>
              <w:spacing w:after="0"/>
              <w:ind w:left="0"/>
              <w:rPr>
                <w:rFonts w:eastAsia="Calibri"/>
              </w:rPr>
            </w:pPr>
            <w:r w:rsidRPr="008A2D7F">
              <w:rPr>
                <w:rFonts w:eastAsia="Calibri"/>
              </w:rPr>
              <w:t>120 284,4</w:t>
            </w:r>
          </w:p>
        </w:tc>
        <w:tc>
          <w:tcPr>
            <w:tcW w:w="635" w:type="pct"/>
            <w:tcBorders>
              <w:top w:val="nil"/>
              <w:left w:val="nil"/>
              <w:bottom w:val="single" w:sz="4" w:space="0" w:color="auto"/>
              <w:right w:val="single" w:sz="4" w:space="0" w:color="auto"/>
            </w:tcBorders>
            <w:shd w:val="clear" w:color="auto" w:fill="auto"/>
            <w:noWrap/>
          </w:tcPr>
          <w:p w14:paraId="3FC8976F" w14:textId="77777777" w:rsidR="00C64805" w:rsidRPr="008A2D7F" w:rsidRDefault="00C64805" w:rsidP="006B13BC">
            <w:pPr>
              <w:pStyle w:val="Tabulascipari"/>
              <w:spacing w:after="0"/>
              <w:ind w:left="0"/>
              <w:rPr>
                <w:rFonts w:eastAsia="Calibri"/>
              </w:rPr>
            </w:pPr>
            <w:r w:rsidRPr="008A2D7F">
              <w:rPr>
                <w:rFonts w:eastAsia="Calibri"/>
              </w:rPr>
              <w:t>-7 641,1</w:t>
            </w:r>
          </w:p>
        </w:tc>
        <w:tc>
          <w:tcPr>
            <w:tcW w:w="397" w:type="pct"/>
            <w:tcBorders>
              <w:top w:val="nil"/>
              <w:left w:val="nil"/>
              <w:bottom w:val="single" w:sz="4" w:space="0" w:color="auto"/>
              <w:right w:val="single" w:sz="4" w:space="0" w:color="auto"/>
            </w:tcBorders>
            <w:shd w:val="clear" w:color="auto" w:fill="auto"/>
            <w:noWrap/>
          </w:tcPr>
          <w:p w14:paraId="0D665478" w14:textId="77777777" w:rsidR="00C64805" w:rsidRPr="008A2D7F" w:rsidRDefault="00C64805" w:rsidP="006B13BC">
            <w:pPr>
              <w:pStyle w:val="Tabulascipari"/>
              <w:spacing w:after="0"/>
              <w:ind w:left="0"/>
              <w:rPr>
                <w:rFonts w:eastAsia="Calibri"/>
              </w:rPr>
            </w:pPr>
            <w:r w:rsidRPr="008A2D7F">
              <w:rPr>
                <w:rFonts w:eastAsia="Calibri"/>
              </w:rPr>
              <w:t>-6,0</w:t>
            </w:r>
          </w:p>
        </w:tc>
      </w:tr>
      <w:tr w:rsidR="006B13BC" w:rsidRPr="004A3BF6" w14:paraId="4906F89F" w14:textId="77777777" w:rsidTr="006B13BC">
        <w:trPr>
          <w:trHeight w:val="284"/>
          <w:jc w:val="center"/>
        </w:trPr>
        <w:tc>
          <w:tcPr>
            <w:tcW w:w="269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81AC9" w14:textId="77777777" w:rsidR="00C64805" w:rsidRPr="008A2D7F" w:rsidRDefault="00C64805" w:rsidP="008A2D7F">
            <w:pPr>
              <w:pStyle w:val="Tabulasteksts"/>
              <w:spacing w:after="0"/>
              <w:ind w:left="0"/>
              <w:rPr>
                <w:rFonts w:eastAsia="Calibri"/>
              </w:rPr>
            </w:pPr>
            <w:r w:rsidRPr="008A2D7F">
              <w:rPr>
                <w:rFonts w:eastAsia="Calibri"/>
              </w:rPr>
              <w:t>Politiski represētajām personām</w:t>
            </w:r>
            <w:r w:rsidRPr="008A2D7F">
              <w:rPr>
                <w:vertAlign w:val="superscript"/>
              </w:rPr>
              <w:t>2</w:t>
            </w:r>
          </w:p>
        </w:tc>
        <w:tc>
          <w:tcPr>
            <w:tcW w:w="635" w:type="pct"/>
            <w:tcBorders>
              <w:top w:val="nil"/>
              <w:left w:val="nil"/>
              <w:bottom w:val="single" w:sz="4" w:space="0" w:color="auto"/>
              <w:right w:val="single" w:sz="4" w:space="0" w:color="auto"/>
            </w:tcBorders>
            <w:shd w:val="clear" w:color="auto" w:fill="auto"/>
            <w:noWrap/>
          </w:tcPr>
          <w:p w14:paraId="6628781E" w14:textId="77777777" w:rsidR="00C64805" w:rsidRPr="008A2D7F" w:rsidRDefault="00C64805" w:rsidP="006B13BC">
            <w:pPr>
              <w:pStyle w:val="Tabulascipari"/>
              <w:spacing w:after="0"/>
              <w:ind w:left="0"/>
              <w:rPr>
                <w:rFonts w:eastAsia="Calibri"/>
              </w:rPr>
            </w:pPr>
            <w:r w:rsidRPr="008A2D7F">
              <w:rPr>
                <w:rFonts w:eastAsia="Calibri"/>
              </w:rPr>
              <w:t>10 453,5</w:t>
            </w:r>
          </w:p>
        </w:tc>
        <w:tc>
          <w:tcPr>
            <w:tcW w:w="636" w:type="pct"/>
            <w:tcBorders>
              <w:top w:val="nil"/>
              <w:left w:val="nil"/>
              <w:bottom w:val="single" w:sz="4" w:space="0" w:color="auto"/>
              <w:right w:val="single" w:sz="4" w:space="0" w:color="auto"/>
            </w:tcBorders>
            <w:shd w:val="clear" w:color="auto" w:fill="auto"/>
            <w:noWrap/>
          </w:tcPr>
          <w:p w14:paraId="399514B4" w14:textId="77777777" w:rsidR="00C64805" w:rsidRPr="008A2D7F" w:rsidRDefault="00C64805" w:rsidP="006B13BC">
            <w:pPr>
              <w:pStyle w:val="Tabulascipari"/>
              <w:spacing w:after="0"/>
              <w:ind w:left="0"/>
              <w:rPr>
                <w:rFonts w:eastAsia="Calibri"/>
              </w:rPr>
            </w:pPr>
            <w:r w:rsidRPr="008A2D7F">
              <w:rPr>
                <w:rFonts w:eastAsia="Calibri"/>
              </w:rPr>
              <w:t>9 023,3</w:t>
            </w:r>
          </w:p>
        </w:tc>
        <w:tc>
          <w:tcPr>
            <w:tcW w:w="635" w:type="pct"/>
            <w:tcBorders>
              <w:top w:val="nil"/>
              <w:left w:val="nil"/>
              <w:bottom w:val="single" w:sz="4" w:space="0" w:color="auto"/>
              <w:right w:val="single" w:sz="4" w:space="0" w:color="auto"/>
            </w:tcBorders>
            <w:shd w:val="clear" w:color="auto" w:fill="auto"/>
            <w:noWrap/>
          </w:tcPr>
          <w:p w14:paraId="27481642" w14:textId="77777777" w:rsidR="00C64805" w:rsidRPr="008A2D7F" w:rsidRDefault="00C64805" w:rsidP="006B13BC">
            <w:pPr>
              <w:pStyle w:val="Tabulascipari"/>
              <w:spacing w:after="0"/>
              <w:ind w:left="0"/>
              <w:rPr>
                <w:rFonts w:eastAsia="Calibri"/>
              </w:rPr>
            </w:pPr>
            <w:r w:rsidRPr="008A2D7F">
              <w:rPr>
                <w:rFonts w:eastAsia="Calibri"/>
              </w:rPr>
              <w:t>-1 430,2</w:t>
            </w:r>
          </w:p>
        </w:tc>
        <w:tc>
          <w:tcPr>
            <w:tcW w:w="397" w:type="pct"/>
            <w:tcBorders>
              <w:top w:val="nil"/>
              <w:left w:val="nil"/>
              <w:bottom w:val="single" w:sz="4" w:space="0" w:color="auto"/>
              <w:right w:val="single" w:sz="4" w:space="0" w:color="auto"/>
            </w:tcBorders>
            <w:shd w:val="clear" w:color="auto" w:fill="auto"/>
            <w:noWrap/>
          </w:tcPr>
          <w:p w14:paraId="138AA5CA" w14:textId="77777777" w:rsidR="00C64805" w:rsidRPr="008A2D7F" w:rsidRDefault="00C64805" w:rsidP="006B13BC">
            <w:pPr>
              <w:pStyle w:val="Tabulascipari"/>
              <w:spacing w:after="0"/>
              <w:ind w:left="0"/>
              <w:rPr>
                <w:rFonts w:eastAsia="Calibri"/>
              </w:rPr>
            </w:pPr>
            <w:r w:rsidRPr="008A2D7F">
              <w:rPr>
                <w:rFonts w:eastAsia="Calibri"/>
              </w:rPr>
              <w:t>-13,7</w:t>
            </w:r>
          </w:p>
        </w:tc>
      </w:tr>
      <w:tr w:rsidR="006B13BC" w:rsidRPr="004A3BF6" w14:paraId="71C67D28" w14:textId="77777777" w:rsidTr="006B13BC">
        <w:trPr>
          <w:trHeight w:val="284"/>
          <w:jc w:val="center"/>
        </w:trPr>
        <w:tc>
          <w:tcPr>
            <w:tcW w:w="269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CB51E" w14:textId="77777777" w:rsidR="00C64805" w:rsidRPr="008A2D7F" w:rsidRDefault="00C64805" w:rsidP="008A2D7F">
            <w:pPr>
              <w:pStyle w:val="Tabulasteksts"/>
              <w:spacing w:after="0"/>
              <w:ind w:left="0"/>
              <w:rPr>
                <w:rFonts w:eastAsia="Calibri"/>
              </w:rPr>
            </w:pPr>
            <w:r w:rsidRPr="008A2D7F">
              <w:rPr>
                <w:rFonts w:eastAsia="Calibri"/>
              </w:rPr>
              <w:t>Nacionālās pretošanās kustības dalībniekiem</w:t>
            </w:r>
            <w:r w:rsidRPr="008A2D7F">
              <w:rPr>
                <w:vertAlign w:val="superscript"/>
              </w:rPr>
              <w:t>2</w:t>
            </w:r>
          </w:p>
        </w:tc>
        <w:tc>
          <w:tcPr>
            <w:tcW w:w="635" w:type="pct"/>
            <w:tcBorders>
              <w:top w:val="nil"/>
              <w:left w:val="nil"/>
              <w:bottom w:val="single" w:sz="4" w:space="0" w:color="auto"/>
              <w:right w:val="single" w:sz="4" w:space="0" w:color="auto"/>
            </w:tcBorders>
            <w:shd w:val="clear" w:color="auto" w:fill="auto"/>
            <w:noWrap/>
          </w:tcPr>
          <w:p w14:paraId="6A3D1311" w14:textId="77777777" w:rsidR="00C64805" w:rsidRPr="008A2D7F" w:rsidRDefault="00C64805" w:rsidP="006B13BC">
            <w:pPr>
              <w:pStyle w:val="Tabulascipari"/>
              <w:spacing w:after="0"/>
              <w:ind w:left="0"/>
              <w:rPr>
                <w:rFonts w:eastAsia="Calibri"/>
              </w:rPr>
            </w:pPr>
            <w:r w:rsidRPr="008A2D7F">
              <w:rPr>
                <w:rFonts w:eastAsia="Calibri"/>
              </w:rPr>
              <w:t>31,1</w:t>
            </w:r>
          </w:p>
        </w:tc>
        <w:tc>
          <w:tcPr>
            <w:tcW w:w="636" w:type="pct"/>
            <w:tcBorders>
              <w:top w:val="nil"/>
              <w:left w:val="nil"/>
              <w:bottom w:val="single" w:sz="4" w:space="0" w:color="auto"/>
              <w:right w:val="single" w:sz="4" w:space="0" w:color="auto"/>
            </w:tcBorders>
            <w:shd w:val="clear" w:color="auto" w:fill="auto"/>
            <w:noWrap/>
          </w:tcPr>
          <w:p w14:paraId="441164D8" w14:textId="77777777" w:rsidR="00C64805" w:rsidRPr="008A2D7F" w:rsidRDefault="00C64805" w:rsidP="006B13BC">
            <w:pPr>
              <w:pStyle w:val="Tabulascipari"/>
              <w:spacing w:after="0"/>
              <w:ind w:left="0"/>
              <w:rPr>
                <w:rFonts w:eastAsia="Calibri"/>
              </w:rPr>
            </w:pPr>
            <w:r w:rsidRPr="008A2D7F">
              <w:rPr>
                <w:rFonts w:eastAsia="Calibri"/>
              </w:rPr>
              <w:t>23,0</w:t>
            </w:r>
          </w:p>
        </w:tc>
        <w:tc>
          <w:tcPr>
            <w:tcW w:w="635" w:type="pct"/>
            <w:tcBorders>
              <w:top w:val="nil"/>
              <w:left w:val="nil"/>
              <w:bottom w:val="single" w:sz="4" w:space="0" w:color="auto"/>
              <w:right w:val="single" w:sz="4" w:space="0" w:color="auto"/>
            </w:tcBorders>
            <w:shd w:val="clear" w:color="auto" w:fill="auto"/>
            <w:noWrap/>
          </w:tcPr>
          <w:p w14:paraId="6A567AFF" w14:textId="77777777" w:rsidR="00C64805" w:rsidRPr="008A2D7F" w:rsidRDefault="00C64805" w:rsidP="006B13BC">
            <w:pPr>
              <w:pStyle w:val="Tabulascipari"/>
              <w:spacing w:after="0"/>
              <w:ind w:left="0"/>
              <w:rPr>
                <w:rFonts w:eastAsia="Calibri"/>
              </w:rPr>
            </w:pPr>
            <w:r w:rsidRPr="008A2D7F">
              <w:rPr>
                <w:rFonts w:eastAsia="Calibri"/>
              </w:rPr>
              <w:t>-8,1</w:t>
            </w:r>
          </w:p>
        </w:tc>
        <w:tc>
          <w:tcPr>
            <w:tcW w:w="397" w:type="pct"/>
            <w:tcBorders>
              <w:top w:val="nil"/>
              <w:left w:val="nil"/>
              <w:bottom w:val="single" w:sz="4" w:space="0" w:color="auto"/>
              <w:right w:val="single" w:sz="4" w:space="0" w:color="auto"/>
            </w:tcBorders>
            <w:shd w:val="clear" w:color="auto" w:fill="auto"/>
            <w:noWrap/>
          </w:tcPr>
          <w:p w14:paraId="12B98240" w14:textId="77777777" w:rsidR="00C64805" w:rsidRPr="008A2D7F" w:rsidRDefault="00C64805" w:rsidP="006B13BC">
            <w:pPr>
              <w:pStyle w:val="Tabulascipari"/>
              <w:spacing w:after="0"/>
              <w:ind w:left="0"/>
              <w:rPr>
                <w:rFonts w:eastAsia="Calibri"/>
              </w:rPr>
            </w:pPr>
            <w:r w:rsidRPr="008A2D7F">
              <w:rPr>
                <w:rFonts w:eastAsia="Calibri"/>
              </w:rPr>
              <w:t>-26,2</w:t>
            </w:r>
          </w:p>
        </w:tc>
      </w:tr>
      <w:tr w:rsidR="006B13BC" w:rsidRPr="004A3BF6" w14:paraId="3823060D" w14:textId="77777777" w:rsidTr="006B13BC">
        <w:trPr>
          <w:trHeight w:val="284"/>
          <w:jc w:val="center"/>
        </w:trPr>
        <w:tc>
          <w:tcPr>
            <w:tcW w:w="269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6BC524D" w14:textId="77777777" w:rsidR="00C64805" w:rsidRPr="008A2D7F" w:rsidRDefault="00C64805" w:rsidP="008A2D7F">
            <w:pPr>
              <w:pStyle w:val="Tabulasteksts"/>
              <w:spacing w:after="0"/>
              <w:ind w:left="0"/>
              <w:rPr>
                <w:rFonts w:eastAsia="Calibri"/>
              </w:rPr>
            </w:pPr>
            <w:r w:rsidRPr="008A2D7F">
              <w:rPr>
                <w:rFonts w:eastAsia="Calibri"/>
              </w:rPr>
              <w:t xml:space="preserve">Ar IIN neapliekamie ienākumi no lauksaimnieciskās ražošanas </w:t>
            </w:r>
          </w:p>
        </w:tc>
        <w:tc>
          <w:tcPr>
            <w:tcW w:w="635" w:type="pct"/>
            <w:tcBorders>
              <w:top w:val="nil"/>
              <w:left w:val="nil"/>
              <w:bottom w:val="single" w:sz="4" w:space="0" w:color="auto"/>
              <w:right w:val="single" w:sz="4" w:space="0" w:color="auto"/>
            </w:tcBorders>
            <w:shd w:val="clear" w:color="auto" w:fill="auto"/>
            <w:noWrap/>
          </w:tcPr>
          <w:p w14:paraId="61AE4E07" w14:textId="77777777" w:rsidR="00C64805" w:rsidRPr="008A2D7F" w:rsidRDefault="00C64805" w:rsidP="006B13BC">
            <w:pPr>
              <w:pStyle w:val="Tabulascipari"/>
              <w:spacing w:after="0"/>
              <w:ind w:left="0"/>
              <w:rPr>
                <w:rFonts w:eastAsia="Calibri"/>
              </w:rPr>
            </w:pPr>
            <w:r w:rsidRPr="008A2D7F">
              <w:rPr>
                <w:rFonts w:eastAsia="Calibri"/>
              </w:rPr>
              <w:t>15 381,4</w:t>
            </w:r>
          </w:p>
        </w:tc>
        <w:tc>
          <w:tcPr>
            <w:tcW w:w="636" w:type="pct"/>
            <w:tcBorders>
              <w:top w:val="nil"/>
              <w:left w:val="nil"/>
              <w:bottom w:val="single" w:sz="4" w:space="0" w:color="auto"/>
              <w:right w:val="single" w:sz="4" w:space="0" w:color="auto"/>
            </w:tcBorders>
            <w:shd w:val="clear" w:color="auto" w:fill="auto"/>
            <w:noWrap/>
          </w:tcPr>
          <w:p w14:paraId="76F45E9F" w14:textId="77777777" w:rsidR="00C64805" w:rsidRPr="008A2D7F" w:rsidRDefault="00C64805" w:rsidP="006B13BC">
            <w:pPr>
              <w:pStyle w:val="Tabulascipari"/>
              <w:spacing w:after="0"/>
              <w:ind w:left="0"/>
              <w:rPr>
                <w:rFonts w:eastAsia="Calibri"/>
              </w:rPr>
            </w:pPr>
            <w:r w:rsidRPr="008A2D7F">
              <w:rPr>
                <w:rFonts w:eastAsia="Calibri"/>
              </w:rPr>
              <w:t>16 696,4</w:t>
            </w:r>
          </w:p>
        </w:tc>
        <w:tc>
          <w:tcPr>
            <w:tcW w:w="635" w:type="pct"/>
            <w:tcBorders>
              <w:top w:val="nil"/>
              <w:left w:val="nil"/>
              <w:bottom w:val="single" w:sz="4" w:space="0" w:color="auto"/>
              <w:right w:val="single" w:sz="4" w:space="0" w:color="auto"/>
            </w:tcBorders>
            <w:shd w:val="clear" w:color="auto" w:fill="auto"/>
            <w:noWrap/>
          </w:tcPr>
          <w:p w14:paraId="17DEF22D" w14:textId="77777777" w:rsidR="00C64805" w:rsidRPr="008A2D7F" w:rsidRDefault="00C64805" w:rsidP="006B13BC">
            <w:pPr>
              <w:pStyle w:val="Tabulascipari"/>
              <w:spacing w:after="0"/>
              <w:ind w:left="0"/>
              <w:rPr>
                <w:rFonts w:eastAsia="Calibri"/>
              </w:rPr>
            </w:pPr>
            <w:r w:rsidRPr="008A2D7F">
              <w:rPr>
                <w:rFonts w:eastAsia="Calibri"/>
              </w:rPr>
              <w:t>+1 315,0</w:t>
            </w:r>
          </w:p>
        </w:tc>
        <w:tc>
          <w:tcPr>
            <w:tcW w:w="397" w:type="pct"/>
            <w:tcBorders>
              <w:top w:val="nil"/>
              <w:left w:val="nil"/>
              <w:bottom w:val="single" w:sz="4" w:space="0" w:color="auto"/>
              <w:right w:val="single" w:sz="4" w:space="0" w:color="auto"/>
            </w:tcBorders>
            <w:shd w:val="clear" w:color="auto" w:fill="auto"/>
            <w:noWrap/>
          </w:tcPr>
          <w:p w14:paraId="5EFD57ED" w14:textId="77777777" w:rsidR="00C64805" w:rsidRPr="008A2D7F" w:rsidRDefault="00C64805" w:rsidP="006B13BC">
            <w:pPr>
              <w:pStyle w:val="Tabulascipari"/>
              <w:spacing w:after="0"/>
              <w:ind w:left="0"/>
              <w:rPr>
                <w:rFonts w:eastAsia="Calibri"/>
              </w:rPr>
            </w:pPr>
            <w:r w:rsidRPr="008A2D7F">
              <w:rPr>
                <w:rFonts w:eastAsia="Calibri"/>
              </w:rPr>
              <w:t>+8,5</w:t>
            </w:r>
          </w:p>
        </w:tc>
      </w:tr>
      <w:tr w:rsidR="006B13BC" w:rsidRPr="004A3BF6" w14:paraId="49657274" w14:textId="77777777" w:rsidTr="006B13BC">
        <w:trPr>
          <w:trHeight w:val="284"/>
          <w:jc w:val="center"/>
        </w:trPr>
        <w:tc>
          <w:tcPr>
            <w:tcW w:w="269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ABEA3A" w14:textId="77777777" w:rsidR="00C64805" w:rsidRPr="008A2D7F" w:rsidRDefault="00C64805" w:rsidP="008A2D7F">
            <w:pPr>
              <w:pStyle w:val="Tabulasteksts"/>
              <w:spacing w:after="0"/>
              <w:ind w:left="0"/>
              <w:rPr>
                <w:rFonts w:eastAsia="Calibri"/>
              </w:rPr>
            </w:pPr>
            <w:r w:rsidRPr="008A2D7F">
              <w:rPr>
                <w:rFonts w:eastAsia="Calibri"/>
              </w:rPr>
              <w:t>Fizisko personu deklarētie attaisnotie izdevumi izglītības un specialitātes iegūšanai, kvalifikācijas paaugstināšanai un medicīnas un ārstnieciskajiem pakalpojumiem, ziedojumiem un dāvinājumiem kopā</w:t>
            </w:r>
          </w:p>
        </w:tc>
        <w:tc>
          <w:tcPr>
            <w:tcW w:w="635" w:type="pct"/>
            <w:tcBorders>
              <w:top w:val="nil"/>
              <w:left w:val="nil"/>
              <w:bottom w:val="single" w:sz="4" w:space="0" w:color="auto"/>
              <w:right w:val="single" w:sz="4" w:space="0" w:color="auto"/>
            </w:tcBorders>
            <w:shd w:val="clear" w:color="auto" w:fill="auto"/>
            <w:noWrap/>
          </w:tcPr>
          <w:p w14:paraId="0845942E" w14:textId="77777777" w:rsidR="00C64805" w:rsidRPr="008A2D7F" w:rsidRDefault="00C64805" w:rsidP="006B13BC">
            <w:pPr>
              <w:pStyle w:val="Tabulascipari"/>
              <w:spacing w:after="0"/>
              <w:ind w:left="0"/>
              <w:rPr>
                <w:rFonts w:eastAsia="Calibri"/>
              </w:rPr>
            </w:pPr>
            <w:r w:rsidRPr="008A2D7F">
              <w:rPr>
                <w:rFonts w:eastAsia="Calibri"/>
              </w:rPr>
              <w:t>152 893,9</w:t>
            </w:r>
          </w:p>
        </w:tc>
        <w:tc>
          <w:tcPr>
            <w:tcW w:w="636" w:type="pct"/>
            <w:tcBorders>
              <w:top w:val="nil"/>
              <w:left w:val="nil"/>
              <w:bottom w:val="single" w:sz="4" w:space="0" w:color="auto"/>
              <w:right w:val="single" w:sz="4" w:space="0" w:color="auto"/>
            </w:tcBorders>
            <w:shd w:val="clear" w:color="auto" w:fill="auto"/>
            <w:noWrap/>
          </w:tcPr>
          <w:p w14:paraId="70526BC5" w14:textId="77777777" w:rsidR="00C64805" w:rsidRPr="008A2D7F" w:rsidRDefault="00C64805" w:rsidP="006B13BC">
            <w:pPr>
              <w:pStyle w:val="Tabulascipari"/>
              <w:spacing w:after="0"/>
              <w:ind w:left="0"/>
              <w:rPr>
                <w:rFonts w:eastAsia="Calibri"/>
              </w:rPr>
            </w:pPr>
            <w:r w:rsidRPr="008A2D7F">
              <w:rPr>
                <w:rFonts w:eastAsia="Calibri"/>
              </w:rPr>
              <w:t>149 624,4</w:t>
            </w:r>
          </w:p>
        </w:tc>
        <w:tc>
          <w:tcPr>
            <w:tcW w:w="635" w:type="pct"/>
            <w:tcBorders>
              <w:top w:val="nil"/>
              <w:left w:val="nil"/>
              <w:bottom w:val="single" w:sz="4" w:space="0" w:color="auto"/>
              <w:right w:val="single" w:sz="4" w:space="0" w:color="auto"/>
            </w:tcBorders>
            <w:shd w:val="clear" w:color="auto" w:fill="auto"/>
            <w:noWrap/>
          </w:tcPr>
          <w:p w14:paraId="24FD5436" w14:textId="77777777" w:rsidR="00C64805" w:rsidRPr="008A2D7F" w:rsidRDefault="00C64805" w:rsidP="006B13BC">
            <w:pPr>
              <w:pStyle w:val="Tabulascipari"/>
              <w:spacing w:after="0"/>
              <w:ind w:left="0"/>
              <w:rPr>
                <w:rFonts w:eastAsia="Calibri"/>
              </w:rPr>
            </w:pPr>
            <w:r w:rsidRPr="008A2D7F">
              <w:rPr>
                <w:rFonts w:eastAsia="Calibri"/>
              </w:rPr>
              <w:t>-3 269,6</w:t>
            </w:r>
          </w:p>
        </w:tc>
        <w:tc>
          <w:tcPr>
            <w:tcW w:w="397" w:type="pct"/>
            <w:tcBorders>
              <w:top w:val="nil"/>
              <w:left w:val="nil"/>
              <w:bottom w:val="single" w:sz="4" w:space="0" w:color="auto"/>
              <w:right w:val="single" w:sz="4" w:space="0" w:color="auto"/>
            </w:tcBorders>
            <w:shd w:val="clear" w:color="auto" w:fill="auto"/>
            <w:noWrap/>
          </w:tcPr>
          <w:p w14:paraId="259467F9" w14:textId="77777777" w:rsidR="00C64805" w:rsidRPr="008A2D7F" w:rsidRDefault="00C64805" w:rsidP="006B13BC">
            <w:pPr>
              <w:pStyle w:val="Tabulascipari"/>
              <w:spacing w:after="0"/>
              <w:ind w:left="0"/>
              <w:rPr>
                <w:rFonts w:eastAsia="Calibri"/>
              </w:rPr>
            </w:pPr>
            <w:r w:rsidRPr="008A2D7F">
              <w:rPr>
                <w:rFonts w:eastAsia="Calibri"/>
              </w:rPr>
              <w:t>-2,1</w:t>
            </w:r>
          </w:p>
        </w:tc>
      </w:tr>
      <w:tr w:rsidR="006B13BC" w:rsidRPr="004A3BF6" w14:paraId="6FD754D8" w14:textId="77777777" w:rsidTr="006B13BC">
        <w:trPr>
          <w:trHeight w:val="284"/>
          <w:jc w:val="center"/>
        </w:trPr>
        <w:tc>
          <w:tcPr>
            <w:tcW w:w="269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3E4B26B" w14:textId="77777777" w:rsidR="00C64805" w:rsidRPr="008A2D7F" w:rsidRDefault="00C64805" w:rsidP="008A2D7F">
            <w:pPr>
              <w:pStyle w:val="Tabulasteksts"/>
              <w:spacing w:after="0"/>
              <w:ind w:left="0"/>
              <w:rPr>
                <w:rFonts w:eastAsia="Calibri"/>
              </w:rPr>
            </w:pPr>
            <w:r w:rsidRPr="008A2D7F">
              <w:rPr>
                <w:rFonts w:eastAsia="Calibri"/>
              </w:rPr>
              <w:t>Privātajos pensiju fondos izdarītās iemaksas un apdrošināšanas prēmiju maksājumi atbilstoši dzīvības apdrošināšanas līgumam (ar līdzekļu uzkrāšanu)</w:t>
            </w:r>
          </w:p>
        </w:tc>
        <w:tc>
          <w:tcPr>
            <w:tcW w:w="635" w:type="pct"/>
            <w:tcBorders>
              <w:top w:val="nil"/>
              <w:left w:val="nil"/>
              <w:bottom w:val="single" w:sz="4" w:space="0" w:color="auto"/>
              <w:right w:val="single" w:sz="4" w:space="0" w:color="auto"/>
            </w:tcBorders>
            <w:shd w:val="clear" w:color="auto" w:fill="auto"/>
            <w:noWrap/>
          </w:tcPr>
          <w:p w14:paraId="079D8A64" w14:textId="77777777" w:rsidR="00C64805" w:rsidRPr="008A2D7F" w:rsidRDefault="00C64805" w:rsidP="006B13BC">
            <w:pPr>
              <w:pStyle w:val="Tabulascipari"/>
              <w:spacing w:after="0"/>
              <w:ind w:left="0"/>
              <w:rPr>
                <w:rFonts w:eastAsia="Calibri"/>
              </w:rPr>
            </w:pPr>
            <w:r w:rsidRPr="008A2D7F">
              <w:rPr>
                <w:rFonts w:eastAsia="Calibri"/>
              </w:rPr>
              <w:t>118 227,7</w:t>
            </w:r>
          </w:p>
        </w:tc>
        <w:tc>
          <w:tcPr>
            <w:tcW w:w="636" w:type="pct"/>
            <w:tcBorders>
              <w:top w:val="nil"/>
              <w:left w:val="nil"/>
              <w:bottom w:val="single" w:sz="4" w:space="0" w:color="auto"/>
              <w:right w:val="single" w:sz="4" w:space="0" w:color="auto"/>
            </w:tcBorders>
            <w:shd w:val="clear" w:color="auto" w:fill="auto"/>
            <w:noWrap/>
          </w:tcPr>
          <w:p w14:paraId="41D2D7CC" w14:textId="77777777" w:rsidR="00C64805" w:rsidRPr="008A2D7F" w:rsidRDefault="00C64805" w:rsidP="006B13BC">
            <w:pPr>
              <w:pStyle w:val="Tabulascipari"/>
              <w:spacing w:after="0"/>
              <w:ind w:left="0"/>
              <w:rPr>
                <w:rFonts w:eastAsia="Calibri"/>
              </w:rPr>
            </w:pPr>
            <w:r w:rsidRPr="008A2D7F">
              <w:rPr>
                <w:rFonts w:eastAsia="Calibri"/>
              </w:rPr>
              <w:t>110 427,8</w:t>
            </w:r>
          </w:p>
        </w:tc>
        <w:tc>
          <w:tcPr>
            <w:tcW w:w="635" w:type="pct"/>
            <w:tcBorders>
              <w:top w:val="nil"/>
              <w:left w:val="nil"/>
              <w:bottom w:val="single" w:sz="4" w:space="0" w:color="auto"/>
              <w:right w:val="single" w:sz="4" w:space="0" w:color="auto"/>
            </w:tcBorders>
            <w:shd w:val="clear" w:color="auto" w:fill="auto"/>
            <w:noWrap/>
          </w:tcPr>
          <w:p w14:paraId="50AD9329" w14:textId="77777777" w:rsidR="00C64805" w:rsidRPr="008A2D7F" w:rsidRDefault="00C64805" w:rsidP="006B13BC">
            <w:pPr>
              <w:pStyle w:val="Tabulascipari"/>
              <w:spacing w:after="0"/>
              <w:ind w:left="0"/>
              <w:rPr>
                <w:rFonts w:eastAsia="Calibri"/>
              </w:rPr>
            </w:pPr>
            <w:r w:rsidRPr="008A2D7F">
              <w:rPr>
                <w:rFonts w:eastAsia="Calibri"/>
              </w:rPr>
              <w:t>-7 799,9</w:t>
            </w:r>
          </w:p>
        </w:tc>
        <w:tc>
          <w:tcPr>
            <w:tcW w:w="397" w:type="pct"/>
            <w:tcBorders>
              <w:top w:val="nil"/>
              <w:left w:val="nil"/>
              <w:bottom w:val="single" w:sz="4" w:space="0" w:color="auto"/>
              <w:right w:val="single" w:sz="4" w:space="0" w:color="auto"/>
            </w:tcBorders>
            <w:shd w:val="clear" w:color="auto" w:fill="auto"/>
            <w:noWrap/>
          </w:tcPr>
          <w:p w14:paraId="2DF374DF" w14:textId="77777777" w:rsidR="00C64805" w:rsidRPr="008A2D7F" w:rsidRDefault="00C64805" w:rsidP="006B13BC">
            <w:pPr>
              <w:pStyle w:val="Tabulascipari"/>
              <w:spacing w:after="0"/>
              <w:ind w:left="0"/>
              <w:rPr>
                <w:rFonts w:eastAsia="Calibri"/>
              </w:rPr>
            </w:pPr>
            <w:r w:rsidRPr="008A2D7F">
              <w:rPr>
                <w:rFonts w:eastAsia="Calibri"/>
              </w:rPr>
              <w:t>-6,6</w:t>
            </w:r>
          </w:p>
        </w:tc>
      </w:tr>
    </w:tbl>
    <w:p w14:paraId="32DEC766" w14:textId="77777777" w:rsidR="00C64805" w:rsidRPr="004A3BF6" w:rsidRDefault="00C64805" w:rsidP="00C64805">
      <w:pPr>
        <w:pStyle w:val="Piezme"/>
      </w:pPr>
      <w:r w:rsidRPr="004A3BF6">
        <w:rPr>
          <w:vertAlign w:val="superscript"/>
        </w:rPr>
        <w:t>1</w:t>
      </w:r>
      <w:r w:rsidRPr="004A3BF6">
        <w:t> </w:t>
      </w:r>
      <w:r w:rsidRPr="00576A41">
        <w:t>Dati uz 09.10.2023.</w:t>
      </w:r>
    </w:p>
    <w:p w14:paraId="2794614F" w14:textId="77777777" w:rsidR="00C64805" w:rsidRPr="004A3BF6" w:rsidRDefault="00C64805" w:rsidP="00C64805">
      <w:pPr>
        <w:pStyle w:val="Piezme"/>
      </w:pPr>
      <w:r w:rsidRPr="00576A41">
        <w:rPr>
          <w:vertAlign w:val="superscript"/>
        </w:rPr>
        <w:t>2</w:t>
      </w:r>
      <w:r>
        <w:t> </w:t>
      </w:r>
      <w:r w:rsidRPr="004A3BF6">
        <w:t>Informācija no paziņojumiem par fiziskajai personai izmaksātajām summām un no gada ienākumu deklarācijām par saimnieciskā darba veicējiem.</w:t>
      </w:r>
    </w:p>
    <w:p w14:paraId="0265D198" w14:textId="77777777" w:rsidR="00C64805" w:rsidRPr="00F413E3" w:rsidRDefault="00C64805" w:rsidP="009C4F36">
      <w:pPr>
        <w:pStyle w:val="Heading3"/>
        <w:numPr>
          <w:ilvl w:val="0"/>
          <w:numId w:val="0"/>
        </w:numPr>
        <w:ind w:left="426"/>
      </w:pPr>
      <w:bookmarkStart w:id="111" w:name="_Toc126236669"/>
      <w:r w:rsidRPr="00F413E3">
        <w:rPr>
          <w:sz w:val="32"/>
          <w:szCs w:val="32"/>
        </w:rPr>
        <w:lastRenderedPageBreak/>
        <w:t>3.5.2. Valsts ieņēmumu dienesta administrēto kopbudžeta maksājumu parādi</w:t>
      </w:r>
      <w:bookmarkEnd w:id="111"/>
    </w:p>
    <w:p w14:paraId="1726690C" w14:textId="77777777" w:rsidR="00C64805" w:rsidRPr="008B4A04" w:rsidRDefault="00C64805" w:rsidP="00C64805">
      <w:pPr>
        <w:rPr>
          <w:rFonts w:eastAsia="Calibri" w:cs="Times New Roman"/>
          <w:szCs w:val="24"/>
        </w:rPr>
      </w:pPr>
      <w:r w:rsidRPr="008B4A04">
        <w:rPr>
          <w:rFonts w:eastAsia="Calibri" w:cs="Times New Roman"/>
          <w:szCs w:val="24"/>
        </w:rPr>
        <w:t>VID administrēto kopbudžeta maksājumu parāds 2023</w:t>
      </w:r>
      <w:r>
        <w:rPr>
          <w:rFonts w:eastAsia="Calibri" w:cs="Times New Roman"/>
          <w:szCs w:val="24"/>
        </w:rPr>
        <w:t>. g</w:t>
      </w:r>
      <w:r w:rsidRPr="008B4A04">
        <w:rPr>
          <w:rFonts w:eastAsia="Calibri" w:cs="Times New Roman"/>
          <w:szCs w:val="24"/>
        </w:rPr>
        <w:t>ada 1. janvārī bija 876,8</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Salīdzinot ar 2022</w:t>
      </w:r>
      <w:r>
        <w:rPr>
          <w:rFonts w:eastAsia="Calibri" w:cs="Times New Roman"/>
          <w:szCs w:val="24"/>
        </w:rPr>
        <w:t>. g</w:t>
      </w:r>
      <w:r w:rsidRPr="008B4A04">
        <w:rPr>
          <w:rFonts w:eastAsia="Calibri" w:cs="Times New Roman"/>
          <w:szCs w:val="24"/>
        </w:rPr>
        <w:t>ada 1. janvāri, kopējais parāds ir samazinājies par 167,4</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16,0</w:t>
      </w:r>
      <w:r>
        <w:rPr>
          <w:rFonts w:eastAsia="Calibri" w:cs="Times New Roman"/>
          <w:szCs w:val="24"/>
        </w:rPr>
        <w:t> %</w:t>
      </w:r>
      <w:r w:rsidRPr="008B4A04">
        <w:rPr>
          <w:rFonts w:eastAsia="Calibri" w:cs="Times New Roman"/>
          <w:szCs w:val="24"/>
        </w:rPr>
        <w:t xml:space="preserve"> (skatīt 3.2</w:t>
      </w:r>
      <w:r>
        <w:rPr>
          <w:rFonts w:eastAsia="Calibri" w:cs="Times New Roman"/>
          <w:szCs w:val="24"/>
        </w:rPr>
        <w:t>4</w:t>
      </w:r>
      <w:r w:rsidRPr="008B4A04">
        <w:rPr>
          <w:rFonts w:eastAsia="Calibri" w:cs="Times New Roman"/>
          <w:szCs w:val="24"/>
        </w:rPr>
        <w:t>. tabulu). Kopējā parāda samazinājums 2023</w:t>
      </w:r>
      <w:r>
        <w:rPr>
          <w:rFonts w:eastAsia="Calibri" w:cs="Times New Roman"/>
          <w:szCs w:val="24"/>
        </w:rPr>
        <w:t>. g</w:t>
      </w:r>
      <w:r w:rsidRPr="008B4A04">
        <w:rPr>
          <w:rFonts w:eastAsia="Calibri" w:cs="Times New Roman"/>
          <w:szCs w:val="24"/>
        </w:rPr>
        <w:t>ada 1. janvārī skaidrojams ar ievērojamu aktuālo parādu summas kritumu par 96,1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16,7</w:t>
      </w:r>
      <w:r>
        <w:rPr>
          <w:rFonts w:eastAsia="Calibri" w:cs="Times New Roman"/>
          <w:szCs w:val="24"/>
        </w:rPr>
        <w:t> %</w:t>
      </w:r>
      <w:r w:rsidRPr="008B4A04">
        <w:rPr>
          <w:rFonts w:eastAsia="Calibri" w:cs="Times New Roman"/>
          <w:szCs w:val="24"/>
        </w:rPr>
        <w:t>, kā arī termiņa pagarinājumu atlikuma samazinājumu par 59,3</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29,6</w:t>
      </w:r>
      <w:r>
        <w:rPr>
          <w:rFonts w:eastAsia="Calibri" w:cs="Times New Roman"/>
          <w:szCs w:val="24"/>
        </w:rPr>
        <w:t> %</w:t>
      </w:r>
      <w:r w:rsidRPr="008B4A04">
        <w:rPr>
          <w:rFonts w:eastAsia="Calibri" w:cs="Times New Roman"/>
          <w:szCs w:val="24"/>
        </w:rPr>
        <w:t xml:space="preserve">. </w:t>
      </w:r>
    </w:p>
    <w:p w14:paraId="3798A703" w14:textId="77777777" w:rsidR="00C64805" w:rsidRPr="008B4A04" w:rsidRDefault="00C64805" w:rsidP="00C64805">
      <w:pPr>
        <w:rPr>
          <w:rFonts w:eastAsia="Calibri" w:cs="Times New Roman"/>
          <w:szCs w:val="24"/>
        </w:rPr>
      </w:pPr>
      <w:r w:rsidRPr="008B4A04">
        <w:rPr>
          <w:rFonts w:eastAsia="Calibri" w:cs="Times New Roman"/>
          <w:szCs w:val="24"/>
        </w:rPr>
        <w:t>Sadalījumā pa lielākajiem nodokļu veidiem PVN parādu samazinājums veido vairāk nekā pusi no kopējās parādu summas samazinājuma, kamēr pieaugums vērojams vien akcīzes nodokļa parādiem, ko galvenokārt veicināja termiņa pagarinājumu atlikuma pieaugums par 3,3</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59,7</w:t>
      </w:r>
      <w:r>
        <w:rPr>
          <w:rFonts w:eastAsia="Calibri" w:cs="Times New Roman"/>
          <w:szCs w:val="24"/>
        </w:rPr>
        <w:t> %</w:t>
      </w:r>
      <w:r w:rsidRPr="008B4A04">
        <w:rPr>
          <w:rFonts w:eastAsia="Calibri" w:cs="Times New Roman"/>
          <w:szCs w:val="24"/>
        </w:rPr>
        <w:t>.</w:t>
      </w:r>
    </w:p>
    <w:p w14:paraId="764BEAAA" w14:textId="77777777" w:rsidR="00C64805" w:rsidRPr="004A3BF6" w:rsidRDefault="00C64805" w:rsidP="00C64805">
      <w:pPr>
        <w:pStyle w:val="Tabulasnosaukums"/>
      </w:pPr>
      <w:r w:rsidRPr="004A3BF6">
        <w:t>3.2</w:t>
      </w:r>
      <w:r>
        <w:t>4</w:t>
      </w:r>
      <w:r w:rsidRPr="004A3BF6">
        <w:t>. tabula. Valsts ieņēmumu dienesta administrēto kopbudžeta maksājumu parāds</w:t>
      </w:r>
    </w:p>
    <w:tbl>
      <w:tblPr>
        <w:tblW w:w="3831" w:type="pct"/>
        <w:jc w:val="center"/>
        <w:tblCellMar>
          <w:left w:w="30" w:type="dxa"/>
          <w:right w:w="30" w:type="dxa"/>
        </w:tblCellMar>
        <w:tblLook w:val="0000" w:firstRow="0" w:lastRow="0" w:firstColumn="0" w:lastColumn="0" w:noHBand="0" w:noVBand="0"/>
      </w:tblPr>
      <w:tblGrid>
        <w:gridCol w:w="2402"/>
        <w:gridCol w:w="1134"/>
        <w:gridCol w:w="1134"/>
        <w:gridCol w:w="991"/>
        <w:gridCol w:w="1277"/>
      </w:tblGrid>
      <w:tr w:rsidR="006B13BC" w:rsidRPr="004A3BF6" w14:paraId="121F521B" w14:textId="77777777" w:rsidTr="005D673A">
        <w:trPr>
          <w:trHeight w:val="227"/>
          <w:tblHeader/>
          <w:jc w:val="center"/>
        </w:trPr>
        <w:tc>
          <w:tcPr>
            <w:tcW w:w="1732" w:type="pct"/>
            <w:vMerge w:val="restart"/>
            <w:tcBorders>
              <w:top w:val="single" w:sz="6" w:space="0" w:color="auto"/>
              <w:left w:val="single" w:sz="6" w:space="0" w:color="auto"/>
              <w:right w:val="nil"/>
            </w:tcBorders>
            <w:shd w:val="clear" w:color="auto" w:fill="9CC2E5" w:themeFill="accent1" w:themeFillTint="99"/>
            <w:vAlign w:val="center"/>
          </w:tcPr>
          <w:p w14:paraId="59766E06" w14:textId="77777777" w:rsidR="00C64805" w:rsidRPr="006B13BC" w:rsidRDefault="00C64805" w:rsidP="005D673A">
            <w:pPr>
              <w:pStyle w:val="Tabulasgalvenesrinda"/>
              <w:rPr>
                <w:rFonts w:eastAsia="Calibri"/>
              </w:rPr>
            </w:pPr>
          </w:p>
        </w:tc>
        <w:tc>
          <w:tcPr>
            <w:tcW w:w="817" w:type="pct"/>
            <w:tcBorders>
              <w:top w:val="single" w:sz="6" w:space="0" w:color="auto"/>
              <w:left w:val="single" w:sz="6" w:space="0" w:color="auto"/>
              <w:bottom w:val="single" w:sz="4" w:space="0" w:color="auto"/>
              <w:right w:val="single" w:sz="6" w:space="0" w:color="auto"/>
            </w:tcBorders>
            <w:shd w:val="clear" w:color="auto" w:fill="9CC2E5" w:themeFill="accent1" w:themeFillTint="99"/>
            <w:vAlign w:val="center"/>
          </w:tcPr>
          <w:p w14:paraId="2F67B62B" w14:textId="77777777" w:rsidR="00C64805" w:rsidRPr="006B13BC" w:rsidRDefault="00C64805" w:rsidP="005D673A">
            <w:pPr>
              <w:pStyle w:val="Tabulasgalvenesrinda"/>
              <w:rPr>
                <w:rFonts w:eastAsia="Calibri"/>
              </w:rPr>
            </w:pPr>
            <w:r w:rsidRPr="006B13BC">
              <w:rPr>
                <w:rFonts w:eastAsia="Calibri"/>
              </w:rPr>
              <w:t>01.01.2022.</w:t>
            </w:r>
          </w:p>
        </w:tc>
        <w:tc>
          <w:tcPr>
            <w:tcW w:w="817" w:type="pct"/>
            <w:tcBorders>
              <w:top w:val="single" w:sz="6" w:space="0" w:color="auto"/>
              <w:left w:val="single" w:sz="6" w:space="0" w:color="auto"/>
              <w:bottom w:val="single" w:sz="4" w:space="0" w:color="auto"/>
              <w:right w:val="single" w:sz="6" w:space="0" w:color="auto"/>
            </w:tcBorders>
            <w:shd w:val="clear" w:color="auto" w:fill="9CC2E5" w:themeFill="accent1" w:themeFillTint="99"/>
            <w:vAlign w:val="center"/>
          </w:tcPr>
          <w:p w14:paraId="38C46F3B" w14:textId="585404F6" w:rsidR="00C64805" w:rsidRPr="006B13BC" w:rsidRDefault="00C64805" w:rsidP="005D673A">
            <w:pPr>
              <w:pStyle w:val="Tabulasgalvenesrinda"/>
              <w:rPr>
                <w:rFonts w:eastAsia="Calibri"/>
              </w:rPr>
            </w:pPr>
            <w:r w:rsidRPr="006B13BC">
              <w:rPr>
                <w:rFonts w:eastAsia="Calibri"/>
              </w:rPr>
              <w:t>01.01.202</w:t>
            </w:r>
            <w:r w:rsidR="005D673A">
              <w:rPr>
                <w:rFonts w:eastAsia="Calibri"/>
              </w:rPr>
              <w:t>3</w:t>
            </w:r>
            <w:r w:rsidRPr="006B13BC">
              <w:rPr>
                <w:rFonts w:eastAsia="Calibri"/>
              </w:rPr>
              <w:t>.</w:t>
            </w:r>
          </w:p>
        </w:tc>
        <w:tc>
          <w:tcPr>
            <w:tcW w:w="1634" w:type="pct"/>
            <w:gridSpan w:val="2"/>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62EBFB94" w14:textId="3D38DF65" w:rsidR="00C64805" w:rsidRPr="006B13BC" w:rsidRDefault="00C64805" w:rsidP="005D673A">
            <w:pPr>
              <w:pStyle w:val="Tabulasgalvenesrinda"/>
              <w:rPr>
                <w:rFonts w:eastAsia="Calibri"/>
              </w:rPr>
            </w:pPr>
            <w:r w:rsidRPr="006B13BC">
              <w:rPr>
                <w:rFonts w:eastAsia="Calibri"/>
              </w:rPr>
              <w:t>Izmaiņas</w:t>
            </w:r>
          </w:p>
        </w:tc>
      </w:tr>
      <w:tr w:rsidR="006B13BC" w:rsidRPr="004A3BF6" w14:paraId="10CA2FF6" w14:textId="77777777" w:rsidTr="006B13BC">
        <w:trPr>
          <w:trHeight w:val="187"/>
          <w:tblHeader/>
          <w:jc w:val="center"/>
        </w:trPr>
        <w:tc>
          <w:tcPr>
            <w:tcW w:w="1732" w:type="pct"/>
            <w:vMerge/>
            <w:tcBorders>
              <w:left w:val="single" w:sz="6" w:space="0" w:color="auto"/>
              <w:bottom w:val="nil"/>
              <w:right w:val="nil"/>
            </w:tcBorders>
            <w:shd w:val="clear" w:color="auto" w:fill="9CC2E5" w:themeFill="accent1" w:themeFillTint="99"/>
            <w:vAlign w:val="center"/>
          </w:tcPr>
          <w:p w14:paraId="569D9A84" w14:textId="77777777" w:rsidR="00C64805" w:rsidRPr="006B13BC" w:rsidRDefault="00C64805" w:rsidP="005D673A">
            <w:pPr>
              <w:pStyle w:val="Tabulasgalvenesrinda"/>
              <w:rPr>
                <w:rFonts w:eastAsia="Calibri"/>
              </w:rPr>
            </w:pPr>
          </w:p>
        </w:tc>
        <w:tc>
          <w:tcPr>
            <w:tcW w:w="817" w:type="pct"/>
            <w:tcBorders>
              <w:top w:val="single" w:sz="4" w:space="0" w:color="auto"/>
              <w:left w:val="single" w:sz="6" w:space="0" w:color="auto"/>
              <w:bottom w:val="single" w:sz="6" w:space="0" w:color="auto"/>
              <w:right w:val="single" w:sz="6" w:space="0" w:color="auto"/>
            </w:tcBorders>
            <w:shd w:val="clear" w:color="auto" w:fill="9CC2E5" w:themeFill="accent1" w:themeFillTint="99"/>
            <w:vAlign w:val="center"/>
          </w:tcPr>
          <w:p w14:paraId="773DA972" w14:textId="77777777" w:rsidR="00C64805" w:rsidRPr="006B13BC" w:rsidRDefault="00C64805" w:rsidP="005D673A">
            <w:pPr>
              <w:pStyle w:val="Tabulasgalvenesrinda"/>
              <w:rPr>
                <w:rFonts w:eastAsia="Calibri"/>
              </w:rPr>
            </w:pPr>
            <w:r w:rsidRPr="006B13BC">
              <w:rPr>
                <w:rFonts w:eastAsia="Calibri"/>
              </w:rPr>
              <w:t xml:space="preserve">milj. </w:t>
            </w:r>
            <w:proofErr w:type="spellStart"/>
            <w:r w:rsidRPr="006B13BC">
              <w:rPr>
                <w:rFonts w:eastAsia="Calibri"/>
                <w:i/>
                <w:iCs/>
              </w:rPr>
              <w:t>euro</w:t>
            </w:r>
            <w:proofErr w:type="spellEnd"/>
          </w:p>
        </w:tc>
        <w:tc>
          <w:tcPr>
            <w:tcW w:w="817" w:type="pct"/>
            <w:tcBorders>
              <w:top w:val="single" w:sz="4" w:space="0" w:color="auto"/>
              <w:left w:val="single" w:sz="6" w:space="0" w:color="auto"/>
              <w:bottom w:val="single" w:sz="6" w:space="0" w:color="auto"/>
              <w:right w:val="single" w:sz="6" w:space="0" w:color="auto"/>
            </w:tcBorders>
            <w:shd w:val="clear" w:color="auto" w:fill="9CC2E5" w:themeFill="accent1" w:themeFillTint="99"/>
            <w:vAlign w:val="center"/>
          </w:tcPr>
          <w:p w14:paraId="139A5F0C" w14:textId="77777777" w:rsidR="00C64805" w:rsidRPr="006B13BC" w:rsidRDefault="00C64805" w:rsidP="005D673A">
            <w:pPr>
              <w:pStyle w:val="Tabulasgalvenesrinda"/>
              <w:rPr>
                <w:rFonts w:eastAsia="Calibri"/>
              </w:rPr>
            </w:pPr>
            <w:r w:rsidRPr="006B13BC">
              <w:rPr>
                <w:rFonts w:eastAsia="Calibri"/>
              </w:rPr>
              <w:t xml:space="preserve">milj. </w:t>
            </w:r>
            <w:proofErr w:type="spellStart"/>
            <w:r w:rsidRPr="006B13BC">
              <w:rPr>
                <w:rFonts w:eastAsia="Calibri"/>
                <w:i/>
                <w:iCs/>
              </w:rPr>
              <w:t>euro</w:t>
            </w:r>
            <w:proofErr w:type="spellEnd"/>
          </w:p>
        </w:tc>
        <w:tc>
          <w:tcPr>
            <w:tcW w:w="714" w:type="pct"/>
            <w:tcBorders>
              <w:top w:val="single" w:sz="4" w:space="0" w:color="auto"/>
              <w:left w:val="single" w:sz="6" w:space="0" w:color="auto"/>
              <w:bottom w:val="single" w:sz="6" w:space="0" w:color="auto"/>
              <w:right w:val="single" w:sz="6" w:space="0" w:color="auto"/>
            </w:tcBorders>
            <w:shd w:val="clear" w:color="auto" w:fill="9CC2E5" w:themeFill="accent1" w:themeFillTint="99"/>
            <w:vAlign w:val="center"/>
          </w:tcPr>
          <w:p w14:paraId="243D00BD" w14:textId="77777777" w:rsidR="00C64805" w:rsidRPr="006B13BC" w:rsidRDefault="00C64805" w:rsidP="005D673A">
            <w:pPr>
              <w:pStyle w:val="Tabulasgalvenesrinda"/>
              <w:rPr>
                <w:rFonts w:eastAsia="Calibri"/>
                <w:i/>
                <w:iCs/>
              </w:rPr>
            </w:pPr>
            <w:r w:rsidRPr="006B13BC">
              <w:rPr>
                <w:rFonts w:eastAsia="Calibri"/>
              </w:rPr>
              <w:t xml:space="preserve">milj. </w:t>
            </w:r>
            <w:proofErr w:type="spellStart"/>
            <w:r w:rsidRPr="006B13BC">
              <w:rPr>
                <w:rFonts w:eastAsia="Calibri"/>
                <w:i/>
                <w:iCs/>
              </w:rPr>
              <w:t>euro</w:t>
            </w:r>
            <w:proofErr w:type="spellEnd"/>
          </w:p>
        </w:tc>
        <w:tc>
          <w:tcPr>
            <w:tcW w:w="920"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53522109" w14:textId="77777777" w:rsidR="00C64805" w:rsidRPr="006B13BC" w:rsidRDefault="00C64805" w:rsidP="005D673A">
            <w:pPr>
              <w:pStyle w:val="Tabulasgalvenesrinda"/>
              <w:rPr>
                <w:rFonts w:eastAsia="Calibri"/>
              </w:rPr>
            </w:pPr>
            <w:r w:rsidRPr="006B13BC">
              <w:rPr>
                <w:rFonts w:eastAsia="Calibri"/>
              </w:rPr>
              <w:t> %</w:t>
            </w:r>
          </w:p>
        </w:tc>
      </w:tr>
      <w:tr w:rsidR="006B13BC" w:rsidRPr="00A22969" w14:paraId="6F0AFAAB"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379EB41A" w14:textId="77777777" w:rsidR="00C64805" w:rsidRPr="006B13BC" w:rsidRDefault="00C64805" w:rsidP="006B13BC">
            <w:pPr>
              <w:pStyle w:val="Tabulasteksts"/>
              <w:spacing w:after="0"/>
              <w:ind w:left="0"/>
              <w:rPr>
                <w:rFonts w:eastAsia="Calibri"/>
                <w:b/>
                <w:bCs/>
              </w:rPr>
            </w:pPr>
            <w:r w:rsidRPr="006B13BC">
              <w:rPr>
                <w:rFonts w:eastAsia="Calibri"/>
                <w:b/>
                <w:bCs/>
              </w:rPr>
              <w:t>Parāda summa kopā</w:t>
            </w:r>
            <w:r w:rsidRPr="00EE3763">
              <w:rPr>
                <w:rFonts w:eastAsia="Calibri"/>
              </w:rPr>
              <w:t>, t.sk.:</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E702B13" w14:textId="77777777" w:rsidR="00C64805" w:rsidRPr="006B13BC" w:rsidRDefault="00C64805" w:rsidP="006B13BC">
            <w:pPr>
              <w:pStyle w:val="Tabulascipari"/>
              <w:spacing w:after="0"/>
              <w:ind w:left="0"/>
              <w:rPr>
                <w:rFonts w:eastAsia="Calibri"/>
                <w:b/>
                <w:bCs/>
              </w:rPr>
            </w:pPr>
            <w:r w:rsidRPr="006B13BC">
              <w:rPr>
                <w:rFonts w:eastAsia="Calibri"/>
                <w:b/>
                <w:bCs/>
              </w:rPr>
              <w:t>1 044,2</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10316BBF" w14:textId="77777777" w:rsidR="00C64805" w:rsidRPr="006B13BC" w:rsidRDefault="00C64805" w:rsidP="006B13BC">
            <w:pPr>
              <w:pStyle w:val="Tabulascipari"/>
              <w:spacing w:after="0"/>
              <w:ind w:left="0"/>
              <w:rPr>
                <w:rFonts w:eastAsia="Calibri"/>
                <w:b/>
                <w:bCs/>
              </w:rPr>
            </w:pPr>
            <w:r w:rsidRPr="006B13BC">
              <w:rPr>
                <w:rFonts w:eastAsia="Calibri"/>
                <w:b/>
                <w:bCs/>
              </w:rPr>
              <w:t>876,8</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52FF2AD2" w14:textId="77777777" w:rsidR="00C64805" w:rsidRPr="006B13BC" w:rsidRDefault="00C64805" w:rsidP="006B13BC">
            <w:pPr>
              <w:pStyle w:val="Tabulascipari"/>
              <w:spacing w:after="0"/>
              <w:ind w:left="0"/>
              <w:rPr>
                <w:rFonts w:eastAsia="Calibri"/>
                <w:b/>
                <w:bCs/>
              </w:rPr>
            </w:pPr>
            <w:r w:rsidRPr="006B13BC">
              <w:rPr>
                <w:rFonts w:eastAsia="Calibri"/>
                <w:b/>
                <w:bCs/>
              </w:rPr>
              <w:t>-167,4</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221A891E" w14:textId="77777777" w:rsidR="00C64805" w:rsidRPr="006B13BC" w:rsidRDefault="00C64805" w:rsidP="006B13BC">
            <w:pPr>
              <w:pStyle w:val="Tabulascipari"/>
              <w:spacing w:after="0"/>
              <w:ind w:left="0"/>
              <w:rPr>
                <w:rFonts w:eastAsia="Calibri"/>
                <w:b/>
                <w:bCs/>
              </w:rPr>
            </w:pPr>
            <w:r w:rsidRPr="006B13BC">
              <w:rPr>
                <w:rFonts w:eastAsia="Calibri"/>
                <w:b/>
                <w:bCs/>
              </w:rPr>
              <w:t>-16,0</w:t>
            </w:r>
          </w:p>
        </w:tc>
      </w:tr>
      <w:tr w:rsidR="006B13BC" w:rsidRPr="004A3BF6" w14:paraId="2A080271"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133F69DC" w14:textId="77777777" w:rsidR="00C64805" w:rsidRPr="006B13BC" w:rsidRDefault="00C64805" w:rsidP="006B13BC">
            <w:pPr>
              <w:pStyle w:val="Tabulasteksts"/>
              <w:spacing w:after="0"/>
              <w:ind w:left="0"/>
              <w:rPr>
                <w:rFonts w:eastAsia="Calibri"/>
              </w:rPr>
            </w:pPr>
            <w:r w:rsidRPr="006B13BC">
              <w:rPr>
                <w:rFonts w:eastAsia="Calibri"/>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02CCDA98" w14:textId="77777777" w:rsidR="00C64805" w:rsidRPr="006B13BC" w:rsidRDefault="00C64805" w:rsidP="006B13BC">
            <w:pPr>
              <w:pStyle w:val="Tabulascipari"/>
              <w:spacing w:after="0"/>
              <w:ind w:left="0"/>
              <w:rPr>
                <w:rFonts w:eastAsia="Calibri"/>
              </w:rPr>
            </w:pPr>
            <w:r w:rsidRPr="006B13BC">
              <w:rPr>
                <w:rFonts w:eastAsia="Calibri"/>
              </w:rPr>
              <w:t>575,9</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07EA9924" w14:textId="77777777" w:rsidR="00C64805" w:rsidRPr="006B13BC" w:rsidRDefault="00C64805" w:rsidP="006B13BC">
            <w:pPr>
              <w:pStyle w:val="Tabulascipari"/>
              <w:spacing w:after="0"/>
              <w:ind w:left="0"/>
              <w:rPr>
                <w:rFonts w:eastAsia="Calibri"/>
              </w:rPr>
            </w:pPr>
            <w:r w:rsidRPr="006B13BC">
              <w:rPr>
                <w:rFonts w:eastAsia="Calibri"/>
              </w:rPr>
              <w:t>479,8</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4E01BC17" w14:textId="77777777" w:rsidR="00C64805" w:rsidRPr="006B13BC" w:rsidRDefault="00C64805" w:rsidP="006B13BC">
            <w:pPr>
              <w:pStyle w:val="Tabulascipari"/>
              <w:spacing w:after="0"/>
              <w:ind w:left="0"/>
              <w:rPr>
                <w:rFonts w:eastAsia="Calibri"/>
              </w:rPr>
            </w:pPr>
            <w:r w:rsidRPr="006B13BC">
              <w:rPr>
                <w:rFonts w:eastAsia="Calibri"/>
              </w:rPr>
              <w:t>-96,1</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3399B02A" w14:textId="77777777" w:rsidR="00C64805" w:rsidRPr="006B13BC" w:rsidRDefault="00C64805" w:rsidP="006B13BC">
            <w:pPr>
              <w:pStyle w:val="Tabulascipari"/>
              <w:spacing w:after="0"/>
              <w:ind w:left="0"/>
              <w:rPr>
                <w:rFonts w:eastAsia="Calibri"/>
              </w:rPr>
            </w:pPr>
            <w:r w:rsidRPr="006B13BC">
              <w:rPr>
                <w:rFonts w:eastAsia="Calibri"/>
              </w:rPr>
              <w:t>-16,7</w:t>
            </w:r>
          </w:p>
        </w:tc>
      </w:tr>
      <w:tr w:rsidR="006B13BC" w:rsidRPr="004A3BF6" w14:paraId="028F813B"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105271F6" w14:textId="77777777" w:rsidR="00C64805" w:rsidRPr="006B13BC" w:rsidRDefault="00C64805" w:rsidP="006B13BC">
            <w:pPr>
              <w:pStyle w:val="Tabulasteksts"/>
              <w:spacing w:after="0"/>
              <w:ind w:left="0"/>
              <w:rPr>
                <w:rFonts w:eastAsia="Calibri"/>
              </w:rPr>
            </w:pPr>
            <w:r w:rsidRPr="006B13BC">
              <w:rPr>
                <w:rFonts w:eastAsia="Calibri"/>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45EA93BA" w14:textId="77777777" w:rsidR="00C64805" w:rsidRPr="006B13BC" w:rsidRDefault="00C64805" w:rsidP="006B13BC">
            <w:pPr>
              <w:pStyle w:val="Tabulascipari"/>
              <w:spacing w:after="0"/>
              <w:ind w:left="0"/>
              <w:rPr>
                <w:rFonts w:eastAsia="Calibri"/>
              </w:rPr>
            </w:pPr>
            <w:r w:rsidRPr="006B13BC">
              <w:rPr>
                <w:rFonts w:eastAsia="Calibri"/>
              </w:rPr>
              <w:t>200,5</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3322A99" w14:textId="77777777" w:rsidR="00C64805" w:rsidRPr="006B13BC" w:rsidRDefault="00C64805" w:rsidP="006B13BC">
            <w:pPr>
              <w:pStyle w:val="Tabulascipari"/>
              <w:spacing w:after="0"/>
              <w:ind w:left="0"/>
              <w:rPr>
                <w:rFonts w:eastAsia="Calibri"/>
              </w:rPr>
            </w:pPr>
            <w:r w:rsidRPr="006B13BC">
              <w:rPr>
                <w:rFonts w:eastAsia="Calibri"/>
              </w:rPr>
              <w:t>141,3</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46991C3A" w14:textId="77777777" w:rsidR="00C64805" w:rsidRPr="006B13BC" w:rsidRDefault="00C64805" w:rsidP="006B13BC">
            <w:pPr>
              <w:pStyle w:val="Tabulascipari"/>
              <w:spacing w:after="0"/>
              <w:ind w:left="0"/>
              <w:rPr>
                <w:rFonts w:eastAsia="Calibri"/>
              </w:rPr>
            </w:pPr>
            <w:r w:rsidRPr="006B13BC">
              <w:rPr>
                <w:rFonts w:eastAsia="Calibri"/>
              </w:rPr>
              <w:t>-59,3</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7ADCC571" w14:textId="77777777" w:rsidR="00C64805" w:rsidRPr="006B13BC" w:rsidRDefault="00C64805" w:rsidP="006B13BC">
            <w:pPr>
              <w:pStyle w:val="Tabulascipari"/>
              <w:spacing w:after="0"/>
              <w:ind w:left="0"/>
              <w:rPr>
                <w:rFonts w:eastAsia="Calibri"/>
              </w:rPr>
            </w:pPr>
            <w:r w:rsidRPr="006B13BC">
              <w:rPr>
                <w:rFonts w:eastAsia="Calibri"/>
              </w:rPr>
              <w:t>-29,6</w:t>
            </w:r>
          </w:p>
        </w:tc>
      </w:tr>
      <w:tr w:rsidR="006B13BC" w:rsidRPr="004A3BF6" w14:paraId="26652EB9"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565D6D9A" w14:textId="77777777" w:rsidR="00C64805" w:rsidRPr="006B13BC" w:rsidRDefault="00C64805" w:rsidP="006B13BC">
            <w:pPr>
              <w:pStyle w:val="Tabulasteksts"/>
              <w:spacing w:after="0"/>
              <w:ind w:left="0"/>
              <w:rPr>
                <w:rFonts w:eastAsia="Calibri"/>
              </w:rPr>
            </w:pPr>
            <w:r w:rsidRPr="006B13BC">
              <w:rPr>
                <w:rFonts w:eastAsia="Calibri"/>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9429D7D" w14:textId="77777777" w:rsidR="00C64805" w:rsidRPr="006B13BC" w:rsidRDefault="00C64805" w:rsidP="006B13BC">
            <w:pPr>
              <w:pStyle w:val="Tabulascipari"/>
              <w:spacing w:after="0"/>
              <w:ind w:left="0"/>
              <w:rPr>
                <w:rFonts w:eastAsia="Calibri"/>
              </w:rPr>
            </w:pPr>
            <w:r w:rsidRPr="006B13BC">
              <w:rPr>
                <w:rFonts w:eastAsia="Calibri"/>
              </w:rPr>
              <w:t>267,8</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6BA0AE82" w14:textId="77777777" w:rsidR="00C64805" w:rsidRPr="006B13BC" w:rsidRDefault="00C64805" w:rsidP="006B13BC">
            <w:pPr>
              <w:pStyle w:val="Tabulascipari"/>
              <w:spacing w:after="0"/>
              <w:ind w:left="0"/>
              <w:rPr>
                <w:rFonts w:eastAsia="Calibri"/>
              </w:rPr>
            </w:pPr>
            <w:r w:rsidRPr="006B13BC">
              <w:rPr>
                <w:rFonts w:eastAsia="Calibri"/>
              </w:rPr>
              <w:t>255,8</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0E5392DD" w14:textId="77777777" w:rsidR="00C64805" w:rsidRPr="006B13BC" w:rsidRDefault="00C64805" w:rsidP="006B13BC">
            <w:pPr>
              <w:pStyle w:val="Tabulascipari"/>
              <w:spacing w:after="0"/>
              <w:ind w:left="0"/>
              <w:rPr>
                <w:rFonts w:eastAsia="Calibri"/>
              </w:rPr>
            </w:pPr>
            <w:r w:rsidRPr="006B13BC">
              <w:rPr>
                <w:rFonts w:eastAsia="Calibri"/>
              </w:rPr>
              <w:t>-12,0</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3735CF79" w14:textId="77777777" w:rsidR="00C64805" w:rsidRPr="006B13BC" w:rsidRDefault="00C64805" w:rsidP="006B13BC">
            <w:pPr>
              <w:pStyle w:val="Tabulascipari"/>
              <w:spacing w:after="0"/>
              <w:ind w:left="0"/>
              <w:rPr>
                <w:rFonts w:eastAsia="Calibri"/>
              </w:rPr>
            </w:pPr>
            <w:r w:rsidRPr="006B13BC">
              <w:rPr>
                <w:rFonts w:eastAsia="Calibri"/>
              </w:rPr>
              <w:t>-4,5</w:t>
            </w:r>
          </w:p>
        </w:tc>
      </w:tr>
      <w:tr w:rsidR="006B13BC" w:rsidRPr="00A22969" w14:paraId="06A19A04"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12BE39EA" w14:textId="77777777" w:rsidR="00C64805" w:rsidRPr="006B13BC" w:rsidRDefault="00C64805" w:rsidP="006B13BC">
            <w:pPr>
              <w:pStyle w:val="Tabulasteksts"/>
              <w:spacing w:after="0"/>
              <w:ind w:left="0"/>
              <w:rPr>
                <w:rFonts w:eastAsia="Calibri"/>
                <w:b/>
                <w:bCs/>
              </w:rPr>
            </w:pPr>
            <w:r w:rsidRPr="006B13BC">
              <w:rPr>
                <w:rFonts w:eastAsia="Calibri"/>
                <w:b/>
                <w:bCs/>
              </w:rPr>
              <w:t xml:space="preserve">UIN, </w:t>
            </w:r>
            <w:r w:rsidRPr="00EE3763">
              <w:rPr>
                <w:rFonts w:eastAsia="Calibri"/>
              </w:rPr>
              <w:t>t.sk.:</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26C07D28" w14:textId="77777777" w:rsidR="00C64805" w:rsidRPr="006B13BC" w:rsidRDefault="00C64805" w:rsidP="006B13BC">
            <w:pPr>
              <w:pStyle w:val="Tabulascipari"/>
              <w:spacing w:after="0"/>
              <w:ind w:left="0"/>
              <w:rPr>
                <w:rFonts w:eastAsia="Calibri"/>
                <w:b/>
                <w:bCs/>
              </w:rPr>
            </w:pPr>
            <w:r w:rsidRPr="006B13BC">
              <w:rPr>
                <w:rFonts w:eastAsia="Calibri"/>
                <w:b/>
                <w:bCs/>
              </w:rPr>
              <w:t>64,8</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418E3562" w14:textId="77777777" w:rsidR="00C64805" w:rsidRPr="006B13BC" w:rsidRDefault="00C64805" w:rsidP="006B13BC">
            <w:pPr>
              <w:pStyle w:val="Tabulascipari"/>
              <w:spacing w:after="0"/>
              <w:ind w:left="0"/>
              <w:rPr>
                <w:rFonts w:eastAsia="Calibri"/>
                <w:b/>
                <w:bCs/>
              </w:rPr>
            </w:pPr>
            <w:r w:rsidRPr="006B13BC">
              <w:rPr>
                <w:rFonts w:eastAsia="Calibri"/>
                <w:b/>
                <w:bCs/>
              </w:rPr>
              <w:t>51,7</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07A2BFE1" w14:textId="77777777" w:rsidR="00C64805" w:rsidRPr="006B13BC" w:rsidRDefault="00C64805" w:rsidP="006B13BC">
            <w:pPr>
              <w:pStyle w:val="Tabulascipari"/>
              <w:spacing w:after="0"/>
              <w:ind w:left="0"/>
              <w:rPr>
                <w:rFonts w:eastAsia="Calibri"/>
                <w:b/>
                <w:bCs/>
              </w:rPr>
            </w:pPr>
            <w:r w:rsidRPr="006B13BC">
              <w:rPr>
                <w:rFonts w:eastAsia="Calibri"/>
                <w:b/>
                <w:bCs/>
              </w:rPr>
              <w:t>-13,1</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09A7D4F6" w14:textId="77777777" w:rsidR="00C64805" w:rsidRPr="006B13BC" w:rsidRDefault="00C64805" w:rsidP="006B13BC">
            <w:pPr>
              <w:pStyle w:val="Tabulascipari"/>
              <w:spacing w:after="0"/>
              <w:ind w:left="0"/>
              <w:rPr>
                <w:rFonts w:eastAsia="Calibri"/>
                <w:b/>
                <w:bCs/>
              </w:rPr>
            </w:pPr>
            <w:r w:rsidRPr="006B13BC">
              <w:rPr>
                <w:rFonts w:eastAsia="Calibri"/>
                <w:b/>
                <w:bCs/>
              </w:rPr>
              <w:t>-20,3</w:t>
            </w:r>
          </w:p>
        </w:tc>
      </w:tr>
      <w:tr w:rsidR="006B13BC" w:rsidRPr="004A3BF6" w14:paraId="236F2545"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009E4B39" w14:textId="77777777" w:rsidR="00C64805" w:rsidRPr="006B13BC" w:rsidRDefault="00C64805" w:rsidP="006B13BC">
            <w:pPr>
              <w:pStyle w:val="Tabulasteksts"/>
              <w:spacing w:after="0"/>
              <w:ind w:left="0"/>
              <w:rPr>
                <w:rFonts w:eastAsia="Calibri"/>
              </w:rPr>
            </w:pPr>
            <w:r w:rsidRPr="006B13BC">
              <w:rPr>
                <w:rFonts w:eastAsia="Calibri"/>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3B86CEC" w14:textId="77777777" w:rsidR="00C64805" w:rsidRPr="006B13BC" w:rsidRDefault="00C64805" w:rsidP="006B13BC">
            <w:pPr>
              <w:pStyle w:val="Tabulascipari"/>
              <w:spacing w:after="0"/>
              <w:ind w:left="0"/>
              <w:rPr>
                <w:rFonts w:eastAsia="Calibri"/>
              </w:rPr>
            </w:pPr>
            <w:r w:rsidRPr="006B13BC">
              <w:rPr>
                <w:rFonts w:eastAsia="Calibri"/>
              </w:rPr>
              <w:t>32,4</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653781CF" w14:textId="77777777" w:rsidR="00C64805" w:rsidRPr="006B13BC" w:rsidRDefault="00C64805" w:rsidP="006B13BC">
            <w:pPr>
              <w:pStyle w:val="Tabulascipari"/>
              <w:spacing w:after="0"/>
              <w:ind w:left="0"/>
              <w:rPr>
                <w:rFonts w:eastAsia="Calibri"/>
              </w:rPr>
            </w:pPr>
            <w:r w:rsidRPr="006B13BC">
              <w:rPr>
                <w:rFonts w:eastAsia="Calibri"/>
              </w:rPr>
              <w:t>19,9</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1D7BD2F8" w14:textId="77777777" w:rsidR="00C64805" w:rsidRPr="006B13BC" w:rsidRDefault="00C64805" w:rsidP="006B13BC">
            <w:pPr>
              <w:pStyle w:val="Tabulascipari"/>
              <w:spacing w:after="0"/>
              <w:ind w:left="0"/>
              <w:rPr>
                <w:rFonts w:eastAsia="Calibri"/>
              </w:rPr>
            </w:pPr>
            <w:r w:rsidRPr="006B13BC">
              <w:rPr>
                <w:rFonts w:eastAsia="Calibri"/>
              </w:rPr>
              <w:t>-12,5</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325935BB" w14:textId="77777777" w:rsidR="00C64805" w:rsidRPr="006B13BC" w:rsidRDefault="00C64805" w:rsidP="006B13BC">
            <w:pPr>
              <w:pStyle w:val="Tabulascipari"/>
              <w:spacing w:after="0"/>
              <w:ind w:left="0"/>
              <w:rPr>
                <w:rFonts w:eastAsia="Calibri"/>
              </w:rPr>
            </w:pPr>
            <w:r w:rsidRPr="006B13BC">
              <w:rPr>
                <w:rFonts w:eastAsia="Calibri"/>
              </w:rPr>
              <w:t>-38,5</w:t>
            </w:r>
          </w:p>
        </w:tc>
      </w:tr>
      <w:tr w:rsidR="006B13BC" w:rsidRPr="004A3BF6" w14:paraId="1755750E"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79F595D7" w14:textId="77777777" w:rsidR="00C64805" w:rsidRPr="006B13BC" w:rsidRDefault="00C64805" w:rsidP="006B13BC">
            <w:pPr>
              <w:pStyle w:val="Tabulasteksts"/>
              <w:spacing w:after="0"/>
              <w:ind w:left="0"/>
              <w:rPr>
                <w:rFonts w:eastAsia="Calibri"/>
              </w:rPr>
            </w:pPr>
            <w:r w:rsidRPr="006B13BC">
              <w:rPr>
                <w:rFonts w:eastAsia="Calibri"/>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D8247C6" w14:textId="77777777" w:rsidR="00C64805" w:rsidRPr="006B13BC" w:rsidRDefault="00C64805" w:rsidP="006B13BC">
            <w:pPr>
              <w:pStyle w:val="Tabulascipari"/>
              <w:spacing w:after="0"/>
              <w:ind w:left="0"/>
              <w:rPr>
                <w:rFonts w:eastAsia="Calibri"/>
              </w:rPr>
            </w:pPr>
            <w:r w:rsidRPr="006B13BC">
              <w:rPr>
                <w:rFonts w:eastAsia="Calibri"/>
              </w:rPr>
              <w:t>6,8</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6A085BB5" w14:textId="77777777" w:rsidR="00C64805" w:rsidRPr="006B13BC" w:rsidRDefault="00C64805" w:rsidP="006B13BC">
            <w:pPr>
              <w:pStyle w:val="Tabulascipari"/>
              <w:spacing w:after="0"/>
              <w:ind w:left="0"/>
              <w:rPr>
                <w:rFonts w:eastAsia="Calibri"/>
              </w:rPr>
            </w:pPr>
            <w:r w:rsidRPr="006B13BC">
              <w:rPr>
                <w:rFonts w:eastAsia="Calibri"/>
              </w:rPr>
              <w:t>9,5</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5DB3145B" w14:textId="77777777" w:rsidR="00C64805" w:rsidRPr="006B13BC" w:rsidRDefault="00C64805" w:rsidP="006B13BC">
            <w:pPr>
              <w:pStyle w:val="Tabulascipari"/>
              <w:spacing w:after="0"/>
              <w:ind w:left="0"/>
              <w:rPr>
                <w:rFonts w:eastAsia="Calibri"/>
              </w:rPr>
            </w:pPr>
            <w:r w:rsidRPr="006B13BC">
              <w:rPr>
                <w:rFonts w:eastAsia="Calibri"/>
              </w:rPr>
              <w:t>+2,7</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3A20CC96" w14:textId="77777777" w:rsidR="00C64805" w:rsidRPr="006B13BC" w:rsidRDefault="00C64805" w:rsidP="006B13BC">
            <w:pPr>
              <w:pStyle w:val="Tabulascipari"/>
              <w:spacing w:after="0"/>
              <w:ind w:left="0"/>
              <w:rPr>
                <w:rFonts w:eastAsia="Calibri"/>
              </w:rPr>
            </w:pPr>
            <w:r w:rsidRPr="006B13BC">
              <w:rPr>
                <w:rFonts w:eastAsia="Calibri"/>
              </w:rPr>
              <w:t>40,5</w:t>
            </w:r>
          </w:p>
        </w:tc>
      </w:tr>
      <w:tr w:rsidR="006B13BC" w:rsidRPr="004A3BF6" w14:paraId="40BA1A05"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44785667" w14:textId="77777777" w:rsidR="00C64805" w:rsidRPr="006B13BC" w:rsidRDefault="00C64805" w:rsidP="006B13BC">
            <w:pPr>
              <w:pStyle w:val="Tabulasteksts"/>
              <w:spacing w:after="0"/>
              <w:ind w:left="0"/>
              <w:rPr>
                <w:rFonts w:eastAsia="Calibri"/>
              </w:rPr>
            </w:pPr>
            <w:r w:rsidRPr="006B13BC">
              <w:rPr>
                <w:rFonts w:eastAsia="Calibri"/>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7978FB9" w14:textId="77777777" w:rsidR="00C64805" w:rsidRPr="006B13BC" w:rsidRDefault="00C64805" w:rsidP="006B13BC">
            <w:pPr>
              <w:pStyle w:val="Tabulascipari"/>
              <w:spacing w:after="0"/>
              <w:ind w:left="0"/>
              <w:rPr>
                <w:rFonts w:eastAsia="Calibri"/>
              </w:rPr>
            </w:pPr>
            <w:r w:rsidRPr="006B13BC">
              <w:rPr>
                <w:rFonts w:eastAsia="Calibri"/>
              </w:rPr>
              <w:t>25,6</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6C719208" w14:textId="77777777" w:rsidR="00C64805" w:rsidRPr="006B13BC" w:rsidRDefault="00C64805" w:rsidP="006B13BC">
            <w:pPr>
              <w:pStyle w:val="Tabulascipari"/>
              <w:spacing w:after="0"/>
              <w:ind w:left="0"/>
              <w:rPr>
                <w:rFonts w:eastAsia="Calibri"/>
              </w:rPr>
            </w:pPr>
            <w:r w:rsidRPr="006B13BC">
              <w:rPr>
                <w:rFonts w:eastAsia="Calibri"/>
              </w:rPr>
              <w:t>22,2</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5BFC3756" w14:textId="77777777" w:rsidR="00C64805" w:rsidRPr="006B13BC" w:rsidRDefault="00C64805" w:rsidP="006B13BC">
            <w:pPr>
              <w:pStyle w:val="Tabulascipari"/>
              <w:spacing w:after="0"/>
              <w:ind w:left="0"/>
              <w:rPr>
                <w:rFonts w:eastAsia="Calibri"/>
              </w:rPr>
            </w:pPr>
            <w:r w:rsidRPr="006B13BC">
              <w:rPr>
                <w:rFonts w:eastAsia="Calibri"/>
              </w:rPr>
              <w:t>-3,4</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75E3D6F3" w14:textId="77777777" w:rsidR="00C64805" w:rsidRPr="006B13BC" w:rsidRDefault="00C64805" w:rsidP="006B13BC">
            <w:pPr>
              <w:pStyle w:val="Tabulascipari"/>
              <w:spacing w:after="0"/>
              <w:ind w:left="0"/>
              <w:rPr>
                <w:rFonts w:eastAsia="Calibri"/>
              </w:rPr>
            </w:pPr>
            <w:r w:rsidRPr="006B13BC">
              <w:rPr>
                <w:rFonts w:eastAsia="Calibri"/>
              </w:rPr>
              <w:t>-13,2</w:t>
            </w:r>
          </w:p>
        </w:tc>
      </w:tr>
      <w:tr w:rsidR="006B13BC" w:rsidRPr="00A22969" w14:paraId="10F39443"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3E850177" w14:textId="77777777" w:rsidR="00C64805" w:rsidRPr="006B13BC" w:rsidRDefault="00C64805" w:rsidP="006B13BC">
            <w:pPr>
              <w:pStyle w:val="Tabulasteksts"/>
              <w:spacing w:after="0"/>
              <w:ind w:left="0"/>
              <w:rPr>
                <w:rFonts w:eastAsia="Calibri"/>
                <w:b/>
                <w:bCs/>
              </w:rPr>
            </w:pPr>
            <w:r w:rsidRPr="006B13BC">
              <w:rPr>
                <w:rFonts w:eastAsia="Calibri"/>
                <w:b/>
                <w:bCs/>
              </w:rPr>
              <w:t>PVN</w:t>
            </w:r>
            <w:r w:rsidRPr="00EE3763">
              <w:rPr>
                <w:rFonts w:eastAsia="Calibri"/>
              </w:rPr>
              <w:t>, t.sk.:</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0F960F4B" w14:textId="77777777" w:rsidR="00C64805" w:rsidRPr="006B13BC" w:rsidRDefault="00C64805" w:rsidP="006B13BC">
            <w:pPr>
              <w:pStyle w:val="Tabulascipari"/>
              <w:spacing w:after="0"/>
              <w:ind w:left="0"/>
              <w:rPr>
                <w:rFonts w:eastAsia="Calibri"/>
                <w:b/>
                <w:bCs/>
              </w:rPr>
            </w:pPr>
            <w:r w:rsidRPr="006B13BC">
              <w:rPr>
                <w:rFonts w:eastAsia="Calibri"/>
                <w:b/>
                <w:bCs/>
              </w:rPr>
              <w:t>390,4</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0AD57AA7" w14:textId="77777777" w:rsidR="00C64805" w:rsidRPr="006B13BC" w:rsidRDefault="00C64805" w:rsidP="006B13BC">
            <w:pPr>
              <w:pStyle w:val="Tabulascipari"/>
              <w:spacing w:after="0"/>
              <w:ind w:left="0"/>
              <w:rPr>
                <w:rFonts w:eastAsia="Calibri"/>
                <w:b/>
                <w:bCs/>
              </w:rPr>
            </w:pPr>
            <w:r w:rsidRPr="006B13BC">
              <w:rPr>
                <w:rFonts w:eastAsia="Calibri"/>
                <w:b/>
                <w:bCs/>
              </w:rPr>
              <w:t>290,2</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3ACF1A4E" w14:textId="77777777" w:rsidR="00C64805" w:rsidRPr="006B13BC" w:rsidRDefault="00C64805" w:rsidP="006B13BC">
            <w:pPr>
              <w:pStyle w:val="Tabulascipari"/>
              <w:spacing w:after="0"/>
              <w:ind w:left="0"/>
              <w:rPr>
                <w:rFonts w:eastAsia="Calibri"/>
                <w:b/>
                <w:bCs/>
              </w:rPr>
            </w:pPr>
            <w:r w:rsidRPr="006B13BC">
              <w:rPr>
                <w:rFonts w:eastAsia="Calibri"/>
                <w:b/>
                <w:bCs/>
              </w:rPr>
              <w:t>-100,2</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363100AC" w14:textId="77777777" w:rsidR="00C64805" w:rsidRPr="006B13BC" w:rsidRDefault="00C64805" w:rsidP="006B13BC">
            <w:pPr>
              <w:pStyle w:val="Tabulascipari"/>
              <w:spacing w:after="0"/>
              <w:ind w:left="0"/>
              <w:rPr>
                <w:rFonts w:eastAsia="Calibri"/>
                <w:b/>
                <w:bCs/>
              </w:rPr>
            </w:pPr>
            <w:r w:rsidRPr="006B13BC">
              <w:rPr>
                <w:rFonts w:eastAsia="Calibri"/>
                <w:b/>
                <w:bCs/>
              </w:rPr>
              <w:t>-25,7</w:t>
            </w:r>
          </w:p>
        </w:tc>
      </w:tr>
      <w:tr w:rsidR="006B13BC" w:rsidRPr="004A3BF6" w14:paraId="4CF90739"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6B8B96A5" w14:textId="77777777" w:rsidR="00C64805" w:rsidRPr="006B13BC" w:rsidRDefault="00C64805" w:rsidP="006B13BC">
            <w:pPr>
              <w:pStyle w:val="Tabulasteksts"/>
              <w:spacing w:after="0"/>
              <w:ind w:left="0"/>
              <w:rPr>
                <w:rFonts w:eastAsia="Calibri"/>
              </w:rPr>
            </w:pPr>
            <w:r w:rsidRPr="006B13BC">
              <w:rPr>
                <w:rFonts w:eastAsia="Calibri"/>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651F1CA5" w14:textId="77777777" w:rsidR="00C64805" w:rsidRPr="006B13BC" w:rsidRDefault="00C64805" w:rsidP="006B13BC">
            <w:pPr>
              <w:pStyle w:val="Tabulascipari"/>
              <w:spacing w:after="0"/>
              <w:ind w:left="0"/>
              <w:rPr>
                <w:rFonts w:eastAsia="Calibri"/>
              </w:rPr>
            </w:pPr>
            <w:r w:rsidRPr="006B13BC">
              <w:rPr>
                <w:rFonts w:eastAsia="Calibri"/>
              </w:rPr>
              <w:t>177,8</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759AC493" w14:textId="77777777" w:rsidR="00C64805" w:rsidRPr="006B13BC" w:rsidRDefault="00C64805" w:rsidP="006B13BC">
            <w:pPr>
              <w:pStyle w:val="Tabulascipari"/>
              <w:spacing w:after="0"/>
              <w:ind w:left="0"/>
              <w:rPr>
                <w:rFonts w:eastAsia="Calibri"/>
              </w:rPr>
            </w:pPr>
            <w:r w:rsidRPr="006B13BC">
              <w:rPr>
                <w:rFonts w:eastAsia="Calibri"/>
              </w:rPr>
              <w:t>127,7</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4D74250D" w14:textId="77777777" w:rsidR="00C64805" w:rsidRPr="006B13BC" w:rsidRDefault="00C64805" w:rsidP="006B13BC">
            <w:pPr>
              <w:pStyle w:val="Tabulascipari"/>
              <w:spacing w:after="0"/>
              <w:ind w:left="0"/>
              <w:rPr>
                <w:rFonts w:eastAsia="Calibri"/>
              </w:rPr>
            </w:pPr>
            <w:r w:rsidRPr="006B13BC">
              <w:rPr>
                <w:rFonts w:eastAsia="Calibri"/>
              </w:rPr>
              <w:t>-50,1</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7BBE420E" w14:textId="77777777" w:rsidR="00C64805" w:rsidRPr="006B13BC" w:rsidRDefault="00C64805" w:rsidP="006B13BC">
            <w:pPr>
              <w:pStyle w:val="Tabulascipari"/>
              <w:spacing w:after="0"/>
              <w:ind w:left="0"/>
              <w:rPr>
                <w:rFonts w:eastAsia="Calibri"/>
              </w:rPr>
            </w:pPr>
            <w:r w:rsidRPr="006B13BC">
              <w:rPr>
                <w:rFonts w:eastAsia="Calibri"/>
              </w:rPr>
              <w:t>-28,2</w:t>
            </w:r>
          </w:p>
        </w:tc>
      </w:tr>
      <w:tr w:rsidR="006B13BC" w:rsidRPr="004A3BF6" w14:paraId="3603B76B"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08970488" w14:textId="77777777" w:rsidR="00C64805" w:rsidRPr="006B13BC" w:rsidRDefault="00C64805" w:rsidP="006B13BC">
            <w:pPr>
              <w:pStyle w:val="Tabulasteksts"/>
              <w:spacing w:after="0"/>
              <w:ind w:left="0"/>
              <w:rPr>
                <w:rFonts w:eastAsia="Calibri"/>
              </w:rPr>
            </w:pPr>
            <w:r w:rsidRPr="006B13BC">
              <w:rPr>
                <w:rFonts w:eastAsia="Calibri"/>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24957B52" w14:textId="77777777" w:rsidR="00C64805" w:rsidRPr="006B13BC" w:rsidRDefault="00C64805" w:rsidP="006B13BC">
            <w:pPr>
              <w:pStyle w:val="Tabulascipari"/>
              <w:spacing w:after="0"/>
              <w:ind w:left="0"/>
              <w:rPr>
                <w:rFonts w:eastAsia="Calibri"/>
              </w:rPr>
            </w:pPr>
            <w:r w:rsidRPr="006B13BC">
              <w:rPr>
                <w:rFonts w:eastAsia="Calibri"/>
              </w:rPr>
              <w:t>73,2</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15A8CF2F" w14:textId="77777777" w:rsidR="00C64805" w:rsidRPr="006B13BC" w:rsidRDefault="00C64805" w:rsidP="006B13BC">
            <w:pPr>
              <w:pStyle w:val="Tabulascipari"/>
              <w:spacing w:after="0"/>
              <w:ind w:left="0"/>
              <w:rPr>
                <w:rFonts w:eastAsia="Calibri"/>
              </w:rPr>
            </w:pPr>
            <w:r w:rsidRPr="006B13BC">
              <w:rPr>
                <w:rFonts w:eastAsia="Calibri"/>
              </w:rPr>
              <w:t>49,6</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0821021D" w14:textId="77777777" w:rsidR="00C64805" w:rsidRPr="006B13BC" w:rsidRDefault="00C64805" w:rsidP="006B13BC">
            <w:pPr>
              <w:pStyle w:val="Tabulascipari"/>
              <w:spacing w:after="0"/>
              <w:ind w:left="0"/>
              <w:rPr>
                <w:rFonts w:eastAsia="Calibri"/>
              </w:rPr>
            </w:pPr>
            <w:r w:rsidRPr="006B13BC">
              <w:rPr>
                <w:rFonts w:eastAsia="Calibri"/>
              </w:rPr>
              <w:t>-23,6</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755AC350" w14:textId="77777777" w:rsidR="00C64805" w:rsidRPr="006B13BC" w:rsidRDefault="00C64805" w:rsidP="006B13BC">
            <w:pPr>
              <w:pStyle w:val="Tabulascipari"/>
              <w:spacing w:after="0"/>
              <w:ind w:left="0"/>
              <w:rPr>
                <w:rFonts w:eastAsia="Calibri"/>
              </w:rPr>
            </w:pPr>
            <w:r w:rsidRPr="006B13BC">
              <w:rPr>
                <w:rFonts w:eastAsia="Calibri"/>
              </w:rPr>
              <w:t>-32,3</w:t>
            </w:r>
          </w:p>
        </w:tc>
      </w:tr>
      <w:tr w:rsidR="006B13BC" w:rsidRPr="004A3BF6" w14:paraId="6ADED6FE"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47A05851" w14:textId="77777777" w:rsidR="00C64805" w:rsidRPr="006B13BC" w:rsidRDefault="00C64805" w:rsidP="006B13BC">
            <w:pPr>
              <w:pStyle w:val="Tabulasteksts"/>
              <w:spacing w:after="0"/>
              <w:ind w:left="0"/>
              <w:rPr>
                <w:rFonts w:eastAsia="Calibri"/>
              </w:rPr>
            </w:pPr>
            <w:r w:rsidRPr="006B13BC">
              <w:rPr>
                <w:rFonts w:eastAsia="Calibri"/>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6D68EA19" w14:textId="77777777" w:rsidR="00C64805" w:rsidRPr="006B13BC" w:rsidRDefault="00C64805" w:rsidP="006B13BC">
            <w:pPr>
              <w:pStyle w:val="Tabulascipari"/>
              <w:spacing w:after="0"/>
              <w:ind w:left="0"/>
              <w:rPr>
                <w:rFonts w:eastAsia="Calibri"/>
              </w:rPr>
            </w:pPr>
            <w:r w:rsidRPr="006B13BC">
              <w:rPr>
                <w:rFonts w:eastAsia="Calibri"/>
              </w:rPr>
              <w:t>139,4</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6CE9B6A4" w14:textId="77777777" w:rsidR="00C64805" w:rsidRPr="006B13BC" w:rsidRDefault="00C64805" w:rsidP="006B13BC">
            <w:pPr>
              <w:pStyle w:val="Tabulascipari"/>
              <w:spacing w:after="0"/>
              <w:ind w:left="0"/>
              <w:rPr>
                <w:rFonts w:eastAsia="Calibri"/>
              </w:rPr>
            </w:pPr>
            <w:r w:rsidRPr="006B13BC">
              <w:rPr>
                <w:rFonts w:eastAsia="Calibri"/>
              </w:rPr>
              <w:t>112,9</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5D10B1A1" w14:textId="77777777" w:rsidR="00C64805" w:rsidRPr="006B13BC" w:rsidRDefault="00C64805" w:rsidP="006B13BC">
            <w:pPr>
              <w:pStyle w:val="Tabulascipari"/>
              <w:spacing w:after="0"/>
              <w:ind w:left="0"/>
              <w:rPr>
                <w:rFonts w:eastAsia="Calibri"/>
              </w:rPr>
            </w:pPr>
            <w:r w:rsidRPr="006B13BC">
              <w:rPr>
                <w:rFonts w:eastAsia="Calibri"/>
              </w:rPr>
              <w:t>-26,5</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647B57A9" w14:textId="77777777" w:rsidR="00C64805" w:rsidRPr="006B13BC" w:rsidRDefault="00C64805" w:rsidP="006B13BC">
            <w:pPr>
              <w:pStyle w:val="Tabulascipari"/>
              <w:spacing w:after="0"/>
              <w:ind w:left="0"/>
              <w:rPr>
                <w:rFonts w:eastAsia="Calibri"/>
              </w:rPr>
            </w:pPr>
            <w:r w:rsidRPr="006B13BC">
              <w:rPr>
                <w:rFonts w:eastAsia="Calibri"/>
              </w:rPr>
              <w:t>-19,0</w:t>
            </w:r>
          </w:p>
        </w:tc>
      </w:tr>
      <w:tr w:rsidR="006B13BC" w:rsidRPr="00A22969" w14:paraId="717B0855"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01EABDFF" w14:textId="77777777" w:rsidR="00C64805" w:rsidRPr="006B13BC" w:rsidRDefault="00C64805" w:rsidP="006B13BC">
            <w:pPr>
              <w:pStyle w:val="Tabulasteksts"/>
              <w:spacing w:after="0"/>
              <w:ind w:left="0"/>
              <w:rPr>
                <w:rFonts w:eastAsia="Calibri"/>
                <w:b/>
                <w:bCs/>
              </w:rPr>
            </w:pPr>
            <w:r w:rsidRPr="006B13BC">
              <w:rPr>
                <w:rFonts w:eastAsia="Calibri"/>
                <w:b/>
                <w:bCs/>
              </w:rPr>
              <w:t xml:space="preserve">Akcīzes nodoklis, </w:t>
            </w:r>
            <w:r w:rsidRPr="00EE3763">
              <w:rPr>
                <w:rFonts w:eastAsia="Calibri"/>
              </w:rPr>
              <w:t>t.sk.:</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25878C85" w14:textId="77777777" w:rsidR="00C64805" w:rsidRPr="006B13BC" w:rsidRDefault="00C64805" w:rsidP="006B13BC">
            <w:pPr>
              <w:pStyle w:val="Tabulascipari"/>
              <w:spacing w:after="0"/>
              <w:ind w:left="0"/>
              <w:rPr>
                <w:rFonts w:eastAsia="Calibri"/>
                <w:b/>
                <w:bCs/>
              </w:rPr>
            </w:pPr>
            <w:r w:rsidRPr="006B13BC">
              <w:rPr>
                <w:rFonts w:eastAsia="Calibri"/>
                <w:b/>
                <w:bCs/>
              </w:rPr>
              <w:t>38,6</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C269C97" w14:textId="77777777" w:rsidR="00C64805" w:rsidRPr="006B13BC" w:rsidRDefault="00C64805" w:rsidP="006B13BC">
            <w:pPr>
              <w:pStyle w:val="Tabulascipari"/>
              <w:spacing w:after="0"/>
              <w:ind w:left="0"/>
              <w:rPr>
                <w:rFonts w:eastAsia="Calibri"/>
                <w:b/>
                <w:bCs/>
              </w:rPr>
            </w:pPr>
            <w:r w:rsidRPr="006B13BC">
              <w:rPr>
                <w:rFonts w:eastAsia="Calibri"/>
                <w:b/>
                <w:bCs/>
              </w:rPr>
              <w:t>44,7</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50522844" w14:textId="77777777" w:rsidR="00C64805" w:rsidRPr="006B13BC" w:rsidRDefault="00C64805" w:rsidP="006B13BC">
            <w:pPr>
              <w:pStyle w:val="Tabulascipari"/>
              <w:spacing w:after="0"/>
              <w:ind w:left="0"/>
              <w:rPr>
                <w:rFonts w:eastAsia="Calibri"/>
                <w:b/>
                <w:bCs/>
              </w:rPr>
            </w:pPr>
            <w:r w:rsidRPr="006B13BC">
              <w:rPr>
                <w:rFonts w:eastAsia="Calibri"/>
                <w:b/>
                <w:bCs/>
              </w:rPr>
              <w:t>+6,1</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7ADFA99E" w14:textId="77777777" w:rsidR="00C64805" w:rsidRPr="006B13BC" w:rsidRDefault="00C64805" w:rsidP="006B13BC">
            <w:pPr>
              <w:pStyle w:val="Tabulascipari"/>
              <w:spacing w:after="0"/>
              <w:ind w:left="0"/>
              <w:rPr>
                <w:rFonts w:eastAsia="Calibri"/>
                <w:b/>
                <w:bCs/>
              </w:rPr>
            </w:pPr>
            <w:r w:rsidRPr="006B13BC">
              <w:rPr>
                <w:rFonts w:eastAsia="Calibri"/>
                <w:b/>
                <w:bCs/>
              </w:rPr>
              <w:t>+15,9</w:t>
            </w:r>
          </w:p>
        </w:tc>
      </w:tr>
      <w:tr w:rsidR="006B13BC" w:rsidRPr="004A3BF6" w14:paraId="5B49814E"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17FBA17D" w14:textId="77777777" w:rsidR="00C64805" w:rsidRPr="006B13BC" w:rsidRDefault="00C64805" w:rsidP="006B13BC">
            <w:pPr>
              <w:pStyle w:val="Tabulasteksts"/>
              <w:spacing w:after="0"/>
              <w:ind w:left="0"/>
              <w:rPr>
                <w:rFonts w:eastAsia="Calibri"/>
              </w:rPr>
            </w:pPr>
            <w:r w:rsidRPr="006B13BC">
              <w:rPr>
                <w:rFonts w:eastAsia="Calibri"/>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2B6EEE96" w14:textId="77777777" w:rsidR="00C64805" w:rsidRPr="006B13BC" w:rsidRDefault="00C64805" w:rsidP="006B13BC">
            <w:pPr>
              <w:pStyle w:val="Tabulascipari"/>
              <w:spacing w:after="0"/>
              <w:ind w:left="0"/>
              <w:rPr>
                <w:rFonts w:eastAsia="Calibri"/>
              </w:rPr>
            </w:pPr>
            <w:r w:rsidRPr="006B13BC">
              <w:rPr>
                <w:rFonts w:eastAsia="Calibri"/>
              </w:rPr>
              <w:t>5,1</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9C3B07B" w14:textId="77777777" w:rsidR="00C64805" w:rsidRPr="006B13BC" w:rsidRDefault="00C64805" w:rsidP="006B13BC">
            <w:pPr>
              <w:pStyle w:val="Tabulascipari"/>
              <w:spacing w:after="0"/>
              <w:ind w:left="0"/>
              <w:rPr>
                <w:rFonts w:eastAsia="Calibri"/>
              </w:rPr>
            </w:pPr>
            <w:r w:rsidRPr="006B13BC">
              <w:rPr>
                <w:rFonts w:eastAsia="Calibri"/>
              </w:rPr>
              <w:t>6,7</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43563D2B" w14:textId="77777777" w:rsidR="00C64805" w:rsidRPr="006B13BC" w:rsidRDefault="00C64805" w:rsidP="006B13BC">
            <w:pPr>
              <w:pStyle w:val="Tabulascipari"/>
              <w:spacing w:after="0"/>
              <w:ind w:left="0"/>
              <w:rPr>
                <w:rFonts w:eastAsia="Calibri"/>
              </w:rPr>
            </w:pPr>
            <w:r w:rsidRPr="006B13BC">
              <w:rPr>
                <w:rFonts w:eastAsia="Calibri"/>
              </w:rPr>
              <w:t>+1,5</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5E757655" w14:textId="77777777" w:rsidR="00C64805" w:rsidRPr="006B13BC" w:rsidRDefault="00C64805" w:rsidP="006B13BC">
            <w:pPr>
              <w:pStyle w:val="Tabulascipari"/>
              <w:spacing w:after="0"/>
              <w:ind w:left="0"/>
              <w:rPr>
                <w:rFonts w:eastAsia="Calibri"/>
              </w:rPr>
            </w:pPr>
            <w:r w:rsidRPr="006B13BC">
              <w:rPr>
                <w:rFonts w:eastAsia="Calibri"/>
              </w:rPr>
              <w:t>+29,5</w:t>
            </w:r>
          </w:p>
        </w:tc>
      </w:tr>
      <w:tr w:rsidR="006B13BC" w:rsidRPr="004A3BF6" w14:paraId="4E0DE809"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2DF272CA" w14:textId="77777777" w:rsidR="00C64805" w:rsidRPr="006B13BC" w:rsidRDefault="00C64805" w:rsidP="006B13BC">
            <w:pPr>
              <w:pStyle w:val="Tabulasteksts"/>
              <w:spacing w:after="0"/>
              <w:ind w:left="0"/>
              <w:rPr>
                <w:rFonts w:eastAsia="Calibri"/>
              </w:rPr>
            </w:pPr>
            <w:r w:rsidRPr="006B13BC">
              <w:rPr>
                <w:rFonts w:eastAsia="Calibri"/>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492A86F9" w14:textId="77777777" w:rsidR="00C64805" w:rsidRPr="006B13BC" w:rsidRDefault="00C64805" w:rsidP="006B13BC">
            <w:pPr>
              <w:pStyle w:val="Tabulascipari"/>
              <w:spacing w:after="0"/>
              <w:ind w:left="0"/>
              <w:rPr>
                <w:rFonts w:eastAsia="Calibri"/>
              </w:rPr>
            </w:pPr>
            <w:r w:rsidRPr="006B13BC">
              <w:rPr>
                <w:rFonts w:eastAsia="Calibri"/>
              </w:rPr>
              <w:t>5,5</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7F88E541" w14:textId="77777777" w:rsidR="00C64805" w:rsidRPr="006B13BC" w:rsidRDefault="00C64805" w:rsidP="006B13BC">
            <w:pPr>
              <w:pStyle w:val="Tabulascipari"/>
              <w:spacing w:after="0"/>
              <w:ind w:left="0"/>
              <w:rPr>
                <w:rFonts w:eastAsia="Calibri"/>
              </w:rPr>
            </w:pPr>
            <w:r w:rsidRPr="006B13BC">
              <w:rPr>
                <w:rFonts w:eastAsia="Calibri"/>
              </w:rPr>
              <w:t>8,8</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41CFF6E8" w14:textId="77777777" w:rsidR="00C64805" w:rsidRPr="006B13BC" w:rsidRDefault="00C64805" w:rsidP="006B13BC">
            <w:pPr>
              <w:pStyle w:val="Tabulascipari"/>
              <w:spacing w:after="0"/>
              <w:ind w:left="0"/>
              <w:rPr>
                <w:rFonts w:eastAsia="Calibri"/>
              </w:rPr>
            </w:pPr>
            <w:r w:rsidRPr="006B13BC">
              <w:rPr>
                <w:rFonts w:eastAsia="Calibri"/>
              </w:rPr>
              <w:t>+3,3</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62400BB4" w14:textId="77777777" w:rsidR="00C64805" w:rsidRPr="006B13BC" w:rsidRDefault="00C64805" w:rsidP="006B13BC">
            <w:pPr>
              <w:pStyle w:val="Tabulascipari"/>
              <w:spacing w:after="0"/>
              <w:ind w:left="0"/>
              <w:rPr>
                <w:rFonts w:eastAsia="Calibri"/>
              </w:rPr>
            </w:pPr>
            <w:r w:rsidRPr="006B13BC">
              <w:rPr>
                <w:rFonts w:eastAsia="Calibri"/>
              </w:rPr>
              <w:t>+59,7</w:t>
            </w:r>
          </w:p>
        </w:tc>
      </w:tr>
      <w:tr w:rsidR="006B13BC" w:rsidRPr="004A3BF6" w14:paraId="2B3FACB2"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068B6D7A" w14:textId="77777777" w:rsidR="00C64805" w:rsidRPr="006B13BC" w:rsidRDefault="00C64805" w:rsidP="006B13BC">
            <w:pPr>
              <w:pStyle w:val="Tabulasteksts"/>
              <w:spacing w:after="0"/>
              <w:ind w:left="0"/>
              <w:rPr>
                <w:rFonts w:eastAsia="Calibri"/>
              </w:rPr>
            </w:pPr>
            <w:r w:rsidRPr="006B13BC">
              <w:rPr>
                <w:rFonts w:eastAsia="Calibri"/>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2DF38A62" w14:textId="77777777" w:rsidR="00C64805" w:rsidRPr="006B13BC" w:rsidRDefault="00C64805" w:rsidP="006B13BC">
            <w:pPr>
              <w:pStyle w:val="Tabulascipari"/>
              <w:spacing w:after="0"/>
              <w:ind w:left="0"/>
              <w:rPr>
                <w:rFonts w:eastAsia="Calibri"/>
              </w:rPr>
            </w:pPr>
            <w:r w:rsidRPr="006B13BC">
              <w:rPr>
                <w:rFonts w:eastAsia="Calibri"/>
              </w:rPr>
              <w:t>27,9</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731099C1" w14:textId="77777777" w:rsidR="00C64805" w:rsidRPr="006B13BC" w:rsidRDefault="00C64805" w:rsidP="006B13BC">
            <w:pPr>
              <w:pStyle w:val="Tabulascipari"/>
              <w:spacing w:after="0"/>
              <w:ind w:left="0"/>
              <w:rPr>
                <w:rFonts w:eastAsia="Calibri"/>
              </w:rPr>
            </w:pPr>
            <w:r w:rsidRPr="006B13BC">
              <w:rPr>
                <w:rFonts w:eastAsia="Calibri"/>
              </w:rPr>
              <w:t>29,3</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5EE77E3E" w14:textId="77777777" w:rsidR="00C64805" w:rsidRPr="006B13BC" w:rsidRDefault="00C64805" w:rsidP="006B13BC">
            <w:pPr>
              <w:pStyle w:val="Tabulascipari"/>
              <w:spacing w:after="0"/>
              <w:ind w:left="0"/>
              <w:rPr>
                <w:rFonts w:eastAsia="Calibri"/>
              </w:rPr>
            </w:pPr>
            <w:r w:rsidRPr="006B13BC">
              <w:rPr>
                <w:rFonts w:eastAsia="Calibri"/>
              </w:rPr>
              <w:t>+1,3</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71E2F78C" w14:textId="77777777" w:rsidR="00C64805" w:rsidRPr="006B13BC" w:rsidRDefault="00C64805" w:rsidP="006B13BC">
            <w:pPr>
              <w:pStyle w:val="Tabulascipari"/>
              <w:spacing w:after="0"/>
              <w:ind w:left="0"/>
              <w:rPr>
                <w:rFonts w:eastAsia="Calibri"/>
              </w:rPr>
            </w:pPr>
            <w:r w:rsidRPr="006B13BC">
              <w:rPr>
                <w:rFonts w:eastAsia="Calibri"/>
              </w:rPr>
              <w:t>+4,8</w:t>
            </w:r>
          </w:p>
        </w:tc>
      </w:tr>
      <w:tr w:rsidR="006B13BC" w:rsidRPr="00A22969" w14:paraId="76F38250"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44D105CD" w14:textId="77777777" w:rsidR="00C64805" w:rsidRPr="006B13BC" w:rsidRDefault="00C64805" w:rsidP="006B13BC">
            <w:pPr>
              <w:pStyle w:val="Tabulasteksts"/>
              <w:spacing w:after="0"/>
              <w:ind w:left="0"/>
              <w:rPr>
                <w:rFonts w:eastAsia="Calibri"/>
                <w:b/>
                <w:bCs/>
              </w:rPr>
            </w:pPr>
            <w:r w:rsidRPr="006B13BC">
              <w:rPr>
                <w:rFonts w:eastAsia="Calibri"/>
                <w:b/>
                <w:bCs/>
              </w:rPr>
              <w:t>IIN</w:t>
            </w:r>
            <w:r w:rsidRPr="00EE3763">
              <w:rPr>
                <w:rFonts w:eastAsia="Calibri"/>
              </w:rPr>
              <w:t>, t.sk.:</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21D85AD9" w14:textId="77777777" w:rsidR="00C64805" w:rsidRPr="006B13BC" w:rsidRDefault="00C64805" w:rsidP="006B13BC">
            <w:pPr>
              <w:pStyle w:val="Tabulascipari"/>
              <w:spacing w:after="0"/>
              <w:ind w:left="0"/>
              <w:rPr>
                <w:rFonts w:eastAsia="Calibri"/>
                <w:b/>
                <w:bCs/>
              </w:rPr>
            </w:pPr>
            <w:r w:rsidRPr="006B13BC">
              <w:rPr>
                <w:rFonts w:eastAsia="Calibri"/>
                <w:b/>
                <w:bCs/>
              </w:rPr>
              <w:t>301,1</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0421F45A" w14:textId="77777777" w:rsidR="00C64805" w:rsidRPr="006B13BC" w:rsidRDefault="00C64805" w:rsidP="006B13BC">
            <w:pPr>
              <w:pStyle w:val="Tabulascipari"/>
              <w:spacing w:after="0"/>
              <w:ind w:left="0"/>
              <w:rPr>
                <w:rFonts w:eastAsia="Calibri"/>
                <w:b/>
                <w:bCs/>
              </w:rPr>
            </w:pPr>
            <w:r w:rsidRPr="006B13BC">
              <w:rPr>
                <w:rFonts w:eastAsia="Calibri"/>
                <w:b/>
                <w:bCs/>
              </w:rPr>
              <w:t>280,8</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25A7D90B" w14:textId="77777777" w:rsidR="00C64805" w:rsidRPr="006B13BC" w:rsidRDefault="00C64805" w:rsidP="006B13BC">
            <w:pPr>
              <w:pStyle w:val="Tabulascipari"/>
              <w:spacing w:after="0"/>
              <w:ind w:left="0"/>
              <w:rPr>
                <w:rFonts w:eastAsia="Calibri"/>
                <w:b/>
                <w:bCs/>
              </w:rPr>
            </w:pPr>
            <w:r w:rsidRPr="006B13BC">
              <w:rPr>
                <w:rFonts w:eastAsia="Calibri"/>
                <w:b/>
                <w:bCs/>
              </w:rPr>
              <w:t>-20,4</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333E4540" w14:textId="77777777" w:rsidR="00C64805" w:rsidRPr="006B13BC" w:rsidRDefault="00C64805" w:rsidP="006B13BC">
            <w:pPr>
              <w:pStyle w:val="Tabulascipari"/>
              <w:spacing w:after="0"/>
              <w:ind w:left="0"/>
              <w:rPr>
                <w:rFonts w:eastAsia="Calibri"/>
                <w:b/>
                <w:bCs/>
              </w:rPr>
            </w:pPr>
            <w:r w:rsidRPr="006B13BC">
              <w:rPr>
                <w:rFonts w:eastAsia="Calibri"/>
                <w:b/>
                <w:bCs/>
              </w:rPr>
              <w:t>-6,8</w:t>
            </w:r>
          </w:p>
        </w:tc>
      </w:tr>
      <w:tr w:rsidR="006B13BC" w:rsidRPr="004A3BF6" w14:paraId="086BD488"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76DB1DA3" w14:textId="77777777" w:rsidR="00C64805" w:rsidRPr="006B13BC" w:rsidRDefault="00C64805" w:rsidP="006B13BC">
            <w:pPr>
              <w:pStyle w:val="Tabulasteksts"/>
              <w:spacing w:after="0"/>
              <w:ind w:left="0"/>
              <w:rPr>
                <w:rFonts w:eastAsia="Calibri"/>
              </w:rPr>
            </w:pPr>
            <w:r w:rsidRPr="006B13BC">
              <w:rPr>
                <w:rFonts w:eastAsia="Calibri"/>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4F0CE9AE" w14:textId="77777777" w:rsidR="00C64805" w:rsidRPr="006B13BC" w:rsidRDefault="00C64805" w:rsidP="006B13BC">
            <w:pPr>
              <w:pStyle w:val="Tabulascipari"/>
              <w:spacing w:after="0"/>
              <w:ind w:left="0"/>
              <w:rPr>
                <w:rFonts w:eastAsia="Calibri"/>
              </w:rPr>
            </w:pPr>
            <w:r w:rsidRPr="006B13BC">
              <w:rPr>
                <w:rFonts w:eastAsia="Calibri"/>
              </w:rPr>
              <w:t>232,6</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3D6D8E9B" w14:textId="77777777" w:rsidR="00C64805" w:rsidRPr="006B13BC" w:rsidRDefault="00C64805" w:rsidP="006B13BC">
            <w:pPr>
              <w:pStyle w:val="Tabulascipari"/>
              <w:spacing w:after="0"/>
              <w:ind w:left="0"/>
              <w:rPr>
                <w:rFonts w:eastAsia="Calibri"/>
              </w:rPr>
            </w:pPr>
            <w:r w:rsidRPr="006B13BC">
              <w:rPr>
                <w:rFonts w:eastAsia="Calibri"/>
              </w:rPr>
              <w:t>217,2</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2F049458" w14:textId="77777777" w:rsidR="00C64805" w:rsidRPr="006B13BC" w:rsidRDefault="00C64805" w:rsidP="006B13BC">
            <w:pPr>
              <w:pStyle w:val="Tabulascipari"/>
              <w:spacing w:after="0"/>
              <w:ind w:left="0"/>
              <w:rPr>
                <w:rFonts w:eastAsia="Calibri"/>
              </w:rPr>
            </w:pPr>
            <w:r w:rsidRPr="006B13BC">
              <w:rPr>
                <w:rFonts w:eastAsia="Calibri"/>
              </w:rPr>
              <w:t>-15,4</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5DBBCB1C" w14:textId="77777777" w:rsidR="00C64805" w:rsidRPr="006B13BC" w:rsidRDefault="00C64805" w:rsidP="006B13BC">
            <w:pPr>
              <w:pStyle w:val="Tabulascipari"/>
              <w:spacing w:after="0"/>
              <w:ind w:left="0"/>
              <w:rPr>
                <w:rFonts w:eastAsia="Calibri"/>
              </w:rPr>
            </w:pPr>
            <w:r w:rsidRPr="006B13BC">
              <w:rPr>
                <w:rFonts w:eastAsia="Calibri"/>
              </w:rPr>
              <w:t>-6,6</w:t>
            </w:r>
          </w:p>
        </w:tc>
      </w:tr>
      <w:tr w:rsidR="006B13BC" w:rsidRPr="004A3BF6" w14:paraId="7F269F27"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2BC51357" w14:textId="77777777" w:rsidR="00C64805" w:rsidRPr="006B13BC" w:rsidRDefault="00C64805" w:rsidP="006B13BC">
            <w:pPr>
              <w:pStyle w:val="Tabulasteksts"/>
              <w:spacing w:after="0"/>
              <w:ind w:left="0"/>
              <w:rPr>
                <w:rFonts w:eastAsia="Calibri"/>
              </w:rPr>
            </w:pPr>
            <w:r w:rsidRPr="006B13BC">
              <w:rPr>
                <w:rFonts w:eastAsia="Calibri"/>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4283B158" w14:textId="77777777" w:rsidR="00C64805" w:rsidRPr="006B13BC" w:rsidRDefault="00C64805" w:rsidP="006B13BC">
            <w:pPr>
              <w:pStyle w:val="Tabulascipari"/>
              <w:spacing w:after="0"/>
              <w:ind w:left="0"/>
              <w:rPr>
                <w:rFonts w:eastAsia="Calibri"/>
              </w:rPr>
            </w:pPr>
            <w:r w:rsidRPr="006B13BC">
              <w:rPr>
                <w:rFonts w:eastAsia="Calibri"/>
              </w:rPr>
              <w:t>33,0</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1375469" w14:textId="77777777" w:rsidR="00C64805" w:rsidRPr="006B13BC" w:rsidRDefault="00C64805" w:rsidP="006B13BC">
            <w:pPr>
              <w:pStyle w:val="Tabulascipari"/>
              <w:spacing w:after="0"/>
              <w:ind w:left="0"/>
              <w:rPr>
                <w:rFonts w:eastAsia="Calibri"/>
              </w:rPr>
            </w:pPr>
            <w:r w:rsidRPr="006B13BC">
              <w:rPr>
                <w:rFonts w:eastAsia="Calibri"/>
              </w:rPr>
              <w:t>23,4</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52AE1902" w14:textId="77777777" w:rsidR="00C64805" w:rsidRPr="006B13BC" w:rsidRDefault="00C64805" w:rsidP="006B13BC">
            <w:pPr>
              <w:pStyle w:val="Tabulascipari"/>
              <w:spacing w:after="0"/>
              <w:ind w:left="0"/>
              <w:rPr>
                <w:rFonts w:eastAsia="Calibri"/>
              </w:rPr>
            </w:pPr>
            <w:r w:rsidRPr="006B13BC">
              <w:rPr>
                <w:rFonts w:eastAsia="Calibri"/>
              </w:rPr>
              <w:t>-9,6</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7C024BE6" w14:textId="77777777" w:rsidR="00C64805" w:rsidRPr="006B13BC" w:rsidRDefault="00C64805" w:rsidP="006B13BC">
            <w:pPr>
              <w:pStyle w:val="Tabulascipari"/>
              <w:spacing w:after="0"/>
              <w:ind w:left="0"/>
              <w:rPr>
                <w:rFonts w:eastAsia="Calibri"/>
              </w:rPr>
            </w:pPr>
            <w:r w:rsidRPr="006B13BC">
              <w:rPr>
                <w:rFonts w:eastAsia="Calibri"/>
              </w:rPr>
              <w:t>-29,1</w:t>
            </w:r>
          </w:p>
        </w:tc>
      </w:tr>
      <w:tr w:rsidR="006B13BC" w:rsidRPr="004A3BF6" w14:paraId="29FAE7E8"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07B48AE4" w14:textId="77777777" w:rsidR="00C64805" w:rsidRPr="006B13BC" w:rsidRDefault="00C64805" w:rsidP="006B13BC">
            <w:pPr>
              <w:pStyle w:val="Tabulasteksts"/>
              <w:spacing w:after="0"/>
              <w:ind w:left="0"/>
              <w:rPr>
                <w:rFonts w:eastAsia="Calibri"/>
              </w:rPr>
            </w:pPr>
            <w:r w:rsidRPr="006B13BC">
              <w:rPr>
                <w:rFonts w:eastAsia="Calibri"/>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3440F9B6" w14:textId="77777777" w:rsidR="00C64805" w:rsidRPr="006B13BC" w:rsidRDefault="00C64805" w:rsidP="006B13BC">
            <w:pPr>
              <w:pStyle w:val="Tabulascipari"/>
              <w:spacing w:after="0"/>
              <w:ind w:left="0"/>
              <w:rPr>
                <w:rFonts w:eastAsia="Calibri"/>
              </w:rPr>
            </w:pPr>
            <w:r w:rsidRPr="006B13BC">
              <w:rPr>
                <w:rFonts w:eastAsia="Calibri"/>
              </w:rPr>
              <w:t>35,5</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3BB88D64" w14:textId="77777777" w:rsidR="00C64805" w:rsidRPr="006B13BC" w:rsidRDefault="00C64805" w:rsidP="006B13BC">
            <w:pPr>
              <w:pStyle w:val="Tabulascipari"/>
              <w:spacing w:after="0"/>
              <w:ind w:left="0"/>
              <w:rPr>
                <w:rFonts w:eastAsia="Calibri"/>
              </w:rPr>
            </w:pPr>
            <w:r w:rsidRPr="006B13BC">
              <w:rPr>
                <w:rFonts w:eastAsia="Calibri"/>
              </w:rPr>
              <w:t>40,2</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3214F9BD" w14:textId="77777777" w:rsidR="00C64805" w:rsidRPr="006B13BC" w:rsidRDefault="00C64805" w:rsidP="006B13BC">
            <w:pPr>
              <w:pStyle w:val="Tabulascipari"/>
              <w:spacing w:after="0"/>
              <w:ind w:left="0"/>
              <w:rPr>
                <w:rFonts w:eastAsia="Calibri"/>
              </w:rPr>
            </w:pPr>
            <w:r w:rsidRPr="006B13BC">
              <w:rPr>
                <w:rFonts w:eastAsia="Calibri"/>
              </w:rPr>
              <w:t>+4,7</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69BD9B47" w14:textId="77777777" w:rsidR="00C64805" w:rsidRPr="006B13BC" w:rsidRDefault="00C64805" w:rsidP="006B13BC">
            <w:pPr>
              <w:pStyle w:val="Tabulascipari"/>
              <w:spacing w:after="0"/>
              <w:ind w:left="0"/>
              <w:rPr>
                <w:rFonts w:eastAsia="Calibri"/>
              </w:rPr>
            </w:pPr>
            <w:r w:rsidRPr="006B13BC">
              <w:rPr>
                <w:rFonts w:eastAsia="Calibri"/>
              </w:rPr>
              <w:t>+13,2</w:t>
            </w:r>
          </w:p>
        </w:tc>
      </w:tr>
      <w:tr w:rsidR="006B13BC" w:rsidRPr="00A22969" w14:paraId="753FDC49"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199F8574" w14:textId="77777777" w:rsidR="00C64805" w:rsidRPr="006B13BC" w:rsidRDefault="00C64805" w:rsidP="006B13BC">
            <w:pPr>
              <w:pStyle w:val="Tabulasteksts"/>
              <w:spacing w:after="0"/>
              <w:ind w:left="0"/>
              <w:rPr>
                <w:rFonts w:eastAsia="Calibri"/>
                <w:b/>
                <w:bCs/>
              </w:rPr>
            </w:pPr>
            <w:r w:rsidRPr="006B13BC">
              <w:rPr>
                <w:rFonts w:eastAsia="Calibri"/>
                <w:b/>
                <w:bCs/>
              </w:rPr>
              <w:t xml:space="preserve">VSAOI, </w:t>
            </w:r>
            <w:r w:rsidRPr="00CE4300">
              <w:rPr>
                <w:rFonts w:eastAsia="Calibri"/>
              </w:rPr>
              <w:t>t.sk.:</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17CF6246" w14:textId="77777777" w:rsidR="00C64805" w:rsidRPr="006B13BC" w:rsidRDefault="00C64805" w:rsidP="006B13BC">
            <w:pPr>
              <w:pStyle w:val="Tabulascipari"/>
              <w:spacing w:after="0"/>
              <w:ind w:left="0"/>
              <w:rPr>
                <w:rFonts w:eastAsia="Calibri"/>
                <w:b/>
                <w:bCs/>
              </w:rPr>
            </w:pPr>
            <w:r w:rsidRPr="006B13BC">
              <w:rPr>
                <w:rFonts w:eastAsia="Calibri"/>
                <w:b/>
                <w:bCs/>
              </w:rPr>
              <w:t>204,1</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09F9D493" w14:textId="77777777" w:rsidR="00C64805" w:rsidRPr="006B13BC" w:rsidRDefault="00C64805" w:rsidP="006B13BC">
            <w:pPr>
              <w:pStyle w:val="Tabulascipari"/>
              <w:spacing w:after="0"/>
              <w:ind w:left="0"/>
              <w:rPr>
                <w:rFonts w:eastAsia="Calibri"/>
                <w:b/>
                <w:bCs/>
              </w:rPr>
            </w:pPr>
            <w:r w:rsidRPr="006B13BC">
              <w:rPr>
                <w:rFonts w:eastAsia="Calibri"/>
                <w:b/>
                <w:bCs/>
              </w:rPr>
              <w:t>176,4</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505CC745" w14:textId="77777777" w:rsidR="00C64805" w:rsidRPr="006B13BC" w:rsidRDefault="00C64805" w:rsidP="006B13BC">
            <w:pPr>
              <w:pStyle w:val="Tabulascipari"/>
              <w:spacing w:after="0"/>
              <w:ind w:left="0"/>
              <w:rPr>
                <w:rFonts w:eastAsia="Calibri"/>
                <w:b/>
                <w:bCs/>
              </w:rPr>
            </w:pPr>
            <w:r w:rsidRPr="006B13BC">
              <w:rPr>
                <w:rFonts w:eastAsia="Calibri"/>
                <w:b/>
                <w:bCs/>
              </w:rPr>
              <w:t>-27,7</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125580EE" w14:textId="77777777" w:rsidR="00C64805" w:rsidRPr="006B13BC" w:rsidRDefault="00C64805" w:rsidP="006B13BC">
            <w:pPr>
              <w:pStyle w:val="Tabulascipari"/>
              <w:spacing w:after="0"/>
              <w:ind w:left="0"/>
              <w:rPr>
                <w:rFonts w:eastAsia="Calibri"/>
                <w:b/>
                <w:bCs/>
              </w:rPr>
            </w:pPr>
            <w:r w:rsidRPr="006B13BC">
              <w:rPr>
                <w:rFonts w:eastAsia="Calibri"/>
                <w:b/>
                <w:bCs/>
              </w:rPr>
              <w:t>-13,6</w:t>
            </w:r>
          </w:p>
        </w:tc>
      </w:tr>
      <w:tr w:rsidR="006B13BC" w:rsidRPr="004A3BF6" w14:paraId="7D4A3148"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2DF2D4B5" w14:textId="77777777" w:rsidR="00C64805" w:rsidRPr="006B13BC" w:rsidRDefault="00C64805" w:rsidP="006B13BC">
            <w:pPr>
              <w:pStyle w:val="Tabulasteksts"/>
              <w:spacing w:after="0"/>
              <w:ind w:left="0"/>
              <w:rPr>
                <w:rFonts w:eastAsia="Calibri"/>
              </w:rPr>
            </w:pPr>
            <w:r w:rsidRPr="006B13BC">
              <w:rPr>
                <w:rFonts w:eastAsia="Calibri"/>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57D6E4B7" w14:textId="77777777" w:rsidR="00C64805" w:rsidRPr="006B13BC" w:rsidRDefault="00C64805" w:rsidP="006B13BC">
            <w:pPr>
              <w:pStyle w:val="Tabulascipari"/>
              <w:spacing w:after="0"/>
              <w:ind w:left="0"/>
              <w:rPr>
                <w:rFonts w:eastAsia="Calibri"/>
              </w:rPr>
            </w:pPr>
            <w:r w:rsidRPr="006B13BC">
              <w:rPr>
                <w:rFonts w:eastAsia="Calibri"/>
              </w:rPr>
              <w:t>102,1</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6A112CD3" w14:textId="77777777" w:rsidR="00C64805" w:rsidRPr="006B13BC" w:rsidRDefault="00C64805" w:rsidP="006B13BC">
            <w:pPr>
              <w:pStyle w:val="Tabulascipari"/>
              <w:spacing w:after="0"/>
              <w:ind w:left="0"/>
              <w:rPr>
                <w:rFonts w:eastAsia="Calibri"/>
              </w:rPr>
            </w:pPr>
            <w:r w:rsidRPr="006B13BC">
              <w:rPr>
                <w:rFonts w:eastAsia="Calibri"/>
              </w:rPr>
              <w:t>91,1</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2FF18D85" w14:textId="77777777" w:rsidR="00C64805" w:rsidRPr="006B13BC" w:rsidRDefault="00C64805" w:rsidP="006B13BC">
            <w:pPr>
              <w:pStyle w:val="Tabulascipari"/>
              <w:spacing w:after="0"/>
              <w:ind w:left="0"/>
              <w:rPr>
                <w:rFonts w:eastAsia="Calibri"/>
              </w:rPr>
            </w:pPr>
            <w:r w:rsidRPr="006B13BC">
              <w:rPr>
                <w:rFonts w:eastAsia="Calibri"/>
              </w:rPr>
              <w:t>-10,9</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60CEEC40" w14:textId="77777777" w:rsidR="00C64805" w:rsidRPr="006B13BC" w:rsidRDefault="00C64805" w:rsidP="006B13BC">
            <w:pPr>
              <w:pStyle w:val="Tabulascipari"/>
              <w:spacing w:after="0"/>
              <w:ind w:left="0"/>
              <w:rPr>
                <w:rFonts w:eastAsia="Calibri"/>
              </w:rPr>
            </w:pPr>
            <w:r w:rsidRPr="006B13BC">
              <w:rPr>
                <w:rFonts w:eastAsia="Calibri"/>
              </w:rPr>
              <w:t>-10,7</w:t>
            </w:r>
          </w:p>
        </w:tc>
      </w:tr>
      <w:tr w:rsidR="006B13BC" w:rsidRPr="004A3BF6" w14:paraId="6772D6E1"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225195CA" w14:textId="77777777" w:rsidR="00C64805" w:rsidRPr="006B13BC" w:rsidRDefault="00C64805" w:rsidP="006B13BC">
            <w:pPr>
              <w:pStyle w:val="Tabulasteksts"/>
              <w:spacing w:after="0"/>
              <w:ind w:left="0"/>
              <w:rPr>
                <w:rFonts w:eastAsia="Calibri"/>
              </w:rPr>
            </w:pPr>
            <w:r w:rsidRPr="006B13BC">
              <w:rPr>
                <w:rFonts w:eastAsia="Calibri"/>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2EEC18F6" w14:textId="77777777" w:rsidR="00C64805" w:rsidRPr="006B13BC" w:rsidRDefault="00C64805" w:rsidP="006B13BC">
            <w:pPr>
              <w:pStyle w:val="Tabulascipari"/>
              <w:spacing w:after="0"/>
              <w:ind w:left="0"/>
              <w:rPr>
                <w:rFonts w:eastAsia="Calibri"/>
              </w:rPr>
            </w:pPr>
            <w:r w:rsidRPr="006B13BC">
              <w:rPr>
                <w:rFonts w:eastAsia="Calibri"/>
              </w:rPr>
              <w:t>76,3</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32866026" w14:textId="77777777" w:rsidR="00C64805" w:rsidRPr="006B13BC" w:rsidRDefault="00C64805" w:rsidP="006B13BC">
            <w:pPr>
              <w:pStyle w:val="Tabulascipari"/>
              <w:spacing w:after="0"/>
              <w:ind w:left="0"/>
              <w:rPr>
                <w:rFonts w:eastAsia="Calibri"/>
              </w:rPr>
            </w:pPr>
            <w:r w:rsidRPr="006B13BC">
              <w:rPr>
                <w:rFonts w:eastAsia="Calibri"/>
              </w:rPr>
              <w:t>48,4</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68234FEB" w14:textId="77777777" w:rsidR="00C64805" w:rsidRPr="006B13BC" w:rsidRDefault="00C64805" w:rsidP="006B13BC">
            <w:pPr>
              <w:pStyle w:val="Tabulascipari"/>
              <w:spacing w:after="0"/>
              <w:ind w:left="0"/>
              <w:rPr>
                <w:rFonts w:eastAsia="Calibri"/>
              </w:rPr>
            </w:pPr>
            <w:r w:rsidRPr="006B13BC">
              <w:rPr>
                <w:rFonts w:eastAsia="Calibri"/>
              </w:rPr>
              <w:t>-27,9</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2DBDDA77" w14:textId="77777777" w:rsidR="00C64805" w:rsidRPr="006B13BC" w:rsidRDefault="00C64805" w:rsidP="006B13BC">
            <w:pPr>
              <w:pStyle w:val="Tabulascipari"/>
              <w:spacing w:after="0"/>
              <w:ind w:left="0"/>
              <w:rPr>
                <w:rFonts w:eastAsia="Calibri"/>
              </w:rPr>
            </w:pPr>
            <w:r w:rsidRPr="006B13BC">
              <w:rPr>
                <w:rFonts w:eastAsia="Calibri"/>
              </w:rPr>
              <w:t>-36,6</w:t>
            </w:r>
          </w:p>
        </w:tc>
      </w:tr>
      <w:tr w:rsidR="006B13BC" w:rsidRPr="004A3BF6" w14:paraId="003D8E00" w14:textId="77777777" w:rsidTr="006B13BC">
        <w:trPr>
          <w:trHeight w:val="66"/>
          <w:jc w:val="center"/>
        </w:trPr>
        <w:tc>
          <w:tcPr>
            <w:tcW w:w="1732" w:type="pct"/>
            <w:tcBorders>
              <w:top w:val="single" w:sz="6" w:space="0" w:color="auto"/>
              <w:left w:val="single" w:sz="6" w:space="0" w:color="auto"/>
              <w:bottom w:val="single" w:sz="6" w:space="0" w:color="auto"/>
              <w:right w:val="single" w:sz="6" w:space="0" w:color="auto"/>
            </w:tcBorders>
            <w:shd w:val="clear" w:color="auto" w:fill="auto"/>
          </w:tcPr>
          <w:p w14:paraId="3BAA52CD" w14:textId="77777777" w:rsidR="00C64805" w:rsidRPr="006B13BC" w:rsidRDefault="00C64805" w:rsidP="006B13BC">
            <w:pPr>
              <w:pStyle w:val="Tabulasteksts"/>
              <w:spacing w:after="0"/>
              <w:ind w:left="0"/>
              <w:rPr>
                <w:rFonts w:eastAsia="Calibri"/>
              </w:rPr>
            </w:pPr>
            <w:r w:rsidRPr="006B13BC">
              <w:rPr>
                <w:rFonts w:eastAsia="Calibri"/>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10374CE1" w14:textId="77777777" w:rsidR="00C64805" w:rsidRPr="006B13BC" w:rsidRDefault="00C64805" w:rsidP="006B13BC">
            <w:pPr>
              <w:pStyle w:val="Tabulascipari"/>
              <w:spacing w:after="0"/>
              <w:ind w:left="0"/>
              <w:rPr>
                <w:rFonts w:eastAsia="Calibri"/>
              </w:rPr>
            </w:pPr>
            <w:r w:rsidRPr="006B13BC">
              <w:rPr>
                <w:rFonts w:eastAsia="Calibri"/>
              </w:rPr>
              <w:t>25,7</w:t>
            </w:r>
          </w:p>
        </w:tc>
        <w:tc>
          <w:tcPr>
            <w:tcW w:w="817" w:type="pct"/>
            <w:tcBorders>
              <w:top w:val="single" w:sz="6" w:space="0" w:color="auto"/>
              <w:left w:val="single" w:sz="6" w:space="0" w:color="auto"/>
              <w:bottom w:val="single" w:sz="6" w:space="0" w:color="auto"/>
              <w:right w:val="single" w:sz="6" w:space="0" w:color="auto"/>
            </w:tcBorders>
            <w:shd w:val="clear" w:color="auto" w:fill="auto"/>
          </w:tcPr>
          <w:p w14:paraId="348D1560" w14:textId="77777777" w:rsidR="00C64805" w:rsidRPr="006B13BC" w:rsidRDefault="00C64805" w:rsidP="006B13BC">
            <w:pPr>
              <w:pStyle w:val="Tabulascipari"/>
              <w:spacing w:after="0"/>
              <w:ind w:left="0"/>
              <w:rPr>
                <w:rFonts w:eastAsia="Calibri"/>
              </w:rPr>
            </w:pPr>
            <w:r w:rsidRPr="006B13BC">
              <w:rPr>
                <w:rFonts w:eastAsia="Calibri"/>
              </w:rPr>
              <w:t>36,9</w:t>
            </w:r>
          </w:p>
        </w:tc>
        <w:tc>
          <w:tcPr>
            <w:tcW w:w="714" w:type="pct"/>
            <w:tcBorders>
              <w:top w:val="single" w:sz="6" w:space="0" w:color="auto"/>
              <w:left w:val="single" w:sz="6" w:space="0" w:color="auto"/>
              <w:bottom w:val="single" w:sz="6" w:space="0" w:color="auto"/>
              <w:right w:val="single" w:sz="6" w:space="0" w:color="auto"/>
            </w:tcBorders>
            <w:shd w:val="clear" w:color="auto" w:fill="auto"/>
          </w:tcPr>
          <w:p w14:paraId="2379E236" w14:textId="77777777" w:rsidR="00C64805" w:rsidRPr="006B13BC" w:rsidRDefault="00C64805" w:rsidP="006B13BC">
            <w:pPr>
              <w:pStyle w:val="Tabulascipari"/>
              <w:spacing w:after="0"/>
              <w:ind w:left="0"/>
              <w:rPr>
                <w:rFonts w:eastAsia="Calibri"/>
              </w:rPr>
            </w:pPr>
            <w:r w:rsidRPr="006B13BC">
              <w:rPr>
                <w:rFonts w:eastAsia="Calibri"/>
              </w:rPr>
              <w:t>+11,1</w:t>
            </w:r>
          </w:p>
        </w:tc>
        <w:tc>
          <w:tcPr>
            <w:tcW w:w="920" w:type="pct"/>
            <w:tcBorders>
              <w:top w:val="single" w:sz="6" w:space="0" w:color="auto"/>
              <w:left w:val="single" w:sz="6" w:space="0" w:color="auto"/>
              <w:bottom w:val="single" w:sz="6" w:space="0" w:color="auto"/>
              <w:right w:val="single" w:sz="6" w:space="0" w:color="auto"/>
            </w:tcBorders>
            <w:shd w:val="clear" w:color="auto" w:fill="auto"/>
          </w:tcPr>
          <w:p w14:paraId="15E7FF65" w14:textId="77777777" w:rsidR="00C64805" w:rsidRPr="006B13BC" w:rsidRDefault="00C64805" w:rsidP="006B13BC">
            <w:pPr>
              <w:pStyle w:val="Tabulascipari"/>
              <w:spacing w:after="0"/>
              <w:ind w:left="0"/>
              <w:rPr>
                <w:rFonts w:eastAsia="Calibri"/>
              </w:rPr>
            </w:pPr>
            <w:r w:rsidRPr="006B13BC">
              <w:rPr>
                <w:rFonts w:eastAsia="Calibri"/>
              </w:rPr>
              <w:t>+43,2</w:t>
            </w:r>
          </w:p>
        </w:tc>
      </w:tr>
    </w:tbl>
    <w:p w14:paraId="547D5457" w14:textId="77777777" w:rsidR="00C64805" w:rsidRPr="008B4A04" w:rsidRDefault="00C64805" w:rsidP="00C64805">
      <w:pPr>
        <w:rPr>
          <w:rFonts w:eastAsia="Calibri" w:cs="Times New Roman"/>
          <w:szCs w:val="24"/>
        </w:rPr>
      </w:pPr>
    </w:p>
    <w:p w14:paraId="67196C3D" w14:textId="77777777" w:rsidR="00C64805" w:rsidRPr="008B4A04" w:rsidRDefault="00C64805" w:rsidP="00C64805">
      <w:pPr>
        <w:rPr>
          <w:rFonts w:eastAsia="Calibri" w:cs="Times New Roman"/>
          <w:szCs w:val="24"/>
        </w:rPr>
      </w:pPr>
      <w:r w:rsidRPr="008B4A04">
        <w:rPr>
          <w:rFonts w:eastAsia="Calibri" w:cs="Times New Roman"/>
          <w:szCs w:val="24"/>
        </w:rPr>
        <w:t>2023</w:t>
      </w:r>
      <w:r>
        <w:rPr>
          <w:rFonts w:eastAsia="Calibri" w:cs="Times New Roman"/>
          <w:szCs w:val="24"/>
        </w:rPr>
        <w:t>. g</w:t>
      </w:r>
      <w:r w:rsidRPr="008B4A04">
        <w:rPr>
          <w:rFonts w:eastAsia="Calibri" w:cs="Times New Roman"/>
          <w:szCs w:val="24"/>
        </w:rPr>
        <w:t>ada 1. janvārī aktuālo parādu kopsumma bija 479,8</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kas, salīdzinot ar 2022</w:t>
      </w:r>
      <w:r>
        <w:rPr>
          <w:rFonts w:eastAsia="Calibri" w:cs="Times New Roman"/>
          <w:szCs w:val="24"/>
        </w:rPr>
        <w:t>. g</w:t>
      </w:r>
      <w:r w:rsidRPr="008B4A04">
        <w:rPr>
          <w:rFonts w:eastAsia="Calibri" w:cs="Times New Roman"/>
          <w:szCs w:val="24"/>
        </w:rPr>
        <w:t>ada 1. janvāri, ir samazinājusies par 96,1</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16,7</w:t>
      </w:r>
      <w:r>
        <w:rPr>
          <w:rFonts w:eastAsia="Calibri" w:cs="Times New Roman"/>
          <w:szCs w:val="24"/>
        </w:rPr>
        <w:t> %</w:t>
      </w:r>
      <w:r w:rsidRPr="008B4A04">
        <w:rPr>
          <w:rFonts w:eastAsia="Calibri" w:cs="Times New Roman"/>
          <w:szCs w:val="24"/>
        </w:rPr>
        <w:t>.</w:t>
      </w:r>
    </w:p>
    <w:p w14:paraId="555A5832" w14:textId="77777777" w:rsidR="00C64805" w:rsidRPr="008B4A04" w:rsidRDefault="00C64805" w:rsidP="00C64805">
      <w:pPr>
        <w:rPr>
          <w:rFonts w:eastAsia="Calibri" w:cs="Times New Roman"/>
          <w:szCs w:val="24"/>
        </w:rPr>
      </w:pPr>
      <w:r w:rsidRPr="008B4A04">
        <w:rPr>
          <w:rFonts w:eastAsia="Calibri" w:cs="Times New Roman"/>
          <w:szCs w:val="24"/>
        </w:rPr>
        <w:t>Kopumā 8 180 nodokļu samaksas termiņa pagarinājumi, kuru sākuma datums ir 2022</w:t>
      </w:r>
      <w:r>
        <w:rPr>
          <w:rFonts w:eastAsia="Calibri" w:cs="Times New Roman"/>
          <w:szCs w:val="24"/>
        </w:rPr>
        <w:t>. g</w:t>
      </w:r>
      <w:r w:rsidRPr="008B4A04">
        <w:rPr>
          <w:rFonts w:eastAsia="Calibri" w:cs="Times New Roman"/>
          <w:szCs w:val="24"/>
        </w:rPr>
        <w:t>adā, piešķirti 3 350 nodokļu maksātājiem par kopējo summu 146,7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(skatīt 3.2</w:t>
      </w:r>
      <w:r>
        <w:rPr>
          <w:rFonts w:eastAsia="Calibri" w:cs="Times New Roman"/>
          <w:szCs w:val="24"/>
        </w:rPr>
        <w:t>5</w:t>
      </w:r>
      <w:r w:rsidRPr="008B4A04">
        <w:rPr>
          <w:rFonts w:eastAsia="Calibri" w:cs="Times New Roman"/>
          <w:szCs w:val="24"/>
        </w:rPr>
        <w:t>. tabulu).</w:t>
      </w:r>
    </w:p>
    <w:p w14:paraId="05F64F8F" w14:textId="77777777" w:rsidR="00C64805" w:rsidRPr="004A3BF6" w:rsidRDefault="00C64805" w:rsidP="00C64805">
      <w:pPr>
        <w:pStyle w:val="Tabulasnosaukums"/>
      </w:pPr>
      <w:r w:rsidRPr="004A3BF6">
        <w:lastRenderedPageBreak/>
        <w:t>3.2</w:t>
      </w:r>
      <w:r>
        <w:t>5</w:t>
      </w:r>
      <w:r w:rsidRPr="004A3BF6">
        <w:t>. tabula. Nodokļu samaksas termiņa pagarinājumi, kuru sākuma datums ir 2022</w:t>
      </w:r>
      <w:r>
        <w:t>. g</w:t>
      </w:r>
      <w:r w:rsidRPr="004A3BF6">
        <w:t>adā</w:t>
      </w:r>
    </w:p>
    <w:tbl>
      <w:tblPr>
        <w:tblW w:w="4379" w:type="pct"/>
        <w:jc w:val="center"/>
        <w:tblCellMar>
          <w:left w:w="30" w:type="dxa"/>
          <w:right w:w="30" w:type="dxa"/>
        </w:tblCellMar>
        <w:tblLook w:val="0000" w:firstRow="0" w:lastRow="0" w:firstColumn="0" w:lastColumn="0" w:noHBand="0" w:noVBand="0"/>
      </w:tblPr>
      <w:tblGrid>
        <w:gridCol w:w="2258"/>
        <w:gridCol w:w="1845"/>
        <w:gridCol w:w="1702"/>
        <w:gridCol w:w="2125"/>
      </w:tblGrid>
      <w:tr w:rsidR="00C64805" w:rsidRPr="004A3BF6" w14:paraId="3472F03C" w14:textId="77777777" w:rsidTr="002A7324">
        <w:trPr>
          <w:trHeight w:val="850"/>
          <w:tblHeader/>
          <w:jc w:val="center"/>
        </w:trPr>
        <w:tc>
          <w:tcPr>
            <w:tcW w:w="1424"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5556C8CF" w14:textId="77777777" w:rsidR="00C64805" w:rsidRPr="004A3BF6" w:rsidRDefault="00C64805" w:rsidP="005D673A">
            <w:pPr>
              <w:pStyle w:val="Tabulasgalvenesrinda"/>
              <w:rPr>
                <w:rFonts w:eastAsia="Calibri"/>
              </w:rPr>
            </w:pPr>
            <w:r w:rsidRPr="004A3BF6">
              <w:rPr>
                <w:rFonts w:eastAsia="Calibri"/>
              </w:rPr>
              <w:t>Nodokļa veids</w:t>
            </w:r>
          </w:p>
        </w:tc>
        <w:tc>
          <w:tcPr>
            <w:tcW w:w="1163"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7D629F50" w14:textId="77777777" w:rsidR="00C64805" w:rsidRPr="004A3BF6" w:rsidRDefault="00C64805" w:rsidP="005D673A">
            <w:pPr>
              <w:pStyle w:val="Tabulasgalvenesrinda"/>
              <w:rPr>
                <w:rFonts w:eastAsia="Calibri"/>
              </w:rPr>
            </w:pPr>
            <w:r w:rsidRPr="004A3BF6">
              <w:rPr>
                <w:rFonts w:eastAsia="Calibri"/>
              </w:rPr>
              <w:t>Nodokļu maksātāju skaits</w:t>
            </w:r>
            <w:r w:rsidRPr="00576A41">
              <w:rPr>
                <w:rFonts w:eastAsia="Calibri"/>
                <w:vertAlign w:val="superscript"/>
              </w:rPr>
              <w:t>1</w:t>
            </w:r>
          </w:p>
        </w:tc>
        <w:tc>
          <w:tcPr>
            <w:tcW w:w="1073"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4B86B267" w14:textId="77777777" w:rsidR="00C64805" w:rsidRPr="004A3BF6" w:rsidRDefault="00C64805" w:rsidP="005D673A">
            <w:pPr>
              <w:pStyle w:val="Tabulasgalvenesrinda"/>
              <w:rPr>
                <w:rFonts w:eastAsia="Calibri"/>
              </w:rPr>
            </w:pPr>
            <w:r w:rsidRPr="004A3BF6">
              <w:rPr>
                <w:rFonts w:eastAsia="Calibri"/>
              </w:rPr>
              <w:t>Piešķirto nodokļu samaksas termiņa pagarinājumu skaits</w:t>
            </w:r>
            <w:r w:rsidRPr="00576A41">
              <w:rPr>
                <w:rFonts w:eastAsia="Calibri"/>
                <w:vertAlign w:val="superscript"/>
              </w:rPr>
              <w:t>1</w:t>
            </w:r>
          </w:p>
        </w:tc>
        <w:tc>
          <w:tcPr>
            <w:tcW w:w="1340"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0976FA74" w14:textId="77777777" w:rsidR="00C64805" w:rsidRPr="004A3BF6" w:rsidRDefault="00C64805" w:rsidP="005D673A">
            <w:pPr>
              <w:pStyle w:val="Tabulasgalvenesrinda"/>
              <w:rPr>
                <w:rFonts w:eastAsia="Calibri"/>
              </w:rPr>
            </w:pPr>
            <w:r w:rsidRPr="004A3BF6">
              <w:rPr>
                <w:rFonts w:eastAsia="Calibri"/>
              </w:rPr>
              <w:t>Piešķirto nodokļu samaksas termiņa pagarinājumu summa</w:t>
            </w:r>
            <w:r w:rsidRPr="00576A41">
              <w:rPr>
                <w:rFonts w:eastAsia="Calibri"/>
                <w:vertAlign w:val="superscript"/>
              </w:rPr>
              <w:t>1</w:t>
            </w:r>
            <w:r w:rsidRPr="004A3BF6">
              <w:rPr>
                <w:rFonts w:eastAsia="Calibri"/>
              </w:rPr>
              <w:t xml:space="preserve">, </w:t>
            </w:r>
            <w:r w:rsidRPr="004A3BF6">
              <w:rPr>
                <w:rFonts w:eastAsia="Calibri"/>
                <w:i/>
                <w:iCs/>
              </w:rPr>
              <w:t xml:space="preserve">tūkst. </w:t>
            </w:r>
            <w:proofErr w:type="spellStart"/>
            <w:r w:rsidRPr="00770C40">
              <w:rPr>
                <w:rFonts w:eastAsia="Calibri"/>
                <w:i/>
                <w:iCs/>
              </w:rPr>
              <w:t>euro</w:t>
            </w:r>
            <w:proofErr w:type="spellEnd"/>
          </w:p>
        </w:tc>
      </w:tr>
      <w:tr w:rsidR="00C64805" w:rsidRPr="004A3BF6" w14:paraId="5F2878AB" w14:textId="77777777" w:rsidTr="002A7324">
        <w:trPr>
          <w:trHeight w:val="284"/>
          <w:jc w:val="center"/>
        </w:trPr>
        <w:tc>
          <w:tcPr>
            <w:tcW w:w="1424" w:type="pct"/>
            <w:tcBorders>
              <w:top w:val="single" w:sz="6" w:space="0" w:color="auto"/>
              <w:left w:val="single" w:sz="6" w:space="0" w:color="auto"/>
              <w:bottom w:val="single" w:sz="6" w:space="0" w:color="auto"/>
              <w:right w:val="single" w:sz="6" w:space="0" w:color="auto"/>
            </w:tcBorders>
            <w:vAlign w:val="center"/>
          </w:tcPr>
          <w:p w14:paraId="3876FB33" w14:textId="77777777" w:rsidR="00C64805" w:rsidRPr="004A3BF6" w:rsidRDefault="00C64805" w:rsidP="002A7324">
            <w:pPr>
              <w:pStyle w:val="Tabulasteksts"/>
              <w:spacing w:after="0"/>
              <w:ind w:left="0"/>
              <w:rPr>
                <w:rFonts w:eastAsia="Calibri"/>
              </w:rPr>
            </w:pPr>
            <w:r w:rsidRPr="004A3BF6">
              <w:rPr>
                <w:rFonts w:eastAsia="Calibri"/>
              </w:rPr>
              <w:t>PVN</w:t>
            </w:r>
          </w:p>
        </w:tc>
        <w:tc>
          <w:tcPr>
            <w:tcW w:w="1163" w:type="pct"/>
            <w:tcBorders>
              <w:top w:val="single" w:sz="6" w:space="0" w:color="auto"/>
              <w:left w:val="single" w:sz="6" w:space="0" w:color="auto"/>
              <w:bottom w:val="single" w:sz="6" w:space="0" w:color="auto"/>
              <w:right w:val="single" w:sz="6" w:space="0" w:color="auto"/>
            </w:tcBorders>
            <w:vAlign w:val="center"/>
          </w:tcPr>
          <w:p w14:paraId="478F9F5B" w14:textId="77777777" w:rsidR="00C64805" w:rsidRPr="004A3BF6" w:rsidRDefault="00C64805" w:rsidP="002A7324">
            <w:pPr>
              <w:pStyle w:val="Tabulascipari"/>
              <w:spacing w:after="0"/>
              <w:ind w:left="0"/>
              <w:rPr>
                <w:rFonts w:eastAsia="Calibri"/>
              </w:rPr>
            </w:pPr>
            <w:r w:rsidRPr="004A3BF6">
              <w:rPr>
                <w:rFonts w:eastAsia="Calibri"/>
              </w:rPr>
              <w:t>1 124</w:t>
            </w:r>
          </w:p>
        </w:tc>
        <w:tc>
          <w:tcPr>
            <w:tcW w:w="1073" w:type="pct"/>
            <w:tcBorders>
              <w:top w:val="single" w:sz="6" w:space="0" w:color="auto"/>
              <w:left w:val="single" w:sz="6" w:space="0" w:color="auto"/>
              <w:bottom w:val="single" w:sz="6" w:space="0" w:color="auto"/>
              <w:right w:val="single" w:sz="6" w:space="0" w:color="auto"/>
            </w:tcBorders>
            <w:vAlign w:val="center"/>
          </w:tcPr>
          <w:p w14:paraId="6BE13900" w14:textId="77777777" w:rsidR="00C64805" w:rsidRPr="004A3BF6" w:rsidRDefault="00C64805" w:rsidP="002A7324">
            <w:pPr>
              <w:pStyle w:val="Tabulascipari"/>
              <w:spacing w:after="0"/>
              <w:ind w:left="0"/>
              <w:rPr>
                <w:rFonts w:eastAsia="Calibri"/>
              </w:rPr>
            </w:pPr>
            <w:r w:rsidRPr="004A3BF6">
              <w:rPr>
                <w:rFonts w:eastAsia="Calibri"/>
              </w:rPr>
              <w:t>1 708</w:t>
            </w:r>
          </w:p>
        </w:tc>
        <w:tc>
          <w:tcPr>
            <w:tcW w:w="1340" w:type="pct"/>
            <w:tcBorders>
              <w:top w:val="single" w:sz="6" w:space="0" w:color="auto"/>
              <w:left w:val="single" w:sz="6" w:space="0" w:color="auto"/>
              <w:bottom w:val="single" w:sz="6" w:space="0" w:color="auto"/>
              <w:right w:val="single" w:sz="6" w:space="0" w:color="auto"/>
            </w:tcBorders>
            <w:vAlign w:val="center"/>
          </w:tcPr>
          <w:p w14:paraId="3A54B820" w14:textId="77777777" w:rsidR="00C64805" w:rsidRPr="004A3BF6" w:rsidRDefault="00C64805" w:rsidP="002A7324">
            <w:pPr>
              <w:pStyle w:val="Tabulascipari"/>
              <w:spacing w:after="0"/>
              <w:ind w:left="0"/>
              <w:rPr>
                <w:rFonts w:eastAsia="Calibri"/>
              </w:rPr>
            </w:pPr>
            <w:r w:rsidRPr="004A3BF6">
              <w:rPr>
                <w:rFonts w:eastAsia="Calibri"/>
              </w:rPr>
              <w:t>61 184,4</w:t>
            </w:r>
          </w:p>
        </w:tc>
      </w:tr>
      <w:tr w:rsidR="00C64805" w:rsidRPr="004A3BF6" w14:paraId="164CC63D" w14:textId="77777777" w:rsidTr="002A7324">
        <w:trPr>
          <w:trHeight w:val="284"/>
          <w:jc w:val="center"/>
        </w:trPr>
        <w:tc>
          <w:tcPr>
            <w:tcW w:w="1424" w:type="pct"/>
            <w:tcBorders>
              <w:top w:val="single" w:sz="6" w:space="0" w:color="auto"/>
              <w:left w:val="single" w:sz="6" w:space="0" w:color="auto"/>
              <w:bottom w:val="single" w:sz="6" w:space="0" w:color="auto"/>
              <w:right w:val="single" w:sz="6" w:space="0" w:color="auto"/>
            </w:tcBorders>
            <w:vAlign w:val="center"/>
          </w:tcPr>
          <w:p w14:paraId="2EAA182E" w14:textId="77777777" w:rsidR="00C64805" w:rsidRPr="004A3BF6" w:rsidRDefault="00C64805" w:rsidP="002A7324">
            <w:pPr>
              <w:pStyle w:val="Tabulasteksts"/>
              <w:spacing w:after="0"/>
              <w:ind w:left="0"/>
              <w:rPr>
                <w:rFonts w:eastAsia="Calibri"/>
              </w:rPr>
            </w:pPr>
            <w:r w:rsidRPr="004A3BF6">
              <w:rPr>
                <w:rFonts w:eastAsia="Calibri"/>
              </w:rPr>
              <w:t>VSAOI</w:t>
            </w:r>
          </w:p>
        </w:tc>
        <w:tc>
          <w:tcPr>
            <w:tcW w:w="1163" w:type="pct"/>
            <w:tcBorders>
              <w:top w:val="single" w:sz="6" w:space="0" w:color="auto"/>
              <w:left w:val="single" w:sz="6" w:space="0" w:color="auto"/>
              <w:bottom w:val="single" w:sz="6" w:space="0" w:color="auto"/>
              <w:right w:val="single" w:sz="6" w:space="0" w:color="auto"/>
            </w:tcBorders>
            <w:vAlign w:val="center"/>
          </w:tcPr>
          <w:p w14:paraId="4E6E714E" w14:textId="77777777" w:rsidR="00C64805" w:rsidRPr="004A3BF6" w:rsidRDefault="00C64805" w:rsidP="002A7324">
            <w:pPr>
              <w:pStyle w:val="Tabulascipari"/>
              <w:spacing w:after="0"/>
              <w:ind w:left="0"/>
              <w:rPr>
                <w:rFonts w:eastAsia="Calibri"/>
              </w:rPr>
            </w:pPr>
            <w:r w:rsidRPr="004A3BF6">
              <w:rPr>
                <w:rFonts w:eastAsia="Calibri"/>
              </w:rPr>
              <w:t>1 410</w:t>
            </w:r>
          </w:p>
        </w:tc>
        <w:tc>
          <w:tcPr>
            <w:tcW w:w="1073" w:type="pct"/>
            <w:tcBorders>
              <w:top w:val="single" w:sz="6" w:space="0" w:color="auto"/>
              <w:left w:val="single" w:sz="6" w:space="0" w:color="auto"/>
              <w:bottom w:val="single" w:sz="6" w:space="0" w:color="auto"/>
              <w:right w:val="single" w:sz="6" w:space="0" w:color="auto"/>
            </w:tcBorders>
            <w:vAlign w:val="center"/>
          </w:tcPr>
          <w:p w14:paraId="7DFD99F2" w14:textId="77777777" w:rsidR="00C64805" w:rsidRPr="004A3BF6" w:rsidRDefault="00C64805" w:rsidP="002A7324">
            <w:pPr>
              <w:pStyle w:val="Tabulascipari"/>
              <w:spacing w:after="0"/>
              <w:ind w:left="0"/>
              <w:rPr>
                <w:rFonts w:eastAsia="Calibri"/>
              </w:rPr>
            </w:pPr>
            <w:r w:rsidRPr="004A3BF6">
              <w:rPr>
                <w:rFonts w:eastAsia="Calibri"/>
              </w:rPr>
              <w:t>2 151</w:t>
            </w:r>
          </w:p>
        </w:tc>
        <w:tc>
          <w:tcPr>
            <w:tcW w:w="1340" w:type="pct"/>
            <w:tcBorders>
              <w:top w:val="single" w:sz="6" w:space="0" w:color="auto"/>
              <w:left w:val="single" w:sz="6" w:space="0" w:color="auto"/>
              <w:bottom w:val="single" w:sz="6" w:space="0" w:color="auto"/>
              <w:right w:val="single" w:sz="6" w:space="0" w:color="auto"/>
            </w:tcBorders>
            <w:vAlign w:val="center"/>
          </w:tcPr>
          <w:p w14:paraId="0507C63D" w14:textId="77777777" w:rsidR="00C64805" w:rsidRPr="004A3BF6" w:rsidRDefault="00C64805" w:rsidP="002A7324">
            <w:pPr>
              <w:pStyle w:val="Tabulascipari"/>
              <w:spacing w:after="0"/>
              <w:ind w:left="0"/>
              <w:rPr>
                <w:rFonts w:eastAsia="Calibri"/>
              </w:rPr>
            </w:pPr>
            <w:r w:rsidRPr="004A3BF6">
              <w:rPr>
                <w:rFonts w:eastAsia="Calibri"/>
              </w:rPr>
              <w:t>30 250,5</w:t>
            </w:r>
          </w:p>
        </w:tc>
      </w:tr>
      <w:tr w:rsidR="00C64805" w:rsidRPr="004A3BF6" w14:paraId="5E8EB828" w14:textId="77777777" w:rsidTr="002A7324">
        <w:trPr>
          <w:trHeight w:val="284"/>
          <w:jc w:val="center"/>
        </w:trPr>
        <w:tc>
          <w:tcPr>
            <w:tcW w:w="1424" w:type="pct"/>
            <w:tcBorders>
              <w:top w:val="single" w:sz="6" w:space="0" w:color="auto"/>
              <w:left w:val="single" w:sz="6" w:space="0" w:color="auto"/>
              <w:bottom w:val="single" w:sz="6" w:space="0" w:color="auto"/>
              <w:right w:val="single" w:sz="6" w:space="0" w:color="auto"/>
            </w:tcBorders>
            <w:vAlign w:val="center"/>
          </w:tcPr>
          <w:p w14:paraId="1A5DCEDB" w14:textId="77777777" w:rsidR="00C64805" w:rsidRPr="004A3BF6" w:rsidRDefault="00C64805" w:rsidP="002A7324">
            <w:pPr>
              <w:pStyle w:val="Tabulasteksts"/>
              <w:spacing w:after="0"/>
              <w:ind w:left="0"/>
              <w:rPr>
                <w:rFonts w:eastAsia="Calibri"/>
              </w:rPr>
            </w:pPr>
            <w:r w:rsidRPr="004A3BF6">
              <w:rPr>
                <w:rFonts w:eastAsia="Calibri"/>
              </w:rPr>
              <w:t>IIN</w:t>
            </w:r>
          </w:p>
        </w:tc>
        <w:tc>
          <w:tcPr>
            <w:tcW w:w="1163" w:type="pct"/>
            <w:tcBorders>
              <w:top w:val="single" w:sz="6" w:space="0" w:color="auto"/>
              <w:left w:val="single" w:sz="6" w:space="0" w:color="auto"/>
              <w:bottom w:val="single" w:sz="6" w:space="0" w:color="auto"/>
              <w:right w:val="single" w:sz="6" w:space="0" w:color="auto"/>
            </w:tcBorders>
            <w:vAlign w:val="center"/>
          </w:tcPr>
          <w:p w14:paraId="1BD55FFB" w14:textId="77777777" w:rsidR="00C64805" w:rsidRPr="004A3BF6" w:rsidRDefault="00C64805" w:rsidP="002A7324">
            <w:pPr>
              <w:pStyle w:val="Tabulascipari"/>
              <w:spacing w:after="0"/>
              <w:ind w:left="0"/>
              <w:rPr>
                <w:rFonts w:eastAsia="Calibri"/>
              </w:rPr>
            </w:pPr>
            <w:r w:rsidRPr="004A3BF6">
              <w:rPr>
                <w:rFonts w:eastAsia="Calibri"/>
              </w:rPr>
              <w:t>2 292</w:t>
            </w:r>
          </w:p>
        </w:tc>
        <w:tc>
          <w:tcPr>
            <w:tcW w:w="1073" w:type="pct"/>
            <w:tcBorders>
              <w:top w:val="single" w:sz="6" w:space="0" w:color="auto"/>
              <w:left w:val="single" w:sz="6" w:space="0" w:color="auto"/>
              <w:bottom w:val="single" w:sz="6" w:space="0" w:color="auto"/>
              <w:right w:val="single" w:sz="6" w:space="0" w:color="auto"/>
            </w:tcBorders>
            <w:vAlign w:val="center"/>
          </w:tcPr>
          <w:p w14:paraId="63CFF167" w14:textId="77777777" w:rsidR="00C64805" w:rsidRPr="004A3BF6" w:rsidRDefault="00C64805" w:rsidP="002A7324">
            <w:pPr>
              <w:pStyle w:val="Tabulascipari"/>
              <w:spacing w:after="0"/>
              <w:ind w:left="0"/>
              <w:rPr>
                <w:rFonts w:eastAsia="Calibri"/>
              </w:rPr>
            </w:pPr>
            <w:r w:rsidRPr="004A3BF6">
              <w:rPr>
                <w:rFonts w:eastAsia="Calibri"/>
              </w:rPr>
              <w:t>3 842</w:t>
            </w:r>
          </w:p>
        </w:tc>
        <w:tc>
          <w:tcPr>
            <w:tcW w:w="1340" w:type="pct"/>
            <w:tcBorders>
              <w:top w:val="single" w:sz="6" w:space="0" w:color="auto"/>
              <w:left w:val="single" w:sz="6" w:space="0" w:color="auto"/>
              <w:bottom w:val="single" w:sz="6" w:space="0" w:color="auto"/>
              <w:right w:val="single" w:sz="6" w:space="0" w:color="auto"/>
            </w:tcBorders>
            <w:vAlign w:val="center"/>
          </w:tcPr>
          <w:p w14:paraId="3B6CF8B9" w14:textId="77777777" w:rsidR="00C64805" w:rsidRPr="004A3BF6" w:rsidRDefault="00C64805" w:rsidP="002A7324">
            <w:pPr>
              <w:pStyle w:val="Tabulascipari"/>
              <w:spacing w:after="0"/>
              <w:ind w:left="0"/>
              <w:rPr>
                <w:rFonts w:eastAsia="Calibri"/>
              </w:rPr>
            </w:pPr>
            <w:r w:rsidRPr="004A3BF6">
              <w:rPr>
                <w:rFonts w:eastAsia="Calibri"/>
              </w:rPr>
              <w:t>24 414,6</w:t>
            </w:r>
          </w:p>
        </w:tc>
      </w:tr>
      <w:tr w:rsidR="00C64805" w:rsidRPr="004A3BF6" w14:paraId="791CDBE3" w14:textId="77777777" w:rsidTr="002A7324">
        <w:trPr>
          <w:trHeight w:val="284"/>
          <w:jc w:val="center"/>
        </w:trPr>
        <w:tc>
          <w:tcPr>
            <w:tcW w:w="1424" w:type="pct"/>
            <w:tcBorders>
              <w:top w:val="single" w:sz="6" w:space="0" w:color="auto"/>
              <w:left w:val="single" w:sz="6" w:space="0" w:color="auto"/>
              <w:bottom w:val="single" w:sz="6" w:space="0" w:color="auto"/>
              <w:right w:val="single" w:sz="6" w:space="0" w:color="auto"/>
            </w:tcBorders>
            <w:vAlign w:val="center"/>
          </w:tcPr>
          <w:p w14:paraId="243BC667" w14:textId="77777777" w:rsidR="00C64805" w:rsidRPr="004A3BF6" w:rsidRDefault="00C64805" w:rsidP="002A7324">
            <w:pPr>
              <w:pStyle w:val="Tabulasteksts"/>
              <w:spacing w:after="0"/>
              <w:ind w:left="0"/>
              <w:rPr>
                <w:rFonts w:eastAsia="Calibri"/>
              </w:rPr>
            </w:pPr>
            <w:r w:rsidRPr="004A3BF6">
              <w:rPr>
                <w:rFonts w:eastAsia="Calibri"/>
              </w:rPr>
              <w:t>Akcīzes nodoklis</w:t>
            </w:r>
          </w:p>
        </w:tc>
        <w:tc>
          <w:tcPr>
            <w:tcW w:w="1163" w:type="pct"/>
            <w:tcBorders>
              <w:top w:val="single" w:sz="6" w:space="0" w:color="auto"/>
              <w:left w:val="single" w:sz="6" w:space="0" w:color="auto"/>
              <w:bottom w:val="single" w:sz="6" w:space="0" w:color="auto"/>
              <w:right w:val="single" w:sz="6" w:space="0" w:color="auto"/>
            </w:tcBorders>
            <w:vAlign w:val="center"/>
          </w:tcPr>
          <w:p w14:paraId="2437182A" w14:textId="77777777" w:rsidR="00C64805" w:rsidRPr="004A3BF6" w:rsidRDefault="00C64805" w:rsidP="002A7324">
            <w:pPr>
              <w:pStyle w:val="Tabulascipari"/>
              <w:spacing w:after="0"/>
              <w:ind w:left="0"/>
              <w:rPr>
                <w:rFonts w:eastAsia="Calibri"/>
              </w:rPr>
            </w:pPr>
            <w:r w:rsidRPr="004A3BF6">
              <w:rPr>
                <w:rFonts w:eastAsia="Calibri"/>
              </w:rPr>
              <w:t>21</w:t>
            </w:r>
          </w:p>
        </w:tc>
        <w:tc>
          <w:tcPr>
            <w:tcW w:w="1073" w:type="pct"/>
            <w:tcBorders>
              <w:top w:val="single" w:sz="6" w:space="0" w:color="auto"/>
              <w:left w:val="single" w:sz="6" w:space="0" w:color="auto"/>
              <w:bottom w:val="single" w:sz="6" w:space="0" w:color="auto"/>
              <w:right w:val="single" w:sz="6" w:space="0" w:color="auto"/>
            </w:tcBorders>
            <w:vAlign w:val="center"/>
          </w:tcPr>
          <w:p w14:paraId="70A6C651" w14:textId="77777777" w:rsidR="00C64805" w:rsidRPr="004A3BF6" w:rsidRDefault="00C64805" w:rsidP="002A7324">
            <w:pPr>
              <w:pStyle w:val="Tabulascipari"/>
              <w:spacing w:after="0"/>
              <w:ind w:left="0"/>
              <w:rPr>
                <w:rFonts w:eastAsia="Calibri"/>
              </w:rPr>
            </w:pPr>
            <w:r w:rsidRPr="004A3BF6">
              <w:rPr>
                <w:rFonts w:eastAsia="Calibri"/>
              </w:rPr>
              <w:t>57</w:t>
            </w:r>
          </w:p>
        </w:tc>
        <w:tc>
          <w:tcPr>
            <w:tcW w:w="1340" w:type="pct"/>
            <w:tcBorders>
              <w:top w:val="single" w:sz="6" w:space="0" w:color="auto"/>
              <w:left w:val="single" w:sz="6" w:space="0" w:color="auto"/>
              <w:bottom w:val="single" w:sz="6" w:space="0" w:color="auto"/>
              <w:right w:val="single" w:sz="6" w:space="0" w:color="auto"/>
            </w:tcBorders>
            <w:vAlign w:val="center"/>
          </w:tcPr>
          <w:p w14:paraId="49130112" w14:textId="77777777" w:rsidR="00C64805" w:rsidRPr="004A3BF6" w:rsidRDefault="00C64805" w:rsidP="002A7324">
            <w:pPr>
              <w:pStyle w:val="Tabulascipari"/>
              <w:spacing w:after="0"/>
              <w:ind w:left="0"/>
              <w:rPr>
                <w:rFonts w:eastAsia="Calibri"/>
              </w:rPr>
            </w:pPr>
            <w:r w:rsidRPr="004A3BF6">
              <w:rPr>
                <w:rFonts w:eastAsia="Calibri"/>
              </w:rPr>
              <w:t>21 935,3</w:t>
            </w:r>
          </w:p>
        </w:tc>
      </w:tr>
      <w:tr w:rsidR="00C64805" w:rsidRPr="004A3BF6" w14:paraId="1822D50E" w14:textId="77777777" w:rsidTr="002A7324">
        <w:trPr>
          <w:trHeight w:val="284"/>
          <w:jc w:val="center"/>
        </w:trPr>
        <w:tc>
          <w:tcPr>
            <w:tcW w:w="1424" w:type="pct"/>
            <w:tcBorders>
              <w:top w:val="single" w:sz="6" w:space="0" w:color="auto"/>
              <w:left w:val="single" w:sz="6" w:space="0" w:color="auto"/>
              <w:bottom w:val="single" w:sz="6" w:space="0" w:color="auto"/>
              <w:right w:val="single" w:sz="6" w:space="0" w:color="auto"/>
            </w:tcBorders>
            <w:vAlign w:val="center"/>
          </w:tcPr>
          <w:p w14:paraId="632C9730" w14:textId="77777777" w:rsidR="00C64805" w:rsidRPr="004A3BF6" w:rsidRDefault="00C64805" w:rsidP="002A7324">
            <w:pPr>
              <w:pStyle w:val="Tabulasteksts"/>
              <w:spacing w:after="0"/>
              <w:ind w:left="0"/>
              <w:rPr>
                <w:rFonts w:eastAsia="Calibri"/>
              </w:rPr>
            </w:pPr>
            <w:r w:rsidRPr="004A3BF6">
              <w:rPr>
                <w:rFonts w:eastAsia="Calibri"/>
              </w:rPr>
              <w:t>UIN</w:t>
            </w:r>
          </w:p>
        </w:tc>
        <w:tc>
          <w:tcPr>
            <w:tcW w:w="1163" w:type="pct"/>
            <w:tcBorders>
              <w:top w:val="single" w:sz="6" w:space="0" w:color="auto"/>
              <w:left w:val="single" w:sz="6" w:space="0" w:color="auto"/>
              <w:bottom w:val="single" w:sz="6" w:space="0" w:color="auto"/>
              <w:right w:val="single" w:sz="6" w:space="0" w:color="auto"/>
            </w:tcBorders>
            <w:vAlign w:val="center"/>
          </w:tcPr>
          <w:p w14:paraId="40B0F2DD" w14:textId="77777777" w:rsidR="00C64805" w:rsidRPr="004A3BF6" w:rsidRDefault="00C64805" w:rsidP="002A7324">
            <w:pPr>
              <w:pStyle w:val="Tabulascipari"/>
              <w:spacing w:after="0"/>
              <w:ind w:left="0"/>
              <w:rPr>
                <w:rFonts w:eastAsia="Calibri"/>
              </w:rPr>
            </w:pPr>
            <w:r w:rsidRPr="004A3BF6">
              <w:rPr>
                <w:rFonts w:eastAsia="Calibri"/>
              </w:rPr>
              <w:t>44</w:t>
            </w:r>
          </w:p>
        </w:tc>
        <w:tc>
          <w:tcPr>
            <w:tcW w:w="1073" w:type="pct"/>
            <w:tcBorders>
              <w:top w:val="single" w:sz="6" w:space="0" w:color="auto"/>
              <w:left w:val="single" w:sz="6" w:space="0" w:color="auto"/>
              <w:bottom w:val="single" w:sz="6" w:space="0" w:color="auto"/>
              <w:right w:val="single" w:sz="6" w:space="0" w:color="auto"/>
            </w:tcBorders>
            <w:vAlign w:val="center"/>
          </w:tcPr>
          <w:p w14:paraId="5F61EDBD" w14:textId="77777777" w:rsidR="00C64805" w:rsidRPr="004A3BF6" w:rsidRDefault="00C64805" w:rsidP="002A7324">
            <w:pPr>
              <w:pStyle w:val="Tabulascipari"/>
              <w:spacing w:after="0"/>
              <w:ind w:left="0"/>
              <w:rPr>
                <w:rFonts w:eastAsia="Calibri"/>
              </w:rPr>
            </w:pPr>
            <w:r w:rsidRPr="004A3BF6">
              <w:rPr>
                <w:rFonts w:eastAsia="Calibri"/>
              </w:rPr>
              <w:t>62</w:t>
            </w:r>
          </w:p>
        </w:tc>
        <w:tc>
          <w:tcPr>
            <w:tcW w:w="1340" w:type="pct"/>
            <w:tcBorders>
              <w:top w:val="single" w:sz="6" w:space="0" w:color="auto"/>
              <w:left w:val="single" w:sz="6" w:space="0" w:color="auto"/>
              <w:bottom w:val="single" w:sz="6" w:space="0" w:color="auto"/>
              <w:right w:val="single" w:sz="6" w:space="0" w:color="auto"/>
            </w:tcBorders>
            <w:vAlign w:val="center"/>
          </w:tcPr>
          <w:p w14:paraId="4AEA4340" w14:textId="77777777" w:rsidR="00C64805" w:rsidRPr="004A3BF6" w:rsidRDefault="00C64805" w:rsidP="002A7324">
            <w:pPr>
              <w:pStyle w:val="Tabulascipari"/>
              <w:spacing w:after="0"/>
              <w:ind w:left="0"/>
              <w:rPr>
                <w:rFonts w:eastAsia="Calibri"/>
              </w:rPr>
            </w:pPr>
            <w:r w:rsidRPr="004A3BF6">
              <w:rPr>
                <w:rFonts w:eastAsia="Calibri"/>
              </w:rPr>
              <w:t>8 461,2</w:t>
            </w:r>
          </w:p>
        </w:tc>
      </w:tr>
      <w:tr w:rsidR="00C64805" w:rsidRPr="004A3BF6" w14:paraId="043D4D1E" w14:textId="77777777" w:rsidTr="002A7324">
        <w:trPr>
          <w:trHeight w:val="284"/>
          <w:jc w:val="center"/>
        </w:trPr>
        <w:tc>
          <w:tcPr>
            <w:tcW w:w="1424" w:type="pct"/>
            <w:tcBorders>
              <w:top w:val="single" w:sz="6" w:space="0" w:color="auto"/>
              <w:left w:val="single" w:sz="6" w:space="0" w:color="auto"/>
              <w:bottom w:val="single" w:sz="6" w:space="0" w:color="auto"/>
              <w:right w:val="single" w:sz="6" w:space="0" w:color="auto"/>
            </w:tcBorders>
            <w:vAlign w:val="center"/>
          </w:tcPr>
          <w:p w14:paraId="0B5435A8" w14:textId="77777777" w:rsidR="00C64805" w:rsidRPr="004A3BF6" w:rsidRDefault="00C64805" w:rsidP="002A7324">
            <w:pPr>
              <w:pStyle w:val="Tabulasteksts"/>
              <w:spacing w:after="0"/>
              <w:ind w:left="0"/>
              <w:rPr>
                <w:rFonts w:eastAsia="Calibri"/>
              </w:rPr>
            </w:pPr>
            <w:r w:rsidRPr="004A3BF6">
              <w:rPr>
                <w:rFonts w:eastAsia="Calibri"/>
              </w:rPr>
              <w:t>Mikrouzņēmumu nodoklis</w:t>
            </w:r>
          </w:p>
        </w:tc>
        <w:tc>
          <w:tcPr>
            <w:tcW w:w="1163" w:type="pct"/>
            <w:tcBorders>
              <w:top w:val="single" w:sz="6" w:space="0" w:color="auto"/>
              <w:left w:val="single" w:sz="6" w:space="0" w:color="auto"/>
              <w:bottom w:val="single" w:sz="6" w:space="0" w:color="auto"/>
              <w:right w:val="single" w:sz="6" w:space="0" w:color="auto"/>
            </w:tcBorders>
            <w:vAlign w:val="center"/>
          </w:tcPr>
          <w:p w14:paraId="389B3105" w14:textId="77777777" w:rsidR="00C64805" w:rsidRPr="004A3BF6" w:rsidRDefault="00C64805" w:rsidP="002A7324">
            <w:pPr>
              <w:pStyle w:val="Tabulascipari"/>
              <w:spacing w:after="0"/>
              <w:ind w:left="0"/>
              <w:rPr>
                <w:rFonts w:eastAsia="Calibri"/>
              </w:rPr>
            </w:pPr>
            <w:r w:rsidRPr="004A3BF6">
              <w:rPr>
                <w:rFonts w:eastAsia="Calibri"/>
              </w:rPr>
              <w:t>237</w:t>
            </w:r>
          </w:p>
        </w:tc>
        <w:tc>
          <w:tcPr>
            <w:tcW w:w="1073" w:type="pct"/>
            <w:tcBorders>
              <w:top w:val="single" w:sz="6" w:space="0" w:color="auto"/>
              <w:left w:val="single" w:sz="6" w:space="0" w:color="auto"/>
              <w:bottom w:val="single" w:sz="6" w:space="0" w:color="auto"/>
              <w:right w:val="single" w:sz="6" w:space="0" w:color="auto"/>
            </w:tcBorders>
            <w:vAlign w:val="center"/>
          </w:tcPr>
          <w:p w14:paraId="34B44F21" w14:textId="77777777" w:rsidR="00C64805" w:rsidRPr="004A3BF6" w:rsidRDefault="00C64805" w:rsidP="002A7324">
            <w:pPr>
              <w:pStyle w:val="Tabulascipari"/>
              <w:spacing w:after="0"/>
              <w:ind w:left="0"/>
              <w:rPr>
                <w:rFonts w:eastAsia="Calibri"/>
              </w:rPr>
            </w:pPr>
            <w:r w:rsidRPr="004A3BF6">
              <w:rPr>
                <w:rFonts w:eastAsia="Calibri"/>
              </w:rPr>
              <w:t>320</w:t>
            </w:r>
          </w:p>
        </w:tc>
        <w:tc>
          <w:tcPr>
            <w:tcW w:w="1340" w:type="pct"/>
            <w:tcBorders>
              <w:top w:val="single" w:sz="6" w:space="0" w:color="auto"/>
              <w:left w:val="single" w:sz="6" w:space="0" w:color="auto"/>
              <w:bottom w:val="single" w:sz="6" w:space="0" w:color="auto"/>
              <w:right w:val="single" w:sz="6" w:space="0" w:color="auto"/>
            </w:tcBorders>
            <w:vAlign w:val="center"/>
          </w:tcPr>
          <w:p w14:paraId="044C7551" w14:textId="77777777" w:rsidR="00C64805" w:rsidRPr="004A3BF6" w:rsidRDefault="00C64805" w:rsidP="002A7324">
            <w:pPr>
              <w:pStyle w:val="Tabulascipari"/>
              <w:spacing w:after="0"/>
              <w:ind w:left="0"/>
              <w:rPr>
                <w:rFonts w:eastAsia="Calibri"/>
              </w:rPr>
            </w:pPr>
            <w:r w:rsidRPr="004A3BF6">
              <w:rPr>
                <w:rFonts w:eastAsia="Calibri"/>
              </w:rPr>
              <w:t>282,3</w:t>
            </w:r>
          </w:p>
        </w:tc>
      </w:tr>
      <w:tr w:rsidR="00C64805" w:rsidRPr="004A3BF6" w14:paraId="03305756" w14:textId="77777777" w:rsidTr="002A7324">
        <w:trPr>
          <w:trHeight w:val="284"/>
          <w:jc w:val="center"/>
        </w:trPr>
        <w:tc>
          <w:tcPr>
            <w:tcW w:w="1424" w:type="pct"/>
            <w:tcBorders>
              <w:top w:val="single" w:sz="6" w:space="0" w:color="auto"/>
              <w:left w:val="single" w:sz="6" w:space="0" w:color="auto"/>
              <w:bottom w:val="single" w:sz="6" w:space="0" w:color="auto"/>
              <w:right w:val="single" w:sz="6" w:space="0" w:color="auto"/>
            </w:tcBorders>
            <w:vAlign w:val="center"/>
          </w:tcPr>
          <w:p w14:paraId="3EC41D37" w14:textId="77777777" w:rsidR="00C64805" w:rsidRPr="004A3BF6" w:rsidRDefault="00C64805" w:rsidP="002A7324">
            <w:pPr>
              <w:pStyle w:val="Tabulasteksts"/>
              <w:spacing w:after="0"/>
              <w:ind w:left="0"/>
              <w:rPr>
                <w:rFonts w:eastAsia="Calibri"/>
              </w:rPr>
            </w:pPr>
            <w:r w:rsidRPr="004A3BF6">
              <w:rPr>
                <w:rFonts w:eastAsia="Calibri"/>
              </w:rPr>
              <w:t>Azartspēļu un izložu nodoklis</w:t>
            </w:r>
          </w:p>
        </w:tc>
        <w:tc>
          <w:tcPr>
            <w:tcW w:w="1163" w:type="pct"/>
            <w:tcBorders>
              <w:top w:val="single" w:sz="6" w:space="0" w:color="auto"/>
              <w:left w:val="single" w:sz="6" w:space="0" w:color="auto"/>
              <w:bottom w:val="single" w:sz="6" w:space="0" w:color="auto"/>
              <w:right w:val="single" w:sz="6" w:space="0" w:color="auto"/>
            </w:tcBorders>
            <w:vAlign w:val="center"/>
          </w:tcPr>
          <w:p w14:paraId="04A18BFE" w14:textId="77777777" w:rsidR="00C64805" w:rsidRPr="004A3BF6" w:rsidRDefault="00C64805" w:rsidP="002A7324">
            <w:pPr>
              <w:pStyle w:val="Tabulascipari"/>
              <w:spacing w:after="0"/>
              <w:ind w:left="0"/>
              <w:rPr>
                <w:rFonts w:eastAsia="Calibri"/>
              </w:rPr>
            </w:pPr>
            <w:r w:rsidRPr="004A3BF6">
              <w:rPr>
                <w:rFonts w:eastAsia="Calibri"/>
              </w:rPr>
              <w:t>1</w:t>
            </w:r>
          </w:p>
        </w:tc>
        <w:tc>
          <w:tcPr>
            <w:tcW w:w="1073" w:type="pct"/>
            <w:tcBorders>
              <w:top w:val="single" w:sz="6" w:space="0" w:color="auto"/>
              <w:left w:val="single" w:sz="6" w:space="0" w:color="auto"/>
              <w:bottom w:val="single" w:sz="6" w:space="0" w:color="auto"/>
              <w:right w:val="single" w:sz="6" w:space="0" w:color="auto"/>
            </w:tcBorders>
            <w:vAlign w:val="center"/>
          </w:tcPr>
          <w:p w14:paraId="44844DEA" w14:textId="77777777" w:rsidR="00C64805" w:rsidRPr="004A3BF6" w:rsidRDefault="00C64805" w:rsidP="002A7324">
            <w:pPr>
              <w:pStyle w:val="Tabulascipari"/>
              <w:spacing w:after="0"/>
              <w:ind w:left="0"/>
              <w:rPr>
                <w:rFonts w:eastAsia="Calibri"/>
              </w:rPr>
            </w:pPr>
            <w:r w:rsidRPr="004A3BF6">
              <w:rPr>
                <w:rFonts w:eastAsia="Calibri"/>
              </w:rPr>
              <w:t>3</w:t>
            </w:r>
          </w:p>
        </w:tc>
        <w:tc>
          <w:tcPr>
            <w:tcW w:w="1340" w:type="pct"/>
            <w:tcBorders>
              <w:top w:val="single" w:sz="6" w:space="0" w:color="auto"/>
              <w:left w:val="single" w:sz="6" w:space="0" w:color="auto"/>
              <w:bottom w:val="single" w:sz="6" w:space="0" w:color="auto"/>
              <w:right w:val="single" w:sz="6" w:space="0" w:color="auto"/>
            </w:tcBorders>
            <w:vAlign w:val="center"/>
          </w:tcPr>
          <w:p w14:paraId="22ADDE28" w14:textId="77777777" w:rsidR="00C64805" w:rsidRPr="004A3BF6" w:rsidRDefault="00C64805" w:rsidP="002A7324">
            <w:pPr>
              <w:pStyle w:val="Tabulascipari"/>
              <w:spacing w:after="0"/>
              <w:ind w:left="0"/>
              <w:rPr>
                <w:rFonts w:eastAsia="Calibri"/>
              </w:rPr>
            </w:pPr>
            <w:r w:rsidRPr="004A3BF6">
              <w:rPr>
                <w:rFonts w:eastAsia="Calibri"/>
              </w:rPr>
              <w:t>121,0</w:t>
            </w:r>
          </w:p>
        </w:tc>
      </w:tr>
      <w:tr w:rsidR="00C64805" w:rsidRPr="004A3BF6" w14:paraId="4639F306" w14:textId="77777777" w:rsidTr="002A7324">
        <w:trPr>
          <w:trHeight w:val="284"/>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3378F" w14:textId="77777777" w:rsidR="00C64805" w:rsidRPr="004A3BF6" w:rsidRDefault="00C64805" w:rsidP="002A7324">
            <w:pPr>
              <w:pStyle w:val="Tabulasteksts"/>
              <w:spacing w:after="0"/>
              <w:ind w:left="0"/>
              <w:rPr>
                <w:rFonts w:eastAsia="Calibri"/>
              </w:rPr>
            </w:pPr>
            <w:r w:rsidRPr="004A3BF6">
              <w:rPr>
                <w:rFonts w:eastAsia="Calibri"/>
              </w:rPr>
              <w:t>Dabas resursu nodoklis</w:t>
            </w:r>
          </w:p>
        </w:tc>
        <w:tc>
          <w:tcPr>
            <w:tcW w:w="1163" w:type="pct"/>
            <w:tcBorders>
              <w:top w:val="single" w:sz="6" w:space="0" w:color="auto"/>
              <w:left w:val="single" w:sz="6" w:space="0" w:color="auto"/>
              <w:bottom w:val="single" w:sz="6" w:space="0" w:color="auto"/>
              <w:right w:val="single" w:sz="6" w:space="0" w:color="auto"/>
            </w:tcBorders>
            <w:vAlign w:val="center"/>
          </w:tcPr>
          <w:p w14:paraId="5AC7676E" w14:textId="77777777" w:rsidR="00C64805" w:rsidRPr="004A3BF6" w:rsidRDefault="00C64805" w:rsidP="002A7324">
            <w:pPr>
              <w:pStyle w:val="Tabulascipari"/>
              <w:spacing w:after="0"/>
              <w:ind w:left="0"/>
              <w:rPr>
                <w:rFonts w:eastAsia="Calibri"/>
              </w:rPr>
            </w:pPr>
            <w:r w:rsidRPr="004A3BF6">
              <w:rPr>
                <w:rFonts w:eastAsia="Calibri"/>
              </w:rPr>
              <w:t>33</w:t>
            </w:r>
          </w:p>
        </w:tc>
        <w:tc>
          <w:tcPr>
            <w:tcW w:w="1073" w:type="pct"/>
            <w:tcBorders>
              <w:top w:val="single" w:sz="6" w:space="0" w:color="auto"/>
              <w:left w:val="single" w:sz="6" w:space="0" w:color="auto"/>
              <w:bottom w:val="single" w:sz="6" w:space="0" w:color="auto"/>
              <w:right w:val="single" w:sz="6" w:space="0" w:color="auto"/>
            </w:tcBorders>
            <w:vAlign w:val="center"/>
          </w:tcPr>
          <w:p w14:paraId="2ED7C8E5" w14:textId="77777777" w:rsidR="00C64805" w:rsidRPr="004A3BF6" w:rsidRDefault="00C64805" w:rsidP="002A7324">
            <w:pPr>
              <w:pStyle w:val="Tabulascipari"/>
              <w:spacing w:after="0"/>
              <w:ind w:left="0"/>
              <w:rPr>
                <w:rFonts w:eastAsia="Calibri"/>
              </w:rPr>
            </w:pPr>
            <w:r w:rsidRPr="004A3BF6">
              <w:rPr>
                <w:rFonts w:eastAsia="Calibri"/>
              </w:rPr>
              <w:t>37</w:t>
            </w:r>
          </w:p>
        </w:tc>
        <w:tc>
          <w:tcPr>
            <w:tcW w:w="1340" w:type="pct"/>
            <w:tcBorders>
              <w:top w:val="single" w:sz="6" w:space="0" w:color="auto"/>
              <w:left w:val="single" w:sz="6" w:space="0" w:color="auto"/>
              <w:bottom w:val="single" w:sz="6" w:space="0" w:color="auto"/>
              <w:right w:val="single" w:sz="6" w:space="0" w:color="auto"/>
            </w:tcBorders>
            <w:vAlign w:val="center"/>
          </w:tcPr>
          <w:p w14:paraId="2742BC2E" w14:textId="77777777" w:rsidR="00C64805" w:rsidRPr="004A3BF6" w:rsidRDefault="00C64805" w:rsidP="002A7324">
            <w:pPr>
              <w:pStyle w:val="Tabulascipari"/>
              <w:spacing w:after="0"/>
              <w:ind w:left="0"/>
              <w:rPr>
                <w:rFonts w:eastAsia="Calibri"/>
              </w:rPr>
            </w:pPr>
            <w:r w:rsidRPr="004A3BF6">
              <w:rPr>
                <w:rFonts w:eastAsia="Calibri"/>
              </w:rPr>
              <w:t>114,6</w:t>
            </w:r>
          </w:p>
        </w:tc>
      </w:tr>
      <w:tr w:rsidR="00C64805" w:rsidRPr="004A3BF6" w14:paraId="2C3F34EB" w14:textId="77777777" w:rsidTr="002A7324">
        <w:trPr>
          <w:trHeight w:val="284"/>
          <w:jc w:val="center"/>
        </w:trPr>
        <w:tc>
          <w:tcPr>
            <w:tcW w:w="1424" w:type="pct"/>
            <w:tcBorders>
              <w:top w:val="single" w:sz="6" w:space="0" w:color="auto"/>
              <w:left w:val="single" w:sz="6" w:space="0" w:color="auto"/>
              <w:bottom w:val="single" w:sz="6" w:space="0" w:color="auto"/>
              <w:right w:val="single" w:sz="6" w:space="0" w:color="auto"/>
            </w:tcBorders>
            <w:vAlign w:val="center"/>
          </w:tcPr>
          <w:p w14:paraId="382CFD81" w14:textId="77777777" w:rsidR="00C64805" w:rsidRPr="004A3BF6" w:rsidRDefault="00C64805" w:rsidP="002A7324">
            <w:pPr>
              <w:pStyle w:val="Tabulasteksts"/>
              <w:spacing w:after="0"/>
              <w:ind w:left="0"/>
              <w:rPr>
                <w:rFonts w:eastAsia="Calibri"/>
                <w:b/>
                <w:bCs/>
              </w:rPr>
            </w:pPr>
            <w:r w:rsidRPr="004A3BF6">
              <w:rPr>
                <w:rFonts w:eastAsia="Calibri"/>
                <w:b/>
                <w:bCs/>
              </w:rPr>
              <w:t>Kopā</w:t>
            </w:r>
          </w:p>
        </w:tc>
        <w:tc>
          <w:tcPr>
            <w:tcW w:w="1163" w:type="pct"/>
            <w:tcBorders>
              <w:top w:val="single" w:sz="6" w:space="0" w:color="auto"/>
              <w:left w:val="single" w:sz="6" w:space="0" w:color="auto"/>
              <w:bottom w:val="single" w:sz="6" w:space="0" w:color="auto"/>
              <w:right w:val="single" w:sz="6" w:space="0" w:color="auto"/>
            </w:tcBorders>
            <w:vAlign w:val="center"/>
          </w:tcPr>
          <w:p w14:paraId="31060CEA" w14:textId="77777777" w:rsidR="00C64805" w:rsidRPr="004A3BF6" w:rsidRDefault="00C64805" w:rsidP="002A7324">
            <w:pPr>
              <w:pStyle w:val="Tabulascipari"/>
              <w:spacing w:after="0"/>
              <w:ind w:left="0"/>
              <w:rPr>
                <w:rFonts w:eastAsia="Calibri"/>
                <w:b/>
                <w:bCs/>
              </w:rPr>
            </w:pPr>
            <w:r w:rsidRPr="004A3BF6">
              <w:rPr>
                <w:rFonts w:eastAsia="Calibri"/>
                <w:b/>
                <w:bCs/>
              </w:rPr>
              <w:t>3 350</w:t>
            </w:r>
          </w:p>
        </w:tc>
        <w:tc>
          <w:tcPr>
            <w:tcW w:w="1073" w:type="pct"/>
            <w:tcBorders>
              <w:top w:val="single" w:sz="6" w:space="0" w:color="auto"/>
              <w:left w:val="single" w:sz="6" w:space="0" w:color="auto"/>
              <w:bottom w:val="single" w:sz="6" w:space="0" w:color="auto"/>
              <w:right w:val="single" w:sz="6" w:space="0" w:color="auto"/>
            </w:tcBorders>
            <w:vAlign w:val="center"/>
          </w:tcPr>
          <w:p w14:paraId="502A38AF" w14:textId="77777777" w:rsidR="00C64805" w:rsidRPr="004A3BF6" w:rsidRDefault="00C64805" w:rsidP="002A7324">
            <w:pPr>
              <w:pStyle w:val="Tabulascipari"/>
              <w:spacing w:after="0"/>
              <w:ind w:left="0"/>
              <w:rPr>
                <w:rFonts w:eastAsia="Calibri"/>
                <w:b/>
                <w:bCs/>
              </w:rPr>
            </w:pPr>
            <w:r w:rsidRPr="004A3BF6">
              <w:rPr>
                <w:rFonts w:eastAsia="Calibri"/>
                <w:b/>
                <w:bCs/>
              </w:rPr>
              <w:t>8 180</w:t>
            </w:r>
          </w:p>
        </w:tc>
        <w:tc>
          <w:tcPr>
            <w:tcW w:w="1340" w:type="pct"/>
            <w:tcBorders>
              <w:top w:val="single" w:sz="6" w:space="0" w:color="auto"/>
              <w:left w:val="single" w:sz="6" w:space="0" w:color="auto"/>
              <w:bottom w:val="single" w:sz="6" w:space="0" w:color="auto"/>
              <w:right w:val="single" w:sz="6" w:space="0" w:color="auto"/>
            </w:tcBorders>
            <w:vAlign w:val="center"/>
          </w:tcPr>
          <w:p w14:paraId="7ECD7CF1" w14:textId="77777777" w:rsidR="00C64805" w:rsidRPr="004A3BF6" w:rsidRDefault="00C64805" w:rsidP="002A7324">
            <w:pPr>
              <w:pStyle w:val="Tabulascipari"/>
              <w:spacing w:after="0"/>
              <w:ind w:left="0"/>
              <w:rPr>
                <w:rFonts w:eastAsia="Calibri"/>
                <w:b/>
                <w:bCs/>
              </w:rPr>
            </w:pPr>
            <w:r w:rsidRPr="004A3BF6">
              <w:rPr>
                <w:rFonts w:eastAsia="Calibri"/>
                <w:b/>
                <w:bCs/>
              </w:rPr>
              <w:t>146 764,1</w:t>
            </w:r>
          </w:p>
        </w:tc>
      </w:tr>
    </w:tbl>
    <w:p w14:paraId="0FDDEF85" w14:textId="77777777" w:rsidR="00C64805" w:rsidRDefault="00C64805" w:rsidP="00C64805">
      <w:pPr>
        <w:pStyle w:val="Piezme"/>
      </w:pPr>
      <w:r w:rsidRPr="004A3BF6">
        <w:rPr>
          <w:vertAlign w:val="superscript"/>
        </w:rPr>
        <w:t>1</w:t>
      </w:r>
      <w:r w:rsidRPr="004A3BF6">
        <w:t> </w:t>
      </w:r>
      <w:r w:rsidRPr="00576A41">
        <w:t xml:space="preserve">Dati uz </w:t>
      </w:r>
      <w:r>
        <w:t>20</w:t>
      </w:r>
      <w:r w:rsidRPr="00576A41">
        <w:t>.</w:t>
      </w:r>
      <w:r>
        <w:t>09</w:t>
      </w:r>
      <w:r w:rsidRPr="00576A41">
        <w:t>.2023.</w:t>
      </w:r>
    </w:p>
    <w:p w14:paraId="3B5B380D" w14:textId="77777777" w:rsidR="009C4F36" w:rsidRPr="004A3BF6" w:rsidRDefault="009C4F36" w:rsidP="00C64805">
      <w:pPr>
        <w:pStyle w:val="Piezme"/>
      </w:pPr>
    </w:p>
    <w:p w14:paraId="503A741E" w14:textId="77777777" w:rsidR="00C64805" w:rsidRPr="008B4A04" w:rsidRDefault="00C64805" w:rsidP="00C64805">
      <w:pPr>
        <w:rPr>
          <w:rFonts w:cs="Times New Roman"/>
          <w:szCs w:val="24"/>
        </w:rPr>
      </w:pPr>
      <w:r w:rsidRPr="008B4A04">
        <w:rPr>
          <w:rFonts w:eastAsia="Calibri" w:cs="Times New Roman"/>
          <w:szCs w:val="24"/>
        </w:rPr>
        <w:t>Lielākais termiņa pagarinājumu skaits piešķirts nodokļu maksātājiem, kuru pamatdarbības veids saistīts ar vairumtirdzniecību un mazumtirdzniecību; automobiļu un motociklu remontu, apstrādes rūpniecību vai profesionālajiem, zinātniskajiem un tehniskajiem pakalpojumiem (3 016 jeb 36,9</w:t>
      </w:r>
      <w:r>
        <w:rPr>
          <w:rFonts w:eastAsia="Calibri" w:cs="Times New Roman"/>
          <w:szCs w:val="24"/>
        </w:rPr>
        <w:t> %</w:t>
      </w:r>
      <w:r w:rsidRPr="008B4A04">
        <w:rPr>
          <w:rFonts w:eastAsia="Calibri" w:cs="Times New Roman"/>
          <w:szCs w:val="24"/>
        </w:rPr>
        <w:t xml:space="preserve"> par kopējo summu 80,7</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55,0</w:t>
      </w:r>
      <w:r>
        <w:rPr>
          <w:rFonts w:eastAsia="Calibri" w:cs="Times New Roman"/>
          <w:szCs w:val="24"/>
        </w:rPr>
        <w:t> %</w:t>
      </w:r>
      <w:r w:rsidRPr="008B4A04">
        <w:rPr>
          <w:rFonts w:eastAsia="Calibri" w:cs="Times New Roman"/>
          <w:szCs w:val="24"/>
        </w:rPr>
        <w:t xml:space="preserve"> no visas piešķirtās termiņa pagarinājumu summas). Savukārt lielākā summa piešķirta nodokļu maksātājiem, kuru pamatdarbības veids saistīts ar apstrādes rūpniecību, vairumtirdzniecību un mazumtirdzniecību; automobiļu un motociklu remontu vai transportu un uzglabāšanu (103,5</w:t>
      </w:r>
      <w:r>
        <w:rPr>
          <w:rFonts w:eastAsia="Calibri" w:cs="Times New Roman"/>
          <w:szCs w:val="24"/>
        </w:rPr>
        <w:t> milj.</w:t>
      </w:r>
      <w:r w:rsidRPr="008B4A04">
        <w:rPr>
          <w:rFonts w:eastAsia="Calibri" w:cs="Times New Roman"/>
          <w:szCs w:val="24"/>
        </w:rPr>
        <w:t> </w:t>
      </w:r>
      <w:proofErr w:type="spellStart"/>
      <w:r w:rsidRPr="00770C40">
        <w:rPr>
          <w:rFonts w:eastAsia="Calibri" w:cs="Times New Roman"/>
          <w:i/>
          <w:iCs/>
          <w:szCs w:val="24"/>
        </w:rPr>
        <w:t>euro</w:t>
      </w:r>
      <w:proofErr w:type="spellEnd"/>
      <w:r w:rsidRPr="008B4A04">
        <w:rPr>
          <w:rFonts w:eastAsia="Calibri" w:cs="Times New Roman"/>
          <w:szCs w:val="24"/>
        </w:rPr>
        <w:t xml:space="preserve"> jeb 70,5</w:t>
      </w:r>
      <w:r>
        <w:rPr>
          <w:rFonts w:eastAsia="Calibri" w:cs="Times New Roman"/>
          <w:szCs w:val="24"/>
        </w:rPr>
        <w:t> %</w:t>
      </w:r>
      <w:r w:rsidRPr="008B4A04">
        <w:rPr>
          <w:rFonts w:eastAsia="Calibri" w:cs="Times New Roman"/>
          <w:szCs w:val="24"/>
        </w:rPr>
        <w:t xml:space="preserve"> no kopējās summas).</w:t>
      </w:r>
    </w:p>
    <w:p w14:paraId="0A7CB2A2" w14:textId="76319EFB" w:rsidR="00FB33CF" w:rsidRPr="0038459F" w:rsidRDefault="00AB59A8" w:rsidP="00075224">
      <w:pPr>
        <w:spacing w:after="0"/>
        <w:ind w:firstLine="0"/>
        <w:jc w:val="left"/>
        <w:rPr>
          <w:rFonts w:eastAsia="Calibri" w:cs="Times New Roman"/>
          <w:szCs w:val="24"/>
          <w:highlight w:val="lightGray"/>
        </w:rPr>
      </w:pPr>
      <w:r w:rsidRPr="0038459F">
        <w:rPr>
          <w:rFonts w:eastAsia="Calibri" w:cs="Times New Roman"/>
          <w:szCs w:val="24"/>
          <w:highlight w:val="lightGray"/>
        </w:rPr>
        <w:br w:type="page"/>
      </w:r>
    </w:p>
    <w:p w14:paraId="36A189C7" w14:textId="0799D540" w:rsidR="005218A4" w:rsidRPr="002B3885" w:rsidRDefault="006C567F" w:rsidP="00B82877">
      <w:pPr>
        <w:pStyle w:val="H1"/>
        <w:numPr>
          <w:ilvl w:val="0"/>
          <w:numId w:val="41"/>
        </w:numPr>
        <w:ind w:left="0" w:firstLine="318"/>
      </w:pPr>
      <w:bookmarkStart w:id="112" w:name="_Toc126236670"/>
      <w:r w:rsidRPr="002B3885">
        <w:lastRenderedPageBreak/>
        <w:t>Valsts parāda, aizdevumu un galvojumu finansiālo saistību kopsavilkums</w:t>
      </w:r>
      <w:bookmarkEnd w:id="112"/>
    </w:p>
    <w:p w14:paraId="6E994DA4" w14:textId="04BDBA34" w:rsidR="00FB33CF" w:rsidRPr="002B3885" w:rsidRDefault="00863814" w:rsidP="00863814">
      <w:pPr>
        <w:pStyle w:val="H2"/>
        <w:rPr>
          <w:rFonts w:eastAsia="Times New Roman"/>
        </w:rPr>
      </w:pPr>
      <w:bookmarkStart w:id="113" w:name="_Toc126236671"/>
      <w:r w:rsidRPr="002B3885">
        <w:rPr>
          <w:rFonts w:eastAsia="Times New Roman"/>
        </w:rPr>
        <w:t xml:space="preserve">4.1. </w:t>
      </w:r>
      <w:r w:rsidR="00FB33CF" w:rsidRPr="002B3885">
        <w:rPr>
          <w:rFonts w:eastAsia="Times New Roman"/>
        </w:rPr>
        <w:t>Valdības parāda attīstības tendences vidējā termiņā</w:t>
      </w:r>
      <w:bookmarkEnd w:id="113"/>
    </w:p>
    <w:p w14:paraId="27F3B482" w14:textId="77777777" w:rsidR="00272E4E" w:rsidRPr="002B3885" w:rsidRDefault="00272E4E" w:rsidP="00272E4E">
      <w:pPr>
        <w:spacing w:before="120"/>
        <w:rPr>
          <w:szCs w:val="26"/>
        </w:rPr>
      </w:pPr>
      <w:bookmarkStart w:id="114" w:name="_Toc126236672"/>
      <w:r w:rsidRPr="002B3885">
        <w:rPr>
          <w:szCs w:val="26"/>
        </w:rPr>
        <w:t>Valsts parāda vadības pamatprincipus un uzdevumus vidējam termiņam nosaka Valsts parāda un naudas līdzekļu vadības stratēģija, kuru apstiprina finanšu ministrs. Saskaņā ar  stratēģiju valsts parāda un naudas līdzekļu vadības mērķis ir savlaicīgi nodrošināt finanšu resursu pieejamību finansēšanas nepieciešamības segšanai ar zemām valsts parāda apkalpošanas izmaksām, ierobežojot finanšu riskus un vienlaikus sekmējot iekšējā finanšu tirgus attīstību. Valsts parāda un budžeta saistību izpildē tiek izmantota stratēģiska pieeja valsts aizņemšanās un parāda vadības procesa nodrošināšanā, saglabājot pēc iespējas lielāku elastību finanšu tirgos veicamo aizņēmumu nosacījumu (aizņemšanās laiks, instruments, apjoms, termiņš) izvēlē. Tas ļauj ierobežot finanšu riskus vidējā termiņā, kā arī nodrošināt resursus kopējās finansēšanas nepieciešamības segšanai ar pēc iespējas labvēlīgākiem un izdevīgākiem nosacījumiem.</w:t>
      </w:r>
    </w:p>
    <w:p w14:paraId="4B60B7B7" w14:textId="336995D1" w:rsidR="00272E4E" w:rsidRPr="002B3885" w:rsidRDefault="00272E4E" w:rsidP="00272E4E">
      <w:pPr>
        <w:spacing w:before="120"/>
        <w:rPr>
          <w:szCs w:val="24"/>
        </w:rPr>
      </w:pPr>
      <w:r w:rsidRPr="002B3885">
        <w:rPr>
          <w:szCs w:val="24"/>
        </w:rPr>
        <w:t>2022. gadā Krievijas iebrukums Ukrainā izraisīja ģeopolitisko spriedzi reģionā,  energoresursu cenu globālo pieaugumu un inflācijas strauju p</w:t>
      </w:r>
      <w:r w:rsidR="00AC7435" w:rsidRPr="002B3885">
        <w:rPr>
          <w:szCs w:val="24"/>
        </w:rPr>
        <w:t>aaugstināšanos</w:t>
      </w:r>
      <w:r w:rsidRPr="002B3885">
        <w:rPr>
          <w:szCs w:val="24"/>
        </w:rPr>
        <w:t xml:space="preserve">, kas negatīvi ietekmēja situāciju ekonomikā un valsts budžeta izdevumus 2022. gadā. 2022. gadā resursi kopējās finansēšanas nepieciešamības segšanai, t.sk. atbalsta pasākumiem iedzīvotājiem un uzņēmumiem augsto enerģijas cenu kompensēšanai, kā arī izdevumiem valsts aizsardzības kapacitātes stiprināšanai, tika nodrošināti, veicot aizņēmumus finanšu tirgos 2 045  milj. </w:t>
      </w:r>
      <w:proofErr w:type="spellStart"/>
      <w:r w:rsidRPr="002B3885">
        <w:rPr>
          <w:i/>
          <w:szCs w:val="24"/>
        </w:rPr>
        <w:t>euro</w:t>
      </w:r>
      <w:proofErr w:type="spellEnd"/>
      <w:r w:rsidRPr="002B3885">
        <w:rPr>
          <w:szCs w:val="24"/>
        </w:rPr>
        <w:t xml:space="preserve"> apmērā, t.sk. iekšējā finanšu tirgū 2022. gadā veikti apgrozībā esošo eiroobligāciju papildu laidieni 1 195 milj. </w:t>
      </w:r>
      <w:proofErr w:type="spellStart"/>
      <w:r w:rsidRPr="002B3885">
        <w:rPr>
          <w:i/>
          <w:szCs w:val="24"/>
        </w:rPr>
        <w:t>euro</w:t>
      </w:r>
      <w:proofErr w:type="spellEnd"/>
      <w:r w:rsidRPr="002B3885">
        <w:rPr>
          <w:szCs w:val="24"/>
        </w:rPr>
        <w:t xml:space="preserve"> apmērā, starptautiskajos finanšu tirgos veikta eiroobligāciju emisija 850 milj. </w:t>
      </w:r>
      <w:proofErr w:type="spellStart"/>
      <w:r w:rsidRPr="002B3885">
        <w:rPr>
          <w:i/>
          <w:szCs w:val="24"/>
        </w:rPr>
        <w:t>euro</w:t>
      </w:r>
      <w:proofErr w:type="spellEnd"/>
      <w:r w:rsidRPr="002B3885">
        <w:rPr>
          <w:szCs w:val="24"/>
        </w:rPr>
        <w:t xml:space="preserve"> apmērā ar dzēšanu 2027. gada martā. Papildus finanšu tirgos veiktajiem aizņēmumiem 2022. gadā ar finansiāli izdevīgiem nosacījumiem saņemts pēdējais aizdevums </w:t>
      </w:r>
      <w:r w:rsidR="00AC7435" w:rsidRPr="002B3885">
        <w:rPr>
          <w:szCs w:val="24"/>
        </w:rPr>
        <w:t>EK</w:t>
      </w:r>
      <w:r w:rsidRPr="002B3885">
        <w:rPr>
          <w:szCs w:val="24"/>
        </w:rPr>
        <w:t xml:space="preserve"> finansēšanas instrumenta SURE ietvaros 167 milj. </w:t>
      </w:r>
      <w:proofErr w:type="spellStart"/>
      <w:r w:rsidRPr="002B3885">
        <w:rPr>
          <w:i/>
          <w:szCs w:val="24"/>
        </w:rPr>
        <w:t>euro</w:t>
      </w:r>
      <w:proofErr w:type="spellEnd"/>
      <w:r w:rsidRPr="002B3885">
        <w:rPr>
          <w:szCs w:val="24"/>
        </w:rPr>
        <w:t xml:space="preserve"> apmērā ar atmaksas termiņu 15 gadi.</w:t>
      </w:r>
    </w:p>
    <w:p w14:paraId="5874D52D" w14:textId="6910D082" w:rsidR="00272E4E" w:rsidRPr="002B3885" w:rsidRDefault="00272E4E" w:rsidP="00272E4E">
      <w:pPr>
        <w:spacing w:before="120"/>
      </w:pPr>
      <w:r w:rsidRPr="002B3885">
        <w:t>Papildu aizņemšanās, lai sniegtu atbalstu iedzīvotājiem un uzņēmumiem Covid-19 ietekmes seku novēršanai, kā arī energoresursu cenu straujā kāpuma kompensēšanai</w:t>
      </w:r>
      <w:r w:rsidR="00AC7435" w:rsidRPr="002B3885">
        <w:t>,</w:t>
      </w:r>
      <w:r w:rsidRPr="002B3885">
        <w:t xml:space="preserve"> izraisīja valsts parāda pieaugumu. Ja 2019. gada beigās, pirms Covid-19 uzliesmojuma, valsts parāds pēc nacionālās metodoloģijas</w:t>
      </w:r>
      <w:r w:rsidRPr="002B3885">
        <w:rPr>
          <w:rStyle w:val="FootnoteReference"/>
        </w:rPr>
        <w:footnoteReference w:id="39"/>
      </w:r>
      <w:r w:rsidRPr="002B3885">
        <w:t xml:space="preserve"> veidoja 35,</w:t>
      </w:r>
      <w:r w:rsidR="002B3885" w:rsidRPr="002B3885">
        <w:t>4</w:t>
      </w:r>
      <w:r w:rsidRPr="002B3885">
        <w:t xml:space="preserve">% no IKP (jeb 10,8 mljrd. </w:t>
      </w:r>
      <w:proofErr w:type="spellStart"/>
      <w:r w:rsidRPr="002B3885">
        <w:rPr>
          <w:i/>
        </w:rPr>
        <w:t>euro</w:t>
      </w:r>
      <w:proofErr w:type="spellEnd"/>
      <w:r w:rsidRPr="002B3885">
        <w:t xml:space="preserve">), tad 2022. gada beigās valsts parāds pēc nacionālās metodoloģijas sasniedza 16,8 mljrd. </w:t>
      </w:r>
      <w:proofErr w:type="spellStart"/>
      <w:r w:rsidRPr="002B3885">
        <w:rPr>
          <w:i/>
        </w:rPr>
        <w:t>euro</w:t>
      </w:r>
      <w:proofErr w:type="spellEnd"/>
      <w:r w:rsidRPr="002B3885">
        <w:t xml:space="preserve"> jeb 4</w:t>
      </w:r>
      <w:r w:rsidR="002B3885" w:rsidRPr="002B3885">
        <w:t>3</w:t>
      </w:r>
      <w:r w:rsidRPr="002B3885">
        <w:t>,</w:t>
      </w:r>
      <w:r w:rsidR="002B3885" w:rsidRPr="002B3885">
        <w:t>1</w:t>
      </w:r>
      <w:r w:rsidRPr="002B3885">
        <w:t>% no IKP.</w:t>
      </w:r>
    </w:p>
    <w:p w14:paraId="1522F631" w14:textId="518F8036" w:rsidR="00272E4E" w:rsidRPr="002B3885" w:rsidRDefault="00272E4E" w:rsidP="00272E4E">
      <w:pPr>
        <w:spacing w:before="120"/>
        <w:rPr>
          <w:szCs w:val="24"/>
        </w:rPr>
      </w:pPr>
      <w:r w:rsidRPr="002B3885">
        <w:rPr>
          <w:szCs w:val="24"/>
        </w:rPr>
        <w:t>Neskatoties uz Latvijas vispārējā valdības parāda pēc EKS metodoloģijas</w:t>
      </w:r>
      <w:r w:rsidRPr="002B3885">
        <w:rPr>
          <w:rStyle w:val="FootnoteReference"/>
          <w:szCs w:val="24"/>
        </w:rPr>
        <w:footnoteReference w:id="40"/>
      </w:r>
      <w:r w:rsidRPr="002B3885">
        <w:rPr>
          <w:szCs w:val="24"/>
        </w:rPr>
        <w:t xml:space="preserve"> pieaugumu pēdējos gados, tā līmenis joprojām ir viens no zemākajiem</w:t>
      </w:r>
      <w:r w:rsidRPr="002B3885">
        <w:t xml:space="preserve"> starp </w:t>
      </w:r>
      <w:r w:rsidRPr="002B3885">
        <w:rPr>
          <w:szCs w:val="24"/>
        </w:rPr>
        <w:t xml:space="preserve">Eiropas Savienības un </w:t>
      </w:r>
      <w:proofErr w:type="spellStart"/>
      <w:r w:rsidRPr="002B3885">
        <w:rPr>
          <w:i/>
          <w:iCs/>
          <w:szCs w:val="24"/>
        </w:rPr>
        <w:t>e</w:t>
      </w:r>
      <w:r w:rsidR="00AC7435" w:rsidRPr="002B3885">
        <w:rPr>
          <w:i/>
          <w:iCs/>
          <w:szCs w:val="24"/>
        </w:rPr>
        <w:t>u</w:t>
      </w:r>
      <w:r w:rsidRPr="002B3885">
        <w:rPr>
          <w:i/>
          <w:iCs/>
          <w:szCs w:val="24"/>
        </w:rPr>
        <w:t>ro</w:t>
      </w:r>
      <w:proofErr w:type="spellEnd"/>
      <w:r w:rsidR="00AC7435" w:rsidRPr="002B3885">
        <w:rPr>
          <w:szCs w:val="24"/>
        </w:rPr>
        <w:t xml:space="preserve"> </w:t>
      </w:r>
      <w:r w:rsidRPr="002B3885">
        <w:rPr>
          <w:szCs w:val="24"/>
        </w:rPr>
        <w:t xml:space="preserve">zonas dalībvalstīm - 2022. gada beigās vispārējās valdības parāds sasniedza 15,9 mljrd. </w:t>
      </w:r>
      <w:proofErr w:type="spellStart"/>
      <w:r w:rsidRPr="002B3885">
        <w:rPr>
          <w:i/>
          <w:szCs w:val="24"/>
        </w:rPr>
        <w:t>euro</w:t>
      </w:r>
      <w:proofErr w:type="spellEnd"/>
      <w:r w:rsidRPr="002B3885">
        <w:rPr>
          <w:szCs w:val="24"/>
        </w:rPr>
        <w:t xml:space="preserve"> jeb 4</w:t>
      </w:r>
      <w:r w:rsidR="002B3885" w:rsidRPr="002B3885">
        <w:rPr>
          <w:szCs w:val="24"/>
        </w:rPr>
        <w:t>1</w:t>
      </w:r>
      <w:r w:rsidRPr="002B3885">
        <w:rPr>
          <w:szCs w:val="24"/>
        </w:rPr>
        <w:t>,</w:t>
      </w:r>
      <w:r w:rsidR="002B3885" w:rsidRPr="002B3885">
        <w:rPr>
          <w:szCs w:val="24"/>
        </w:rPr>
        <w:t>0</w:t>
      </w:r>
      <w:r w:rsidRPr="002B3885">
        <w:rPr>
          <w:szCs w:val="24"/>
        </w:rPr>
        <w:t xml:space="preserve">% no IKP. </w:t>
      </w:r>
    </w:p>
    <w:p w14:paraId="794B7D47" w14:textId="3DC83172" w:rsidR="00272E4E" w:rsidRPr="00565E11" w:rsidRDefault="00272E4E" w:rsidP="00272E4E">
      <w:pPr>
        <w:spacing w:before="120"/>
        <w:rPr>
          <w:szCs w:val="24"/>
        </w:rPr>
      </w:pPr>
      <w:r w:rsidRPr="00565E11">
        <w:rPr>
          <w:szCs w:val="24"/>
        </w:rPr>
        <w:lastRenderedPageBreak/>
        <w:t xml:space="preserve">2023. gada </w:t>
      </w:r>
      <w:r w:rsidR="00565E11" w:rsidRPr="00565E11">
        <w:rPr>
          <w:szCs w:val="24"/>
        </w:rPr>
        <w:t>deviņos</w:t>
      </w:r>
      <w:r w:rsidRPr="00565E11">
        <w:rPr>
          <w:szCs w:val="24"/>
        </w:rPr>
        <w:t xml:space="preserve"> mēnešos kopējās finansēšanas nepieciešamības segšanai veikti aizņemšanās darījumi finanšu tirgos 2 </w:t>
      </w:r>
      <w:r w:rsidR="00565E11" w:rsidRPr="00565E11">
        <w:rPr>
          <w:szCs w:val="24"/>
        </w:rPr>
        <w:t xml:space="preserve">626,3  </w:t>
      </w:r>
      <w:r w:rsidRPr="00565E11">
        <w:rPr>
          <w:szCs w:val="24"/>
        </w:rPr>
        <w:t xml:space="preserve">  milj. </w:t>
      </w:r>
      <w:r w:rsidR="005D673A">
        <w:rPr>
          <w:szCs w:val="24"/>
        </w:rPr>
        <w:t xml:space="preserve"> </w:t>
      </w:r>
      <w:proofErr w:type="spellStart"/>
      <w:r w:rsidRPr="00565E11">
        <w:rPr>
          <w:i/>
          <w:szCs w:val="24"/>
        </w:rPr>
        <w:t>euro</w:t>
      </w:r>
      <w:proofErr w:type="spellEnd"/>
      <w:r w:rsidRPr="00565E11">
        <w:rPr>
          <w:szCs w:val="24"/>
        </w:rPr>
        <w:t xml:space="preserve"> apmērā. Starptautiskajos finanšu tirgos piesaistīti resursi 1 500 milj. </w:t>
      </w:r>
      <w:proofErr w:type="spellStart"/>
      <w:r w:rsidRPr="00565E11">
        <w:rPr>
          <w:i/>
          <w:iCs/>
          <w:szCs w:val="24"/>
        </w:rPr>
        <w:t>euro</w:t>
      </w:r>
      <w:proofErr w:type="spellEnd"/>
      <w:r w:rsidRPr="00565E11">
        <w:rPr>
          <w:szCs w:val="24"/>
        </w:rPr>
        <w:t xml:space="preserve"> apmērā, veicot divas eiroobligāciju emisijas - janvārī 750 milj. </w:t>
      </w:r>
      <w:proofErr w:type="spellStart"/>
      <w:r w:rsidRPr="00565E11">
        <w:rPr>
          <w:i/>
          <w:szCs w:val="24"/>
        </w:rPr>
        <w:t>euro</w:t>
      </w:r>
      <w:proofErr w:type="spellEnd"/>
      <w:r w:rsidRPr="00565E11">
        <w:rPr>
          <w:szCs w:val="24"/>
        </w:rPr>
        <w:t xml:space="preserve"> ar termiņu 5 gadi un kupona likmi 3,5% un jūlijā 750 milj. </w:t>
      </w:r>
      <w:proofErr w:type="spellStart"/>
      <w:r w:rsidRPr="00565E11">
        <w:rPr>
          <w:i/>
          <w:szCs w:val="24"/>
        </w:rPr>
        <w:t>euro</w:t>
      </w:r>
      <w:proofErr w:type="spellEnd"/>
      <w:r w:rsidRPr="00565E11">
        <w:rPr>
          <w:szCs w:val="24"/>
        </w:rPr>
        <w:t xml:space="preserve"> ar termiņu 10 gadi un kupona likmi 3,875%. Savukārt, iekšējā finanšu tirgū dažāda termiņa eiroobligāciju papildu laidienu izsolēs piesaistīti </w:t>
      </w:r>
      <w:r w:rsidR="00565E11" w:rsidRPr="00565E11">
        <w:rPr>
          <w:szCs w:val="24"/>
        </w:rPr>
        <w:t xml:space="preserve">935,0 </w:t>
      </w:r>
      <w:r w:rsidRPr="00565E11">
        <w:rPr>
          <w:szCs w:val="24"/>
        </w:rPr>
        <w:t xml:space="preserve">milj. </w:t>
      </w:r>
      <w:proofErr w:type="spellStart"/>
      <w:r w:rsidRPr="00565E11">
        <w:rPr>
          <w:i/>
          <w:szCs w:val="24"/>
        </w:rPr>
        <w:t>euro</w:t>
      </w:r>
      <w:proofErr w:type="spellEnd"/>
      <w:r w:rsidRPr="00565E11">
        <w:rPr>
          <w:szCs w:val="24"/>
        </w:rPr>
        <w:t xml:space="preserve">, kā arī veikta resursu piesaiste no iedzīvotājiem (privātpersonām), emitējot </w:t>
      </w:r>
      <w:proofErr w:type="spellStart"/>
      <w:r w:rsidRPr="00565E11">
        <w:rPr>
          <w:szCs w:val="24"/>
        </w:rPr>
        <w:t>krājobligācijas</w:t>
      </w:r>
      <w:proofErr w:type="spellEnd"/>
      <w:r w:rsidRPr="00565E11">
        <w:rPr>
          <w:szCs w:val="24"/>
        </w:rPr>
        <w:t xml:space="preserve"> </w:t>
      </w:r>
      <w:r w:rsidR="00565E11" w:rsidRPr="00565E11">
        <w:rPr>
          <w:szCs w:val="24"/>
        </w:rPr>
        <w:t xml:space="preserve">191,3 </w:t>
      </w:r>
      <w:r w:rsidRPr="00565E11">
        <w:rPr>
          <w:szCs w:val="24"/>
        </w:rPr>
        <w:t xml:space="preserve">milj. </w:t>
      </w:r>
      <w:proofErr w:type="spellStart"/>
      <w:r w:rsidRPr="00565E11">
        <w:rPr>
          <w:i/>
          <w:szCs w:val="24"/>
        </w:rPr>
        <w:t>euro</w:t>
      </w:r>
      <w:proofErr w:type="spellEnd"/>
      <w:r w:rsidRPr="00565E11">
        <w:rPr>
          <w:szCs w:val="24"/>
        </w:rPr>
        <w:t xml:space="preserve"> apmērā. </w:t>
      </w:r>
    </w:p>
    <w:p w14:paraId="601217EF" w14:textId="4BB2678C" w:rsidR="00272E4E" w:rsidRPr="00565E11" w:rsidRDefault="00272E4E" w:rsidP="00272E4E">
      <w:pPr>
        <w:spacing w:before="120"/>
        <w:rPr>
          <w:szCs w:val="24"/>
        </w:rPr>
      </w:pPr>
      <w:r w:rsidRPr="00565E11">
        <w:rPr>
          <w:szCs w:val="24"/>
        </w:rPr>
        <w:t>2023.</w:t>
      </w:r>
      <w:r w:rsidR="00AC7435" w:rsidRPr="00565E11">
        <w:rPr>
          <w:szCs w:val="24"/>
        </w:rPr>
        <w:t xml:space="preserve"> </w:t>
      </w:r>
      <w:r w:rsidRPr="00565E11">
        <w:rPr>
          <w:szCs w:val="24"/>
        </w:rPr>
        <w:t xml:space="preserve">gada </w:t>
      </w:r>
      <w:r w:rsidR="00565E11" w:rsidRPr="00565E11">
        <w:rPr>
          <w:szCs w:val="24"/>
        </w:rPr>
        <w:t>deviņos</w:t>
      </w:r>
      <w:r w:rsidRPr="00565E11">
        <w:rPr>
          <w:szCs w:val="24"/>
        </w:rPr>
        <w:t xml:space="preserve"> mēnešos tika nodrošināta</w:t>
      </w:r>
      <w:r w:rsidRPr="00565E11">
        <w:t xml:space="preserve"> </w:t>
      </w:r>
      <w:r w:rsidRPr="00565E11">
        <w:rPr>
          <w:szCs w:val="24"/>
        </w:rPr>
        <w:t>valsts parāda saistību izpilde saskaņā ar noteiktajiem termiņiem, t.sk. aprīlī dzēstas 2020.</w:t>
      </w:r>
      <w:r w:rsidR="00AC7435" w:rsidRPr="00565E11">
        <w:rPr>
          <w:szCs w:val="24"/>
        </w:rPr>
        <w:t xml:space="preserve"> </w:t>
      </w:r>
      <w:r w:rsidRPr="00565E11">
        <w:rPr>
          <w:szCs w:val="24"/>
        </w:rPr>
        <w:t xml:space="preserve">gadā emitētās eiroobligācijas 1 000,0 milj. </w:t>
      </w:r>
      <w:proofErr w:type="spellStart"/>
      <w:r w:rsidRPr="00565E11">
        <w:rPr>
          <w:i/>
          <w:szCs w:val="24"/>
        </w:rPr>
        <w:t>euro</w:t>
      </w:r>
      <w:proofErr w:type="spellEnd"/>
      <w:r w:rsidRPr="00565E11">
        <w:rPr>
          <w:i/>
          <w:szCs w:val="24"/>
        </w:rPr>
        <w:t xml:space="preserve"> </w:t>
      </w:r>
      <w:r w:rsidRPr="00565E11">
        <w:rPr>
          <w:szCs w:val="24"/>
        </w:rPr>
        <w:t xml:space="preserve">apmērā un maijā dzēstas 5 gadu iekšējā aizņēmuma obligācijas 270,0 milj. </w:t>
      </w:r>
      <w:proofErr w:type="spellStart"/>
      <w:r w:rsidRPr="00565E11">
        <w:rPr>
          <w:i/>
          <w:szCs w:val="24"/>
        </w:rPr>
        <w:t>euro</w:t>
      </w:r>
      <w:proofErr w:type="spellEnd"/>
      <w:r w:rsidRPr="00565E11">
        <w:rPr>
          <w:szCs w:val="24"/>
        </w:rPr>
        <w:t xml:space="preserve"> apmērā, kā arī 2023.</w:t>
      </w:r>
      <w:r w:rsidR="00AC7435" w:rsidRPr="00565E11">
        <w:rPr>
          <w:szCs w:val="24"/>
        </w:rPr>
        <w:t xml:space="preserve"> </w:t>
      </w:r>
      <w:r w:rsidRPr="00565E11">
        <w:rPr>
          <w:szCs w:val="24"/>
        </w:rPr>
        <w:t xml:space="preserve">gada aprīlī pirms termiņa veikta Covid-19 pandēmijas negatīvo seku mazināšanai piešķirtā aizņēmuma atmaksa Ziemeļu investīciju bankai 500 milj. </w:t>
      </w:r>
      <w:proofErr w:type="spellStart"/>
      <w:r w:rsidRPr="00565E11">
        <w:rPr>
          <w:i/>
          <w:szCs w:val="24"/>
        </w:rPr>
        <w:t>euro</w:t>
      </w:r>
      <w:proofErr w:type="spellEnd"/>
      <w:r w:rsidRPr="00565E11">
        <w:rPr>
          <w:szCs w:val="24"/>
        </w:rPr>
        <w:t xml:space="preserve"> apmērā.</w:t>
      </w:r>
    </w:p>
    <w:p w14:paraId="312D1181" w14:textId="02180650" w:rsidR="00272E4E" w:rsidRPr="00565E11" w:rsidRDefault="00272E4E" w:rsidP="00272E4E">
      <w:pPr>
        <w:spacing w:before="120"/>
        <w:rPr>
          <w:szCs w:val="24"/>
        </w:rPr>
      </w:pPr>
      <w:r w:rsidRPr="00565E11">
        <w:rPr>
          <w:szCs w:val="24"/>
        </w:rPr>
        <w:t>Rezultātā 2023.</w:t>
      </w:r>
      <w:r w:rsidR="00AC7435" w:rsidRPr="00565E11">
        <w:rPr>
          <w:szCs w:val="24"/>
        </w:rPr>
        <w:t xml:space="preserve"> </w:t>
      </w:r>
      <w:r w:rsidRPr="00565E11">
        <w:rPr>
          <w:szCs w:val="24"/>
        </w:rPr>
        <w:t xml:space="preserve">gada </w:t>
      </w:r>
      <w:r w:rsidR="00565E11" w:rsidRPr="00565E11">
        <w:rPr>
          <w:szCs w:val="24"/>
        </w:rPr>
        <w:t>septembra</w:t>
      </w:r>
      <w:r w:rsidRPr="00565E11">
        <w:rPr>
          <w:szCs w:val="24"/>
        </w:rPr>
        <w:t xml:space="preserve"> beigās valsts parāds pēc nacionālās metodoloģijas bija 17,0 mljrd. </w:t>
      </w:r>
      <w:proofErr w:type="spellStart"/>
      <w:r w:rsidRPr="00565E11">
        <w:rPr>
          <w:i/>
          <w:szCs w:val="24"/>
        </w:rPr>
        <w:t>euro</w:t>
      </w:r>
      <w:proofErr w:type="spellEnd"/>
      <w:r w:rsidRPr="00565E11">
        <w:rPr>
          <w:szCs w:val="24"/>
        </w:rPr>
        <w:t xml:space="preserve"> jeb 39,</w:t>
      </w:r>
      <w:r w:rsidR="00565E11" w:rsidRPr="00565E11">
        <w:rPr>
          <w:szCs w:val="24"/>
        </w:rPr>
        <w:t>5</w:t>
      </w:r>
      <w:r w:rsidRPr="00565E11">
        <w:rPr>
          <w:szCs w:val="24"/>
        </w:rPr>
        <w:t>% no prognozētā IKP.</w:t>
      </w:r>
    </w:p>
    <w:p w14:paraId="290547FF" w14:textId="77777777" w:rsidR="00272E4E" w:rsidRPr="00565E11" w:rsidRDefault="00272E4E" w:rsidP="00272E4E">
      <w:pPr>
        <w:spacing w:before="120"/>
      </w:pPr>
      <w:r w:rsidRPr="00565E11">
        <w:t xml:space="preserve">Valsts parāda struktūrā lielāko īpatsvaru (81% no kopējā valsts parāda) veido finanšu tirgos emitētās eiroobligācijas (skat. 4.1. attēlu). </w:t>
      </w:r>
    </w:p>
    <w:p w14:paraId="74E240C9" w14:textId="21FC74F7" w:rsidR="00272E4E" w:rsidRPr="009D771C" w:rsidRDefault="005D673A" w:rsidP="00272E4E">
      <w:pPr>
        <w:pStyle w:val="BodyTextIndent"/>
        <w:spacing w:after="240"/>
        <w:ind w:left="0" w:firstLine="0"/>
        <w:jc w:val="center"/>
        <w:rPr>
          <w:color w:val="000000"/>
          <w:szCs w:val="28"/>
        </w:rPr>
      </w:pPr>
      <w:r w:rsidRPr="004467B3">
        <w:rPr>
          <w:noProof/>
        </w:rPr>
        <w:drawing>
          <wp:inline distT="0" distB="0" distL="0" distR="0" wp14:anchorId="07515B51" wp14:editId="5728E3BA">
            <wp:extent cx="3266488" cy="2243797"/>
            <wp:effectExtent l="0" t="0" r="0" b="4445"/>
            <wp:docPr id="73379853" name="Picture 73379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91111" cy="2260711"/>
                    </a:xfrm>
                    <a:prstGeom prst="rect">
                      <a:avLst/>
                    </a:prstGeom>
                  </pic:spPr>
                </pic:pic>
              </a:graphicData>
            </a:graphic>
          </wp:inline>
        </w:drawing>
      </w:r>
    </w:p>
    <w:p w14:paraId="6F1AEFD7" w14:textId="0F6607AC" w:rsidR="00272E4E" w:rsidRPr="009D771C" w:rsidRDefault="00272E4E" w:rsidP="00272E4E">
      <w:pPr>
        <w:pStyle w:val="BodyTextIndent"/>
        <w:spacing w:after="0"/>
        <w:ind w:left="0" w:firstLine="0"/>
        <w:jc w:val="center"/>
        <w:rPr>
          <w:b/>
          <w:i/>
          <w:color w:val="000000"/>
          <w:szCs w:val="28"/>
        </w:rPr>
      </w:pPr>
      <w:r w:rsidRPr="009D771C">
        <w:rPr>
          <w:b/>
          <w:i/>
          <w:color w:val="000000"/>
          <w:szCs w:val="28"/>
        </w:rPr>
        <w:t xml:space="preserve">4.1. att. </w:t>
      </w:r>
      <w:r w:rsidRPr="009D771C">
        <w:rPr>
          <w:b/>
          <w:i/>
          <w:iCs/>
          <w:color w:val="000000"/>
          <w:szCs w:val="28"/>
        </w:rPr>
        <w:t xml:space="preserve">Valsts parāda struktūra nominālvērtībā, milj. </w:t>
      </w:r>
      <w:proofErr w:type="spellStart"/>
      <w:r w:rsidRPr="009D771C">
        <w:rPr>
          <w:b/>
          <w:i/>
          <w:iCs/>
          <w:color w:val="000000"/>
          <w:szCs w:val="28"/>
        </w:rPr>
        <w:t>euro</w:t>
      </w:r>
      <w:proofErr w:type="spellEnd"/>
      <w:r w:rsidRPr="009D771C">
        <w:rPr>
          <w:b/>
          <w:i/>
          <w:color w:val="000000"/>
          <w:szCs w:val="28"/>
        </w:rPr>
        <w:t xml:space="preserve"> </w:t>
      </w:r>
    </w:p>
    <w:p w14:paraId="6FECEBB2" w14:textId="3C07DAA4" w:rsidR="00272E4E" w:rsidRPr="009D771C" w:rsidRDefault="00272E4E" w:rsidP="00272E4E">
      <w:pPr>
        <w:pStyle w:val="BodyTextIndent"/>
        <w:spacing w:after="0"/>
        <w:ind w:left="0" w:firstLine="0"/>
        <w:jc w:val="center"/>
        <w:rPr>
          <w:i/>
          <w:color w:val="000000"/>
          <w:szCs w:val="24"/>
        </w:rPr>
      </w:pPr>
      <w:r w:rsidRPr="009D771C">
        <w:rPr>
          <w:i/>
          <w:color w:val="000000"/>
          <w:szCs w:val="24"/>
        </w:rPr>
        <w:t>(uz 2023. gada 3</w:t>
      </w:r>
      <w:r w:rsidR="00565E11" w:rsidRPr="009D771C">
        <w:rPr>
          <w:i/>
          <w:color w:val="000000"/>
          <w:szCs w:val="24"/>
        </w:rPr>
        <w:t>0</w:t>
      </w:r>
      <w:r w:rsidRPr="009D771C">
        <w:rPr>
          <w:i/>
          <w:color w:val="000000"/>
          <w:szCs w:val="24"/>
        </w:rPr>
        <w:t>. </w:t>
      </w:r>
      <w:r w:rsidR="00565E11" w:rsidRPr="009D771C">
        <w:rPr>
          <w:i/>
          <w:color w:val="000000"/>
          <w:szCs w:val="24"/>
        </w:rPr>
        <w:t>septembri</w:t>
      </w:r>
      <w:r w:rsidRPr="009D771C">
        <w:rPr>
          <w:i/>
          <w:color w:val="000000"/>
          <w:szCs w:val="24"/>
        </w:rPr>
        <w:t>)</w:t>
      </w:r>
    </w:p>
    <w:p w14:paraId="2A439E9C" w14:textId="77777777" w:rsidR="00272E4E" w:rsidRPr="009D771C" w:rsidRDefault="00272E4E" w:rsidP="00272E4E">
      <w:pPr>
        <w:pStyle w:val="BodyTextIndent"/>
        <w:spacing w:after="0"/>
        <w:ind w:left="0" w:firstLine="0"/>
        <w:jc w:val="center"/>
        <w:rPr>
          <w:color w:val="000000"/>
          <w:szCs w:val="28"/>
        </w:rPr>
      </w:pPr>
    </w:p>
    <w:p w14:paraId="26DC569B" w14:textId="77777777" w:rsidR="00272E4E" w:rsidRPr="009D771C" w:rsidRDefault="00272E4E" w:rsidP="00272E4E">
      <w:pPr>
        <w:spacing w:after="0"/>
        <w:rPr>
          <w:szCs w:val="24"/>
        </w:rPr>
      </w:pPr>
      <w:r w:rsidRPr="009D771C">
        <w:rPr>
          <w:szCs w:val="24"/>
        </w:rPr>
        <w:t xml:space="preserve">Aizņemšanās apjomu un valsts parāda līmeni vidējā termiņā ietekmē kopējā finansēšanas nepieciešamība, kuru galvenokārt veido valsts budžeta deficīts, t.sk. dažādi atbalsta pasākumi, valsts parāda atmaksa, valsts aizdevumu izsniegšana (pašvaldībām, valsts kapitālsabiedrībām, ostām un augstskolām), kā arī resursu rezerves uzturēšana Valsts kases kontos dažādu risku vadībai paaugstinātas nenoteiktības apstākļos. </w:t>
      </w:r>
    </w:p>
    <w:p w14:paraId="0EA5DDE4" w14:textId="0AE97678" w:rsidR="00272E4E" w:rsidRPr="009D771C" w:rsidRDefault="00E46194" w:rsidP="00272E4E">
      <w:pPr>
        <w:spacing w:before="240" w:after="0"/>
        <w:jc w:val="center"/>
        <w:rPr>
          <w:b/>
          <w:i/>
          <w:szCs w:val="24"/>
        </w:rPr>
      </w:pPr>
      <w:r>
        <w:rPr>
          <w:noProof/>
          <w:sz w:val="18"/>
          <w:szCs w:val="18"/>
        </w:rPr>
        <w:lastRenderedPageBreak/>
        <w:drawing>
          <wp:inline distT="0" distB="0" distL="0" distR="0" wp14:anchorId="397284D4" wp14:editId="7F2505F0">
            <wp:extent cx="4161909" cy="2159390"/>
            <wp:effectExtent l="0" t="0" r="0" b="0"/>
            <wp:docPr id="2145567845" name="Picture 2145567845" descr="A graph of numbers and a b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67845" name="Picture 2145567845" descr="A graph of numbers and a bar&#10;&#10;Description automatically generated with medium confidenc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34948" cy="2197286"/>
                    </a:xfrm>
                    <a:prstGeom prst="rect">
                      <a:avLst/>
                    </a:prstGeom>
                    <a:noFill/>
                  </pic:spPr>
                </pic:pic>
              </a:graphicData>
            </a:graphic>
          </wp:inline>
        </w:drawing>
      </w:r>
    </w:p>
    <w:p w14:paraId="4384B95C" w14:textId="127F8EDF" w:rsidR="00272E4E" w:rsidRPr="009D771C" w:rsidRDefault="00272E4E" w:rsidP="00272E4E">
      <w:pPr>
        <w:spacing w:before="240" w:after="0"/>
        <w:jc w:val="center"/>
        <w:rPr>
          <w:b/>
          <w:i/>
          <w:szCs w:val="24"/>
        </w:rPr>
      </w:pPr>
      <w:r w:rsidRPr="009D771C">
        <w:rPr>
          <w:b/>
          <w:i/>
          <w:szCs w:val="24"/>
        </w:rPr>
        <w:t xml:space="preserve">4.2. att. Centrālās valdības aizņēmumu atmaksas grafiks </w:t>
      </w:r>
    </w:p>
    <w:p w14:paraId="55C7CCCC" w14:textId="39389072" w:rsidR="00272E4E" w:rsidRPr="009D771C" w:rsidRDefault="00272E4E" w:rsidP="00272E4E">
      <w:pPr>
        <w:jc w:val="center"/>
        <w:rPr>
          <w:i/>
          <w:szCs w:val="24"/>
        </w:rPr>
      </w:pPr>
      <w:r w:rsidRPr="009D771C">
        <w:rPr>
          <w:i/>
          <w:szCs w:val="24"/>
        </w:rPr>
        <w:t>(līdz 2023. gada 3</w:t>
      </w:r>
      <w:r w:rsidR="00664EBD" w:rsidRPr="009D771C">
        <w:rPr>
          <w:i/>
          <w:szCs w:val="24"/>
        </w:rPr>
        <w:t>0</w:t>
      </w:r>
      <w:r w:rsidRPr="009D771C">
        <w:rPr>
          <w:i/>
          <w:szCs w:val="24"/>
        </w:rPr>
        <w:t>. </w:t>
      </w:r>
      <w:r w:rsidR="00664EBD" w:rsidRPr="009D771C">
        <w:rPr>
          <w:i/>
          <w:szCs w:val="24"/>
        </w:rPr>
        <w:t>septembri</w:t>
      </w:r>
      <w:r w:rsidRPr="009D771C">
        <w:rPr>
          <w:i/>
          <w:szCs w:val="24"/>
        </w:rPr>
        <w:t xml:space="preserve">m uzņemtās saistības, nominālvērtībā, milj. </w:t>
      </w:r>
      <w:proofErr w:type="spellStart"/>
      <w:r w:rsidRPr="009D771C">
        <w:rPr>
          <w:i/>
          <w:szCs w:val="24"/>
        </w:rPr>
        <w:t>euro</w:t>
      </w:r>
      <w:proofErr w:type="spellEnd"/>
      <w:r w:rsidRPr="009D771C">
        <w:rPr>
          <w:i/>
          <w:szCs w:val="24"/>
        </w:rPr>
        <w:t>)</w:t>
      </w:r>
    </w:p>
    <w:p w14:paraId="6F92988B" w14:textId="6D0887CC" w:rsidR="00272E4E" w:rsidRPr="009D771C" w:rsidRDefault="00272E4E" w:rsidP="00785E81">
      <w:pPr>
        <w:spacing w:after="0"/>
        <w:ind w:firstLine="0"/>
        <w:jc w:val="center"/>
        <w:rPr>
          <w:sz w:val="18"/>
          <w:szCs w:val="18"/>
        </w:rPr>
      </w:pPr>
    </w:p>
    <w:p w14:paraId="65F2FB8A" w14:textId="2B01E1F1" w:rsidR="00272E4E" w:rsidRPr="009D771C" w:rsidRDefault="00272E4E" w:rsidP="0093347F">
      <w:pPr>
        <w:spacing w:before="120"/>
        <w:rPr>
          <w:szCs w:val="24"/>
        </w:rPr>
      </w:pPr>
      <w:r w:rsidRPr="009D771C">
        <w:t>Ņemot vērā līdz 2023. gada 3</w:t>
      </w:r>
      <w:r w:rsidR="009D771C" w:rsidRPr="009D771C">
        <w:t>0</w:t>
      </w:r>
      <w:r w:rsidRPr="009D771C">
        <w:t>. </w:t>
      </w:r>
      <w:r w:rsidR="009D771C" w:rsidRPr="009D771C">
        <w:t>septembri</w:t>
      </w:r>
      <w:r w:rsidRPr="009D771C">
        <w:t xml:space="preserve">m uzņemtās valsts parāda saistības, saskaņā ar valsts parāda atmaksas grafiku 2023. gada </w:t>
      </w:r>
      <w:r w:rsidR="009D771C" w:rsidRPr="009D771C">
        <w:t>oktobr</w:t>
      </w:r>
      <w:r w:rsidRPr="009D771C">
        <w:t xml:space="preserve">ī – 2026. gada decembrī, jāpārfinansē valsts parāda saistības ~5,8 mljrd. </w:t>
      </w:r>
      <w:proofErr w:type="spellStart"/>
      <w:r w:rsidRPr="009D771C">
        <w:rPr>
          <w:i/>
        </w:rPr>
        <w:t>euro</w:t>
      </w:r>
      <w:proofErr w:type="spellEnd"/>
      <w:r w:rsidRPr="009D771C">
        <w:t xml:space="preserve"> apmērā (skat. 4.2. attēlu). Lielāko daļu no minētajā periodā pārfinansējamā parāda apjoma veido starptautiskajos finanšu tirgos emitētās eiroobligācijas, kurām iestāsies dzēšanas termiņš. </w:t>
      </w:r>
    </w:p>
    <w:p w14:paraId="35A8BE77" w14:textId="62783427" w:rsidR="00272E4E" w:rsidRPr="009D771C" w:rsidRDefault="00272E4E" w:rsidP="0093347F">
      <w:pPr>
        <w:spacing w:before="120"/>
        <w:rPr>
          <w:szCs w:val="24"/>
        </w:rPr>
      </w:pPr>
      <w:r w:rsidRPr="009D771C">
        <w:rPr>
          <w:szCs w:val="24"/>
        </w:rPr>
        <w:t>2023.</w:t>
      </w:r>
      <w:r w:rsidR="00785E81" w:rsidRPr="009D771C">
        <w:rPr>
          <w:szCs w:val="24"/>
        </w:rPr>
        <w:t xml:space="preserve"> </w:t>
      </w:r>
      <w:r w:rsidRPr="009D771C">
        <w:rPr>
          <w:szCs w:val="24"/>
        </w:rPr>
        <w:t>gada atlikušajam periodam, kā arī 2024.</w:t>
      </w:r>
      <w:r w:rsidR="009D771C" w:rsidRPr="009D771C">
        <w:rPr>
          <w:szCs w:val="24"/>
        </w:rPr>
        <w:t xml:space="preserve"> – </w:t>
      </w:r>
      <w:r w:rsidRPr="009D771C">
        <w:rPr>
          <w:szCs w:val="24"/>
        </w:rPr>
        <w:t xml:space="preserve">2026. gadā kopējās finansēšanas nepieciešamības segšanai tiks izmantoti Valsts kases kontos pieejamie resursi un aizņemšanās pasākumi finanšu tirgos, pieļaujot arī citu aizņemšanās instrumentu izmantošanu atkarībā no situācijas finanšu tirgos un procentu likmju tendencēm. Aizņemšanos starptautiskajos finanšu tirgos plānots nodrošināt ar publiskām etalona apjoma eiroobligāciju emisijām, uzturot iespējami elastīgas finansiāli izdevīgu aizņemšanās instrumentu parametru izvēles iespējas. Iekšējā finanšu tirgū resursu piesaisti plānots veikt ar apgrozībā esošo eiroobligāciju papildu laidieniem, izmantojot iekšējā finanšu tirgus potenciālu, kā arī emitējot </w:t>
      </w:r>
      <w:proofErr w:type="spellStart"/>
      <w:r w:rsidRPr="009D771C">
        <w:rPr>
          <w:szCs w:val="24"/>
        </w:rPr>
        <w:t>krājobligācijas</w:t>
      </w:r>
      <w:proofErr w:type="spellEnd"/>
      <w:r w:rsidRPr="009D771C">
        <w:rPr>
          <w:szCs w:val="24"/>
        </w:rPr>
        <w:t>, pieprasījums pēc kurām stabili palielinās.</w:t>
      </w:r>
    </w:p>
    <w:p w14:paraId="259FB333" w14:textId="77777777" w:rsidR="00272E4E" w:rsidRPr="009D771C" w:rsidRDefault="00272E4E" w:rsidP="0093347F">
      <w:pPr>
        <w:spacing w:before="120"/>
        <w:rPr>
          <w:szCs w:val="24"/>
        </w:rPr>
      </w:pPr>
      <w:r w:rsidRPr="009D771C">
        <w:rPr>
          <w:szCs w:val="24"/>
        </w:rPr>
        <w:t xml:space="preserve">Plānojot un veicot aizņemšanās pasākumus, tiek ievēroti gadskārtējā valsts budžeta likumā noteiktie ierobežojumi valsts parāda maksimālajam apmēram uz attiecīgā gada beigām.  2024. gada beigās maksimālais valsts parāds nominālvērtībā noteikts 19,3 mljrd. </w:t>
      </w:r>
      <w:proofErr w:type="spellStart"/>
      <w:r w:rsidRPr="009D771C">
        <w:rPr>
          <w:i/>
          <w:szCs w:val="24"/>
        </w:rPr>
        <w:t>euro</w:t>
      </w:r>
      <w:proofErr w:type="spellEnd"/>
      <w:r w:rsidRPr="009D771C">
        <w:rPr>
          <w:szCs w:val="24"/>
        </w:rPr>
        <w:t xml:space="preserve"> apmērā, paredzot elastību veikt papildu finansēšanas pasākumus, ja iestājas riski ar negatīvu fiskālo ietekmi. </w:t>
      </w:r>
    </w:p>
    <w:p w14:paraId="7AAA6871" w14:textId="77777777" w:rsidR="00272E4E" w:rsidRPr="009D771C" w:rsidRDefault="00272E4E" w:rsidP="00272E4E">
      <w:pPr>
        <w:spacing w:after="0" w:line="192" w:lineRule="auto"/>
        <w:rPr>
          <w:szCs w:val="24"/>
        </w:rPr>
      </w:pPr>
    </w:p>
    <w:p w14:paraId="1B23FFE3" w14:textId="2C520E55" w:rsidR="00272E4E" w:rsidRPr="009D771C" w:rsidRDefault="00E46194" w:rsidP="00272E4E">
      <w:pPr>
        <w:ind w:firstLine="0"/>
        <w:jc w:val="center"/>
        <w:rPr>
          <w:szCs w:val="24"/>
        </w:rPr>
      </w:pPr>
      <w:r>
        <w:rPr>
          <w:noProof/>
          <w:szCs w:val="24"/>
        </w:rPr>
        <w:drawing>
          <wp:inline distT="0" distB="0" distL="0" distR="0" wp14:anchorId="62FC9B2F" wp14:editId="3D43C0BB">
            <wp:extent cx="4661824" cy="2149253"/>
            <wp:effectExtent l="0" t="0" r="0" b="0"/>
            <wp:docPr id="7" name="Picture 7"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with numbers and a line&#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92867" cy="2163565"/>
                    </a:xfrm>
                    <a:prstGeom prst="rect">
                      <a:avLst/>
                    </a:prstGeom>
                    <a:noFill/>
                  </pic:spPr>
                </pic:pic>
              </a:graphicData>
            </a:graphic>
          </wp:inline>
        </w:drawing>
      </w:r>
    </w:p>
    <w:p w14:paraId="181FB17E" w14:textId="6FD82AF5" w:rsidR="00272E4E" w:rsidRPr="009D771C" w:rsidRDefault="00272E4E" w:rsidP="00272E4E">
      <w:pPr>
        <w:ind w:firstLine="0"/>
        <w:jc w:val="center"/>
        <w:rPr>
          <w:b/>
          <w:i/>
          <w:szCs w:val="24"/>
        </w:rPr>
      </w:pPr>
      <w:r w:rsidRPr="009D771C">
        <w:rPr>
          <w:b/>
          <w:i/>
          <w:szCs w:val="24"/>
        </w:rPr>
        <w:t xml:space="preserve">4.3. att. </w:t>
      </w:r>
      <w:r w:rsidRPr="009D771C">
        <w:rPr>
          <w:b/>
          <w:i/>
          <w:szCs w:val="26"/>
        </w:rPr>
        <w:t xml:space="preserve">Valsts parāda attīstības tendences </w:t>
      </w:r>
    </w:p>
    <w:p w14:paraId="180F2589" w14:textId="77777777" w:rsidR="00272E4E" w:rsidRPr="009D771C" w:rsidRDefault="00272E4E" w:rsidP="00785E81">
      <w:pPr>
        <w:spacing w:after="0"/>
        <w:ind w:firstLine="0"/>
        <w:jc w:val="center"/>
        <w:rPr>
          <w:szCs w:val="24"/>
        </w:rPr>
      </w:pPr>
    </w:p>
    <w:p w14:paraId="4F1C583E" w14:textId="1BA342E1" w:rsidR="00272E4E" w:rsidRPr="009D771C" w:rsidRDefault="00272E4E" w:rsidP="00272E4E">
      <w:pPr>
        <w:pStyle w:val="BodyTextIndent"/>
        <w:ind w:left="0"/>
        <w:rPr>
          <w:szCs w:val="24"/>
        </w:rPr>
      </w:pPr>
      <w:r w:rsidRPr="009D771C">
        <w:rPr>
          <w:szCs w:val="24"/>
        </w:rPr>
        <w:t>Atbilstoši aktuālajam novērtējumam sagaidāms, ka vispārējās valdības parāds 2023.</w:t>
      </w:r>
      <w:r w:rsidR="00785E81" w:rsidRPr="009D771C">
        <w:rPr>
          <w:szCs w:val="24"/>
        </w:rPr>
        <w:t xml:space="preserve"> </w:t>
      </w:r>
      <w:r w:rsidRPr="009D771C">
        <w:rPr>
          <w:szCs w:val="24"/>
        </w:rPr>
        <w:t>gada beigās būs 40% no IKP, nākamajos gados parāda līmenis stabilizēsies ap 41% no IKP ar nelielu samazināšanās tendenci, sākot ar 2025.</w:t>
      </w:r>
      <w:r w:rsidR="00785E81" w:rsidRPr="009D771C">
        <w:rPr>
          <w:szCs w:val="24"/>
        </w:rPr>
        <w:t xml:space="preserve"> </w:t>
      </w:r>
      <w:r w:rsidRPr="009D771C">
        <w:rPr>
          <w:szCs w:val="24"/>
        </w:rPr>
        <w:t xml:space="preserve">gadu. </w:t>
      </w:r>
      <w:r w:rsidR="00785E81" w:rsidRPr="009D771C">
        <w:rPr>
          <w:szCs w:val="24"/>
        </w:rPr>
        <w:t>FDL</w:t>
      </w:r>
      <w:r w:rsidRPr="009D771C">
        <w:rPr>
          <w:szCs w:val="24"/>
        </w:rPr>
        <w:t xml:space="preserve"> noteiktais parāda nosacījums (60% no IKP) vidējā termiņā tiks ievērots.</w:t>
      </w:r>
    </w:p>
    <w:p w14:paraId="0D7225E2" w14:textId="77777777" w:rsidR="00272E4E" w:rsidRPr="009D771C" w:rsidRDefault="00272E4E" w:rsidP="00272E4E">
      <w:pPr>
        <w:pStyle w:val="BodyTextIndent"/>
        <w:ind w:left="0"/>
      </w:pPr>
      <w:r w:rsidRPr="009D771C">
        <w:t xml:space="preserve">Procentu maksājumi par valsts parāda saistībām tiek veikti no FM pamatbudžeta apakšprogrammas 31.02.00 “Valsts parāda vadība”. Apakšprogrammas ietvaros veicamo valsts parāda procentu izdevumu prognozi 2024. – 2026. gadam galvenokārt ietekmē iepriekš, t.sk. zemo procentu likmju periodā, uzņemto valsts parāda saistību apkalpošanas (procentu) izdevumi un prognozētie procentu maksājumi par jauniem aizņēmumiem, kuri tiks veikti kārtējā un nākamajos gados finansēšanas nepieciešamības segšanai, t.sk. valsts parāda atmaksai. Jaunu aizņēmumu procentu likmes ir būtiski pieaugušas, finanšu tirgus svārstīguma un nenoteiktības apstākļos reaģējot uz monetāro iestāžu veiktajiem pasākumiem (bāzes likmju celšanu) inflācijas ierobežošanai, un ietekmēs apakšprogrammas 31.02.00 “Valsts parāda vadība” procentu izdevumu kāpumu nākamajos gados. </w:t>
      </w:r>
    </w:p>
    <w:p w14:paraId="52AF0302" w14:textId="6E26C40D" w:rsidR="00272E4E" w:rsidRPr="009D771C" w:rsidRDefault="00E46194" w:rsidP="00272E4E">
      <w:pPr>
        <w:pStyle w:val="tabvirsr"/>
        <w:spacing w:before="240"/>
        <w:rPr>
          <w:rFonts w:ascii="Times New Roman" w:hAnsi="Times New Roman"/>
          <w:b w:val="0"/>
          <w:sz w:val="24"/>
          <w:szCs w:val="24"/>
          <w:lang w:val="lv-LV"/>
        </w:rPr>
      </w:pPr>
      <w:r>
        <w:rPr>
          <w:rFonts w:ascii="Times New Roman" w:hAnsi="Times New Roman"/>
          <w:b w:val="0"/>
          <w:noProof/>
          <w:sz w:val="24"/>
          <w:szCs w:val="24"/>
          <w:lang w:val="lv-LV" w:eastAsia="lv-LV"/>
        </w:rPr>
        <w:drawing>
          <wp:inline distT="0" distB="0" distL="0" distR="0" wp14:anchorId="603C1D7B" wp14:editId="16079DF7">
            <wp:extent cx="5147949" cy="2761125"/>
            <wp:effectExtent l="0" t="0" r="0" b="0"/>
            <wp:docPr id="6" name="Picture 6"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numbers and lines&#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54091" cy="2764419"/>
                    </a:xfrm>
                    <a:prstGeom prst="rect">
                      <a:avLst/>
                    </a:prstGeom>
                    <a:noFill/>
                  </pic:spPr>
                </pic:pic>
              </a:graphicData>
            </a:graphic>
          </wp:inline>
        </w:drawing>
      </w:r>
    </w:p>
    <w:p w14:paraId="1F133B2C" w14:textId="7342A8D3" w:rsidR="00272E4E" w:rsidRPr="009D771C" w:rsidRDefault="00272E4E" w:rsidP="00272E4E">
      <w:pPr>
        <w:spacing w:after="240"/>
        <w:ind w:firstLine="0"/>
        <w:jc w:val="left"/>
        <w:rPr>
          <w:i/>
          <w:sz w:val="18"/>
        </w:rPr>
      </w:pPr>
      <w:r w:rsidRPr="009D771C">
        <w:rPr>
          <w:i/>
          <w:sz w:val="18"/>
        </w:rPr>
        <w:t>* t.sk. procentu maksājumi Valsts sociālās apdrošināšanas aģentūrai par speciālā budžeta līdzekļu izvietošanu noguldījumos Valsts kasē saskaņā ar noslēgtajiem līgumiem 55,3 milj.</w:t>
      </w:r>
      <w:r w:rsidR="00785E81" w:rsidRPr="009D771C">
        <w:rPr>
          <w:i/>
          <w:sz w:val="18"/>
        </w:rPr>
        <w:t xml:space="preserve"> </w:t>
      </w:r>
      <w:proofErr w:type="spellStart"/>
      <w:r w:rsidR="00785E81" w:rsidRPr="009D771C">
        <w:rPr>
          <w:i/>
          <w:sz w:val="18"/>
        </w:rPr>
        <w:t>euro</w:t>
      </w:r>
      <w:proofErr w:type="spellEnd"/>
      <w:r w:rsidRPr="009D771C">
        <w:rPr>
          <w:i/>
          <w:sz w:val="18"/>
        </w:rPr>
        <w:t xml:space="preserve"> 2025.</w:t>
      </w:r>
      <w:r w:rsidR="00785E81" w:rsidRPr="009D771C">
        <w:rPr>
          <w:i/>
          <w:sz w:val="18"/>
        </w:rPr>
        <w:t xml:space="preserve"> </w:t>
      </w:r>
      <w:r w:rsidRPr="009D771C">
        <w:rPr>
          <w:i/>
          <w:sz w:val="18"/>
        </w:rPr>
        <w:t>gadā</w:t>
      </w:r>
    </w:p>
    <w:p w14:paraId="4E8D879A" w14:textId="77777777" w:rsidR="0093347F" w:rsidRPr="009D771C" w:rsidRDefault="0093347F" w:rsidP="0093347F">
      <w:pPr>
        <w:pStyle w:val="tabvirsr"/>
        <w:spacing w:before="240"/>
        <w:rPr>
          <w:rFonts w:ascii="Times New Roman" w:hAnsi="Times New Roman"/>
          <w:i/>
          <w:sz w:val="24"/>
          <w:szCs w:val="24"/>
          <w:lang w:val="lv-LV"/>
        </w:rPr>
      </w:pPr>
      <w:r w:rsidRPr="009D771C">
        <w:rPr>
          <w:rFonts w:ascii="Times New Roman" w:hAnsi="Times New Roman"/>
          <w:i/>
          <w:sz w:val="24"/>
          <w:szCs w:val="24"/>
          <w:lang w:val="lv-LV"/>
        </w:rPr>
        <w:t>4.4. att. Valsts budžeta apakšprogrammas 31.02.00 “Valsts parāda vadība” izdevumi kopā</w:t>
      </w:r>
    </w:p>
    <w:p w14:paraId="1654CEC8" w14:textId="77777777" w:rsidR="0093347F" w:rsidRPr="009D771C" w:rsidRDefault="0093347F" w:rsidP="00272E4E">
      <w:pPr>
        <w:spacing w:after="240"/>
        <w:ind w:firstLine="0"/>
        <w:jc w:val="left"/>
      </w:pPr>
    </w:p>
    <w:p w14:paraId="3FD1B97D" w14:textId="4A25301B" w:rsidR="00272E4E" w:rsidRPr="009D771C" w:rsidRDefault="00272E4E" w:rsidP="00272E4E">
      <w:pPr>
        <w:spacing w:after="160" w:line="259" w:lineRule="auto"/>
      </w:pPr>
      <w:r w:rsidRPr="009D771C">
        <w:t>Atbilstoši šī brīža indikatīvām prognozēm (sk. 4.4.</w:t>
      </w:r>
      <w:r w:rsidR="0093347F" w:rsidRPr="009D771C">
        <w:t xml:space="preserve"> </w:t>
      </w:r>
      <w:r w:rsidRPr="009D771C">
        <w:t>attēlu) nākamajos gados parāda apkalpošanas izdevumi pakāpeniski pieaugs, salīdzinot ar 2022.</w:t>
      </w:r>
      <w:r w:rsidR="0093347F" w:rsidRPr="009D771C">
        <w:t xml:space="preserve"> </w:t>
      </w:r>
      <w:r w:rsidRPr="009D771C">
        <w:t>gada vēsturiski zemāko apjomu, atgriežoties aptuveni tādā līmenī, kādā tie bija pirms 2016.</w:t>
      </w:r>
      <w:r w:rsidR="0093347F" w:rsidRPr="009D771C">
        <w:t xml:space="preserve"> </w:t>
      </w:r>
      <w:r w:rsidRPr="009D771C">
        <w:t>gada, kad valsts parāds bija ievērojami zemāks nekā šobrīd (sk. 4.3. attēlu), taču joprojām nepārsniegs 1,0% no IKP vidējā termiņā.</w:t>
      </w:r>
    </w:p>
    <w:p w14:paraId="0A4484FE" w14:textId="007618DC" w:rsidR="00FB33CF" w:rsidRPr="009D771C" w:rsidRDefault="00863814" w:rsidP="00863814">
      <w:pPr>
        <w:pStyle w:val="H2"/>
        <w:rPr>
          <w:rFonts w:eastAsia="Times New Roman"/>
        </w:rPr>
      </w:pPr>
      <w:r w:rsidRPr="009D771C">
        <w:rPr>
          <w:rFonts w:eastAsia="Times New Roman"/>
        </w:rPr>
        <w:t xml:space="preserve">4.2. </w:t>
      </w:r>
      <w:r w:rsidR="00FB33CF" w:rsidRPr="009D771C">
        <w:rPr>
          <w:rFonts w:eastAsia="Times New Roman"/>
        </w:rPr>
        <w:t>Valsts budžeta aizdevumi un aizdevumu atmaksas</w:t>
      </w:r>
      <w:bookmarkEnd w:id="114"/>
    </w:p>
    <w:p w14:paraId="6181A260" w14:textId="4D9DC0CC" w:rsidR="00272E4E" w:rsidRPr="009D771C" w:rsidRDefault="00272E4E" w:rsidP="0093347F">
      <w:pPr>
        <w:spacing w:before="120"/>
        <w:rPr>
          <w:rFonts w:eastAsia="Times New Roman" w:cs="Times New Roman"/>
          <w:bCs/>
          <w:szCs w:val="24"/>
          <w:lang w:eastAsia="en-US"/>
        </w:rPr>
      </w:pPr>
      <w:bookmarkStart w:id="115" w:name="_Toc126236673"/>
      <w:r w:rsidRPr="009D771C">
        <w:rPr>
          <w:rFonts w:eastAsia="Times New Roman" w:cs="Times New Roman"/>
          <w:bCs/>
          <w:szCs w:val="24"/>
          <w:lang w:eastAsia="en-US"/>
        </w:rPr>
        <w:t>Kopējais valsts aizdevumu portfelis 2023. gada 3</w:t>
      </w:r>
      <w:r w:rsidR="009D771C" w:rsidRPr="009D771C">
        <w:rPr>
          <w:rFonts w:eastAsia="Times New Roman" w:cs="Times New Roman"/>
          <w:bCs/>
          <w:szCs w:val="24"/>
          <w:lang w:eastAsia="en-US"/>
        </w:rPr>
        <w:t>0</w:t>
      </w:r>
      <w:r w:rsidRPr="009D771C">
        <w:rPr>
          <w:rFonts w:eastAsia="Times New Roman" w:cs="Times New Roman"/>
          <w:bCs/>
          <w:szCs w:val="24"/>
          <w:lang w:eastAsia="en-US"/>
        </w:rPr>
        <w:t>. </w:t>
      </w:r>
      <w:r w:rsidR="009D771C" w:rsidRPr="009D771C">
        <w:rPr>
          <w:rFonts w:eastAsia="Times New Roman" w:cs="Times New Roman"/>
          <w:bCs/>
          <w:szCs w:val="24"/>
          <w:lang w:eastAsia="en-US"/>
        </w:rPr>
        <w:t>septembrī</w:t>
      </w:r>
      <w:r w:rsidRPr="009D771C">
        <w:rPr>
          <w:rFonts w:eastAsia="Times New Roman" w:cs="Times New Roman"/>
          <w:bCs/>
          <w:szCs w:val="24"/>
          <w:lang w:eastAsia="en-US"/>
        </w:rPr>
        <w:t xml:space="preserve"> veidoja </w:t>
      </w:r>
      <w:r w:rsidR="009D771C" w:rsidRPr="009D771C">
        <w:rPr>
          <w:rFonts w:eastAsia="Times New Roman" w:cs="Times New Roman"/>
          <w:bCs/>
          <w:szCs w:val="24"/>
          <w:lang w:eastAsia="en-US"/>
        </w:rPr>
        <w:t xml:space="preserve">2 138 </w:t>
      </w:r>
      <w:r w:rsidRPr="009D771C">
        <w:rPr>
          <w:rFonts w:eastAsia="Times New Roman" w:cs="Times New Roman"/>
          <w:bCs/>
          <w:szCs w:val="24"/>
          <w:lang w:eastAsia="en-US"/>
        </w:rPr>
        <w:t xml:space="preserve">milj. </w:t>
      </w:r>
      <w:proofErr w:type="spellStart"/>
      <w:r w:rsidRPr="009D771C">
        <w:rPr>
          <w:rFonts w:eastAsia="Times New Roman" w:cs="Times New Roman"/>
          <w:bCs/>
          <w:i/>
          <w:szCs w:val="24"/>
          <w:lang w:eastAsia="en-US"/>
        </w:rPr>
        <w:t>euro</w:t>
      </w:r>
      <w:proofErr w:type="spellEnd"/>
      <w:r w:rsidRPr="009D771C">
        <w:rPr>
          <w:rFonts w:eastAsia="Times New Roman" w:cs="Times New Roman"/>
          <w:bCs/>
          <w:i/>
          <w:szCs w:val="24"/>
          <w:lang w:eastAsia="en-US"/>
        </w:rPr>
        <w:t>.</w:t>
      </w:r>
    </w:p>
    <w:p w14:paraId="453F2613" w14:textId="77777777" w:rsidR="00272E4E" w:rsidRPr="0022320E" w:rsidRDefault="00272E4E" w:rsidP="0093347F">
      <w:pPr>
        <w:spacing w:before="120"/>
        <w:rPr>
          <w:rFonts w:eastAsia="Times New Roman" w:cs="Times New Roman"/>
          <w:bCs/>
          <w:szCs w:val="24"/>
          <w:lang w:eastAsia="en-US"/>
        </w:rPr>
      </w:pPr>
      <w:r w:rsidRPr="009D771C">
        <w:rPr>
          <w:rFonts w:eastAsia="Times New Roman" w:cs="Times New Roman"/>
          <w:szCs w:val="24"/>
          <w:lang w:eastAsia="en-US"/>
        </w:rPr>
        <w:t xml:space="preserve">Katru gadu gadskārtējā valsts budžeta likumā tiek noteikts valsts aizdevumu kopējais palielinājums, t.sk. atsevišķi nosakot pašvaldību aizņēmumu kopējo palielinājumu. Savukārt </w:t>
      </w:r>
      <w:r w:rsidRPr="0022320E">
        <w:rPr>
          <w:rFonts w:eastAsia="Times New Roman" w:cs="Times New Roman"/>
          <w:szCs w:val="24"/>
          <w:lang w:eastAsia="en-US"/>
        </w:rPr>
        <w:t xml:space="preserve">kopējais gadā pieļaujamais izsniedzamo valsts aizdevumu apmērs ietver gan gadskārtējā valsts </w:t>
      </w:r>
      <w:r w:rsidRPr="0022320E">
        <w:rPr>
          <w:rFonts w:eastAsia="Times New Roman" w:cs="Times New Roman"/>
          <w:szCs w:val="24"/>
          <w:lang w:eastAsia="en-US"/>
        </w:rPr>
        <w:lastRenderedPageBreak/>
        <w:t>budžeta likumā noteikto valsts aizdevumu kopējo palielinājumu, gan iepriekšējos gados izsniegto valsts aizdevumu paredzētās atmaksas.</w:t>
      </w:r>
      <w:r w:rsidRPr="0022320E">
        <w:rPr>
          <w:rFonts w:eastAsia="Times New Roman" w:cs="Times New Roman"/>
          <w:bCs/>
          <w:szCs w:val="24"/>
          <w:lang w:eastAsia="en-US"/>
        </w:rPr>
        <w:t xml:space="preserve"> </w:t>
      </w:r>
    </w:p>
    <w:p w14:paraId="22A481A5" w14:textId="71F9E456" w:rsidR="00272E4E" w:rsidRPr="0022320E" w:rsidRDefault="00272E4E" w:rsidP="0093347F">
      <w:pPr>
        <w:spacing w:before="120"/>
        <w:rPr>
          <w:rFonts w:eastAsia="Times New Roman" w:cs="Times New Roman"/>
          <w:bCs/>
          <w:szCs w:val="24"/>
          <w:lang w:eastAsia="en-US"/>
        </w:rPr>
      </w:pPr>
      <w:r w:rsidRPr="0022320E">
        <w:rPr>
          <w:rFonts w:eastAsia="Times New Roman" w:cs="Times New Roman"/>
          <w:bCs/>
          <w:szCs w:val="24"/>
          <w:lang w:eastAsia="en-US"/>
        </w:rPr>
        <w:t>Ņemot vērā, ka aizvien aktīvāk tiek izmantotas normatīvajos aktos noteiktās tiesības izņemt valsts aizdevumu vidējā termiņā</w:t>
      </w:r>
      <w:r w:rsidRPr="0022320E">
        <w:rPr>
          <w:rFonts w:eastAsia="Times New Roman" w:cs="Times New Roman"/>
          <w:szCs w:val="24"/>
          <w:lang w:eastAsia="en-US"/>
        </w:rPr>
        <w:t xml:space="preserve"> valsts uzņemtās saistības aizdevumu izmaksai 2024. gadā ir </w:t>
      </w:r>
      <w:r w:rsidR="009D771C" w:rsidRPr="0022320E">
        <w:rPr>
          <w:rFonts w:eastAsia="Times New Roman" w:cs="Times New Roman"/>
          <w:szCs w:val="24"/>
          <w:lang w:eastAsia="en-US"/>
        </w:rPr>
        <w:t xml:space="preserve">126,6  </w:t>
      </w:r>
      <w:r w:rsidRPr="0022320E">
        <w:rPr>
          <w:rFonts w:eastAsia="Times New Roman" w:cs="Times New Roman"/>
          <w:szCs w:val="24"/>
          <w:lang w:eastAsia="en-US"/>
        </w:rPr>
        <w:t xml:space="preserve">milj. </w:t>
      </w:r>
      <w:proofErr w:type="spellStart"/>
      <w:r w:rsidRPr="0022320E">
        <w:rPr>
          <w:rFonts w:eastAsia="Times New Roman" w:cs="Times New Roman"/>
          <w:i/>
          <w:szCs w:val="24"/>
          <w:lang w:eastAsia="en-US"/>
        </w:rPr>
        <w:t>euro</w:t>
      </w:r>
      <w:proofErr w:type="spellEnd"/>
      <w:r w:rsidRPr="0022320E">
        <w:rPr>
          <w:rFonts w:eastAsia="Times New Roman" w:cs="Times New Roman"/>
          <w:szCs w:val="24"/>
          <w:lang w:eastAsia="en-US"/>
        </w:rPr>
        <w:t xml:space="preserve">, </w:t>
      </w:r>
      <w:r w:rsidRPr="0022320E">
        <w:rPr>
          <w:rFonts w:eastAsia="Times New Roman" w:cs="Times New Roman"/>
          <w:szCs w:val="20"/>
          <w:lang w:eastAsia="en-US"/>
        </w:rPr>
        <w:t>tajā skaitā:</w:t>
      </w:r>
    </w:p>
    <w:p w14:paraId="1C0E4925" w14:textId="4025C8F0" w:rsidR="00272E4E" w:rsidRPr="0022320E" w:rsidRDefault="009D771C" w:rsidP="0093347F">
      <w:pPr>
        <w:numPr>
          <w:ilvl w:val="0"/>
          <w:numId w:val="21"/>
        </w:numPr>
        <w:spacing w:before="120"/>
        <w:ind w:left="1134" w:firstLine="720"/>
        <w:rPr>
          <w:rFonts w:eastAsia="Times New Roman" w:cs="Times New Roman"/>
          <w:szCs w:val="24"/>
          <w:lang w:eastAsia="en-US"/>
        </w:rPr>
      </w:pPr>
      <w:r w:rsidRPr="0022320E">
        <w:rPr>
          <w:rFonts w:eastAsia="Times New Roman" w:cs="Times New Roman"/>
          <w:szCs w:val="24"/>
          <w:lang w:eastAsia="en-US"/>
        </w:rPr>
        <w:t xml:space="preserve">44,9 </w:t>
      </w:r>
      <w:r w:rsidR="00272E4E" w:rsidRPr="0022320E">
        <w:rPr>
          <w:rFonts w:eastAsia="Times New Roman" w:cs="Times New Roman"/>
          <w:szCs w:val="24"/>
          <w:lang w:eastAsia="en-US"/>
        </w:rPr>
        <w:t xml:space="preserve">milj. </w:t>
      </w:r>
      <w:proofErr w:type="spellStart"/>
      <w:r w:rsidR="00272E4E" w:rsidRPr="0022320E">
        <w:rPr>
          <w:rFonts w:eastAsia="Times New Roman" w:cs="Times New Roman"/>
          <w:i/>
          <w:szCs w:val="24"/>
          <w:lang w:eastAsia="en-US"/>
        </w:rPr>
        <w:t>euro</w:t>
      </w:r>
      <w:proofErr w:type="spellEnd"/>
      <w:r w:rsidR="00272E4E" w:rsidRPr="0022320E">
        <w:rPr>
          <w:rFonts w:eastAsia="Times New Roman" w:cs="Times New Roman"/>
          <w:szCs w:val="24"/>
          <w:lang w:eastAsia="en-US"/>
        </w:rPr>
        <w:t xml:space="preserve"> aizdevumiem valsts struktūrām;</w:t>
      </w:r>
    </w:p>
    <w:p w14:paraId="6B18DEBD" w14:textId="0CD7783B" w:rsidR="00272E4E" w:rsidRPr="0022320E" w:rsidRDefault="009D771C" w:rsidP="0093347F">
      <w:pPr>
        <w:numPr>
          <w:ilvl w:val="0"/>
          <w:numId w:val="21"/>
        </w:numPr>
        <w:spacing w:before="120"/>
        <w:ind w:left="1134" w:firstLine="720"/>
        <w:rPr>
          <w:rFonts w:eastAsia="Times New Roman" w:cs="Times New Roman"/>
          <w:szCs w:val="24"/>
          <w:lang w:eastAsia="en-US"/>
        </w:rPr>
      </w:pPr>
      <w:r w:rsidRPr="0022320E">
        <w:rPr>
          <w:rFonts w:eastAsia="Times New Roman" w:cs="Times New Roman"/>
          <w:szCs w:val="24"/>
          <w:lang w:eastAsia="en-US"/>
        </w:rPr>
        <w:t xml:space="preserve">43,0 </w:t>
      </w:r>
      <w:r w:rsidR="00272E4E" w:rsidRPr="0022320E">
        <w:rPr>
          <w:rFonts w:eastAsia="Times New Roman" w:cs="Times New Roman"/>
          <w:szCs w:val="24"/>
          <w:lang w:eastAsia="en-US"/>
        </w:rPr>
        <w:t xml:space="preserve">milj. </w:t>
      </w:r>
      <w:proofErr w:type="spellStart"/>
      <w:r w:rsidR="00272E4E" w:rsidRPr="0022320E">
        <w:rPr>
          <w:rFonts w:eastAsia="Times New Roman" w:cs="Times New Roman"/>
          <w:i/>
          <w:szCs w:val="24"/>
          <w:lang w:eastAsia="en-US"/>
        </w:rPr>
        <w:t>euro</w:t>
      </w:r>
      <w:proofErr w:type="spellEnd"/>
      <w:r w:rsidR="00272E4E" w:rsidRPr="0022320E">
        <w:rPr>
          <w:rFonts w:eastAsia="Times New Roman" w:cs="Times New Roman"/>
          <w:szCs w:val="24"/>
          <w:lang w:eastAsia="en-US"/>
        </w:rPr>
        <w:t xml:space="preserve"> aizdevumiem pašvaldību struktūrām;</w:t>
      </w:r>
    </w:p>
    <w:p w14:paraId="3425F1BF" w14:textId="77777777" w:rsidR="00272E4E" w:rsidRPr="0022320E" w:rsidRDefault="00272E4E" w:rsidP="0093347F">
      <w:pPr>
        <w:numPr>
          <w:ilvl w:val="0"/>
          <w:numId w:val="21"/>
        </w:numPr>
        <w:spacing w:before="120"/>
        <w:ind w:left="1134" w:firstLine="720"/>
        <w:rPr>
          <w:rFonts w:eastAsia="Times New Roman" w:cs="Times New Roman"/>
          <w:szCs w:val="24"/>
          <w:lang w:eastAsia="en-US"/>
        </w:rPr>
      </w:pPr>
      <w:r w:rsidRPr="0022320E">
        <w:rPr>
          <w:rFonts w:eastAsia="Times New Roman" w:cs="Times New Roman"/>
          <w:szCs w:val="24"/>
          <w:lang w:eastAsia="en-US"/>
        </w:rPr>
        <w:t xml:space="preserve">0,2 milj. </w:t>
      </w:r>
      <w:proofErr w:type="spellStart"/>
      <w:r w:rsidRPr="0022320E">
        <w:rPr>
          <w:rFonts w:eastAsia="Times New Roman" w:cs="Times New Roman"/>
          <w:i/>
          <w:szCs w:val="24"/>
          <w:lang w:eastAsia="en-US"/>
        </w:rPr>
        <w:t>euro</w:t>
      </w:r>
      <w:proofErr w:type="spellEnd"/>
      <w:r w:rsidRPr="0022320E">
        <w:rPr>
          <w:rFonts w:eastAsia="Times New Roman" w:cs="Times New Roman"/>
          <w:szCs w:val="24"/>
          <w:lang w:eastAsia="en-US"/>
        </w:rPr>
        <w:t xml:space="preserve"> aizdevumiem </w:t>
      </w:r>
      <w:proofErr w:type="spellStart"/>
      <w:r w:rsidRPr="0022320E">
        <w:rPr>
          <w:rFonts w:eastAsia="Times New Roman" w:cs="Times New Roman"/>
          <w:szCs w:val="24"/>
          <w:lang w:eastAsia="en-US"/>
        </w:rPr>
        <w:t>nefinanšu</w:t>
      </w:r>
      <w:proofErr w:type="spellEnd"/>
      <w:r w:rsidRPr="0022320E">
        <w:rPr>
          <w:rFonts w:eastAsia="Times New Roman" w:cs="Times New Roman"/>
          <w:szCs w:val="24"/>
          <w:lang w:eastAsia="en-US"/>
        </w:rPr>
        <w:t xml:space="preserve"> sabiedrībām;</w:t>
      </w:r>
    </w:p>
    <w:p w14:paraId="79150665" w14:textId="77777777" w:rsidR="0093347F" w:rsidRPr="0022320E" w:rsidRDefault="00272E4E" w:rsidP="0093347F">
      <w:pPr>
        <w:numPr>
          <w:ilvl w:val="0"/>
          <w:numId w:val="21"/>
        </w:numPr>
        <w:spacing w:before="120"/>
        <w:ind w:left="1134" w:firstLine="720"/>
        <w:rPr>
          <w:rFonts w:eastAsia="Times New Roman" w:cs="Times New Roman"/>
          <w:szCs w:val="24"/>
          <w:lang w:eastAsia="en-US"/>
        </w:rPr>
      </w:pPr>
      <w:r w:rsidRPr="0022320E">
        <w:rPr>
          <w:rFonts w:eastAsia="Times New Roman" w:cs="Times New Roman"/>
          <w:szCs w:val="24"/>
          <w:lang w:eastAsia="en-US"/>
        </w:rPr>
        <w:t xml:space="preserve">38,5 milj. </w:t>
      </w:r>
      <w:proofErr w:type="spellStart"/>
      <w:r w:rsidRPr="0022320E">
        <w:rPr>
          <w:rFonts w:eastAsia="Times New Roman" w:cs="Times New Roman"/>
          <w:i/>
          <w:szCs w:val="24"/>
          <w:lang w:eastAsia="en-US"/>
        </w:rPr>
        <w:t>euro</w:t>
      </w:r>
      <w:proofErr w:type="spellEnd"/>
      <w:r w:rsidRPr="0022320E">
        <w:rPr>
          <w:rFonts w:eastAsia="Times New Roman" w:cs="Times New Roman"/>
          <w:szCs w:val="24"/>
          <w:lang w:eastAsia="en-US"/>
        </w:rPr>
        <w:t xml:space="preserve"> aizdevumiem nerezidentiem (</w:t>
      </w:r>
      <w:r w:rsidRPr="0022320E">
        <w:rPr>
          <w:rFonts w:eastAsia="Times New Roman" w:cs="Times New Roman"/>
          <w:i/>
          <w:szCs w:val="24"/>
          <w:lang w:eastAsia="en-US"/>
        </w:rPr>
        <w:t>Vienotā noregulējuma</w:t>
      </w:r>
    </w:p>
    <w:p w14:paraId="2EB7F43F" w14:textId="4E003599" w:rsidR="00272E4E" w:rsidRDefault="00272E4E" w:rsidP="0093347F">
      <w:pPr>
        <w:spacing w:before="120"/>
        <w:ind w:left="1854" w:firstLine="0"/>
        <w:rPr>
          <w:rFonts w:eastAsia="Times New Roman" w:cs="Times New Roman"/>
          <w:szCs w:val="24"/>
          <w:lang w:eastAsia="en-US"/>
        </w:rPr>
      </w:pPr>
      <w:r w:rsidRPr="0022320E">
        <w:rPr>
          <w:rFonts w:eastAsia="Times New Roman" w:cs="Times New Roman"/>
          <w:i/>
          <w:szCs w:val="24"/>
          <w:lang w:eastAsia="en-US"/>
        </w:rPr>
        <w:t>valde</w:t>
      </w:r>
      <w:r w:rsidRPr="0022320E">
        <w:rPr>
          <w:rFonts w:eastAsia="Times New Roman" w:cs="Times New Roman"/>
          <w:szCs w:val="24"/>
          <w:lang w:eastAsia="en-US"/>
        </w:rPr>
        <w:t>).</w:t>
      </w:r>
    </w:p>
    <w:p w14:paraId="086934FE" w14:textId="77777777" w:rsidR="00D94BF2" w:rsidRPr="009F583E" w:rsidRDefault="00D94BF2" w:rsidP="00D94BF2">
      <w:pPr>
        <w:rPr>
          <w:rFonts w:eastAsia="Times New Roman" w:cs="Times New Roman"/>
          <w:szCs w:val="24"/>
          <w:lang w:eastAsia="en-US"/>
        </w:rPr>
      </w:pPr>
      <w:r w:rsidRPr="009F583E">
        <w:rPr>
          <w:rFonts w:eastAsia="Times New Roman" w:cs="Times New Roman"/>
          <w:szCs w:val="24"/>
          <w:lang w:eastAsia="en-US"/>
        </w:rPr>
        <w:t xml:space="preserve">Valsts pamatbudžeta aizdevumi (izsniegto aizdevumu un izsniegto aizdevumu saņemtās atmaksas starpība) 2024. gadā plānoti 334,5 milj. </w:t>
      </w:r>
      <w:proofErr w:type="spellStart"/>
      <w:r w:rsidRPr="009F583E">
        <w:rPr>
          <w:rFonts w:eastAsia="Times New Roman" w:cs="Times New Roman"/>
          <w:i/>
          <w:iCs/>
          <w:szCs w:val="24"/>
          <w:lang w:eastAsia="en-US"/>
        </w:rPr>
        <w:t>euro</w:t>
      </w:r>
      <w:proofErr w:type="spellEnd"/>
      <w:r w:rsidRPr="009F583E">
        <w:rPr>
          <w:rFonts w:eastAsia="Times New Roman" w:cs="Times New Roman"/>
          <w:szCs w:val="24"/>
          <w:lang w:eastAsia="en-US"/>
        </w:rPr>
        <w:t xml:space="preserve"> apmērā. </w:t>
      </w:r>
    </w:p>
    <w:p w14:paraId="4722A9EC" w14:textId="77777777" w:rsidR="00D94BF2" w:rsidRPr="009F583E" w:rsidRDefault="00D94BF2" w:rsidP="00D94BF2">
      <w:pPr>
        <w:ind w:firstLine="0"/>
        <w:rPr>
          <w:rFonts w:eastAsia="Times New Roman" w:cs="Times New Roman"/>
          <w:szCs w:val="24"/>
          <w:lang w:eastAsia="en-US"/>
        </w:rPr>
      </w:pPr>
      <w:r w:rsidRPr="009F583E">
        <w:rPr>
          <w:rFonts w:eastAsia="Times New Roman" w:cs="Times New Roman"/>
          <w:szCs w:val="24"/>
          <w:lang w:eastAsia="en-US"/>
        </w:rPr>
        <w:t xml:space="preserve">Valsts budžeta izsniegtie aizdevumi plānoti 496,6 milj. </w:t>
      </w:r>
      <w:proofErr w:type="spellStart"/>
      <w:r w:rsidRPr="009F583E">
        <w:rPr>
          <w:rFonts w:eastAsia="Times New Roman" w:cs="Times New Roman"/>
          <w:i/>
          <w:iCs/>
          <w:szCs w:val="24"/>
          <w:lang w:eastAsia="en-US"/>
        </w:rPr>
        <w:t>euro</w:t>
      </w:r>
      <w:proofErr w:type="spellEnd"/>
      <w:r w:rsidRPr="009F583E">
        <w:rPr>
          <w:rFonts w:eastAsia="Times New Roman" w:cs="Times New Roman"/>
          <w:szCs w:val="24"/>
          <w:lang w:eastAsia="en-US"/>
        </w:rPr>
        <w:t xml:space="preserve"> apjomā, tajā skaitā:</w:t>
      </w:r>
    </w:p>
    <w:p w14:paraId="17DD9EAD" w14:textId="77777777" w:rsidR="00D94BF2" w:rsidRPr="009F583E" w:rsidRDefault="00D94BF2" w:rsidP="00D94BF2">
      <w:pPr>
        <w:numPr>
          <w:ilvl w:val="0"/>
          <w:numId w:val="21"/>
        </w:numPr>
        <w:spacing w:before="120"/>
        <w:ind w:left="1134" w:firstLine="720"/>
        <w:rPr>
          <w:rFonts w:eastAsia="Times New Roman" w:cs="Times New Roman"/>
          <w:szCs w:val="24"/>
          <w:lang w:eastAsia="en-US"/>
        </w:rPr>
      </w:pPr>
      <w:r w:rsidRPr="009F583E">
        <w:rPr>
          <w:rFonts w:eastAsia="Times New Roman" w:cs="Times New Roman"/>
          <w:szCs w:val="24"/>
          <w:lang w:eastAsia="en-US"/>
        </w:rPr>
        <w:t xml:space="preserve">47,3 milj. </w:t>
      </w:r>
      <w:proofErr w:type="spellStart"/>
      <w:r w:rsidRPr="009F583E">
        <w:rPr>
          <w:rFonts w:eastAsia="Times New Roman" w:cs="Times New Roman"/>
          <w:szCs w:val="24"/>
          <w:lang w:eastAsia="en-US"/>
        </w:rPr>
        <w:t>euro</w:t>
      </w:r>
      <w:proofErr w:type="spellEnd"/>
      <w:r w:rsidRPr="009F583E">
        <w:rPr>
          <w:rFonts w:eastAsia="Times New Roman" w:cs="Times New Roman"/>
          <w:szCs w:val="24"/>
          <w:lang w:eastAsia="en-US"/>
        </w:rPr>
        <w:t xml:space="preserve"> aizdevumiem valsts struktūrām;</w:t>
      </w:r>
    </w:p>
    <w:p w14:paraId="2C1D0174" w14:textId="77777777" w:rsidR="00D94BF2" w:rsidRPr="009F583E" w:rsidRDefault="00D94BF2" w:rsidP="00D94BF2">
      <w:pPr>
        <w:numPr>
          <w:ilvl w:val="0"/>
          <w:numId w:val="21"/>
        </w:numPr>
        <w:spacing w:before="120"/>
        <w:ind w:left="1134" w:firstLine="720"/>
        <w:rPr>
          <w:rFonts w:eastAsia="Times New Roman" w:cs="Times New Roman"/>
          <w:szCs w:val="24"/>
          <w:lang w:eastAsia="en-US"/>
        </w:rPr>
      </w:pPr>
      <w:r w:rsidRPr="009F583E">
        <w:rPr>
          <w:rFonts w:eastAsia="Times New Roman" w:cs="Times New Roman"/>
          <w:szCs w:val="24"/>
          <w:lang w:eastAsia="en-US"/>
        </w:rPr>
        <w:t xml:space="preserve">345,8 milj. </w:t>
      </w:r>
      <w:proofErr w:type="spellStart"/>
      <w:r w:rsidRPr="009F583E">
        <w:rPr>
          <w:rFonts w:eastAsia="Times New Roman" w:cs="Times New Roman"/>
          <w:szCs w:val="24"/>
          <w:lang w:eastAsia="en-US"/>
        </w:rPr>
        <w:t>euro</w:t>
      </w:r>
      <w:proofErr w:type="spellEnd"/>
      <w:r w:rsidRPr="009F583E">
        <w:rPr>
          <w:rFonts w:eastAsia="Times New Roman" w:cs="Times New Roman"/>
          <w:szCs w:val="24"/>
          <w:lang w:eastAsia="en-US"/>
        </w:rPr>
        <w:t xml:space="preserve"> aizdevumiem pašvaldību struktūrām;</w:t>
      </w:r>
    </w:p>
    <w:p w14:paraId="4714EA31" w14:textId="785CD5E6" w:rsidR="00D94BF2" w:rsidRPr="009F583E" w:rsidRDefault="00D94BF2" w:rsidP="00D94BF2">
      <w:pPr>
        <w:numPr>
          <w:ilvl w:val="0"/>
          <w:numId w:val="21"/>
        </w:numPr>
        <w:spacing w:before="120"/>
        <w:ind w:left="1134" w:firstLine="720"/>
        <w:rPr>
          <w:rFonts w:eastAsia="Times New Roman" w:cs="Times New Roman"/>
          <w:szCs w:val="24"/>
          <w:lang w:eastAsia="en-US"/>
        </w:rPr>
      </w:pPr>
      <w:r w:rsidRPr="009F583E">
        <w:rPr>
          <w:rFonts w:eastAsia="Times New Roman" w:cs="Times New Roman"/>
          <w:szCs w:val="24"/>
          <w:lang w:eastAsia="en-US"/>
        </w:rPr>
        <w:t xml:space="preserve">103,5 milj. </w:t>
      </w:r>
      <w:proofErr w:type="spellStart"/>
      <w:r w:rsidRPr="009F583E">
        <w:rPr>
          <w:rFonts w:eastAsia="Times New Roman" w:cs="Times New Roman"/>
          <w:szCs w:val="24"/>
          <w:lang w:eastAsia="en-US"/>
        </w:rPr>
        <w:t>euro</w:t>
      </w:r>
      <w:proofErr w:type="spellEnd"/>
      <w:r w:rsidRPr="009F583E">
        <w:rPr>
          <w:rFonts w:eastAsia="Times New Roman" w:cs="Times New Roman"/>
          <w:szCs w:val="24"/>
          <w:lang w:eastAsia="en-US"/>
        </w:rPr>
        <w:t xml:space="preserve"> aizdevumiem </w:t>
      </w:r>
      <w:proofErr w:type="spellStart"/>
      <w:r w:rsidRPr="009F583E">
        <w:rPr>
          <w:rFonts w:eastAsia="Times New Roman" w:cs="Times New Roman"/>
          <w:szCs w:val="24"/>
          <w:lang w:eastAsia="en-US"/>
        </w:rPr>
        <w:t>nefinanšu</w:t>
      </w:r>
      <w:proofErr w:type="spellEnd"/>
      <w:r w:rsidRPr="009F583E">
        <w:rPr>
          <w:rFonts w:eastAsia="Times New Roman" w:cs="Times New Roman"/>
          <w:szCs w:val="24"/>
          <w:lang w:eastAsia="en-US"/>
        </w:rPr>
        <w:t xml:space="preserve"> sabiedrībām un nerezidentiem.</w:t>
      </w:r>
    </w:p>
    <w:p w14:paraId="6221CFC7" w14:textId="2143AD31" w:rsidR="00272E4E" w:rsidRPr="009F583E" w:rsidRDefault="00272E4E" w:rsidP="0093347F">
      <w:pPr>
        <w:spacing w:before="120"/>
        <w:rPr>
          <w:rFonts w:eastAsia="Times New Roman" w:cs="Times New Roman"/>
          <w:szCs w:val="20"/>
          <w:lang w:eastAsia="en-US"/>
        </w:rPr>
      </w:pPr>
      <w:r w:rsidRPr="009F583E">
        <w:rPr>
          <w:rFonts w:eastAsia="Times New Roman" w:cs="Times New Roman"/>
          <w:szCs w:val="20"/>
          <w:lang w:eastAsia="en-US"/>
        </w:rPr>
        <w:t>Saskaņā ar iepriekšējos gados noslēgtajos aizdevuma līgumos iekļautajiem aizdevumu atmaksas grafikiem 2024. gadā valsts aizdevumu atmaksas plānotas 16</w:t>
      </w:r>
      <w:r w:rsidR="00D94BF2" w:rsidRPr="009F583E">
        <w:rPr>
          <w:rFonts w:eastAsia="Times New Roman" w:cs="Times New Roman"/>
          <w:szCs w:val="20"/>
          <w:lang w:eastAsia="en-US"/>
        </w:rPr>
        <w:t>2</w:t>
      </w:r>
      <w:r w:rsidRPr="009F583E">
        <w:rPr>
          <w:rFonts w:eastAsia="Times New Roman" w:cs="Times New Roman"/>
          <w:szCs w:val="20"/>
          <w:lang w:eastAsia="en-US"/>
        </w:rPr>
        <w:t>,</w:t>
      </w:r>
      <w:r w:rsidR="00D94BF2" w:rsidRPr="009F583E">
        <w:rPr>
          <w:rFonts w:eastAsia="Times New Roman" w:cs="Times New Roman"/>
          <w:szCs w:val="20"/>
          <w:lang w:eastAsia="en-US"/>
        </w:rPr>
        <w:t>1</w:t>
      </w:r>
      <w:r w:rsidRPr="009F583E">
        <w:rPr>
          <w:rFonts w:eastAsia="Times New Roman" w:cs="Times New Roman"/>
          <w:szCs w:val="20"/>
          <w:lang w:eastAsia="en-US"/>
        </w:rPr>
        <w:t xml:space="preserve">  milj. </w:t>
      </w:r>
      <w:proofErr w:type="spellStart"/>
      <w:r w:rsidRPr="009F583E">
        <w:rPr>
          <w:rFonts w:eastAsia="Times New Roman" w:cs="Times New Roman"/>
          <w:i/>
          <w:szCs w:val="20"/>
          <w:lang w:eastAsia="en-US"/>
        </w:rPr>
        <w:t>euro</w:t>
      </w:r>
      <w:proofErr w:type="spellEnd"/>
      <w:r w:rsidRPr="009F583E">
        <w:rPr>
          <w:rFonts w:eastAsia="Times New Roman" w:cs="Times New Roman"/>
          <w:b/>
          <w:szCs w:val="20"/>
          <w:lang w:eastAsia="en-US"/>
        </w:rPr>
        <w:t xml:space="preserve"> </w:t>
      </w:r>
      <w:r w:rsidRPr="009F583E">
        <w:rPr>
          <w:rFonts w:eastAsia="Times New Roman" w:cs="Times New Roman"/>
          <w:szCs w:val="20"/>
          <w:lang w:eastAsia="en-US"/>
        </w:rPr>
        <w:t>apmērā, tajā skaitā:</w:t>
      </w:r>
    </w:p>
    <w:p w14:paraId="462CFCA7" w14:textId="0B12572A" w:rsidR="00272E4E" w:rsidRPr="0022320E" w:rsidRDefault="00272E4E" w:rsidP="0093347F">
      <w:pPr>
        <w:numPr>
          <w:ilvl w:val="0"/>
          <w:numId w:val="22"/>
        </w:numPr>
        <w:spacing w:before="120"/>
        <w:ind w:left="1134" w:firstLine="720"/>
        <w:rPr>
          <w:rFonts w:eastAsia="Times New Roman" w:cs="Times New Roman"/>
          <w:szCs w:val="24"/>
          <w:lang w:eastAsia="en-US"/>
        </w:rPr>
      </w:pPr>
      <w:r w:rsidRPr="009F583E">
        <w:rPr>
          <w:rFonts w:eastAsia="Times New Roman" w:cs="Times New Roman"/>
          <w:szCs w:val="24"/>
          <w:lang w:eastAsia="en-US"/>
        </w:rPr>
        <w:t xml:space="preserve">  1</w:t>
      </w:r>
      <w:r w:rsidR="00D94BF2" w:rsidRPr="009F583E">
        <w:rPr>
          <w:rFonts w:eastAsia="Times New Roman" w:cs="Times New Roman"/>
          <w:szCs w:val="24"/>
          <w:lang w:eastAsia="en-US"/>
        </w:rPr>
        <w:t>2</w:t>
      </w:r>
      <w:r w:rsidRPr="009F583E">
        <w:rPr>
          <w:rFonts w:eastAsia="Times New Roman" w:cs="Times New Roman"/>
          <w:szCs w:val="24"/>
          <w:lang w:eastAsia="en-US"/>
        </w:rPr>
        <w:t>,</w:t>
      </w:r>
      <w:r w:rsidR="00D94BF2" w:rsidRPr="009F583E">
        <w:rPr>
          <w:rFonts w:eastAsia="Times New Roman" w:cs="Times New Roman"/>
          <w:szCs w:val="24"/>
          <w:lang w:eastAsia="en-US"/>
        </w:rPr>
        <w:t>2</w:t>
      </w:r>
      <w:r w:rsidRPr="009F583E">
        <w:rPr>
          <w:rFonts w:eastAsia="Times New Roman" w:cs="Times New Roman"/>
          <w:szCs w:val="24"/>
          <w:lang w:eastAsia="en-US"/>
        </w:rPr>
        <w:t xml:space="preserve"> milj</w:t>
      </w:r>
      <w:r w:rsidRPr="0022320E">
        <w:rPr>
          <w:rFonts w:eastAsia="Times New Roman" w:cs="Times New Roman"/>
          <w:szCs w:val="24"/>
          <w:lang w:eastAsia="en-US"/>
        </w:rPr>
        <w:t xml:space="preserve">. </w:t>
      </w:r>
      <w:proofErr w:type="spellStart"/>
      <w:r w:rsidRPr="0022320E">
        <w:rPr>
          <w:rFonts w:eastAsia="Times New Roman" w:cs="Times New Roman"/>
          <w:i/>
          <w:szCs w:val="24"/>
          <w:lang w:eastAsia="en-US"/>
        </w:rPr>
        <w:t>euro</w:t>
      </w:r>
      <w:proofErr w:type="spellEnd"/>
      <w:r w:rsidRPr="0022320E">
        <w:rPr>
          <w:rFonts w:eastAsia="Times New Roman" w:cs="Times New Roman"/>
          <w:szCs w:val="24"/>
          <w:lang w:eastAsia="en-US"/>
        </w:rPr>
        <w:t xml:space="preserve"> no valsts struktūrām;</w:t>
      </w:r>
    </w:p>
    <w:p w14:paraId="46E57A12" w14:textId="77777777" w:rsidR="00272E4E" w:rsidRPr="0022320E" w:rsidRDefault="00272E4E" w:rsidP="0093347F">
      <w:pPr>
        <w:numPr>
          <w:ilvl w:val="0"/>
          <w:numId w:val="22"/>
        </w:numPr>
        <w:spacing w:before="120"/>
        <w:ind w:left="1134" w:firstLine="720"/>
        <w:rPr>
          <w:rFonts w:eastAsia="Times New Roman" w:cs="Times New Roman"/>
          <w:szCs w:val="24"/>
          <w:lang w:eastAsia="en-US"/>
        </w:rPr>
      </w:pPr>
      <w:r w:rsidRPr="0022320E">
        <w:rPr>
          <w:rFonts w:eastAsia="Times New Roman" w:cs="Times New Roman"/>
          <w:szCs w:val="24"/>
          <w:lang w:eastAsia="en-US"/>
        </w:rPr>
        <w:t xml:space="preserve">133,4 milj. </w:t>
      </w:r>
      <w:proofErr w:type="spellStart"/>
      <w:r w:rsidRPr="0022320E">
        <w:rPr>
          <w:rFonts w:eastAsia="Times New Roman" w:cs="Times New Roman"/>
          <w:i/>
          <w:szCs w:val="24"/>
          <w:lang w:eastAsia="en-US"/>
        </w:rPr>
        <w:t>euro</w:t>
      </w:r>
      <w:proofErr w:type="spellEnd"/>
      <w:r w:rsidRPr="0022320E">
        <w:rPr>
          <w:rFonts w:eastAsia="Times New Roman" w:cs="Times New Roman"/>
          <w:szCs w:val="24"/>
          <w:lang w:eastAsia="en-US"/>
        </w:rPr>
        <w:t xml:space="preserve"> no pašvaldību struktūrām;</w:t>
      </w:r>
    </w:p>
    <w:p w14:paraId="6C88D17D" w14:textId="77777777" w:rsidR="00272E4E" w:rsidRPr="0022320E" w:rsidRDefault="00272E4E" w:rsidP="00785E81">
      <w:pPr>
        <w:numPr>
          <w:ilvl w:val="0"/>
          <w:numId w:val="22"/>
        </w:numPr>
        <w:spacing w:before="120"/>
        <w:ind w:left="1134" w:firstLine="720"/>
        <w:rPr>
          <w:rFonts w:eastAsia="Times New Roman" w:cs="Times New Roman"/>
          <w:szCs w:val="24"/>
          <w:lang w:eastAsia="en-US"/>
        </w:rPr>
      </w:pPr>
      <w:r w:rsidRPr="0022320E">
        <w:rPr>
          <w:rFonts w:eastAsia="Times New Roman" w:cs="Times New Roman"/>
          <w:szCs w:val="24"/>
          <w:lang w:eastAsia="en-US"/>
        </w:rPr>
        <w:t xml:space="preserve">  16,5 milj. </w:t>
      </w:r>
      <w:proofErr w:type="spellStart"/>
      <w:r w:rsidRPr="0022320E">
        <w:rPr>
          <w:rFonts w:eastAsia="Times New Roman" w:cs="Times New Roman"/>
          <w:i/>
          <w:szCs w:val="24"/>
          <w:lang w:eastAsia="en-US"/>
        </w:rPr>
        <w:t>euro</w:t>
      </w:r>
      <w:proofErr w:type="spellEnd"/>
      <w:r w:rsidRPr="0022320E">
        <w:rPr>
          <w:rFonts w:eastAsia="Times New Roman" w:cs="Times New Roman"/>
          <w:szCs w:val="24"/>
          <w:lang w:eastAsia="en-US"/>
        </w:rPr>
        <w:t xml:space="preserve"> no </w:t>
      </w:r>
      <w:proofErr w:type="spellStart"/>
      <w:r w:rsidRPr="0022320E">
        <w:rPr>
          <w:rFonts w:eastAsia="Times New Roman" w:cs="Times New Roman"/>
          <w:szCs w:val="24"/>
          <w:lang w:eastAsia="en-US"/>
        </w:rPr>
        <w:t>nefinanšu</w:t>
      </w:r>
      <w:proofErr w:type="spellEnd"/>
      <w:r w:rsidRPr="0022320E">
        <w:rPr>
          <w:rFonts w:eastAsia="Times New Roman" w:cs="Times New Roman"/>
          <w:szCs w:val="24"/>
          <w:lang w:eastAsia="en-US"/>
        </w:rPr>
        <w:t xml:space="preserve"> sabiedrībām</w:t>
      </w:r>
      <w:r w:rsidRPr="0022320E">
        <w:rPr>
          <w:rFonts w:eastAsia="Times New Roman" w:cs="Times New Roman"/>
          <w:i/>
          <w:iCs/>
          <w:szCs w:val="24"/>
          <w:lang w:eastAsia="en-US"/>
        </w:rPr>
        <w:t>.</w:t>
      </w:r>
    </w:p>
    <w:p w14:paraId="01AEB3DB" w14:textId="5F32F448" w:rsidR="00FB33CF" w:rsidRPr="0022320E" w:rsidRDefault="00863814" w:rsidP="00863814">
      <w:pPr>
        <w:pStyle w:val="H2"/>
        <w:rPr>
          <w:rFonts w:eastAsia="Times New Roman"/>
        </w:rPr>
      </w:pPr>
      <w:r w:rsidRPr="0022320E">
        <w:rPr>
          <w:rFonts w:eastAsia="Times New Roman"/>
        </w:rPr>
        <w:t xml:space="preserve">4.3. </w:t>
      </w:r>
      <w:r w:rsidR="00FB33CF" w:rsidRPr="0022320E">
        <w:rPr>
          <w:rFonts w:eastAsia="Times New Roman"/>
        </w:rPr>
        <w:t>Valsts galvojumu saistības</w:t>
      </w:r>
      <w:bookmarkEnd w:id="115"/>
    </w:p>
    <w:p w14:paraId="38FF6CCD" w14:textId="02F45AC3" w:rsidR="00272E4E" w:rsidRPr="0022320E" w:rsidRDefault="00272E4E" w:rsidP="00272E4E">
      <w:pPr>
        <w:rPr>
          <w:rFonts w:eastAsia="Times New Roman" w:cs="Times New Roman"/>
          <w:szCs w:val="20"/>
          <w:lang w:eastAsia="en-US"/>
        </w:rPr>
      </w:pPr>
      <w:bookmarkStart w:id="116" w:name="_Toc126236674"/>
      <w:r w:rsidRPr="0022320E">
        <w:rPr>
          <w:rFonts w:eastAsia="Times New Roman" w:cs="Times New Roman"/>
          <w:szCs w:val="20"/>
          <w:lang w:eastAsia="en-US"/>
        </w:rPr>
        <w:t>Kopējais valsts galvoto aizdevumu atlikums 2023. gada 3</w:t>
      </w:r>
      <w:r w:rsidR="0022320E" w:rsidRPr="0022320E">
        <w:rPr>
          <w:rFonts w:eastAsia="Times New Roman" w:cs="Times New Roman"/>
          <w:szCs w:val="20"/>
          <w:lang w:eastAsia="en-US"/>
        </w:rPr>
        <w:t>0</w:t>
      </w:r>
      <w:r w:rsidRPr="0022320E">
        <w:rPr>
          <w:rFonts w:eastAsia="Times New Roman" w:cs="Times New Roman"/>
          <w:szCs w:val="20"/>
          <w:lang w:eastAsia="en-US"/>
        </w:rPr>
        <w:t xml:space="preserve">. </w:t>
      </w:r>
      <w:r w:rsidR="0022320E" w:rsidRPr="0022320E">
        <w:rPr>
          <w:rFonts w:eastAsia="Times New Roman" w:cs="Times New Roman"/>
          <w:szCs w:val="20"/>
          <w:lang w:eastAsia="en-US"/>
        </w:rPr>
        <w:t>septembrī</w:t>
      </w:r>
      <w:r w:rsidRPr="0022320E">
        <w:rPr>
          <w:rFonts w:eastAsia="Times New Roman" w:cs="Times New Roman"/>
          <w:szCs w:val="20"/>
          <w:lang w:eastAsia="en-US"/>
        </w:rPr>
        <w:t xml:space="preserve"> veidoja </w:t>
      </w:r>
      <w:r w:rsidR="0022320E" w:rsidRPr="0022320E">
        <w:rPr>
          <w:rFonts w:eastAsia="Times New Roman" w:cs="Times New Roman"/>
          <w:szCs w:val="20"/>
          <w:lang w:eastAsia="en-US"/>
        </w:rPr>
        <w:t xml:space="preserve">365,8 </w:t>
      </w:r>
      <w:r w:rsidRPr="0022320E">
        <w:rPr>
          <w:rFonts w:eastAsia="Times New Roman" w:cs="Times New Roman"/>
          <w:szCs w:val="20"/>
          <w:lang w:eastAsia="en-US"/>
        </w:rPr>
        <w:t xml:space="preserve">milj. </w:t>
      </w:r>
      <w:proofErr w:type="spellStart"/>
      <w:r w:rsidRPr="0022320E">
        <w:rPr>
          <w:rFonts w:eastAsia="Times New Roman" w:cs="Times New Roman"/>
          <w:i/>
          <w:szCs w:val="20"/>
          <w:lang w:eastAsia="en-US"/>
        </w:rPr>
        <w:t>euro</w:t>
      </w:r>
      <w:proofErr w:type="spellEnd"/>
      <w:r w:rsidRPr="0022320E">
        <w:rPr>
          <w:rFonts w:eastAsia="Times New Roman" w:cs="Times New Roman"/>
          <w:szCs w:val="20"/>
          <w:lang w:eastAsia="en-US"/>
        </w:rPr>
        <w:t xml:space="preserve"> (t.sk. saistības, par kurām valsts galvojums sniegts </w:t>
      </w:r>
      <w:proofErr w:type="spellStart"/>
      <w:r w:rsidRPr="0022320E">
        <w:rPr>
          <w:rFonts w:eastAsia="Times New Roman" w:cs="Times New Roman"/>
          <w:szCs w:val="20"/>
          <w:lang w:eastAsia="en-US"/>
        </w:rPr>
        <w:t>portfeļgarantijas</w:t>
      </w:r>
      <w:proofErr w:type="spellEnd"/>
      <w:r w:rsidRPr="0022320E">
        <w:rPr>
          <w:rFonts w:eastAsia="Times New Roman" w:cs="Times New Roman"/>
          <w:szCs w:val="20"/>
          <w:lang w:eastAsia="en-US"/>
        </w:rPr>
        <w:t xml:space="preserve"> veidā un par SURE pēc Covid-19 uzliesmojuma). </w:t>
      </w:r>
    </w:p>
    <w:p w14:paraId="55C188B0" w14:textId="1A54A465" w:rsidR="00272E4E" w:rsidRPr="0022320E" w:rsidRDefault="00272E4E" w:rsidP="0093347F">
      <w:pPr>
        <w:textAlignment w:val="baseline"/>
        <w:rPr>
          <w:rFonts w:eastAsia="Calibri" w:cs="Times New Roman"/>
          <w:szCs w:val="24"/>
        </w:rPr>
      </w:pPr>
      <w:r w:rsidRPr="0022320E">
        <w:rPr>
          <w:rFonts w:eastAsia="Times New Roman" w:cs="Times New Roman"/>
          <w:szCs w:val="24"/>
        </w:rPr>
        <w:t>4.5. attēlā apkopota informācija par valsts galvoto aizdevumu maksājumiem (pamatsummu un procentu maksājumu kopsumma) vidējā termiņā.</w:t>
      </w:r>
    </w:p>
    <w:p w14:paraId="7861AACA" w14:textId="375A0E07" w:rsidR="00272E4E" w:rsidRPr="0022320E" w:rsidRDefault="00E46194" w:rsidP="00272E4E">
      <w:pPr>
        <w:ind w:firstLine="0"/>
        <w:jc w:val="center"/>
        <w:rPr>
          <w:rFonts w:eastAsia="Times New Roman" w:cs="Times New Roman"/>
          <w:szCs w:val="24"/>
          <w:lang w:eastAsia="en-US"/>
        </w:rPr>
      </w:pPr>
      <w:r>
        <w:rPr>
          <w:noProof/>
        </w:rPr>
        <w:drawing>
          <wp:inline distT="0" distB="0" distL="0" distR="0" wp14:anchorId="14D8F4D1" wp14:editId="6234BA55">
            <wp:extent cx="3403600" cy="2177388"/>
            <wp:effectExtent l="0" t="0" r="6350" b="0"/>
            <wp:docPr id="8" name="Picture 8"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numbers and symbols&#10;&#10;Description automatically generated with medium confidence"/>
                    <pic:cNvPicPr/>
                  </pic:nvPicPr>
                  <pic:blipFill>
                    <a:blip r:embed="rId54"/>
                    <a:stretch>
                      <a:fillRect/>
                    </a:stretch>
                  </pic:blipFill>
                  <pic:spPr>
                    <a:xfrm>
                      <a:off x="0" y="0"/>
                      <a:ext cx="3429981" cy="2194265"/>
                    </a:xfrm>
                    <a:prstGeom prst="rect">
                      <a:avLst/>
                    </a:prstGeom>
                  </pic:spPr>
                </pic:pic>
              </a:graphicData>
            </a:graphic>
          </wp:inline>
        </w:drawing>
      </w:r>
    </w:p>
    <w:p w14:paraId="55E20D94" w14:textId="197AB4BC" w:rsidR="00272E4E" w:rsidRPr="0022320E" w:rsidRDefault="00272E4E" w:rsidP="00272E4E">
      <w:pPr>
        <w:ind w:firstLine="0"/>
        <w:rPr>
          <w:rFonts w:eastAsia="Times New Roman" w:cs="Times New Roman"/>
          <w:i/>
          <w:sz w:val="18"/>
          <w:szCs w:val="20"/>
          <w:lang w:eastAsia="en-US"/>
        </w:rPr>
      </w:pPr>
      <w:r w:rsidRPr="0022320E">
        <w:rPr>
          <w:rFonts w:eastAsia="Times New Roman" w:cs="Times New Roman"/>
          <w:i/>
          <w:sz w:val="18"/>
          <w:szCs w:val="20"/>
          <w:lang w:eastAsia="en-US"/>
        </w:rPr>
        <w:lastRenderedPageBreak/>
        <w:t xml:space="preserve">* izņemot saistības, par kurām valsts galvojums sniegts </w:t>
      </w:r>
      <w:proofErr w:type="spellStart"/>
      <w:r w:rsidRPr="0022320E">
        <w:rPr>
          <w:rFonts w:eastAsia="Times New Roman" w:cs="Times New Roman"/>
          <w:i/>
          <w:sz w:val="18"/>
          <w:szCs w:val="20"/>
          <w:lang w:eastAsia="en-US"/>
        </w:rPr>
        <w:t>portfeļgarantijas</w:t>
      </w:r>
      <w:proofErr w:type="spellEnd"/>
      <w:r w:rsidRPr="0022320E">
        <w:rPr>
          <w:rFonts w:eastAsia="Times New Roman" w:cs="Times New Roman"/>
          <w:i/>
          <w:sz w:val="18"/>
          <w:szCs w:val="20"/>
          <w:lang w:eastAsia="en-US"/>
        </w:rPr>
        <w:t xml:space="preserve"> veidā un par SURE</w:t>
      </w:r>
      <w:r w:rsidR="00524001" w:rsidRPr="0022320E">
        <w:rPr>
          <w:rFonts w:eastAsia="Times New Roman" w:cs="Times New Roman"/>
          <w:i/>
          <w:sz w:val="18"/>
          <w:szCs w:val="20"/>
          <w:lang w:eastAsia="en-US"/>
        </w:rPr>
        <w:t xml:space="preserve"> </w:t>
      </w:r>
      <w:r w:rsidRPr="0022320E">
        <w:rPr>
          <w:rFonts w:eastAsia="Times New Roman" w:cs="Times New Roman"/>
          <w:i/>
          <w:sz w:val="18"/>
          <w:szCs w:val="20"/>
          <w:lang w:eastAsia="en-US"/>
        </w:rPr>
        <w:t>pēc Covid-19 uzliesmojuma</w:t>
      </w:r>
    </w:p>
    <w:p w14:paraId="6B1C29AB" w14:textId="5F5398D7" w:rsidR="0093347F" w:rsidRPr="0022320E" w:rsidRDefault="0093347F" w:rsidP="0093347F">
      <w:pPr>
        <w:ind w:firstLine="0"/>
        <w:jc w:val="center"/>
        <w:rPr>
          <w:rFonts w:eastAsia="Times New Roman" w:cs="Times New Roman"/>
          <w:b/>
          <w:i/>
          <w:szCs w:val="24"/>
          <w:lang w:eastAsia="en-US"/>
        </w:rPr>
      </w:pPr>
      <w:r w:rsidRPr="0022320E">
        <w:rPr>
          <w:rFonts w:eastAsia="Times New Roman" w:cs="Times New Roman"/>
          <w:b/>
          <w:i/>
          <w:szCs w:val="24"/>
          <w:lang w:eastAsia="en-US"/>
        </w:rPr>
        <w:t>4.5. att.</w:t>
      </w:r>
      <w:r w:rsidR="00785E81" w:rsidRPr="0022320E">
        <w:rPr>
          <w:rFonts w:eastAsia="Times New Roman" w:cs="Times New Roman"/>
          <w:b/>
          <w:i/>
          <w:szCs w:val="24"/>
          <w:lang w:eastAsia="en-US"/>
        </w:rPr>
        <w:t xml:space="preserve"> </w:t>
      </w:r>
      <w:r w:rsidRPr="0022320E">
        <w:rPr>
          <w:rFonts w:eastAsia="Times New Roman" w:cs="Times New Roman"/>
          <w:b/>
          <w:i/>
          <w:szCs w:val="24"/>
          <w:lang w:eastAsia="en-US"/>
        </w:rPr>
        <w:t xml:space="preserve">Valsts galvoto aizdevumu plānotās atmaksas un procentu maksājumi </w:t>
      </w:r>
      <w:r w:rsidRPr="0022320E">
        <w:rPr>
          <w:rFonts w:eastAsia="Times New Roman" w:cs="Times New Roman"/>
          <w:b/>
          <w:i/>
          <w:szCs w:val="24"/>
          <w:lang w:eastAsia="en-US"/>
        </w:rPr>
        <w:br/>
        <w:t xml:space="preserve">2024. – 2026. gadā, milj. </w:t>
      </w:r>
      <w:proofErr w:type="spellStart"/>
      <w:r w:rsidRPr="0022320E">
        <w:rPr>
          <w:rFonts w:eastAsia="Times New Roman" w:cs="Times New Roman"/>
          <w:b/>
          <w:i/>
          <w:szCs w:val="24"/>
          <w:lang w:eastAsia="en-US"/>
        </w:rPr>
        <w:t>euro</w:t>
      </w:r>
      <w:proofErr w:type="spellEnd"/>
      <w:r w:rsidRPr="0022320E">
        <w:rPr>
          <w:rFonts w:eastAsia="Times New Roman" w:cs="Times New Roman"/>
          <w:b/>
          <w:i/>
          <w:szCs w:val="24"/>
          <w:lang w:eastAsia="en-US"/>
        </w:rPr>
        <w:t>*</w:t>
      </w:r>
    </w:p>
    <w:p w14:paraId="792DBF98" w14:textId="77777777" w:rsidR="0093347F" w:rsidRPr="0022320E" w:rsidRDefault="0093347F" w:rsidP="0093347F">
      <w:pPr>
        <w:spacing w:after="0"/>
        <w:ind w:firstLine="0"/>
        <w:rPr>
          <w:rFonts w:eastAsia="Times New Roman" w:cs="Times New Roman"/>
          <w:szCs w:val="20"/>
          <w:lang w:eastAsia="en-US"/>
        </w:rPr>
      </w:pPr>
    </w:p>
    <w:p w14:paraId="5C2FCCE4" w14:textId="2D00623B" w:rsidR="00272E4E" w:rsidRPr="00272E4E" w:rsidRDefault="00272E4E" w:rsidP="00272E4E">
      <w:pPr>
        <w:rPr>
          <w:rFonts w:eastAsia="Times New Roman" w:cs="Times New Roman"/>
          <w:szCs w:val="20"/>
          <w:lang w:eastAsia="en-US"/>
        </w:rPr>
      </w:pPr>
      <w:r w:rsidRPr="0022320E">
        <w:rPr>
          <w:rFonts w:eastAsia="Times New Roman" w:cs="Times New Roman"/>
          <w:szCs w:val="20"/>
          <w:lang w:eastAsia="en-US"/>
        </w:rPr>
        <w:t xml:space="preserve">Izvērtējot pieejamo informāciju par aizņēmēju </w:t>
      </w:r>
      <w:proofErr w:type="spellStart"/>
      <w:r w:rsidRPr="0022320E">
        <w:rPr>
          <w:rFonts w:eastAsia="Times New Roman" w:cs="Times New Roman"/>
          <w:szCs w:val="20"/>
          <w:lang w:eastAsia="en-US"/>
        </w:rPr>
        <w:t>kredītvēsturi</w:t>
      </w:r>
      <w:proofErr w:type="spellEnd"/>
      <w:r w:rsidRPr="0022320E">
        <w:rPr>
          <w:rFonts w:eastAsia="Times New Roman" w:cs="Times New Roman"/>
          <w:szCs w:val="20"/>
          <w:lang w:eastAsia="en-US"/>
        </w:rPr>
        <w:t xml:space="preserve">, secināts, ka valdības rīcības pieļaujamās robežas, lai segtu izdevumus, kas var rasties, pildot uz valsts budžetu attiecināmās valsts galvotā parāda saistības 2024. gadā, novērtētas </w:t>
      </w:r>
      <w:r w:rsidR="006B5354" w:rsidRPr="007F594B">
        <w:t xml:space="preserve">672 640 </w:t>
      </w:r>
      <w:r w:rsidR="006B5354" w:rsidRPr="00C42E7E">
        <w:t xml:space="preserve"> </w:t>
      </w:r>
      <w:proofErr w:type="spellStart"/>
      <w:r w:rsidRPr="0022320E">
        <w:rPr>
          <w:rFonts w:eastAsia="Times New Roman" w:cs="Times New Roman"/>
          <w:i/>
          <w:szCs w:val="20"/>
          <w:lang w:eastAsia="en-US"/>
        </w:rPr>
        <w:t>euro</w:t>
      </w:r>
      <w:proofErr w:type="spellEnd"/>
      <w:r w:rsidRPr="0022320E">
        <w:rPr>
          <w:rFonts w:eastAsia="Times New Roman" w:cs="Times New Roman"/>
          <w:szCs w:val="20"/>
          <w:lang w:eastAsia="en-US"/>
        </w:rPr>
        <w:t xml:space="preserve"> apmērā.</w:t>
      </w:r>
    </w:p>
    <w:p w14:paraId="59B7C887" w14:textId="291C7B1A" w:rsidR="005B0C3F" w:rsidRPr="00BB47DB" w:rsidRDefault="00863814" w:rsidP="000226F5">
      <w:pPr>
        <w:pStyle w:val="H2"/>
        <w:rPr>
          <w:rFonts w:eastAsia="Times New Roman"/>
        </w:rPr>
      </w:pPr>
      <w:r w:rsidRPr="00BB47DB">
        <w:rPr>
          <w:rFonts w:eastAsia="Times New Roman"/>
        </w:rPr>
        <w:t xml:space="preserve">4.4. </w:t>
      </w:r>
      <w:r w:rsidR="00FB33CF" w:rsidRPr="00BB47DB">
        <w:rPr>
          <w:rFonts w:eastAsia="Times New Roman"/>
        </w:rPr>
        <w:t>Valsts saistības kredītu garantijām, ko izsniedz akciju sabiedrība “Attīstības finanšu institūcija “</w:t>
      </w:r>
      <w:proofErr w:type="spellStart"/>
      <w:r w:rsidR="00FB33CF" w:rsidRPr="00BB47DB">
        <w:rPr>
          <w:rFonts w:eastAsia="Times New Roman"/>
        </w:rPr>
        <w:t>Altum</w:t>
      </w:r>
      <w:proofErr w:type="spellEnd"/>
      <w:r w:rsidR="00FB33CF" w:rsidRPr="00BB47DB">
        <w:rPr>
          <w:rFonts w:eastAsia="Times New Roman"/>
        </w:rPr>
        <w:t>””</w:t>
      </w:r>
      <w:bookmarkEnd w:id="116"/>
    </w:p>
    <w:p w14:paraId="644CEF9A" w14:textId="4C61CB9D" w:rsidR="007F5861" w:rsidRPr="007F5861" w:rsidRDefault="007F5861" w:rsidP="000226F5">
      <w:pPr>
        <w:rPr>
          <w:rFonts w:eastAsia="Times New Roman" w:cs="Times New Roman"/>
          <w:szCs w:val="24"/>
          <w:lang w:eastAsia="en-US"/>
        </w:rPr>
      </w:pPr>
      <w:r w:rsidRPr="007F5861">
        <w:rPr>
          <w:rFonts w:eastAsia="Times New Roman" w:cs="Times New Roman"/>
          <w:szCs w:val="24"/>
          <w:lang w:eastAsia="en-US"/>
        </w:rPr>
        <w:t xml:space="preserve">2024. gadā plānots īstenot šādas </w:t>
      </w:r>
      <w:r w:rsidR="002C4A86">
        <w:rPr>
          <w:rFonts w:eastAsia="Times New Roman" w:cs="Times New Roman"/>
          <w:szCs w:val="24"/>
          <w:lang w:eastAsia="en-US"/>
        </w:rPr>
        <w:t>EM</w:t>
      </w:r>
      <w:r w:rsidRPr="007F5861">
        <w:rPr>
          <w:rFonts w:eastAsia="Times New Roman" w:cs="Times New Roman"/>
          <w:szCs w:val="24"/>
          <w:lang w:eastAsia="en-US"/>
        </w:rPr>
        <w:t xml:space="preserve"> un </w:t>
      </w:r>
      <w:r w:rsidR="002C4A86">
        <w:rPr>
          <w:rFonts w:eastAsia="Times New Roman" w:cs="Times New Roman"/>
          <w:szCs w:val="24"/>
          <w:lang w:eastAsia="en-US"/>
        </w:rPr>
        <w:t>ZM</w:t>
      </w:r>
      <w:r w:rsidRPr="007F5861">
        <w:rPr>
          <w:rFonts w:eastAsia="Times New Roman" w:cs="Times New Roman"/>
          <w:szCs w:val="24"/>
          <w:lang w:eastAsia="en-US"/>
        </w:rPr>
        <w:t xml:space="preserve"> pārraudzībā esošas valsts </w:t>
      </w:r>
      <w:bookmarkStart w:id="117" w:name="_Hlk142579208"/>
      <w:r w:rsidRPr="007F5861">
        <w:rPr>
          <w:rFonts w:eastAsia="Times New Roman" w:cs="Times New Roman"/>
          <w:szCs w:val="24"/>
          <w:lang w:eastAsia="en-US"/>
        </w:rPr>
        <w:t>atbalsta programmas garantijas veidā, kuras tiek iekļautas valsts saistību limitā:</w:t>
      </w:r>
    </w:p>
    <w:bookmarkEnd w:id="117"/>
    <w:p w14:paraId="7690C760" w14:textId="2B692CAF" w:rsidR="007F5861" w:rsidRPr="007F5861" w:rsidRDefault="007F5861" w:rsidP="00280666">
      <w:pPr>
        <w:numPr>
          <w:ilvl w:val="0"/>
          <w:numId w:val="23"/>
        </w:numPr>
        <w:spacing w:before="120" w:after="0"/>
        <w:ind w:left="0" w:firstLine="851"/>
        <w:rPr>
          <w:rFonts w:eastAsia="Times New Roman" w:cs="Times New Roman"/>
          <w:b/>
          <w:szCs w:val="24"/>
          <w:lang w:eastAsia="en-US"/>
        </w:rPr>
      </w:pPr>
      <w:r w:rsidRPr="007F5861">
        <w:rPr>
          <w:rFonts w:eastAsia="Times New Roman" w:cs="Times New Roman"/>
          <w:b/>
          <w:bCs/>
          <w:szCs w:val="24"/>
          <w:lang w:eastAsia="en-US"/>
        </w:rPr>
        <w:t>Garantijas daudzdzīvokļu dzīvojamo māju energoefektivitātes paaugstināšanas pasākumu īstenošanai</w:t>
      </w:r>
      <w:r w:rsidRPr="007F5861">
        <w:rPr>
          <w:rFonts w:eastAsia="Times New Roman" w:cs="Times New Roman"/>
          <w:szCs w:val="24"/>
          <w:lang w:eastAsia="en-US"/>
        </w:rPr>
        <w:t xml:space="preserve"> </w:t>
      </w:r>
      <w:r>
        <w:rPr>
          <w:rFonts w:eastAsia="Times New Roman" w:cs="Times New Roman"/>
          <w:szCs w:val="24"/>
          <w:lang w:eastAsia="en-US"/>
        </w:rPr>
        <w:t>MK</w:t>
      </w:r>
      <w:r w:rsidRPr="007F5861">
        <w:rPr>
          <w:rFonts w:eastAsia="Times New Roman" w:cs="Times New Roman"/>
          <w:szCs w:val="24"/>
          <w:lang w:eastAsia="en-US"/>
        </w:rPr>
        <w:t xml:space="preserve"> 2016. gada 15. marta noteikumu Nr. 160 “Darbības programmas "Izaugsme un nodarbinātība" 4.2.1. specifiskā atbalsta mērķa "Veicināt energoefektivitātes paaugstināšanu valsts un dzīvojamās ēkās" 4.2.1.1. specifiskā atbalsta mērķa pasākuma "Veicināt energoefektivitātes paaugstināšanu dzīvojamās ēkās" un 13.1.1. specifiskā atbalsta mērķa "Atveseļošanas pasākumi ekonomikas nozarē" 13.1.1.2. specifiskā atbalsta mērķa pasākuma "Atbalsts daudzdzīvokļu māju siltināšanai" īstenošanas noteikumi” ietvaros. </w:t>
      </w:r>
      <w:r w:rsidRPr="007F5861">
        <w:rPr>
          <w:rFonts w:eastAsiaTheme="minorHAnsi" w:cs="Times New Roman"/>
          <w:szCs w:val="24"/>
          <w:lang w:eastAsia="en-US"/>
        </w:rPr>
        <w:t xml:space="preserve">Programmas mērķis: veicināt energoefektivitātes paaugstināšanu un viedas </w:t>
      </w:r>
      <w:proofErr w:type="spellStart"/>
      <w:r w:rsidRPr="007F5861">
        <w:rPr>
          <w:rFonts w:eastAsiaTheme="minorHAnsi" w:cs="Times New Roman"/>
          <w:szCs w:val="24"/>
          <w:lang w:eastAsia="en-US"/>
        </w:rPr>
        <w:t>energovadības</w:t>
      </w:r>
      <w:proofErr w:type="spellEnd"/>
      <w:r w:rsidRPr="007F5861">
        <w:rPr>
          <w:rFonts w:eastAsiaTheme="minorHAnsi" w:cs="Times New Roman"/>
          <w:szCs w:val="24"/>
          <w:lang w:eastAsia="en-US"/>
        </w:rPr>
        <w:t xml:space="preserve"> un atjaunojamo energoresursu izmantošanu daudzdzīvokļu dzīvojamās mājās. Garantija tiek izsniegta par kredītiestādes, starptautiskas finanšu institūcijas vai alternatīvā ieguldījumu fonda izsniegtu investīcijas aizdevumu līdz 80 % no finansējuma pamatsummas ar termiņu līdz 20 gadiem, garantijas summa vienas ēkas energoefektivitātes paaugstināšanas pasākumam nepārsniedz 3 milj. </w:t>
      </w:r>
      <w:proofErr w:type="spellStart"/>
      <w:r w:rsidRPr="007F5861">
        <w:rPr>
          <w:rFonts w:eastAsiaTheme="minorHAnsi" w:cs="Times New Roman"/>
          <w:i/>
          <w:szCs w:val="24"/>
          <w:lang w:eastAsia="en-US"/>
        </w:rPr>
        <w:t>euro</w:t>
      </w:r>
      <w:proofErr w:type="spellEnd"/>
      <w:r w:rsidRPr="007F5861">
        <w:rPr>
          <w:rFonts w:eastAsiaTheme="minorHAnsi" w:cs="Times New Roman"/>
          <w:szCs w:val="24"/>
          <w:lang w:eastAsia="en-US"/>
        </w:rPr>
        <w:t>.</w:t>
      </w:r>
      <w:r w:rsidRPr="007F5861">
        <w:rPr>
          <w:rFonts w:eastAsia="Times New Roman" w:cs="Times New Roman"/>
          <w:szCs w:val="24"/>
          <w:lang w:eastAsia="en-US"/>
        </w:rPr>
        <w:t xml:space="preserve"> </w:t>
      </w:r>
      <w:r w:rsidRPr="007F5861">
        <w:rPr>
          <w:rFonts w:eastAsia="Times New Roman" w:cs="Times New Roman"/>
          <w:b/>
          <w:bCs/>
          <w:szCs w:val="24"/>
          <w:lang w:eastAsia="en-US"/>
        </w:rPr>
        <w:t>Apstiprinātais programmas finansējums ir 37 milj. </w:t>
      </w:r>
      <w:proofErr w:type="spellStart"/>
      <w:r w:rsidRPr="007F5861">
        <w:rPr>
          <w:rFonts w:eastAsiaTheme="minorHAnsi" w:cs="Times New Roman"/>
          <w:b/>
          <w:bCs/>
          <w:i/>
          <w:szCs w:val="24"/>
          <w:lang w:eastAsia="en-US"/>
        </w:rPr>
        <w:t>euro</w:t>
      </w:r>
      <w:proofErr w:type="spellEnd"/>
      <w:r w:rsidRPr="007F5861">
        <w:rPr>
          <w:rFonts w:eastAsia="Times New Roman" w:cs="Times New Roman"/>
          <w:szCs w:val="24"/>
          <w:lang w:eastAsia="en-US"/>
        </w:rPr>
        <w:t xml:space="preserve"> (</w:t>
      </w:r>
      <w:r w:rsidRPr="00BB47DB">
        <w:rPr>
          <w:rFonts w:eastAsia="Times New Roman" w:cs="Times New Roman"/>
          <w:szCs w:val="24"/>
          <w:lang w:eastAsia="en-US"/>
        </w:rPr>
        <w:t>Eiropas Reģionālās attīstības fonda (</w:t>
      </w:r>
      <w:r w:rsidRPr="007F5861">
        <w:rPr>
          <w:rFonts w:eastAsia="Times New Roman" w:cs="Times New Roman"/>
          <w:szCs w:val="24"/>
          <w:lang w:eastAsia="en-US"/>
        </w:rPr>
        <w:t>ERAF</w:t>
      </w:r>
      <w:r w:rsidRPr="00BB47DB">
        <w:rPr>
          <w:rFonts w:eastAsia="Times New Roman" w:cs="Times New Roman"/>
          <w:szCs w:val="24"/>
          <w:lang w:eastAsia="en-US"/>
        </w:rPr>
        <w:t>)</w:t>
      </w:r>
      <w:r w:rsidRPr="007F5861">
        <w:rPr>
          <w:rFonts w:eastAsia="Times New Roman" w:cs="Times New Roman"/>
          <w:szCs w:val="24"/>
          <w:lang w:eastAsia="en-US"/>
        </w:rPr>
        <w:t xml:space="preserve"> un valsts budžeta līdzfinansējums). </w:t>
      </w:r>
      <w:r w:rsidRPr="007F5861">
        <w:rPr>
          <w:rFonts w:eastAsia="Times New Roman" w:cs="Times New Roman"/>
          <w:b/>
          <w:bCs/>
          <w:szCs w:val="24"/>
          <w:lang w:eastAsia="en-US"/>
        </w:rPr>
        <w:t>Valsts saistības tiek paredzētas par programmā izsniegtajām garantijām no 2016. gada 1. janvāra līdz 2023. gada</w:t>
      </w:r>
      <w:r w:rsidRPr="007F5861">
        <w:rPr>
          <w:rFonts w:eastAsia="Times New Roman" w:cs="Times New Roman"/>
          <w:b/>
          <w:szCs w:val="24"/>
          <w:lang w:eastAsia="en-US"/>
        </w:rPr>
        <w:t xml:space="preserve"> 31. decembrim.</w:t>
      </w:r>
    </w:p>
    <w:p w14:paraId="2B3DA550" w14:textId="632395FE" w:rsidR="007F5861" w:rsidRPr="007F5861" w:rsidRDefault="007F5861" w:rsidP="00280666">
      <w:pPr>
        <w:numPr>
          <w:ilvl w:val="0"/>
          <w:numId w:val="23"/>
        </w:numPr>
        <w:spacing w:before="120" w:after="0"/>
        <w:ind w:left="0" w:firstLine="851"/>
        <w:rPr>
          <w:rFonts w:eastAsia="Times New Roman" w:cs="Times New Roman"/>
          <w:b/>
          <w:szCs w:val="24"/>
          <w:lang w:eastAsia="en-US"/>
        </w:rPr>
      </w:pPr>
      <w:r w:rsidRPr="007F5861">
        <w:rPr>
          <w:rFonts w:eastAsiaTheme="minorHAnsi" w:cs="Times New Roman"/>
          <w:b/>
          <w:bCs/>
          <w:szCs w:val="24"/>
          <w:lang w:eastAsia="en-US"/>
        </w:rPr>
        <w:t>Garantijas daudzdzīvokļu dzīvojamo māju energoefektivitātes uzlabošanas pasākumu īstenošanai</w:t>
      </w:r>
      <w:r w:rsidRPr="007F5861">
        <w:rPr>
          <w:rFonts w:eastAsia="Times New Roman" w:cs="Times New Roman"/>
          <w:szCs w:val="24"/>
          <w:lang w:eastAsia="en-US"/>
        </w:rPr>
        <w:t xml:space="preserve"> </w:t>
      </w:r>
      <w:r>
        <w:rPr>
          <w:rFonts w:eastAsia="Times New Roman" w:cs="Times New Roman"/>
          <w:szCs w:val="24"/>
          <w:lang w:eastAsia="en-US"/>
        </w:rPr>
        <w:t>MK</w:t>
      </w:r>
      <w:r w:rsidRPr="007F5861">
        <w:rPr>
          <w:rFonts w:eastAsia="Times New Roman" w:cs="Times New Roman"/>
          <w:szCs w:val="24"/>
          <w:lang w:eastAsia="en-US"/>
        </w:rPr>
        <w:t xml:space="preserve"> 2022. gada 14. jūlija noteikumu Nr. 460 </w:t>
      </w:r>
      <w:r w:rsidRPr="007F5861">
        <w:rPr>
          <w:rFonts w:eastAsiaTheme="minorHAnsi" w:cs="Times New Roman"/>
          <w:szCs w:val="24"/>
          <w:lang w:eastAsia="en-US"/>
        </w:rPr>
        <w:t>“Eiropas Savienības Atveseļošanas un noturības mehānisma plāna 1.2. reformu un investīciju virziena "Energoefektivitātes uzlabošana" 1.2.1.1.i. investīcijas "Daudzdzīvokļu māju energoefektivitātes uzlabošana un pāreja uz atjaunojamo energoresursu tehnoloģiju izmantošanu" īstenošanas noteikumi” ietvaros. Programmas</w:t>
      </w:r>
      <w:r w:rsidRPr="007F5861">
        <w:rPr>
          <w:rFonts w:asciiTheme="minorHAnsi" w:eastAsiaTheme="minorHAnsi" w:hAnsiTheme="minorHAnsi"/>
          <w:szCs w:val="24"/>
          <w:lang w:eastAsia="en-US"/>
        </w:rPr>
        <w:t xml:space="preserve"> </w:t>
      </w:r>
      <w:r w:rsidRPr="007F5861">
        <w:rPr>
          <w:rFonts w:eastAsiaTheme="minorHAnsi" w:cs="Times New Roman"/>
          <w:szCs w:val="24"/>
          <w:lang w:eastAsia="en-US"/>
        </w:rPr>
        <w:t xml:space="preserve">mērķis: veikt ieguldījumus daudzdzīvokļu dzīvojamo ēku sektorā, kas veicinās mājokļu jautājuma sakārtošanu Latvijā, palīdzēs sasniegt izvirzītos klimata mērķus siltumnīcefekta gāzu emisiju samazināšanā, palīdzēs samazināt enerģētiskās nabadzības līmeni, kā arī veicinās Latvijas tautsaimniecības attīstību, jo ar energoefektivitātes pasākumu īstenošanu tiek nodrošinātas darba vietas un tiek nodrošināts vietējo būvmateriālu pieprasījums. </w:t>
      </w:r>
      <w:r w:rsidRPr="007F5861">
        <w:rPr>
          <w:rFonts w:eastAsiaTheme="minorHAnsi" w:cs="Times New Roman"/>
          <w:b/>
          <w:bCs/>
          <w:szCs w:val="24"/>
          <w:lang w:eastAsia="en-US"/>
        </w:rPr>
        <w:t>Apstiprinātais programmas finansējums ir 57,282 milj. </w:t>
      </w:r>
      <w:proofErr w:type="spellStart"/>
      <w:r w:rsidRPr="007F5861">
        <w:rPr>
          <w:rFonts w:eastAsiaTheme="minorHAnsi" w:cs="Times New Roman"/>
          <w:b/>
          <w:bCs/>
          <w:i/>
          <w:iCs/>
          <w:szCs w:val="24"/>
          <w:lang w:eastAsia="en-US"/>
        </w:rPr>
        <w:t>euro</w:t>
      </w:r>
      <w:proofErr w:type="spellEnd"/>
      <w:r w:rsidRPr="007F5861">
        <w:rPr>
          <w:rFonts w:eastAsiaTheme="minorHAnsi" w:cs="Times New Roman"/>
          <w:szCs w:val="24"/>
          <w:lang w:eastAsia="en-US"/>
        </w:rPr>
        <w:t xml:space="preserve"> (</w:t>
      </w:r>
      <w:r w:rsidR="000333FD">
        <w:rPr>
          <w:rFonts w:eastAsiaTheme="minorHAnsi" w:cs="Times New Roman"/>
          <w:szCs w:val="24"/>
          <w:lang w:eastAsia="en-US"/>
        </w:rPr>
        <w:t>ANM</w:t>
      </w:r>
      <w:r w:rsidRPr="007F5861">
        <w:rPr>
          <w:rFonts w:eastAsiaTheme="minorHAnsi" w:cs="Times New Roman"/>
          <w:szCs w:val="24"/>
          <w:lang w:eastAsia="en-US"/>
        </w:rPr>
        <w:t xml:space="preserve"> finansējums 2022.</w:t>
      </w:r>
      <w:r w:rsidR="000333FD">
        <w:rPr>
          <w:rFonts w:eastAsiaTheme="minorHAnsi" w:cs="Times New Roman"/>
          <w:szCs w:val="24"/>
          <w:lang w:eastAsia="en-US"/>
        </w:rPr>
        <w:t xml:space="preserve"> – </w:t>
      </w:r>
      <w:r w:rsidRPr="007F5861">
        <w:rPr>
          <w:rFonts w:eastAsiaTheme="minorHAnsi" w:cs="Times New Roman"/>
          <w:szCs w:val="24"/>
          <w:lang w:eastAsia="en-US"/>
        </w:rPr>
        <w:t>2026. gadā). Garantija tiek izsniegta par kredītiestādes izsniegtu aizdevumu projekta īstenošanai, no kura atņemta plānotā kapitāla atlaides summa, līdz 80 % no finansējuma pamatsummas ar termiņu līdz 20 gadiem, garantijas summa vienas ēkas energoefektivitātes paaugstināšanas pasākumam nepārsniedz 3 milj. </w:t>
      </w:r>
      <w:proofErr w:type="spellStart"/>
      <w:r w:rsidRPr="007F5861">
        <w:rPr>
          <w:rFonts w:eastAsiaTheme="minorHAnsi" w:cs="Times New Roman"/>
          <w:i/>
          <w:szCs w:val="24"/>
          <w:lang w:eastAsia="en-US"/>
        </w:rPr>
        <w:t>euro</w:t>
      </w:r>
      <w:proofErr w:type="spellEnd"/>
      <w:r w:rsidRPr="007F5861">
        <w:rPr>
          <w:rFonts w:eastAsiaTheme="minorHAnsi" w:cs="Times New Roman"/>
          <w:szCs w:val="24"/>
          <w:lang w:eastAsia="en-US"/>
        </w:rPr>
        <w:t xml:space="preserve">. </w:t>
      </w:r>
      <w:r w:rsidRPr="007F5861">
        <w:rPr>
          <w:rFonts w:eastAsia="Times New Roman" w:cs="Times New Roman"/>
          <w:b/>
          <w:szCs w:val="24"/>
          <w:lang w:eastAsia="en-US"/>
        </w:rPr>
        <w:t xml:space="preserve">Valsts saistības tiek paredzētas par līdz šim programmā izsniegtajām garantijām un </w:t>
      </w:r>
      <w:r w:rsidRPr="007F5861">
        <w:rPr>
          <w:rFonts w:eastAsiaTheme="minorHAnsi" w:cs="Times New Roman"/>
          <w:b/>
          <w:bCs/>
          <w:szCs w:val="24"/>
          <w:lang w:eastAsia="en-US"/>
        </w:rPr>
        <w:t xml:space="preserve">atbilstoši garantiju programmas </w:t>
      </w:r>
      <w:r w:rsidRPr="007F5861">
        <w:rPr>
          <w:rFonts w:eastAsia="Times New Roman" w:cs="Times New Roman"/>
          <w:b/>
          <w:szCs w:val="24"/>
          <w:lang w:eastAsia="en-US"/>
        </w:rPr>
        <w:t xml:space="preserve">izsniegšanas </w:t>
      </w:r>
      <w:r w:rsidRPr="007F5861">
        <w:rPr>
          <w:rFonts w:eastAsiaTheme="minorHAnsi" w:cs="Times New Roman"/>
          <w:b/>
          <w:bCs/>
          <w:szCs w:val="24"/>
          <w:lang w:eastAsia="en-US"/>
        </w:rPr>
        <w:t>apjomiem 2024. gadā.</w:t>
      </w:r>
    </w:p>
    <w:p w14:paraId="76FBB637" w14:textId="31621AAC" w:rsidR="007F5861" w:rsidRPr="007F5861" w:rsidRDefault="007F5861" w:rsidP="00280666">
      <w:pPr>
        <w:numPr>
          <w:ilvl w:val="0"/>
          <w:numId w:val="23"/>
        </w:numPr>
        <w:spacing w:before="120" w:after="0"/>
        <w:ind w:left="0" w:firstLine="851"/>
        <w:rPr>
          <w:rFonts w:eastAsia="Times New Roman" w:cs="Times New Roman"/>
          <w:b/>
          <w:szCs w:val="24"/>
          <w:lang w:eastAsia="en-US"/>
        </w:rPr>
      </w:pPr>
      <w:r w:rsidRPr="007F5861">
        <w:rPr>
          <w:rFonts w:eastAsiaTheme="minorHAnsi" w:cs="Times New Roman"/>
          <w:b/>
          <w:bCs/>
          <w:szCs w:val="24"/>
          <w:lang w:eastAsia="en-US"/>
        </w:rPr>
        <w:t>Kredīta garantijas saimnieciskās darbības veicējiem konkurētspējas uzlabošanai</w:t>
      </w:r>
      <w:r w:rsidRPr="007F5861">
        <w:rPr>
          <w:rFonts w:eastAsiaTheme="minorHAnsi" w:cs="Times New Roman"/>
          <w:szCs w:val="24"/>
          <w:lang w:eastAsia="en-US"/>
        </w:rPr>
        <w:t xml:space="preserve"> </w:t>
      </w:r>
      <w:r>
        <w:rPr>
          <w:rFonts w:eastAsiaTheme="minorHAnsi" w:cs="Times New Roman"/>
          <w:szCs w:val="24"/>
          <w:lang w:eastAsia="en-US"/>
        </w:rPr>
        <w:t>MK</w:t>
      </w:r>
      <w:r w:rsidRPr="007F5861">
        <w:rPr>
          <w:rFonts w:eastAsiaTheme="minorHAnsi" w:cs="Times New Roman"/>
          <w:szCs w:val="24"/>
          <w:lang w:eastAsia="en-US"/>
        </w:rPr>
        <w:t xml:space="preserve"> 2020. gada 16. jūnija noteikumu Nr. 383 “Noteikumi par garantijām saimnieciskās darbības veicējiem konkurētspējas uzlabošanai” ietvaros. Programmas mērķis: </w:t>
      </w:r>
      <w:r w:rsidRPr="007F5861">
        <w:rPr>
          <w:rFonts w:eastAsiaTheme="minorHAnsi" w:cs="Times New Roman"/>
          <w:szCs w:val="24"/>
          <w:lang w:eastAsia="en-US"/>
        </w:rPr>
        <w:lastRenderedPageBreak/>
        <w:t>saimnieciskās darbības veicējiem nodrošināt kredītresursus biznesa projektu īstenošanai, ja esošais nodrošinājums nav pietiekams to saņemšanai. Garantija tiek izsniegta par Latvijā reģistrētas kredītiestādes vai tās meitas sabiedrības izsniegtu finanšu pakalpojumu līdz 80 % no finansējuma pamatsummas ar kopējo termiņu līdz 15 gadiem, garantijas summa vienam saimnieciskās darbības veicējam un ar to saistīto personu grupai nepārsniedz 5 milj. </w:t>
      </w:r>
      <w:proofErr w:type="spellStart"/>
      <w:r w:rsidRPr="007F5861">
        <w:rPr>
          <w:rFonts w:eastAsiaTheme="minorHAnsi" w:cs="Times New Roman"/>
          <w:i/>
          <w:szCs w:val="24"/>
          <w:lang w:eastAsia="en-US"/>
        </w:rPr>
        <w:t>euro</w:t>
      </w:r>
      <w:proofErr w:type="spellEnd"/>
      <w:r w:rsidRPr="007F5861">
        <w:rPr>
          <w:rFonts w:eastAsiaTheme="minorHAnsi" w:cs="Times New Roman"/>
          <w:szCs w:val="24"/>
          <w:lang w:eastAsia="en-US"/>
        </w:rPr>
        <w:t>.</w:t>
      </w:r>
      <w:r>
        <w:rPr>
          <w:rFonts w:eastAsia="Times New Roman" w:cs="Times New Roman"/>
          <w:szCs w:val="24"/>
          <w:lang w:eastAsia="en-US"/>
        </w:rPr>
        <w:t xml:space="preserve"> </w:t>
      </w:r>
      <w:r w:rsidRPr="007F5861">
        <w:rPr>
          <w:rFonts w:eastAsia="Times New Roman" w:cs="Times New Roman"/>
          <w:b/>
          <w:bCs/>
          <w:szCs w:val="24"/>
          <w:lang w:eastAsia="en-US"/>
        </w:rPr>
        <w:t xml:space="preserve">Apstiprinātais programmas finansējums </w:t>
      </w:r>
      <w:r w:rsidRPr="007F5861">
        <w:rPr>
          <w:rFonts w:eastAsiaTheme="minorHAnsi" w:cs="Times New Roman"/>
          <w:b/>
          <w:bCs/>
          <w:szCs w:val="24"/>
          <w:lang w:eastAsia="en-US"/>
        </w:rPr>
        <w:t>2016.</w:t>
      </w:r>
      <w:r w:rsidR="000333FD">
        <w:rPr>
          <w:rFonts w:eastAsiaTheme="minorHAnsi" w:cs="Times New Roman"/>
          <w:b/>
          <w:bCs/>
          <w:szCs w:val="24"/>
          <w:lang w:eastAsia="en-US"/>
        </w:rPr>
        <w:t xml:space="preserve"> </w:t>
      </w:r>
      <w:bookmarkStart w:id="118" w:name="_Hlk148358993"/>
      <w:r w:rsidR="000333FD">
        <w:rPr>
          <w:rFonts w:eastAsiaTheme="minorHAnsi" w:cs="Times New Roman"/>
          <w:b/>
          <w:bCs/>
          <w:szCs w:val="24"/>
          <w:lang w:eastAsia="en-US"/>
        </w:rPr>
        <w:t>–</w:t>
      </w:r>
      <w:bookmarkEnd w:id="118"/>
      <w:r w:rsidR="000333FD">
        <w:rPr>
          <w:rFonts w:eastAsiaTheme="minorHAnsi" w:cs="Times New Roman"/>
          <w:b/>
          <w:bCs/>
          <w:szCs w:val="24"/>
          <w:lang w:eastAsia="en-US"/>
        </w:rPr>
        <w:t xml:space="preserve"> </w:t>
      </w:r>
      <w:r w:rsidRPr="007F5861">
        <w:rPr>
          <w:rFonts w:eastAsiaTheme="minorHAnsi" w:cs="Times New Roman"/>
          <w:b/>
          <w:bCs/>
          <w:szCs w:val="24"/>
          <w:lang w:eastAsia="en-US"/>
        </w:rPr>
        <w:t>2023. gadam ir</w:t>
      </w:r>
      <w:r w:rsidRPr="007F5861">
        <w:rPr>
          <w:rFonts w:eastAsia="Times New Roman" w:cs="Times New Roman"/>
          <w:b/>
          <w:bCs/>
          <w:szCs w:val="24"/>
          <w:lang w:eastAsia="en-US"/>
        </w:rPr>
        <w:t xml:space="preserve"> 69,813 milj. </w:t>
      </w:r>
      <w:proofErr w:type="spellStart"/>
      <w:r w:rsidRPr="007F5861">
        <w:rPr>
          <w:rFonts w:eastAsiaTheme="minorHAnsi" w:cs="Times New Roman"/>
          <w:b/>
          <w:bCs/>
          <w:i/>
          <w:szCs w:val="24"/>
          <w:lang w:eastAsia="en-US"/>
        </w:rPr>
        <w:t>euro</w:t>
      </w:r>
      <w:proofErr w:type="spellEnd"/>
      <w:r w:rsidRPr="007F5861">
        <w:rPr>
          <w:rFonts w:eastAsia="Times New Roman" w:cs="Times New Roman"/>
          <w:szCs w:val="24"/>
          <w:lang w:eastAsia="en-US"/>
        </w:rPr>
        <w:t xml:space="preserve"> (t.sk. ERAF finansējums, atmaksātais finansējums no ES fondu 2007.</w:t>
      </w:r>
      <w:r w:rsidR="000333FD">
        <w:rPr>
          <w:rFonts w:eastAsia="Times New Roman" w:cs="Times New Roman"/>
          <w:szCs w:val="24"/>
          <w:lang w:eastAsia="en-US"/>
        </w:rPr>
        <w:t xml:space="preserve"> </w:t>
      </w:r>
      <w:r w:rsidR="000333FD" w:rsidRPr="000333FD">
        <w:rPr>
          <w:rFonts w:eastAsia="Times New Roman" w:cs="Times New Roman"/>
          <w:szCs w:val="24"/>
          <w:lang w:eastAsia="en-US"/>
        </w:rPr>
        <w:t>–</w:t>
      </w:r>
      <w:r w:rsidRPr="007F5861">
        <w:rPr>
          <w:rFonts w:eastAsia="Times New Roman" w:cs="Times New Roman"/>
          <w:szCs w:val="24"/>
          <w:lang w:eastAsia="en-US"/>
        </w:rPr>
        <w:t>2013. gada plānošanas perioda un 2004.</w:t>
      </w:r>
      <w:r w:rsidR="000333FD">
        <w:rPr>
          <w:rFonts w:eastAsia="Times New Roman" w:cs="Times New Roman"/>
          <w:szCs w:val="24"/>
          <w:lang w:eastAsia="en-US"/>
        </w:rPr>
        <w:t xml:space="preserve"> – </w:t>
      </w:r>
      <w:r w:rsidRPr="007F5861">
        <w:rPr>
          <w:rFonts w:eastAsia="Times New Roman" w:cs="Times New Roman"/>
          <w:szCs w:val="24"/>
          <w:lang w:eastAsia="en-US"/>
        </w:rPr>
        <w:t>2006. gada plānošanas perioda, valsts budžeta finansējums).</w:t>
      </w:r>
      <w:r w:rsidRPr="007F5861">
        <w:rPr>
          <w:rFonts w:eastAsia="Times New Roman" w:cs="Times New Roman"/>
          <w:b/>
          <w:bCs/>
          <w:szCs w:val="24"/>
          <w:lang w:eastAsia="en-US"/>
        </w:rPr>
        <w:t xml:space="preserve"> </w:t>
      </w:r>
      <w:r w:rsidRPr="007F5861">
        <w:rPr>
          <w:rFonts w:eastAsiaTheme="minorHAnsi" w:cs="Times New Roman"/>
          <w:szCs w:val="24"/>
          <w:lang w:eastAsia="en-US"/>
        </w:rPr>
        <w:t>Savukārt 2021.</w:t>
      </w:r>
      <w:r w:rsidR="000333FD">
        <w:rPr>
          <w:rFonts w:eastAsiaTheme="minorHAnsi" w:cs="Times New Roman"/>
          <w:szCs w:val="24"/>
          <w:lang w:eastAsia="en-US"/>
        </w:rPr>
        <w:t xml:space="preserve"> – </w:t>
      </w:r>
      <w:r w:rsidRPr="007F5861">
        <w:rPr>
          <w:rFonts w:eastAsiaTheme="minorHAnsi" w:cs="Times New Roman"/>
          <w:szCs w:val="24"/>
          <w:lang w:eastAsia="en-US"/>
        </w:rPr>
        <w:t>2027. gada ES fondu plānošanas periodā programmas turpināšanai paredzēts finansējums 29 608 427  </w:t>
      </w:r>
      <w:proofErr w:type="spellStart"/>
      <w:r w:rsidRPr="007F5861">
        <w:rPr>
          <w:rFonts w:eastAsiaTheme="minorHAnsi" w:cs="Times New Roman"/>
          <w:i/>
          <w:iCs/>
          <w:szCs w:val="24"/>
          <w:lang w:eastAsia="en-US"/>
        </w:rPr>
        <w:t>euro</w:t>
      </w:r>
      <w:proofErr w:type="spellEnd"/>
      <w:r w:rsidRPr="007F5861">
        <w:rPr>
          <w:rFonts w:eastAsiaTheme="minorHAnsi" w:cs="Times New Roman"/>
          <w:szCs w:val="24"/>
          <w:lang w:eastAsia="en-US"/>
        </w:rPr>
        <w:t xml:space="preserve"> (24 673 689 </w:t>
      </w:r>
      <w:proofErr w:type="spellStart"/>
      <w:r w:rsidRPr="007F5861">
        <w:rPr>
          <w:rFonts w:eastAsiaTheme="minorHAnsi" w:cs="Times New Roman"/>
          <w:i/>
          <w:iCs/>
          <w:szCs w:val="24"/>
          <w:lang w:eastAsia="en-US"/>
        </w:rPr>
        <w:t>euro</w:t>
      </w:r>
      <w:proofErr w:type="spellEnd"/>
      <w:r w:rsidRPr="007F5861">
        <w:rPr>
          <w:rFonts w:eastAsiaTheme="minorHAnsi" w:cs="Times New Roman"/>
          <w:szCs w:val="24"/>
          <w:lang w:eastAsia="en-US"/>
        </w:rPr>
        <w:t xml:space="preserve"> 1.2.3.4. pasākuma “Garantijas, </w:t>
      </w:r>
      <w:proofErr w:type="spellStart"/>
      <w:r w:rsidRPr="007F5861">
        <w:rPr>
          <w:rFonts w:eastAsiaTheme="minorHAnsi" w:cs="Times New Roman"/>
          <w:szCs w:val="24"/>
          <w:lang w:eastAsia="en-US"/>
        </w:rPr>
        <w:t>portfeļgarantijas</w:t>
      </w:r>
      <w:proofErr w:type="spellEnd"/>
      <w:r w:rsidRPr="007F5861">
        <w:rPr>
          <w:rFonts w:eastAsiaTheme="minorHAnsi" w:cs="Times New Roman"/>
          <w:szCs w:val="24"/>
          <w:lang w:eastAsia="en-US"/>
        </w:rPr>
        <w:t xml:space="preserve"> pilna cikla uzņēmējdarbībai” ietvaros (t.sk. valsts budžets 3 701 054 </w:t>
      </w:r>
      <w:proofErr w:type="spellStart"/>
      <w:r w:rsidRPr="007F5861">
        <w:rPr>
          <w:rFonts w:eastAsiaTheme="minorHAnsi" w:cs="Times New Roman"/>
          <w:i/>
          <w:iCs/>
          <w:szCs w:val="24"/>
          <w:lang w:eastAsia="en-US"/>
        </w:rPr>
        <w:t>euro</w:t>
      </w:r>
      <w:proofErr w:type="spellEnd"/>
      <w:r w:rsidRPr="007F5861">
        <w:rPr>
          <w:rFonts w:eastAsiaTheme="minorHAnsi" w:cs="Times New Roman"/>
          <w:szCs w:val="24"/>
          <w:lang w:eastAsia="en-US"/>
        </w:rPr>
        <w:t xml:space="preserve">, ERAF 20 972 635 </w:t>
      </w:r>
      <w:proofErr w:type="spellStart"/>
      <w:r w:rsidRPr="007F5861">
        <w:rPr>
          <w:rFonts w:eastAsiaTheme="minorHAnsi" w:cs="Times New Roman"/>
          <w:i/>
          <w:iCs/>
          <w:szCs w:val="24"/>
          <w:lang w:eastAsia="en-US"/>
        </w:rPr>
        <w:t>euro</w:t>
      </w:r>
      <w:proofErr w:type="spellEnd"/>
      <w:r w:rsidRPr="007F5861">
        <w:rPr>
          <w:rFonts w:eastAsiaTheme="minorHAnsi" w:cs="Times New Roman"/>
          <w:szCs w:val="24"/>
          <w:lang w:eastAsia="en-US"/>
        </w:rPr>
        <w:t xml:space="preserve"> finansējums) un 4 934 738 </w:t>
      </w:r>
      <w:proofErr w:type="spellStart"/>
      <w:r w:rsidRPr="007F5861">
        <w:rPr>
          <w:rFonts w:eastAsiaTheme="minorHAnsi" w:cs="Times New Roman"/>
          <w:i/>
          <w:iCs/>
          <w:szCs w:val="24"/>
          <w:lang w:eastAsia="en-US"/>
        </w:rPr>
        <w:t>euro</w:t>
      </w:r>
      <w:proofErr w:type="spellEnd"/>
      <w:r w:rsidRPr="007F5861">
        <w:rPr>
          <w:rFonts w:eastAsiaTheme="minorHAnsi" w:cs="Times New Roman"/>
          <w:szCs w:val="24"/>
          <w:lang w:eastAsia="en-US"/>
        </w:rPr>
        <w:t xml:space="preserve"> 1.2.2.2. pasākuma “Individuālās garantijas </w:t>
      </w:r>
      <w:proofErr w:type="spellStart"/>
      <w:r w:rsidRPr="007F5861">
        <w:rPr>
          <w:rFonts w:eastAsiaTheme="minorHAnsi" w:cs="Times New Roman"/>
          <w:szCs w:val="24"/>
          <w:lang w:eastAsia="en-US"/>
        </w:rPr>
        <w:t>digitalizācijai</w:t>
      </w:r>
      <w:proofErr w:type="spellEnd"/>
      <w:r w:rsidRPr="007F5861">
        <w:rPr>
          <w:rFonts w:eastAsiaTheme="minorHAnsi" w:cs="Times New Roman"/>
          <w:szCs w:val="24"/>
          <w:lang w:eastAsia="en-US"/>
        </w:rPr>
        <w:t xml:space="preserve"> un automatizācijai” ietvaros (t.sk. valsts budžets 740 211 </w:t>
      </w:r>
      <w:proofErr w:type="spellStart"/>
      <w:r>
        <w:rPr>
          <w:rFonts w:eastAsiaTheme="minorHAnsi" w:cs="Times New Roman"/>
          <w:szCs w:val="24"/>
          <w:lang w:eastAsia="en-US"/>
        </w:rPr>
        <w:t>euro</w:t>
      </w:r>
      <w:proofErr w:type="spellEnd"/>
      <w:r w:rsidRPr="007F5861">
        <w:rPr>
          <w:rFonts w:eastAsiaTheme="minorHAnsi" w:cs="Times New Roman"/>
          <w:szCs w:val="24"/>
          <w:lang w:eastAsia="en-US"/>
        </w:rPr>
        <w:t xml:space="preserve">, ERAF 4 194 527 </w:t>
      </w:r>
      <w:proofErr w:type="spellStart"/>
      <w:r w:rsidRPr="007F5861">
        <w:rPr>
          <w:rFonts w:eastAsiaTheme="minorHAnsi" w:cs="Times New Roman"/>
          <w:i/>
          <w:iCs/>
          <w:szCs w:val="24"/>
          <w:lang w:eastAsia="en-US"/>
        </w:rPr>
        <w:t>euro</w:t>
      </w:r>
      <w:proofErr w:type="spellEnd"/>
      <w:r w:rsidRPr="007F5861">
        <w:rPr>
          <w:rFonts w:eastAsiaTheme="minorHAnsi" w:cs="Times New Roman"/>
          <w:szCs w:val="24"/>
          <w:lang w:eastAsia="en-US"/>
        </w:rPr>
        <w:t xml:space="preserve">)). </w:t>
      </w:r>
      <w:r w:rsidRPr="007F5861">
        <w:rPr>
          <w:rFonts w:eastAsia="Times New Roman" w:cs="Times New Roman"/>
          <w:b/>
          <w:bCs/>
          <w:szCs w:val="24"/>
          <w:lang w:eastAsia="en-US"/>
        </w:rPr>
        <w:t>Valsts saistības tiek paredzētas par programmā līdz šim izsniegtajām garantijām un atbilstoši garantiju programmas izsniegšanas apjomiem 2024. gadā.</w:t>
      </w:r>
    </w:p>
    <w:p w14:paraId="318A591D" w14:textId="2053CC0A" w:rsidR="007F5861" w:rsidRPr="007F5861" w:rsidRDefault="007F5861" w:rsidP="00280666">
      <w:pPr>
        <w:numPr>
          <w:ilvl w:val="0"/>
          <w:numId w:val="23"/>
        </w:numPr>
        <w:spacing w:before="120" w:after="0"/>
        <w:ind w:left="0" w:firstLine="851"/>
        <w:rPr>
          <w:rFonts w:eastAsia="Times New Roman" w:cs="Times New Roman"/>
          <w:b/>
          <w:szCs w:val="24"/>
          <w:lang w:eastAsia="en-US"/>
        </w:rPr>
      </w:pPr>
      <w:r w:rsidRPr="007F5861">
        <w:rPr>
          <w:rFonts w:eastAsiaTheme="minorHAnsi" w:cs="Times New Roman"/>
          <w:b/>
          <w:bCs/>
          <w:szCs w:val="24"/>
          <w:lang w:eastAsia="en-US"/>
        </w:rPr>
        <w:t>Kredīta garantijas lauksaimniecības, zivsaimniecības un lauku attīstības pasākumu veicināšanai</w:t>
      </w:r>
      <w:r w:rsidRPr="007F5861">
        <w:rPr>
          <w:rFonts w:eastAsiaTheme="minorHAnsi" w:cs="Times New Roman"/>
          <w:szCs w:val="24"/>
          <w:lang w:eastAsia="en-US"/>
        </w:rPr>
        <w:t xml:space="preserve"> </w:t>
      </w:r>
      <w:r>
        <w:rPr>
          <w:rFonts w:eastAsiaTheme="minorHAnsi" w:cs="Times New Roman"/>
          <w:szCs w:val="24"/>
          <w:lang w:eastAsia="en-US"/>
        </w:rPr>
        <w:t>MK</w:t>
      </w:r>
      <w:r w:rsidRPr="007F5861">
        <w:rPr>
          <w:rFonts w:eastAsiaTheme="minorHAnsi" w:cs="Times New Roman"/>
          <w:szCs w:val="24"/>
          <w:lang w:eastAsia="en-US"/>
        </w:rPr>
        <w:t xml:space="preserve"> 2019. gada 8. janvāra noteikumu Nr. 9 “Lauksaimniecības, zivsaimniecības un lauku attīstības garantiju programmas noteikumi” ietvaros. Programmas mērķis: saimnieciskās darbības veicējiem lauksaimniecības, zivsaimniecības un lauku attīstības jomā nodrošināt finansējumu pasākumu īstenošanai, ja esošais nodrošinājums nav pietiekams to saņemšanai. Garantija tiek izsniegta par Latvijā reģistrētas kredītiestādes vai tās meitas sabiedrības vai krājaizdevu</w:t>
      </w:r>
      <w:r>
        <w:rPr>
          <w:rFonts w:eastAsiaTheme="minorHAnsi" w:cs="Times New Roman"/>
          <w:szCs w:val="24"/>
          <w:lang w:eastAsia="en-US"/>
        </w:rPr>
        <w:t>mu</w:t>
      </w:r>
      <w:r w:rsidRPr="007F5861">
        <w:rPr>
          <w:rFonts w:eastAsiaTheme="minorHAnsi" w:cs="Times New Roman"/>
          <w:szCs w:val="24"/>
          <w:lang w:eastAsia="en-US"/>
        </w:rPr>
        <w:t xml:space="preserve"> sabiedrības izsniegtu finanšu pakalpojumu līdz 80 % no finansējuma pamatsummas ar sākotnējo termiņu līdz 10 gadiem, garantijas summa vienam saimnieciskās darbības veicējam un ar to saistīto personu grupai nepārsniedz 3,5 milj. </w:t>
      </w:r>
      <w:proofErr w:type="spellStart"/>
      <w:r w:rsidRPr="007F5861">
        <w:rPr>
          <w:rFonts w:eastAsiaTheme="minorHAnsi" w:cs="Times New Roman"/>
          <w:i/>
          <w:szCs w:val="24"/>
          <w:lang w:eastAsia="en-US"/>
        </w:rPr>
        <w:t>euro</w:t>
      </w:r>
      <w:proofErr w:type="spellEnd"/>
      <w:r w:rsidRPr="007F5861">
        <w:rPr>
          <w:rFonts w:eastAsiaTheme="minorHAnsi" w:cs="Times New Roman"/>
          <w:szCs w:val="24"/>
          <w:lang w:eastAsia="en-US"/>
        </w:rPr>
        <w:t xml:space="preserve">. </w:t>
      </w:r>
      <w:r w:rsidRPr="007F5861">
        <w:rPr>
          <w:rFonts w:eastAsiaTheme="minorHAnsi" w:cs="Times New Roman"/>
          <w:b/>
          <w:bCs/>
          <w:szCs w:val="24"/>
          <w:lang w:eastAsia="en-US"/>
        </w:rPr>
        <w:t>Apstiprinātais programmas finansējums ir</w:t>
      </w:r>
      <w:r w:rsidRPr="007F5861">
        <w:rPr>
          <w:rFonts w:eastAsiaTheme="minorHAnsi" w:cs="Times New Roman"/>
          <w:szCs w:val="24"/>
          <w:lang w:eastAsia="en-US"/>
        </w:rPr>
        <w:t xml:space="preserve"> </w:t>
      </w:r>
      <w:r w:rsidRPr="007F5861">
        <w:rPr>
          <w:rFonts w:eastAsiaTheme="minorHAnsi" w:cs="Times New Roman"/>
          <w:b/>
          <w:bCs/>
          <w:szCs w:val="24"/>
          <w:lang w:eastAsia="en-US"/>
        </w:rPr>
        <w:t>18,825 milj. </w:t>
      </w:r>
      <w:proofErr w:type="spellStart"/>
      <w:r w:rsidRPr="007F5861">
        <w:rPr>
          <w:rFonts w:eastAsiaTheme="minorHAnsi" w:cs="Times New Roman"/>
          <w:b/>
          <w:bCs/>
          <w:i/>
          <w:szCs w:val="24"/>
          <w:lang w:eastAsia="en-US"/>
        </w:rPr>
        <w:t>euro</w:t>
      </w:r>
      <w:proofErr w:type="spellEnd"/>
      <w:r w:rsidRPr="007F5861">
        <w:rPr>
          <w:rFonts w:eastAsiaTheme="minorHAnsi" w:cs="Times New Roman"/>
          <w:szCs w:val="24"/>
          <w:lang w:eastAsia="en-US"/>
        </w:rPr>
        <w:t xml:space="preserve"> (</w:t>
      </w:r>
      <w:r w:rsidRPr="007F5861">
        <w:rPr>
          <w:rFonts w:eastAsiaTheme="minorHAnsi"/>
          <w:szCs w:val="24"/>
          <w:lang w:eastAsia="en-US"/>
        </w:rPr>
        <w:t>Latvijas Lauku attīstības programmas 2007.</w:t>
      </w:r>
      <w:r w:rsidR="00434E5B">
        <w:rPr>
          <w:rFonts w:eastAsiaTheme="minorHAnsi"/>
          <w:szCs w:val="24"/>
          <w:lang w:eastAsia="en-US"/>
        </w:rPr>
        <w:t xml:space="preserve"> – </w:t>
      </w:r>
      <w:r w:rsidRPr="007F5861">
        <w:rPr>
          <w:rFonts w:eastAsiaTheme="minorHAnsi"/>
          <w:szCs w:val="24"/>
          <w:lang w:eastAsia="en-US"/>
        </w:rPr>
        <w:t>2013. gadam</w:t>
      </w:r>
      <w:r w:rsidRPr="007F5861">
        <w:rPr>
          <w:rFonts w:eastAsiaTheme="minorHAnsi"/>
          <w:bCs/>
          <w:szCs w:val="24"/>
          <w:lang w:eastAsia="en-US"/>
        </w:rPr>
        <w:t xml:space="preserve"> un Rīcības programmas Eiropas Zivsaimniecības fonda atbalsta ieviešanai Latvijā 2007.</w:t>
      </w:r>
      <w:r w:rsidR="00434E5B">
        <w:rPr>
          <w:rFonts w:eastAsiaTheme="minorHAnsi"/>
          <w:bCs/>
          <w:szCs w:val="24"/>
          <w:lang w:eastAsia="en-US"/>
        </w:rPr>
        <w:t xml:space="preserve"> – </w:t>
      </w:r>
      <w:r w:rsidRPr="007F5861">
        <w:rPr>
          <w:rFonts w:eastAsiaTheme="minorHAnsi"/>
          <w:bCs/>
          <w:szCs w:val="24"/>
          <w:lang w:eastAsia="en-US"/>
        </w:rPr>
        <w:t>2013. gada plānošanas perioda pasākuma “Kredītu fonds” atmaksu finansējums, Latvijas Lauku attīstības programmas 2014.-2020. gadam īstenošanas pārejas periodā 2021. un 2022. gadā paredzētais finansējums, valsts budžeta līdzekļi</w:t>
      </w:r>
      <w:r w:rsidRPr="007F5861">
        <w:rPr>
          <w:rFonts w:eastAsiaTheme="minorHAnsi" w:cs="Times New Roman"/>
          <w:szCs w:val="24"/>
          <w:lang w:eastAsia="en-US"/>
        </w:rPr>
        <w:t xml:space="preserve">). </w:t>
      </w:r>
      <w:r w:rsidRPr="007F5861">
        <w:rPr>
          <w:rFonts w:eastAsia="Times New Roman" w:cs="Times New Roman"/>
          <w:b/>
          <w:szCs w:val="24"/>
          <w:lang w:eastAsia="en-US"/>
        </w:rPr>
        <w:t xml:space="preserve">Valsts saistības tiek paredzētas par programmā </w:t>
      </w:r>
      <w:r w:rsidRPr="007F5861">
        <w:rPr>
          <w:rFonts w:eastAsia="Times New Roman" w:cs="Times New Roman"/>
          <w:b/>
          <w:bCs/>
          <w:szCs w:val="24"/>
          <w:lang w:eastAsia="en-US"/>
        </w:rPr>
        <w:t xml:space="preserve">līdz šim </w:t>
      </w:r>
      <w:r w:rsidRPr="007F5861">
        <w:rPr>
          <w:rFonts w:eastAsia="Times New Roman" w:cs="Times New Roman"/>
          <w:b/>
          <w:szCs w:val="24"/>
          <w:lang w:eastAsia="en-US"/>
        </w:rPr>
        <w:t xml:space="preserve">izsniegtajām garantijām un atbilstoši garantiju programmas </w:t>
      </w:r>
      <w:r w:rsidRPr="007F5861">
        <w:rPr>
          <w:rFonts w:eastAsia="Times New Roman" w:cs="Times New Roman"/>
          <w:b/>
          <w:bCs/>
          <w:szCs w:val="24"/>
          <w:lang w:eastAsia="en-US"/>
        </w:rPr>
        <w:t xml:space="preserve">izsniegšanas </w:t>
      </w:r>
      <w:r w:rsidRPr="007F5861">
        <w:rPr>
          <w:rFonts w:eastAsia="Times New Roman" w:cs="Times New Roman"/>
          <w:b/>
          <w:szCs w:val="24"/>
          <w:lang w:eastAsia="en-US"/>
        </w:rPr>
        <w:t>apjomiem 2024. gadā.</w:t>
      </w:r>
    </w:p>
    <w:p w14:paraId="23896E33" w14:textId="6D9F7958" w:rsidR="007F5861" w:rsidRPr="007F5861" w:rsidRDefault="007F5861" w:rsidP="00280666">
      <w:pPr>
        <w:numPr>
          <w:ilvl w:val="0"/>
          <w:numId w:val="23"/>
        </w:numPr>
        <w:spacing w:before="120" w:after="0"/>
        <w:ind w:left="0" w:firstLine="851"/>
        <w:rPr>
          <w:rFonts w:eastAsia="Times New Roman" w:cs="Times New Roman"/>
          <w:b/>
          <w:szCs w:val="24"/>
          <w:lang w:eastAsia="en-US"/>
        </w:rPr>
      </w:pPr>
      <w:r w:rsidRPr="007F5861">
        <w:rPr>
          <w:rFonts w:eastAsiaTheme="minorHAnsi" w:cs="Times New Roman"/>
          <w:b/>
          <w:bCs/>
          <w:szCs w:val="24"/>
          <w:lang w:eastAsia="en-US"/>
        </w:rPr>
        <w:t>Garantijas ģimenēm ar bērniem (līdz 23 gadiem ieskaitot) un jaunajiem speciālistiem</w:t>
      </w:r>
      <w:r w:rsidRPr="007F5861">
        <w:rPr>
          <w:rFonts w:eastAsiaTheme="minorHAnsi" w:cs="Times New Roman"/>
          <w:szCs w:val="24"/>
          <w:lang w:eastAsia="en-US"/>
        </w:rPr>
        <w:t xml:space="preserve"> (personām, kuras ieguvušas vidējo profesionālo vai augstāko izglītību, un nepārsniedz 35 gadu vecumu) mājokļu iegādei </w:t>
      </w:r>
      <w:r>
        <w:rPr>
          <w:rFonts w:eastAsiaTheme="minorHAnsi" w:cs="Times New Roman"/>
          <w:szCs w:val="24"/>
          <w:lang w:eastAsia="en-US"/>
        </w:rPr>
        <w:t>MK</w:t>
      </w:r>
      <w:r w:rsidRPr="007F5861">
        <w:rPr>
          <w:rFonts w:eastAsiaTheme="minorHAnsi" w:cs="Times New Roman"/>
          <w:szCs w:val="24"/>
          <w:lang w:eastAsia="en-US"/>
        </w:rPr>
        <w:t xml:space="preserve"> 2018. gada 20. februāra noteikumu Nr. 95 “Noteikumi par valsts palīdzību dzīvojamās telpas iegādei vai būvniecībai” ietvaros. Programmas mērķis: sniegt valsts palīdzību mājokļa iegādei vai būvniecībai ģimenēm ar bērniem un jaunajiem speciālistiem, kā arī garantijas Nacionālo bruņoto spēku karavīriem, kuriem ir pastāvīgi ienākumi, bet nav pietiekamu uzkrājumu pirmās iemaksas veikšanai. Garantija tiek sniegta par Latvijā reģistrētas kredītiestādes, dalībvalstī reģistrētas kredītiestādes, tās filiāles vai ārvalsts kredītiestādes filiāles izsniegtu aizdevumu:</w:t>
      </w:r>
    </w:p>
    <w:p w14:paraId="6A556B00" w14:textId="77777777" w:rsidR="007F5861" w:rsidRPr="007F5861" w:rsidRDefault="007F5861" w:rsidP="00280666">
      <w:pPr>
        <w:spacing w:before="120" w:after="0"/>
        <w:ind w:firstLine="851"/>
        <w:rPr>
          <w:rFonts w:eastAsiaTheme="minorHAnsi" w:cs="Times New Roman"/>
          <w:szCs w:val="24"/>
          <w:lang w:eastAsia="en-US"/>
        </w:rPr>
      </w:pPr>
      <w:r w:rsidRPr="007F5861">
        <w:rPr>
          <w:rFonts w:eastAsiaTheme="minorHAnsi" w:cs="Times New Roman"/>
          <w:szCs w:val="24"/>
          <w:lang w:eastAsia="en-US"/>
        </w:rPr>
        <w:t>- ģimenēm ar bērniem līdz 30 % no finansējuma pamatsummas ar termiņu līdz 10 gadiem, garantijas summa nepārsniedz 30 tūkst. </w:t>
      </w:r>
      <w:proofErr w:type="spellStart"/>
      <w:r w:rsidRPr="007F5861">
        <w:rPr>
          <w:rFonts w:eastAsiaTheme="minorHAnsi" w:cs="Times New Roman"/>
          <w:i/>
          <w:iCs/>
          <w:szCs w:val="24"/>
          <w:lang w:eastAsia="en-US"/>
        </w:rPr>
        <w:t>euro</w:t>
      </w:r>
      <w:proofErr w:type="spellEnd"/>
      <w:r w:rsidRPr="007F5861">
        <w:rPr>
          <w:rFonts w:eastAsiaTheme="minorHAnsi" w:cs="Times New Roman"/>
          <w:szCs w:val="24"/>
          <w:lang w:eastAsia="en-US"/>
        </w:rPr>
        <w:t xml:space="preserve"> (garantijas nosacījumi tiek noteikti, ņemot vērā bērnu skaitu ģimenē);</w:t>
      </w:r>
    </w:p>
    <w:p w14:paraId="69F6BBFC" w14:textId="77777777" w:rsidR="007F5861" w:rsidRPr="007F5861" w:rsidRDefault="007F5861" w:rsidP="00280666">
      <w:pPr>
        <w:spacing w:before="120" w:after="0"/>
        <w:ind w:firstLine="851"/>
        <w:rPr>
          <w:rFonts w:eastAsiaTheme="minorHAnsi" w:cs="Times New Roman"/>
          <w:szCs w:val="24"/>
          <w:lang w:eastAsia="en-US"/>
        </w:rPr>
      </w:pPr>
      <w:r w:rsidRPr="007F5861">
        <w:rPr>
          <w:rFonts w:eastAsiaTheme="minorHAnsi" w:cs="Times New Roman"/>
          <w:szCs w:val="24"/>
          <w:lang w:eastAsia="en-US"/>
        </w:rPr>
        <w:t>- jaunajiem speciālistiem līdz 20 % no aizdevuma pamatsummas un ne vairāk kā 50 tūkst. </w:t>
      </w:r>
      <w:proofErr w:type="spellStart"/>
      <w:r w:rsidRPr="007F5861">
        <w:rPr>
          <w:rFonts w:eastAsiaTheme="minorHAnsi" w:cs="Times New Roman"/>
          <w:i/>
          <w:iCs/>
          <w:szCs w:val="24"/>
          <w:lang w:eastAsia="en-US"/>
        </w:rPr>
        <w:t>euro</w:t>
      </w:r>
      <w:proofErr w:type="spellEnd"/>
      <w:r w:rsidRPr="007F5861">
        <w:rPr>
          <w:rFonts w:eastAsiaTheme="minorHAnsi" w:cs="Times New Roman"/>
          <w:szCs w:val="24"/>
          <w:lang w:eastAsia="en-US"/>
        </w:rPr>
        <w:t xml:space="preserve"> ar termiņu līdz 10 gadiem;</w:t>
      </w:r>
    </w:p>
    <w:p w14:paraId="39969C59" w14:textId="77777777" w:rsidR="007F5861" w:rsidRPr="007F5861" w:rsidRDefault="007F5861" w:rsidP="00280666">
      <w:pPr>
        <w:spacing w:before="120" w:after="0"/>
        <w:ind w:firstLine="851"/>
        <w:rPr>
          <w:rFonts w:eastAsiaTheme="minorHAnsi" w:cs="Times New Roman"/>
          <w:szCs w:val="24"/>
          <w:lang w:eastAsia="en-US"/>
        </w:rPr>
      </w:pPr>
      <w:r w:rsidRPr="007F5861">
        <w:rPr>
          <w:rFonts w:eastAsiaTheme="minorHAnsi" w:cs="Times New Roman"/>
          <w:szCs w:val="24"/>
          <w:lang w:eastAsia="en-US"/>
        </w:rPr>
        <w:t>- Nacionālo bruņoto spēku karavīriem līdz 25 % no aizdevuma pamatsummas un ne vairāk kā 20 tūkst. </w:t>
      </w:r>
      <w:proofErr w:type="spellStart"/>
      <w:r w:rsidRPr="007F5861">
        <w:rPr>
          <w:rFonts w:eastAsiaTheme="minorHAnsi" w:cs="Times New Roman"/>
          <w:i/>
          <w:iCs/>
          <w:szCs w:val="24"/>
          <w:lang w:eastAsia="en-US"/>
        </w:rPr>
        <w:t>euro</w:t>
      </w:r>
      <w:proofErr w:type="spellEnd"/>
      <w:r w:rsidRPr="007F5861">
        <w:rPr>
          <w:rFonts w:eastAsiaTheme="minorHAnsi" w:cs="Times New Roman"/>
          <w:szCs w:val="24"/>
          <w:lang w:eastAsia="en-US"/>
        </w:rPr>
        <w:t xml:space="preserve"> ar termiņu līdz 10 gadiem.</w:t>
      </w:r>
    </w:p>
    <w:p w14:paraId="61F8C817" w14:textId="7082EE6F" w:rsidR="007F5861" w:rsidRPr="007F5861" w:rsidRDefault="007F5861" w:rsidP="00280666">
      <w:pPr>
        <w:spacing w:before="120" w:after="0"/>
        <w:ind w:firstLine="851"/>
        <w:rPr>
          <w:rFonts w:eastAsia="Times New Roman" w:cs="Times New Roman"/>
          <w:b/>
          <w:szCs w:val="24"/>
          <w:lang w:eastAsia="en-US"/>
        </w:rPr>
      </w:pPr>
      <w:r w:rsidRPr="007F5861">
        <w:rPr>
          <w:rFonts w:eastAsiaTheme="minorHAnsi" w:cs="Times New Roman"/>
          <w:szCs w:val="24"/>
          <w:lang w:eastAsia="en-US"/>
        </w:rPr>
        <w:t xml:space="preserve">Finansējums tiek paredzēts no valsts budžeta līdzekļiem. Programmas īstenošana un tās pieejamais finansējums ir atkarīgs no </w:t>
      </w:r>
      <w:r w:rsidR="00BB47DB">
        <w:rPr>
          <w:rFonts w:eastAsiaTheme="minorHAnsi" w:cs="Times New Roman"/>
          <w:szCs w:val="24"/>
          <w:lang w:eastAsia="en-US"/>
        </w:rPr>
        <w:t>MK</w:t>
      </w:r>
      <w:r w:rsidRPr="007F5861">
        <w:rPr>
          <w:rFonts w:eastAsiaTheme="minorHAnsi" w:cs="Times New Roman"/>
          <w:szCs w:val="24"/>
          <w:lang w:eastAsia="en-US"/>
        </w:rPr>
        <w:t xml:space="preserve"> un Saeimas lēmumiem, t.sk. atbilstoši </w:t>
      </w:r>
      <w:bookmarkStart w:id="119" w:name="_Hlk142578944"/>
      <w:r w:rsidRPr="007F5861">
        <w:rPr>
          <w:rFonts w:eastAsiaTheme="minorHAnsi" w:cs="Times New Roman"/>
          <w:i/>
          <w:iCs/>
          <w:szCs w:val="24"/>
          <w:lang w:eastAsia="en-US"/>
        </w:rPr>
        <w:t xml:space="preserve">likumā par </w:t>
      </w:r>
      <w:r w:rsidRPr="007F5861">
        <w:rPr>
          <w:rFonts w:eastAsiaTheme="minorHAnsi" w:cs="Times New Roman"/>
          <w:i/>
          <w:iCs/>
          <w:szCs w:val="24"/>
          <w:lang w:eastAsia="en-US"/>
        </w:rPr>
        <w:lastRenderedPageBreak/>
        <w:t>valsts budžetu kārtējam gadam un budžeta ietvaru vidējam termiņam</w:t>
      </w:r>
      <w:bookmarkEnd w:id="119"/>
      <w:r w:rsidRPr="007F5861">
        <w:rPr>
          <w:rFonts w:eastAsiaTheme="minorHAnsi" w:cs="Times New Roman"/>
          <w:szCs w:val="24"/>
          <w:lang w:eastAsia="en-US"/>
        </w:rPr>
        <w:t xml:space="preserve"> piešķirtajam finansējumam. </w:t>
      </w:r>
      <w:r w:rsidRPr="007F5861">
        <w:rPr>
          <w:rFonts w:eastAsiaTheme="minorHAnsi" w:cs="Times New Roman"/>
          <w:b/>
          <w:bCs/>
          <w:szCs w:val="24"/>
          <w:lang w:eastAsia="en-US"/>
        </w:rPr>
        <w:t>Valsts</w:t>
      </w:r>
      <w:r w:rsidRPr="007F5861">
        <w:rPr>
          <w:rFonts w:eastAsia="Times New Roman" w:cs="Times New Roman"/>
          <w:b/>
          <w:bCs/>
          <w:szCs w:val="24"/>
          <w:lang w:eastAsia="en-US"/>
        </w:rPr>
        <w:t xml:space="preserve"> saistības tiek paredzētas par programmā izsniegtajām garantijām no 2016. gada 1. janvāra līdz 2019. gada 31. decembrim. </w:t>
      </w:r>
    </w:p>
    <w:p w14:paraId="06F27225" w14:textId="202FA33B" w:rsidR="001C5161" w:rsidRPr="0038459F" w:rsidRDefault="001C5161" w:rsidP="00952B8E">
      <w:pPr>
        <w:spacing w:after="0"/>
        <w:ind w:firstLine="0"/>
        <w:jc w:val="left"/>
        <w:rPr>
          <w:rFonts w:eastAsia="Times New Roman" w:cs="Times New Roman"/>
          <w:highlight w:val="lightGray"/>
        </w:rPr>
        <w:sectPr w:rsidR="001C5161" w:rsidRPr="0038459F" w:rsidSect="004865D6">
          <w:headerReference w:type="default" r:id="rId55"/>
          <w:footerReference w:type="default" r:id="rId56"/>
          <w:headerReference w:type="first" r:id="rId57"/>
          <w:pgSz w:w="11906" w:h="16838" w:code="9"/>
          <w:pgMar w:top="1418" w:right="1134" w:bottom="1134" w:left="1701" w:header="709" w:footer="709" w:gutter="0"/>
          <w:pgNumType w:start="7"/>
          <w:cols w:space="708"/>
          <w:docGrid w:linePitch="360"/>
        </w:sectPr>
      </w:pPr>
    </w:p>
    <w:p w14:paraId="6CEFF664" w14:textId="425F3FE1" w:rsidR="00C203C5" w:rsidRPr="00DB1CDF" w:rsidRDefault="00C203C5" w:rsidP="00C203C5">
      <w:pPr>
        <w:pStyle w:val="Heading1"/>
        <w:jc w:val="center"/>
        <w:rPr>
          <w:smallCaps w:val="0"/>
          <w:sz w:val="40"/>
          <w:szCs w:val="40"/>
        </w:rPr>
      </w:pPr>
      <w:bookmarkStart w:id="120" w:name="_Toc126236675"/>
      <w:r w:rsidRPr="00DB1CDF">
        <w:rPr>
          <w:smallCaps w:val="0"/>
          <w:sz w:val="40"/>
          <w:szCs w:val="40"/>
        </w:rPr>
        <w:lastRenderedPageBreak/>
        <w:t>B</w:t>
      </w:r>
      <w:r w:rsidR="00AE7B3F" w:rsidRPr="00DB1CDF">
        <w:rPr>
          <w:smallCaps w:val="0"/>
          <w:sz w:val="40"/>
          <w:szCs w:val="40"/>
        </w:rPr>
        <w:t>udžeta ietvara I. nodaļas pielikumi</w:t>
      </w:r>
      <w:bookmarkEnd w:id="120"/>
      <w:r w:rsidRPr="00DB1CDF">
        <w:rPr>
          <w:smallCaps w:val="0"/>
          <w:sz w:val="40"/>
          <w:szCs w:val="40"/>
        </w:rPr>
        <w:t xml:space="preserve"> </w:t>
      </w:r>
    </w:p>
    <w:p w14:paraId="31BD6A0B" w14:textId="77777777" w:rsidR="00C203C5" w:rsidRPr="0038459F" w:rsidRDefault="00C203C5" w:rsidP="00401A5B">
      <w:pPr>
        <w:widowControl w:val="0"/>
        <w:jc w:val="right"/>
        <w:rPr>
          <w:rFonts w:eastAsia="Times New Roman" w:cs="Times New Roman"/>
          <w:color w:val="000000"/>
          <w:highlight w:val="lightGray"/>
        </w:rPr>
      </w:pPr>
    </w:p>
    <w:p w14:paraId="26874F24" w14:textId="77777777" w:rsidR="00824A22" w:rsidRPr="00847A57" w:rsidRDefault="00824A22" w:rsidP="00824A22">
      <w:pPr>
        <w:widowControl w:val="0"/>
        <w:jc w:val="right"/>
        <w:rPr>
          <w:rFonts w:eastAsia="Times New Roman" w:cs="Times New Roman"/>
          <w:color w:val="000000"/>
        </w:rPr>
      </w:pPr>
      <w:r w:rsidRPr="00847A57">
        <w:rPr>
          <w:rFonts w:eastAsia="Times New Roman" w:cs="Times New Roman"/>
          <w:color w:val="000000"/>
        </w:rPr>
        <w:t>1. pielikums</w:t>
      </w:r>
    </w:p>
    <w:p w14:paraId="153090C6" w14:textId="77777777" w:rsidR="00847A57" w:rsidRPr="00847A57" w:rsidRDefault="00847A57" w:rsidP="00847A57">
      <w:pPr>
        <w:widowControl w:val="0"/>
        <w:jc w:val="right"/>
        <w:rPr>
          <w:rFonts w:eastAsia="Times New Roman" w:cs="Times New Roman"/>
          <w:b/>
          <w:color w:val="000000"/>
          <w:sz w:val="28"/>
        </w:rPr>
      </w:pPr>
      <w:r w:rsidRPr="00847A57">
        <w:rPr>
          <w:rFonts w:eastAsia="Times New Roman" w:cs="Times New Roman"/>
          <w:b/>
          <w:color w:val="000000"/>
        </w:rPr>
        <w:t>Vispārējā valdības sektorā iekļauto kapitālsabiedrību faktiskā ietekme uz vispārējās valdības B.9 neto aizdevumiem(+)/ neto aizņēmumiem(-) un parādu</w:t>
      </w:r>
    </w:p>
    <w:tbl>
      <w:tblPr>
        <w:tblW w:w="14064" w:type="dxa"/>
        <w:tblInd w:w="-30" w:type="dxa"/>
        <w:tblLayout w:type="fixed"/>
        <w:tblLook w:val="0000" w:firstRow="0" w:lastRow="0" w:firstColumn="0" w:lastColumn="0" w:noHBand="0" w:noVBand="0"/>
      </w:tblPr>
      <w:tblGrid>
        <w:gridCol w:w="1865"/>
        <w:gridCol w:w="2418"/>
        <w:gridCol w:w="2410"/>
        <w:gridCol w:w="2409"/>
        <w:gridCol w:w="2552"/>
        <w:gridCol w:w="2410"/>
      </w:tblGrid>
      <w:tr w:rsidR="00847A57" w:rsidRPr="00847A57" w14:paraId="5A350BC2" w14:textId="77777777" w:rsidTr="00F42DDA">
        <w:trPr>
          <w:trHeight w:val="262"/>
        </w:trPr>
        <w:tc>
          <w:tcPr>
            <w:tcW w:w="1865" w:type="dxa"/>
            <w:tcBorders>
              <w:top w:val="nil"/>
              <w:left w:val="nil"/>
              <w:bottom w:val="single" w:sz="4" w:space="0" w:color="auto"/>
              <w:right w:val="nil"/>
            </w:tcBorders>
          </w:tcPr>
          <w:p w14:paraId="032EA9A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8" w:type="dxa"/>
            <w:tcBorders>
              <w:top w:val="nil"/>
              <w:left w:val="nil"/>
              <w:bottom w:val="single" w:sz="4" w:space="0" w:color="auto"/>
              <w:right w:val="nil"/>
            </w:tcBorders>
          </w:tcPr>
          <w:p w14:paraId="302EA46A"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nil"/>
              <w:left w:val="nil"/>
              <w:bottom w:val="single" w:sz="4" w:space="0" w:color="auto"/>
              <w:right w:val="nil"/>
            </w:tcBorders>
          </w:tcPr>
          <w:p w14:paraId="086633F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09" w:type="dxa"/>
            <w:tcBorders>
              <w:top w:val="nil"/>
              <w:left w:val="nil"/>
              <w:bottom w:val="single" w:sz="4" w:space="0" w:color="auto"/>
              <w:right w:val="nil"/>
            </w:tcBorders>
          </w:tcPr>
          <w:p w14:paraId="53E3E005"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552" w:type="dxa"/>
            <w:tcBorders>
              <w:top w:val="nil"/>
              <w:left w:val="nil"/>
              <w:bottom w:val="single" w:sz="4" w:space="0" w:color="auto"/>
              <w:right w:val="nil"/>
            </w:tcBorders>
          </w:tcPr>
          <w:p w14:paraId="68160B7C"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nil"/>
              <w:left w:val="nil"/>
              <w:bottom w:val="single" w:sz="4" w:space="0" w:color="auto"/>
              <w:right w:val="nil"/>
            </w:tcBorders>
          </w:tcPr>
          <w:p w14:paraId="30C394ED" w14:textId="77777777" w:rsidR="00847A57" w:rsidRPr="00847A57" w:rsidRDefault="00847A57" w:rsidP="00847A57">
            <w:pPr>
              <w:autoSpaceDE w:val="0"/>
              <w:autoSpaceDN w:val="0"/>
              <w:adjustRightInd w:val="0"/>
              <w:spacing w:after="0"/>
              <w:ind w:firstLine="0"/>
              <w:jc w:val="right"/>
              <w:rPr>
                <w:rFonts w:eastAsia="Times New Roman" w:cs="Times New Roman"/>
                <w:i/>
                <w:iCs/>
                <w:color w:val="000000"/>
                <w:sz w:val="18"/>
                <w:szCs w:val="18"/>
              </w:rPr>
            </w:pPr>
            <w:r w:rsidRPr="00847A57">
              <w:rPr>
                <w:rFonts w:eastAsia="Times New Roman" w:cs="Times New Roman"/>
                <w:color w:val="000000"/>
                <w:sz w:val="18"/>
                <w:szCs w:val="18"/>
              </w:rPr>
              <w:t xml:space="preserve">milj. </w:t>
            </w:r>
            <w:proofErr w:type="spellStart"/>
            <w:r w:rsidRPr="00847A57">
              <w:rPr>
                <w:rFonts w:eastAsia="Times New Roman" w:cs="Times New Roman"/>
                <w:i/>
                <w:iCs/>
                <w:color w:val="000000"/>
                <w:sz w:val="18"/>
                <w:szCs w:val="18"/>
              </w:rPr>
              <w:t>euro</w:t>
            </w:r>
            <w:proofErr w:type="spellEnd"/>
          </w:p>
        </w:tc>
      </w:tr>
      <w:tr w:rsidR="00847A57" w:rsidRPr="00847A57" w14:paraId="43A514DB" w14:textId="77777777" w:rsidTr="006261DB">
        <w:trPr>
          <w:trHeight w:val="1020"/>
        </w:trPr>
        <w:tc>
          <w:tcPr>
            <w:tcW w:w="1865" w:type="dxa"/>
            <w:tcBorders>
              <w:top w:val="single" w:sz="4" w:space="0" w:color="auto"/>
              <w:left w:val="single" w:sz="4" w:space="0" w:color="auto"/>
              <w:bottom w:val="single" w:sz="4" w:space="0" w:color="auto"/>
              <w:right w:val="single" w:sz="4" w:space="0" w:color="auto"/>
            </w:tcBorders>
            <w:shd w:val="clear" w:color="auto" w:fill="9CC2E5"/>
          </w:tcPr>
          <w:p w14:paraId="4010EC2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8" w:type="dxa"/>
            <w:tcBorders>
              <w:top w:val="single" w:sz="4" w:space="0" w:color="auto"/>
              <w:left w:val="single" w:sz="4" w:space="0" w:color="auto"/>
              <w:bottom w:val="single" w:sz="4" w:space="0" w:color="auto"/>
              <w:right w:val="single" w:sz="4" w:space="0" w:color="auto"/>
            </w:tcBorders>
            <w:shd w:val="clear" w:color="auto" w:fill="9CC2E5"/>
          </w:tcPr>
          <w:p w14:paraId="643FF2AC" w14:textId="77777777" w:rsidR="00847A57" w:rsidRPr="00847A57" w:rsidRDefault="00847A57" w:rsidP="00847A57">
            <w:pPr>
              <w:autoSpaceDE w:val="0"/>
              <w:autoSpaceDN w:val="0"/>
              <w:adjustRightInd w:val="0"/>
              <w:spacing w:after="0"/>
              <w:ind w:firstLine="0"/>
              <w:jc w:val="center"/>
              <w:rPr>
                <w:rFonts w:eastAsia="Times New Roman" w:cs="Times New Roman"/>
                <w:color w:val="000000"/>
                <w:sz w:val="18"/>
                <w:szCs w:val="18"/>
              </w:rPr>
            </w:pPr>
            <w:r w:rsidRPr="00847A57">
              <w:rPr>
                <w:rFonts w:eastAsia="Times New Roman" w:cs="Times New Roman"/>
                <w:color w:val="000000"/>
                <w:sz w:val="18"/>
                <w:szCs w:val="18"/>
              </w:rPr>
              <w:t>Ieņēmumi</w:t>
            </w:r>
          </w:p>
        </w:tc>
        <w:tc>
          <w:tcPr>
            <w:tcW w:w="2410" w:type="dxa"/>
            <w:tcBorders>
              <w:top w:val="single" w:sz="4" w:space="0" w:color="auto"/>
              <w:left w:val="single" w:sz="4" w:space="0" w:color="auto"/>
              <w:bottom w:val="single" w:sz="4" w:space="0" w:color="auto"/>
              <w:right w:val="single" w:sz="4" w:space="0" w:color="auto"/>
            </w:tcBorders>
            <w:shd w:val="clear" w:color="auto" w:fill="9CC2E5"/>
          </w:tcPr>
          <w:p w14:paraId="044DA946" w14:textId="77777777" w:rsidR="00847A57" w:rsidRPr="00847A57" w:rsidRDefault="00847A57" w:rsidP="00847A57">
            <w:pPr>
              <w:autoSpaceDE w:val="0"/>
              <w:autoSpaceDN w:val="0"/>
              <w:adjustRightInd w:val="0"/>
              <w:spacing w:after="0"/>
              <w:ind w:firstLine="0"/>
              <w:jc w:val="center"/>
              <w:rPr>
                <w:rFonts w:eastAsia="Times New Roman" w:cs="Times New Roman"/>
                <w:color w:val="000000"/>
                <w:sz w:val="18"/>
                <w:szCs w:val="18"/>
              </w:rPr>
            </w:pPr>
            <w:r w:rsidRPr="00847A57">
              <w:rPr>
                <w:rFonts w:eastAsia="Times New Roman" w:cs="Times New Roman"/>
                <w:color w:val="000000"/>
                <w:sz w:val="18"/>
                <w:szCs w:val="18"/>
              </w:rPr>
              <w:t>t.sk. ieņēmumu pozīcijas korekcija par ES fondu finansējuma izlietojumu</w:t>
            </w:r>
          </w:p>
        </w:tc>
        <w:tc>
          <w:tcPr>
            <w:tcW w:w="2409" w:type="dxa"/>
            <w:tcBorders>
              <w:top w:val="single" w:sz="4" w:space="0" w:color="auto"/>
              <w:left w:val="single" w:sz="4" w:space="0" w:color="auto"/>
              <w:bottom w:val="single" w:sz="4" w:space="0" w:color="auto"/>
              <w:right w:val="single" w:sz="4" w:space="0" w:color="auto"/>
            </w:tcBorders>
            <w:shd w:val="clear" w:color="auto" w:fill="9CC2E5"/>
          </w:tcPr>
          <w:p w14:paraId="32638E6A" w14:textId="77777777" w:rsidR="00847A57" w:rsidRPr="00847A57" w:rsidRDefault="00847A57" w:rsidP="00847A57">
            <w:pPr>
              <w:autoSpaceDE w:val="0"/>
              <w:autoSpaceDN w:val="0"/>
              <w:adjustRightInd w:val="0"/>
              <w:spacing w:after="0"/>
              <w:ind w:firstLine="0"/>
              <w:jc w:val="center"/>
              <w:rPr>
                <w:rFonts w:eastAsia="Times New Roman" w:cs="Times New Roman"/>
                <w:color w:val="000000"/>
                <w:sz w:val="18"/>
                <w:szCs w:val="18"/>
              </w:rPr>
            </w:pPr>
            <w:r w:rsidRPr="00847A57">
              <w:rPr>
                <w:rFonts w:eastAsia="Times New Roman" w:cs="Times New Roman"/>
                <w:color w:val="000000"/>
                <w:sz w:val="18"/>
                <w:szCs w:val="18"/>
              </w:rPr>
              <w:t>Izdevumi</w:t>
            </w:r>
          </w:p>
        </w:tc>
        <w:tc>
          <w:tcPr>
            <w:tcW w:w="2552" w:type="dxa"/>
            <w:tcBorders>
              <w:top w:val="single" w:sz="4" w:space="0" w:color="auto"/>
              <w:left w:val="single" w:sz="4" w:space="0" w:color="auto"/>
              <w:bottom w:val="single" w:sz="4" w:space="0" w:color="auto"/>
              <w:right w:val="single" w:sz="4" w:space="0" w:color="auto"/>
            </w:tcBorders>
            <w:shd w:val="clear" w:color="auto" w:fill="9CC2E5"/>
          </w:tcPr>
          <w:p w14:paraId="305B43E3" w14:textId="77777777" w:rsidR="00847A57" w:rsidRPr="00847A57" w:rsidRDefault="00847A57" w:rsidP="00847A57">
            <w:pPr>
              <w:autoSpaceDE w:val="0"/>
              <w:autoSpaceDN w:val="0"/>
              <w:adjustRightInd w:val="0"/>
              <w:spacing w:after="0"/>
              <w:ind w:firstLine="0"/>
              <w:jc w:val="center"/>
              <w:rPr>
                <w:rFonts w:eastAsia="Times New Roman" w:cs="Times New Roman"/>
                <w:color w:val="000000"/>
                <w:sz w:val="18"/>
                <w:szCs w:val="18"/>
              </w:rPr>
            </w:pPr>
            <w:r w:rsidRPr="00847A57">
              <w:rPr>
                <w:rFonts w:eastAsia="Times New Roman" w:cs="Times New Roman"/>
                <w:color w:val="000000"/>
                <w:sz w:val="18"/>
                <w:szCs w:val="18"/>
              </w:rPr>
              <w:t>Ietekme uz B.9 neto aizdevumiem (+)/neto aizņēmumiem (-) (ieskaitot korekciju par ES fondu finansējuma izlietojumu)</w:t>
            </w:r>
          </w:p>
        </w:tc>
        <w:tc>
          <w:tcPr>
            <w:tcW w:w="2410" w:type="dxa"/>
            <w:tcBorders>
              <w:top w:val="single" w:sz="4" w:space="0" w:color="auto"/>
              <w:left w:val="single" w:sz="4" w:space="0" w:color="auto"/>
              <w:bottom w:val="single" w:sz="4" w:space="0" w:color="auto"/>
              <w:right w:val="single" w:sz="4" w:space="0" w:color="auto"/>
            </w:tcBorders>
            <w:shd w:val="clear" w:color="auto" w:fill="9CC2E5"/>
          </w:tcPr>
          <w:p w14:paraId="38482AF7" w14:textId="77777777" w:rsidR="00847A57" w:rsidRPr="00847A57" w:rsidRDefault="00847A57" w:rsidP="00847A57">
            <w:pPr>
              <w:autoSpaceDE w:val="0"/>
              <w:autoSpaceDN w:val="0"/>
              <w:adjustRightInd w:val="0"/>
              <w:spacing w:after="0"/>
              <w:ind w:firstLine="0"/>
              <w:jc w:val="center"/>
              <w:rPr>
                <w:rFonts w:eastAsia="Times New Roman" w:cs="Times New Roman"/>
                <w:color w:val="000000"/>
                <w:sz w:val="18"/>
                <w:szCs w:val="18"/>
              </w:rPr>
            </w:pPr>
            <w:r w:rsidRPr="00847A57">
              <w:rPr>
                <w:rFonts w:eastAsia="Times New Roman" w:cs="Times New Roman"/>
                <w:color w:val="000000"/>
                <w:sz w:val="18"/>
                <w:szCs w:val="18"/>
              </w:rPr>
              <w:t>Ietekme uz vispārējās valdības parādu</w:t>
            </w:r>
          </w:p>
        </w:tc>
      </w:tr>
      <w:tr w:rsidR="00847A57" w:rsidRPr="00847A57" w14:paraId="187845D8"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shd w:val="clear" w:color="auto" w:fill="DEEAF6"/>
          </w:tcPr>
          <w:p w14:paraId="2F1DE835" w14:textId="77777777" w:rsidR="00847A57" w:rsidRPr="00847A57" w:rsidRDefault="00847A57" w:rsidP="00847A57">
            <w:pPr>
              <w:autoSpaceDE w:val="0"/>
              <w:autoSpaceDN w:val="0"/>
              <w:adjustRightInd w:val="0"/>
              <w:spacing w:after="0"/>
              <w:ind w:firstLine="0"/>
              <w:jc w:val="left"/>
              <w:rPr>
                <w:rFonts w:eastAsia="Times New Roman" w:cs="Times New Roman"/>
                <w:color w:val="000000"/>
                <w:sz w:val="18"/>
                <w:szCs w:val="18"/>
              </w:rPr>
            </w:pPr>
            <w:r w:rsidRPr="00847A57">
              <w:rPr>
                <w:rFonts w:eastAsia="Times New Roman" w:cs="Times New Roman"/>
                <w:sz w:val="18"/>
                <w:szCs w:val="18"/>
              </w:rPr>
              <w:t>2020</w:t>
            </w:r>
          </w:p>
        </w:tc>
        <w:tc>
          <w:tcPr>
            <w:tcW w:w="2418" w:type="dxa"/>
            <w:tcBorders>
              <w:top w:val="single" w:sz="4" w:space="0" w:color="auto"/>
              <w:left w:val="single" w:sz="4" w:space="0" w:color="auto"/>
              <w:bottom w:val="single" w:sz="4" w:space="0" w:color="auto"/>
              <w:right w:val="single" w:sz="4" w:space="0" w:color="auto"/>
            </w:tcBorders>
            <w:shd w:val="clear" w:color="auto" w:fill="DEEAF6"/>
          </w:tcPr>
          <w:p w14:paraId="2961FA25"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shd w:val="clear" w:color="auto" w:fill="DEEAF6"/>
          </w:tcPr>
          <w:p w14:paraId="2EC61C75"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09" w:type="dxa"/>
            <w:tcBorders>
              <w:top w:val="single" w:sz="4" w:space="0" w:color="auto"/>
              <w:left w:val="single" w:sz="4" w:space="0" w:color="auto"/>
              <w:bottom w:val="single" w:sz="4" w:space="0" w:color="auto"/>
              <w:right w:val="single" w:sz="4" w:space="0" w:color="auto"/>
            </w:tcBorders>
            <w:shd w:val="clear" w:color="auto" w:fill="DEEAF6"/>
          </w:tcPr>
          <w:p w14:paraId="013E8522"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552" w:type="dxa"/>
            <w:tcBorders>
              <w:top w:val="single" w:sz="4" w:space="0" w:color="auto"/>
              <w:left w:val="single" w:sz="4" w:space="0" w:color="auto"/>
              <w:bottom w:val="single" w:sz="4" w:space="0" w:color="auto"/>
              <w:right w:val="single" w:sz="4" w:space="0" w:color="auto"/>
            </w:tcBorders>
            <w:shd w:val="clear" w:color="auto" w:fill="DEEAF6"/>
          </w:tcPr>
          <w:p w14:paraId="5686078C"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shd w:val="clear" w:color="auto" w:fill="DEEAF6"/>
          </w:tcPr>
          <w:p w14:paraId="6EDC676A"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r>
      <w:tr w:rsidR="00847A57" w:rsidRPr="00847A57" w14:paraId="29882A97"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tcPr>
          <w:p w14:paraId="591C3E8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Times New Roman" w:cs="Times New Roman"/>
                <w:sz w:val="18"/>
                <w:szCs w:val="18"/>
              </w:rPr>
              <w:t>S130130</w:t>
            </w:r>
          </w:p>
        </w:tc>
        <w:tc>
          <w:tcPr>
            <w:tcW w:w="2418" w:type="dxa"/>
            <w:tcBorders>
              <w:top w:val="single" w:sz="4" w:space="0" w:color="auto"/>
              <w:left w:val="single" w:sz="4" w:space="0" w:color="auto"/>
              <w:bottom w:val="single" w:sz="4" w:space="0" w:color="auto"/>
              <w:right w:val="single" w:sz="4" w:space="0" w:color="auto"/>
            </w:tcBorders>
          </w:tcPr>
          <w:p w14:paraId="2B973FFF"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1083,074</w:t>
            </w:r>
          </w:p>
        </w:tc>
        <w:tc>
          <w:tcPr>
            <w:tcW w:w="2410" w:type="dxa"/>
            <w:tcBorders>
              <w:top w:val="single" w:sz="4" w:space="0" w:color="auto"/>
              <w:left w:val="single" w:sz="4" w:space="0" w:color="auto"/>
              <w:bottom w:val="single" w:sz="4" w:space="0" w:color="auto"/>
              <w:right w:val="single" w:sz="4" w:space="0" w:color="auto"/>
            </w:tcBorders>
          </w:tcPr>
          <w:p w14:paraId="647EDEA5"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22,879</w:t>
            </w:r>
          </w:p>
        </w:tc>
        <w:tc>
          <w:tcPr>
            <w:tcW w:w="2409" w:type="dxa"/>
            <w:tcBorders>
              <w:top w:val="single" w:sz="4" w:space="0" w:color="auto"/>
              <w:left w:val="single" w:sz="4" w:space="0" w:color="auto"/>
              <w:bottom w:val="single" w:sz="4" w:space="0" w:color="auto"/>
              <w:right w:val="single" w:sz="4" w:space="0" w:color="auto"/>
            </w:tcBorders>
          </w:tcPr>
          <w:p w14:paraId="723044F1"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1114,064</w:t>
            </w:r>
          </w:p>
        </w:tc>
        <w:tc>
          <w:tcPr>
            <w:tcW w:w="2552" w:type="dxa"/>
            <w:tcBorders>
              <w:top w:val="single" w:sz="4" w:space="0" w:color="auto"/>
              <w:left w:val="single" w:sz="4" w:space="0" w:color="auto"/>
              <w:bottom w:val="single" w:sz="4" w:space="0" w:color="auto"/>
              <w:right w:val="single" w:sz="4" w:space="0" w:color="auto"/>
            </w:tcBorders>
          </w:tcPr>
          <w:p w14:paraId="40D1CC0F"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-30,990</w:t>
            </w:r>
          </w:p>
        </w:tc>
        <w:tc>
          <w:tcPr>
            <w:tcW w:w="2410" w:type="dxa"/>
            <w:tcBorders>
              <w:top w:val="single" w:sz="4" w:space="0" w:color="auto"/>
              <w:left w:val="single" w:sz="4" w:space="0" w:color="auto"/>
              <w:bottom w:val="single" w:sz="4" w:space="0" w:color="auto"/>
              <w:right w:val="single" w:sz="4" w:space="0" w:color="auto"/>
            </w:tcBorders>
          </w:tcPr>
          <w:p w14:paraId="4B8E34B0"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468,237</w:t>
            </w:r>
          </w:p>
        </w:tc>
      </w:tr>
      <w:tr w:rsidR="00847A57" w:rsidRPr="00847A57" w14:paraId="29466974"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tcPr>
          <w:p w14:paraId="67D6B6D9"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Times New Roman" w:cs="Times New Roman"/>
                <w:sz w:val="18"/>
                <w:szCs w:val="18"/>
              </w:rPr>
              <w:t>S130330</w:t>
            </w:r>
          </w:p>
        </w:tc>
        <w:tc>
          <w:tcPr>
            <w:tcW w:w="2418" w:type="dxa"/>
            <w:tcBorders>
              <w:top w:val="single" w:sz="4" w:space="0" w:color="auto"/>
              <w:left w:val="single" w:sz="4" w:space="0" w:color="auto"/>
              <w:bottom w:val="single" w:sz="4" w:space="0" w:color="auto"/>
              <w:right w:val="single" w:sz="4" w:space="0" w:color="auto"/>
            </w:tcBorders>
          </w:tcPr>
          <w:p w14:paraId="3331946D"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566,184</w:t>
            </w:r>
          </w:p>
        </w:tc>
        <w:tc>
          <w:tcPr>
            <w:tcW w:w="2410" w:type="dxa"/>
            <w:tcBorders>
              <w:top w:val="single" w:sz="4" w:space="0" w:color="auto"/>
              <w:left w:val="single" w:sz="4" w:space="0" w:color="auto"/>
              <w:bottom w:val="single" w:sz="4" w:space="0" w:color="auto"/>
              <w:right w:val="single" w:sz="4" w:space="0" w:color="auto"/>
            </w:tcBorders>
          </w:tcPr>
          <w:p w14:paraId="1017DB2A"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15,718</w:t>
            </w:r>
          </w:p>
        </w:tc>
        <w:tc>
          <w:tcPr>
            <w:tcW w:w="2409" w:type="dxa"/>
            <w:tcBorders>
              <w:top w:val="single" w:sz="4" w:space="0" w:color="auto"/>
              <w:left w:val="single" w:sz="4" w:space="0" w:color="auto"/>
              <w:bottom w:val="single" w:sz="4" w:space="0" w:color="auto"/>
              <w:right w:val="single" w:sz="4" w:space="0" w:color="auto"/>
            </w:tcBorders>
          </w:tcPr>
          <w:p w14:paraId="7E3F8B42"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545,398</w:t>
            </w:r>
          </w:p>
        </w:tc>
        <w:tc>
          <w:tcPr>
            <w:tcW w:w="2552" w:type="dxa"/>
            <w:tcBorders>
              <w:top w:val="single" w:sz="4" w:space="0" w:color="auto"/>
              <w:left w:val="single" w:sz="4" w:space="0" w:color="auto"/>
              <w:bottom w:val="single" w:sz="4" w:space="0" w:color="auto"/>
              <w:right w:val="single" w:sz="4" w:space="0" w:color="auto"/>
            </w:tcBorders>
          </w:tcPr>
          <w:p w14:paraId="66CE5B3C"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20,786</w:t>
            </w:r>
          </w:p>
        </w:tc>
        <w:tc>
          <w:tcPr>
            <w:tcW w:w="2410" w:type="dxa"/>
            <w:tcBorders>
              <w:top w:val="single" w:sz="4" w:space="0" w:color="auto"/>
              <w:left w:val="single" w:sz="4" w:space="0" w:color="auto"/>
              <w:bottom w:val="single" w:sz="4" w:space="0" w:color="auto"/>
              <w:right w:val="single" w:sz="4" w:space="0" w:color="auto"/>
            </w:tcBorders>
          </w:tcPr>
          <w:p w14:paraId="158EFB2B"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296,798</w:t>
            </w:r>
          </w:p>
        </w:tc>
      </w:tr>
      <w:tr w:rsidR="00847A57" w:rsidRPr="00847A57" w14:paraId="0E9C4D8B"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tcPr>
          <w:p w14:paraId="0D484FE6"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8" w:type="dxa"/>
            <w:tcBorders>
              <w:top w:val="single" w:sz="4" w:space="0" w:color="auto"/>
              <w:left w:val="single" w:sz="4" w:space="0" w:color="auto"/>
              <w:bottom w:val="single" w:sz="4" w:space="0" w:color="auto"/>
              <w:right w:val="single" w:sz="4" w:space="0" w:color="auto"/>
            </w:tcBorders>
          </w:tcPr>
          <w:p w14:paraId="2A2DEC58"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tcPr>
          <w:p w14:paraId="3ED0B1E1"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09" w:type="dxa"/>
            <w:tcBorders>
              <w:top w:val="single" w:sz="4" w:space="0" w:color="auto"/>
              <w:left w:val="single" w:sz="4" w:space="0" w:color="auto"/>
              <w:bottom w:val="single" w:sz="4" w:space="0" w:color="auto"/>
              <w:right w:val="single" w:sz="4" w:space="0" w:color="auto"/>
            </w:tcBorders>
          </w:tcPr>
          <w:p w14:paraId="6744CA45"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552" w:type="dxa"/>
            <w:tcBorders>
              <w:top w:val="single" w:sz="4" w:space="0" w:color="auto"/>
              <w:left w:val="single" w:sz="4" w:space="0" w:color="auto"/>
              <w:bottom w:val="single" w:sz="4" w:space="0" w:color="auto"/>
              <w:right w:val="single" w:sz="4" w:space="0" w:color="auto"/>
            </w:tcBorders>
          </w:tcPr>
          <w:p w14:paraId="5510A87C"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tcPr>
          <w:p w14:paraId="7B1C7AB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r>
      <w:tr w:rsidR="00847A57" w:rsidRPr="00847A57" w14:paraId="634F6CCF"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shd w:val="clear" w:color="auto" w:fill="DEEAF6"/>
          </w:tcPr>
          <w:p w14:paraId="1D57949B" w14:textId="77777777" w:rsidR="00847A57" w:rsidRPr="00847A57" w:rsidRDefault="00847A57" w:rsidP="00847A57">
            <w:pPr>
              <w:autoSpaceDE w:val="0"/>
              <w:autoSpaceDN w:val="0"/>
              <w:adjustRightInd w:val="0"/>
              <w:spacing w:after="0"/>
              <w:ind w:firstLine="0"/>
              <w:jc w:val="left"/>
              <w:rPr>
                <w:rFonts w:eastAsia="Times New Roman" w:cs="Times New Roman"/>
                <w:color w:val="000000"/>
                <w:sz w:val="18"/>
                <w:szCs w:val="18"/>
              </w:rPr>
            </w:pPr>
            <w:r w:rsidRPr="00847A57">
              <w:rPr>
                <w:rFonts w:eastAsia="Times New Roman" w:cs="Times New Roman"/>
                <w:sz w:val="18"/>
                <w:szCs w:val="18"/>
              </w:rPr>
              <w:t>2021</w:t>
            </w:r>
          </w:p>
        </w:tc>
        <w:tc>
          <w:tcPr>
            <w:tcW w:w="2418" w:type="dxa"/>
            <w:tcBorders>
              <w:top w:val="single" w:sz="4" w:space="0" w:color="auto"/>
              <w:left w:val="single" w:sz="4" w:space="0" w:color="auto"/>
              <w:bottom w:val="single" w:sz="4" w:space="0" w:color="auto"/>
              <w:right w:val="single" w:sz="4" w:space="0" w:color="auto"/>
            </w:tcBorders>
            <w:shd w:val="clear" w:color="auto" w:fill="DEEAF6"/>
          </w:tcPr>
          <w:p w14:paraId="43ECC03F"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shd w:val="clear" w:color="auto" w:fill="DEEAF6"/>
          </w:tcPr>
          <w:p w14:paraId="6C9804BB"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09" w:type="dxa"/>
            <w:tcBorders>
              <w:top w:val="single" w:sz="4" w:space="0" w:color="auto"/>
              <w:left w:val="single" w:sz="4" w:space="0" w:color="auto"/>
              <w:bottom w:val="single" w:sz="4" w:space="0" w:color="auto"/>
              <w:right w:val="single" w:sz="4" w:space="0" w:color="auto"/>
            </w:tcBorders>
            <w:shd w:val="clear" w:color="auto" w:fill="DEEAF6"/>
          </w:tcPr>
          <w:p w14:paraId="1EFA5D97"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552" w:type="dxa"/>
            <w:tcBorders>
              <w:top w:val="single" w:sz="4" w:space="0" w:color="auto"/>
              <w:left w:val="single" w:sz="4" w:space="0" w:color="auto"/>
              <w:bottom w:val="single" w:sz="4" w:space="0" w:color="auto"/>
              <w:right w:val="single" w:sz="4" w:space="0" w:color="auto"/>
            </w:tcBorders>
            <w:shd w:val="clear" w:color="auto" w:fill="DEEAF6"/>
          </w:tcPr>
          <w:p w14:paraId="05E533D0"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shd w:val="clear" w:color="auto" w:fill="DEEAF6"/>
          </w:tcPr>
          <w:p w14:paraId="450170C1"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r>
      <w:tr w:rsidR="00847A57" w:rsidRPr="00847A57" w14:paraId="309068F4"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tcPr>
          <w:p w14:paraId="790E3316"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Times New Roman" w:cs="Times New Roman"/>
                <w:sz w:val="18"/>
                <w:szCs w:val="18"/>
              </w:rPr>
              <w:t>S130130</w:t>
            </w:r>
          </w:p>
        </w:tc>
        <w:tc>
          <w:tcPr>
            <w:tcW w:w="2418" w:type="dxa"/>
            <w:tcBorders>
              <w:top w:val="single" w:sz="4" w:space="0" w:color="auto"/>
              <w:left w:val="single" w:sz="4" w:space="0" w:color="auto"/>
              <w:bottom w:val="single" w:sz="4" w:space="0" w:color="auto"/>
              <w:right w:val="single" w:sz="4" w:space="0" w:color="auto"/>
            </w:tcBorders>
          </w:tcPr>
          <w:p w14:paraId="30CAD6CB"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1213,731</w:t>
            </w:r>
          </w:p>
        </w:tc>
        <w:tc>
          <w:tcPr>
            <w:tcW w:w="2410" w:type="dxa"/>
            <w:tcBorders>
              <w:top w:val="single" w:sz="4" w:space="0" w:color="auto"/>
              <w:left w:val="single" w:sz="4" w:space="0" w:color="auto"/>
              <w:bottom w:val="single" w:sz="4" w:space="0" w:color="auto"/>
              <w:right w:val="single" w:sz="4" w:space="0" w:color="auto"/>
            </w:tcBorders>
          </w:tcPr>
          <w:p w14:paraId="709EF0B3"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17,477</w:t>
            </w:r>
          </w:p>
        </w:tc>
        <w:tc>
          <w:tcPr>
            <w:tcW w:w="2409" w:type="dxa"/>
            <w:tcBorders>
              <w:top w:val="single" w:sz="4" w:space="0" w:color="auto"/>
              <w:left w:val="single" w:sz="4" w:space="0" w:color="auto"/>
              <w:bottom w:val="single" w:sz="4" w:space="0" w:color="auto"/>
              <w:right w:val="single" w:sz="4" w:space="0" w:color="auto"/>
            </w:tcBorders>
          </w:tcPr>
          <w:p w14:paraId="1C8503C2"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1203,952</w:t>
            </w:r>
          </w:p>
        </w:tc>
        <w:tc>
          <w:tcPr>
            <w:tcW w:w="2552" w:type="dxa"/>
            <w:tcBorders>
              <w:top w:val="single" w:sz="4" w:space="0" w:color="auto"/>
              <w:left w:val="single" w:sz="4" w:space="0" w:color="auto"/>
              <w:bottom w:val="single" w:sz="4" w:space="0" w:color="auto"/>
              <w:right w:val="single" w:sz="4" w:space="0" w:color="auto"/>
            </w:tcBorders>
          </w:tcPr>
          <w:p w14:paraId="35EDDF5A"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9,779</w:t>
            </w:r>
          </w:p>
        </w:tc>
        <w:tc>
          <w:tcPr>
            <w:tcW w:w="2410" w:type="dxa"/>
            <w:tcBorders>
              <w:top w:val="single" w:sz="4" w:space="0" w:color="auto"/>
              <w:left w:val="single" w:sz="4" w:space="0" w:color="auto"/>
              <w:bottom w:val="single" w:sz="4" w:space="0" w:color="auto"/>
              <w:right w:val="single" w:sz="4" w:space="0" w:color="auto"/>
            </w:tcBorders>
          </w:tcPr>
          <w:p w14:paraId="019E4A2E"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289,097</w:t>
            </w:r>
          </w:p>
        </w:tc>
      </w:tr>
      <w:tr w:rsidR="00847A57" w:rsidRPr="00847A57" w14:paraId="2CBC351B"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tcPr>
          <w:p w14:paraId="2F1732DB"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Times New Roman" w:cs="Times New Roman"/>
                <w:sz w:val="18"/>
                <w:szCs w:val="18"/>
              </w:rPr>
              <w:t>S130330</w:t>
            </w:r>
          </w:p>
        </w:tc>
        <w:tc>
          <w:tcPr>
            <w:tcW w:w="2418" w:type="dxa"/>
            <w:tcBorders>
              <w:top w:val="single" w:sz="4" w:space="0" w:color="auto"/>
              <w:left w:val="single" w:sz="4" w:space="0" w:color="auto"/>
              <w:bottom w:val="single" w:sz="4" w:space="0" w:color="auto"/>
              <w:right w:val="single" w:sz="4" w:space="0" w:color="auto"/>
            </w:tcBorders>
          </w:tcPr>
          <w:p w14:paraId="2806D536"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671,310</w:t>
            </w:r>
          </w:p>
        </w:tc>
        <w:tc>
          <w:tcPr>
            <w:tcW w:w="2410" w:type="dxa"/>
            <w:tcBorders>
              <w:top w:val="single" w:sz="4" w:space="0" w:color="auto"/>
              <w:left w:val="single" w:sz="4" w:space="0" w:color="auto"/>
              <w:bottom w:val="single" w:sz="4" w:space="0" w:color="auto"/>
              <w:right w:val="single" w:sz="4" w:space="0" w:color="auto"/>
            </w:tcBorders>
          </w:tcPr>
          <w:p w14:paraId="292E4C0D"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29,905</w:t>
            </w:r>
          </w:p>
        </w:tc>
        <w:tc>
          <w:tcPr>
            <w:tcW w:w="2409" w:type="dxa"/>
            <w:tcBorders>
              <w:top w:val="single" w:sz="4" w:space="0" w:color="auto"/>
              <w:left w:val="single" w:sz="4" w:space="0" w:color="auto"/>
              <w:bottom w:val="single" w:sz="4" w:space="0" w:color="auto"/>
              <w:right w:val="single" w:sz="4" w:space="0" w:color="auto"/>
            </w:tcBorders>
          </w:tcPr>
          <w:p w14:paraId="70285F3B"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694,166</w:t>
            </w:r>
          </w:p>
        </w:tc>
        <w:tc>
          <w:tcPr>
            <w:tcW w:w="2552" w:type="dxa"/>
            <w:tcBorders>
              <w:top w:val="single" w:sz="4" w:space="0" w:color="auto"/>
              <w:left w:val="single" w:sz="4" w:space="0" w:color="auto"/>
              <w:bottom w:val="single" w:sz="4" w:space="0" w:color="auto"/>
              <w:right w:val="single" w:sz="4" w:space="0" w:color="auto"/>
            </w:tcBorders>
          </w:tcPr>
          <w:p w14:paraId="57DA4E16"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-22,856</w:t>
            </w:r>
          </w:p>
        </w:tc>
        <w:tc>
          <w:tcPr>
            <w:tcW w:w="2410" w:type="dxa"/>
            <w:tcBorders>
              <w:top w:val="single" w:sz="4" w:space="0" w:color="auto"/>
              <w:left w:val="single" w:sz="4" w:space="0" w:color="auto"/>
              <w:bottom w:val="single" w:sz="4" w:space="0" w:color="auto"/>
              <w:right w:val="single" w:sz="4" w:space="0" w:color="auto"/>
            </w:tcBorders>
          </w:tcPr>
          <w:p w14:paraId="6CF27695"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317,242</w:t>
            </w:r>
          </w:p>
        </w:tc>
      </w:tr>
      <w:tr w:rsidR="00847A57" w:rsidRPr="00847A57" w14:paraId="39AC8789"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tcPr>
          <w:p w14:paraId="4B4E13C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8" w:type="dxa"/>
            <w:tcBorders>
              <w:top w:val="single" w:sz="4" w:space="0" w:color="auto"/>
              <w:left w:val="single" w:sz="4" w:space="0" w:color="auto"/>
              <w:bottom w:val="single" w:sz="4" w:space="0" w:color="auto"/>
              <w:right w:val="single" w:sz="4" w:space="0" w:color="auto"/>
            </w:tcBorders>
          </w:tcPr>
          <w:p w14:paraId="0D592092"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tcPr>
          <w:p w14:paraId="2F4336C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09" w:type="dxa"/>
            <w:tcBorders>
              <w:top w:val="single" w:sz="4" w:space="0" w:color="auto"/>
              <w:left w:val="single" w:sz="4" w:space="0" w:color="auto"/>
              <w:bottom w:val="single" w:sz="4" w:space="0" w:color="auto"/>
              <w:right w:val="single" w:sz="4" w:space="0" w:color="auto"/>
            </w:tcBorders>
          </w:tcPr>
          <w:p w14:paraId="4098B9BF"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552" w:type="dxa"/>
            <w:tcBorders>
              <w:top w:val="single" w:sz="4" w:space="0" w:color="auto"/>
              <w:left w:val="single" w:sz="4" w:space="0" w:color="auto"/>
              <w:bottom w:val="single" w:sz="4" w:space="0" w:color="auto"/>
              <w:right w:val="single" w:sz="4" w:space="0" w:color="auto"/>
            </w:tcBorders>
          </w:tcPr>
          <w:p w14:paraId="3E1AA53C"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tcPr>
          <w:p w14:paraId="1F41C843"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r>
      <w:tr w:rsidR="00847A57" w:rsidRPr="00847A57" w14:paraId="1B8DFDF3"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shd w:val="clear" w:color="auto" w:fill="DEEAF6"/>
          </w:tcPr>
          <w:p w14:paraId="2AD85A67" w14:textId="77777777" w:rsidR="00847A57" w:rsidRPr="00847A57" w:rsidRDefault="00847A57" w:rsidP="00847A57">
            <w:pPr>
              <w:autoSpaceDE w:val="0"/>
              <w:autoSpaceDN w:val="0"/>
              <w:adjustRightInd w:val="0"/>
              <w:spacing w:after="0"/>
              <w:ind w:firstLine="0"/>
              <w:jc w:val="left"/>
              <w:rPr>
                <w:rFonts w:eastAsia="Times New Roman" w:cs="Times New Roman"/>
                <w:color w:val="000000"/>
                <w:sz w:val="18"/>
                <w:szCs w:val="18"/>
              </w:rPr>
            </w:pPr>
            <w:r w:rsidRPr="00847A57">
              <w:rPr>
                <w:rFonts w:eastAsia="Times New Roman" w:cs="Times New Roman"/>
                <w:sz w:val="18"/>
                <w:szCs w:val="18"/>
              </w:rPr>
              <w:t>2022</w:t>
            </w:r>
          </w:p>
        </w:tc>
        <w:tc>
          <w:tcPr>
            <w:tcW w:w="2418" w:type="dxa"/>
            <w:tcBorders>
              <w:top w:val="single" w:sz="4" w:space="0" w:color="auto"/>
              <w:left w:val="single" w:sz="4" w:space="0" w:color="auto"/>
              <w:bottom w:val="single" w:sz="4" w:space="0" w:color="auto"/>
              <w:right w:val="single" w:sz="4" w:space="0" w:color="auto"/>
            </w:tcBorders>
            <w:shd w:val="clear" w:color="auto" w:fill="DEEAF6"/>
          </w:tcPr>
          <w:p w14:paraId="4910EDC5"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shd w:val="clear" w:color="auto" w:fill="DEEAF6"/>
          </w:tcPr>
          <w:p w14:paraId="297E7BEE"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09" w:type="dxa"/>
            <w:tcBorders>
              <w:top w:val="single" w:sz="4" w:space="0" w:color="auto"/>
              <w:left w:val="single" w:sz="4" w:space="0" w:color="auto"/>
              <w:bottom w:val="single" w:sz="4" w:space="0" w:color="auto"/>
              <w:right w:val="single" w:sz="4" w:space="0" w:color="auto"/>
            </w:tcBorders>
            <w:shd w:val="clear" w:color="auto" w:fill="DEEAF6"/>
          </w:tcPr>
          <w:p w14:paraId="7465195F"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552" w:type="dxa"/>
            <w:tcBorders>
              <w:top w:val="single" w:sz="4" w:space="0" w:color="auto"/>
              <w:left w:val="single" w:sz="4" w:space="0" w:color="auto"/>
              <w:bottom w:val="single" w:sz="4" w:space="0" w:color="auto"/>
              <w:right w:val="single" w:sz="4" w:space="0" w:color="auto"/>
            </w:tcBorders>
            <w:shd w:val="clear" w:color="auto" w:fill="DEEAF6"/>
          </w:tcPr>
          <w:p w14:paraId="658B4F6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shd w:val="clear" w:color="auto" w:fill="DEEAF6"/>
          </w:tcPr>
          <w:p w14:paraId="2C718F2A"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p>
        </w:tc>
      </w:tr>
      <w:tr w:rsidR="00847A57" w:rsidRPr="00847A57" w14:paraId="5BE0869E"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tcPr>
          <w:p w14:paraId="315415E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Times New Roman" w:cs="Times New Roman"/>
                <w:sz w:val="18"/>
                <w:szCs w:val="18"/>
              </w:rPr>
              <w:t>S130130</w:t>
            </w:r>
          </w:p>
        </w:tc>
        <w:tc>
          <w:tcPr>
            <w:tcW w:w="2418" w:type="dxa"/>
            <w:tcBorders>
              <w:top w:val="single" w:sz="4" w:space="0" w:color="auto"/>
              <w:left w:val="single" w:sz="4" w:space="0" w:color="auto"/>
              <w:bottom w:val="single" w:sz="4" w:space="0" w:color="auto"/>
              <w:right w:val="single" w:sz="4" w:space="0" w:color="auto"/>
            </w:tcBorders>
          </w:tcPr>
          <w:p w14:paraId="01D891AA"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1180,619</w:t>
            </w:r>
          </w:p>
        </w:tc>
        <w:tc>
          <w:tcPr>
            <w:tcW w:w="2410" w:type="dxa"/>
            <w:tcBorders>
              <w:top w:val="single" w:sz="4" w:space="0" w:color="auto"/>
              <w:left w:val="single" w:sz="4" w:space="0" w:color="auto"/>
              <w:bottom w:val="single" w:sz="4" w:space="0" w:color="auto"/>
              <w:right w:val="single" w:sz="4" w:space="0" w:color="auto"/>
            </w:tcBorders>
          </w:tcPr>
          <w:p w14:paraId="6C58E552"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25,950</w:t>
            </w:r>
          </w:p>
        </w:tc>
        <w:tc>
          <w:tcPr>
            <w:tcW w:w="2409" w:type="dxa"/>
            <w:tcBorders>
              <w:top w:val="single" w:sz="4" w:space="0" w:color="auto"/>
              <w:left w:val="single" w:sz="4" w:space="0" w:color="auto"/>
              <w:bottom w:val="single" w:sz="4" w:space="0" w:color="auto"/>
              <w:right w:val="single" w:sz="4" w:space="0" w:color="auto"/>
            </w:tcBorders>
          </w:tcPr>
          <w:p w14:paraId="29626E55"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1206,415</w:t>
            </w:r>
          </w:p>
        </w:tc>
        <w:tc>
          <w:tcPr>
            <w:tcW w:w="2552" w:type="dxa"/>
            <w:tcBorders>
              <w:top w:val="single" w:sz="4" w:space="0" w:color="auto"/>
              <w:left w:val="single" w:sz="4" w:space="0" w:color="auto"/>
              <w:bottom w:val="single" w:sz="4" w:space="0" w:color="auto"/>
              <w:right w:val="single" w:sz="4" w:space="0" w:color="auto"/>
            </w:tcBorders>
          </w:tcPr>
          <w:p w14:paraId="402F80E1"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-25,796</w:t>
            </w:r>
          </w:p>
        </w:tc>
        <w:tc>
          <w:tcPr>
            <w:tcW w:w="2410" w:type="dxa"/>
            <w:tcBorders>
              <w:top w:val="single" w:sz="4" w:space="0" w:color="auto"/>
              <w:left w:val="single" w:sz="4" w:space="0" w:color="auto"/>
              <w:bottom w:val="single" w:sz="4" w:space="0" w:color="auto"/>
              <w:right w:val="single" w:sz="4" w:space="0" w:color="auto"/>
            </w:tcBorders>
          </w:tcPr>
          <w:p w14:paraId="797014F2"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231,277</w:t>
            </w:r>
          </w:p>
        </w:tc>
      </w:tr>
      <w:tr w:rsidR="00847A57" w:rsidRPr="00847A57" w14:paraId="2837D790" w14:textId="77777777" w:rsidTr="006261DB">
        <w:trPr>
          <w:trHeight w:val="227"/>
        </w:trPr>
        <w:tc>
          <w:tcPr>
            <w:tcW w:w="1865" w:type="dxa"/>
            <w:tcBorders>
              <w:top w:val="single" w:sz="4" w:space="0" w:color="auto"/>
              <w:left w:val="single" w:sz="4" w:space="0" w:color="auto"/>
              <w:bottom w:val="single" w:sz="4" w:space="0" w:color="auto"/>
              <w:right w:val="single" w:sz="4" w:space="0" w:color="auto"/>
            </w:tcBorders>
          </w:tcPr>
          <w:p w14:paraId="4F993B3B"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Times New Roman" w:cs="Times New Roman"/>
                <w:sz w:val="18"/>
                <w:szCs w:val="18"/>
              </w:rPr>
              <w:t>S130330</w:t>
            </w:r>
          </w:p>
        </w:tc>
        <w:tc>
          <w:tcPr>
            <w:tcW w:w="2418" w:type="dxa"/>
            <w:tcBorders>
              <w:top w:val="single" w:sz="4" w:space="0" w:color="auto"/>
              <w:left w:val="single" w:sz="4" w:space="0" w:color="auto"/>
              <w:bottom w:val="single" w:sz="4" w:space="0" w:color="auto"/>
              <w:right w:val="single" w:sz="4" w:space="0" w:color="auto"/>
            </w:tcBorders>
          </w:tcPr>
          <w:p w14:paraId="44822C7C"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692,023</w:t>
            </w:r>
          </w:p>
        </w:tc>
        <w:tc>
          <w:tcPr>
            <w:tcW w:w="2410" w:type="dxa"/>
            <w:tcBorders>
              <w:top w:val="single" w:sz="4" w:space="0" w:color="auto"/>
              <w:left w:val="single" w:sz="4" w:space="0" w:color="auto"/>
              <w:bottom w:val="single" w:sz="4" w:space="0" w:color="auto"/>
              <w:right w:val="single" w:sz="4" w:space="0" w:color="auto"/>
            </w:tcBorders>
          </w:tcPr>
          <w:p w14:paraId="50F17A05"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17,444</w:t>
            </w:r>
          </w:p>
        </w:tc>
        <w:tc>
          <w:tcPr>
            <w:tcW w:w="2409" w:type="dxa"/>
            <w:tcBorders>
              <w:top w:val="single" w:sz="4" w:space="0" w:color="auto"/>
              <w:left w:val="single" w:sz="4" w:space="0" w:color="auto"/>
              <w:bottom w:val="single" w:sz="4" w:space="0" w:color="auto"/>
              <w:right w:val="single" w:sz="4" w:space="0" w:color="auto"/>
            </w:tcBorders>
          </w:tcPr>
          <w:p w14:paraId="5AE2FE03"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716,602</w:t>
            </w:r>
          </w:p>
        </w:tc>
        <w:tc>
          <w:tcPr>
            <w:tcW w:w="2552" w:type="dxa"/>
            <w:tcBorders>
              <w:top w:val="single" w:sz="4" w:space="0" w:color="auto"/>
              <w:left w:val="single" w:sz="4" w:space="0" w:color="auto"/>
              <w:bottom w:val="single" w:sz="4" w:space="0" w:color="auto"/>
              <w:right w:val="single" w:sz="4" w:space="0" w:color="auto"/>
            </w:tcBorders>
          </w:tcPr>
          <w:p w14:paraId="51379E04"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-24,579</w:t>
            </w:r>
          </w:p>
        </w:tc>
        <w:tc>
          <w:tcPr>
            <w:tcW w:w="2410" w:type="dxa"/>
            <w:tcBorders>
              <w:top w:val="single" w:sz="4" w:space="0" w:color="auto"/>
              <w:left w:val="single" w:sz="4" w:space="0" w:color="auto"/>
              <w:bottom w:val="single" w:sz="4" w:space="0" w:color="auto"/>
              <w:right w:val="single" w:sz="4" w:space="0" w:color="auto"/>
            </w:tcBorders>
          </w:tcPr>
          <w:p w14:paraId="5DB5F2FE" w14:textId="77777777" w:rsidR="00847A57" w:rsidRPr="00847A57" w:rsidRDefault="00847A57" w:rsidP="00847A57">
            <w:pPr>
              <w:autoSpaceDE w:val="0"/>
              <w:autoSpaceDN w:val="0"/>
              <w:adjustRightInd w:val="0"/>
              <w:spacing w:after="0"/>
              <w:ind w:firstLine="0"/>
              <w:jc w:val="right"/>
              <w:rPr>
                <w:rFonts w:eastAsia="Times New Roman" w:cs="Times New Roman"/>
                <w:color w:val="000000"/>
                <w:sz w:val="18"/>
                <w:szCs w:val="18"/>
              </w:rPr>
            </w:pPr>
            <w:r w:rsidRPr="00847A57">
              <w:rPr>
                <w:rFonts w:eastAsia="Calibri" w:cs="Times New Roman"/>
                <w:sz w:val="18"/>
                <w:szCs w:val="18"/>
                <w:lang w:eastAsia="en-US"/>
              </w:rPr>
              <w:t>322,106</w:t>
            </w:r>
          </w:p>
        </w:tc>
      </w:tr>
    </w:tbl>
    <w:p w14:paraId="01556843" w14:textId="77777777" w:rsidR="00847A57" w:rsidRPr="00847A57" w:rsidRDefault="00847A57" w:rsidP="00847A57">
      <w:pPr>
        <w:widowControl w:val="0"/>
        <w:spacing w:before="120"/>
        <w:ind w:firstLine="0"/>
        <w:rPr>
          <w:rFonts w:eastAsia="Times New Roman" w:cs="Times New Roman"/>
          <w:i/>
          <w:color w:val="000000"/>
          <w:sz w:val="20"/>
        </w:rPr>
      </w:pPr>
      <w:r w:rsidRPr="00847A57">
        <w:rPr>
          <w:rFonts w:eastAsia="Times New Roman" w:cs="Times New Roman"/>
          <w:i/>
          <w:color w:val="000000"/>
          <w:sz w:val="20"/>
        </w:rPr>
        <w:t>Datu avots: Centrālā statistikas pārvalde</w:t>
      </w:r>
    </w:p>
    <w:p w14:paraId="74F736A4" w14:textId="4AF8353A" w:rsidR="003A0BFD" w:rsidRPr="0038459F" w:rsidRDefault="005E41CA" w:rsidP="005E41CA">
      <w:pPr>
        <w:spacing w:after="0"/>
        <w:ind w:firstLine="0"/>
        <w:jc w:val="left"/>
        <w:rPr>
          <w:rFonts w:cs="Times New Roman"/>
          <w:sz w:val="20"/>
          <w:szCs w:val="20"/>
          <w:highlight w:val="lightGray"/>
        </w:rPr>
      </w:pPr>
      <w:r>
        <w:rPr>
          <w:rFonts w:cs="Times New Roman"/>
          <w:sz w:val="20"/>
          <w:szCs w:val="20"/>
          <w:highlight w:val="lightGray"/>
        </w:rPr>
        <w:br w:type="page"/>
      </w:r>
    </w:p>
    <w:p w14:paraId="21B38AEF" w14:textId="77777777" w:rsidR="00357E15" w:rsidRPr="005E41CA" w:rsidRDefault="00357E15" w:rsidP="00357E15">
      <w:pPr>
        <w:widowControl w:val="0"/>
        <w:jc w:val="right"/>
        <w:rPr>
          <w:rFonts w:eastAsia="Times New Roman" w:cs="Times New Roman"/>
          <w:color w:val="000000"/>
        </w:rPr>
      </w:pPr>
      <w:r w:rsidRPr="005E41CA">
        <w:rPr>
          <w:rFonts w:eastAsia="Times New Roman" w:cs="Times New Roman"/>
          <w:color w:val="000000"/>
        </w:rPr>
        <w:lastRenderedPageBreak/>
        <w:t>2. pielikums</w:t>
      </w:r>
    </w:p>
    <w:p w14:paraId="622A7C00" w14:textId="77777777" w:rsidR="005E41CA" w:rsidRPr="005E41CA" w:rsidRDefault="005E41CA" w:rsidP="005E41CA">
      <w:pPr>
        <w:widowControl w:val="0"/>
        <w:jc w:val="right"/>
        <w:rPr>
          <w:rFonts w:eastAsia="Times New Roman" w:cs="Times New Roman"/>
          <w:b/>
          <w:szCs w:val="24"/>
        </w:rPr>
      </w:pPr>
      <w:r w:rsidRPr="005E41CA">
        <w:rPr>
          <w:rFonts w:eastAsia="Times New Roman" w:cs="Times New Roman"/>
          <w:b/>
          <w:szCs w:val="24"/>
        </w:rPr>
        <w:t>Vispārējās valdības sektorā iekļauto kapitālsabiedrību prognozētā ietekme uz vispārējās valdības neto aizdevumiem vai aizņēmumiem (B.9) 2024., 2025. un 2026. gadā</w:t>
      </w:r>
    </w:p>
    <w:p w14:paraId="12E40935" w14:textId="77777777" w:rsidR="005E41CA" w:rsidRPr="005E41CA" w:rsidRDefault="005E41CA" w:rsidP="005E41CA">
      <w:pPr>
        <w:widowControl w:val="0"/>
        <w:spacing w:after="0"/>
        <w:jc w:val="right"/>
        <w:rPr>
          <w:rFonts w:eastAsia="Times New Roman" w:cs="Times New Roman"/>
          <w:i/>
          <w:sz w:val="20"/>
          <w:szCs w:val="24"/>
        </w:rPr>
      </w:pPr>
    </w:p>
    <w:tbl>
      <w:tblPr>
        <w:tblW w:w="14206" w:type="dxa"/>
        <w:tblLook w:val="04A0" w:firstRow="1" w:lastRow="0" w:firstColumn="1" w:lastColumn="0" w:noHBand="0" w:noVBand="1"/>
      </w:tblPr>
      <w:tblGrid>
        <w:gridCol w:w="1124"/>
        <w:gridCol w:w="6663"/>
        <w:gridCol w:w="2121"/>
        <w:gridCol w:w="2121"/>
        <w:gridCol w:w="2177"/>
      </w:tblGrid>
      <w:tr w:rsidR="005E41CA" w:rsidRPr="005E41CA" w14:paraId="6BAFFA13" w14:textId="77777777" w:rsidTr="006261DB">
        <w:trPr>
          <w:trHeight w:val="283"/>
          <w:tblHeader/>
        </w:trPr>
        <w:tc>
          <w:tcPr>
            <w:tcW w:w="14206" w:type="dxa"/>
            <w:gridSpan w:val="5"/>
            <w:tcBorders>
              <w:top w:val="single" w:sz="8" w:space="0" w:color="auto"/>
              <w:left w:val="single" w:sz="8" w:space="0" w:color="auto"/>
              <w:bottom w:val="single" w:sz="8" w:space="0" w:color="auto"/>
              <w:right w:val="single" w:sz="8" w:space="0" w:color="000000"/>
            </w:tcBorders>
            <w:shd w:val="clear" w:color="000000" w:fill="9BC2E6"/>
            <w:noWrap/>
            <w:vAlign w:val="center"/>
            <w:hideMark/>
          </w:tcPr>
          <w:p w14:paraId="5141FDBC" w14:textId="77777777" w:rsidR="005E41CA" w:rsidRPr="005E41CA" w:rsidRDefault="005E41CA" w:rsidP="005E41CA">
            <w:pPr>
              <w:spacing w:after="0"/>
              <w:ind w:firstLine="0"/>
              <w:jc w:val="center"/>
              <w:rPr>
                <w:rFonts w:eastAsia="Times New Roman" w:cs="Times New Roman"/>
                <w:b/>
                <w:bCs/>
                <w:color w:val="000000"/>
                <w:sz w:val="18"/>
                <w:szCs w:val="18"/>
              </w:rPr>
            </w:pPr>
            <w:r w:rsidRPr="005E41CA">
              <w:rPr>
                <w:rFonts w:eastAsia="Times New Roman" w:cs="Times New Roman"/>
                <w:b/>
                <w:bCs/>
                <w:color w:val="000000"/>
                <w:sz w:val="18"/>
                <w:szCs w:val="18"/>
              </w:rPr>
              <w:t>2024</w:t>
            </w:r>
          </w:p>
        </w:tc>
      </w:tr>
      <w:tr w:rsidR="005E41CA" w:rsidRPr="005E41CA" w14:paraId="75528037" w14:textId="77777777" w:rsidTr="006261DB">
        <w:trPr>
          <w:trHeight w:val="624"/>
          <w:tblHeader/>
        </w:trPr>
        <w:tc>
          <w:tcPr>
            <w:tcW w:w="1124" w:type="dxa"/>
            <w:tcBorders>
              <w:top w:val="nil"/>
              <w:left w:val="single" w:sz="8" w:space="0" w:color="auto"/>
              <w:bottom w:val="single" w:sz="8" w:space="0" w:color="auto"/>
              <w:right w:val="single" w:sz="8" w:space="0" w:color="auto"/>
            </w:tcBorders>
            <w:shd w:val="clear" w:color="000000" w:fill="BDD7EE"/>
            <w:noWrap/>
            <w:vAlign w:val="center"/>
            <w:hideMark/>
          </w:tcPr>
          <w:p w14:paraId="59199081" w14:textId="77777777" w:rsidR="005E41CA" w:rsidRPr="005E41CA" w:rsidRDefault="005E41CA" w:rsidP="005E41CA">
            <w:pPr>
              <w:spacing w:after="0"/>
              <w:ind w:firstLine="0"/>
              <w:jc w:val="left"/>
              <w:rPr>
                <w:rFonts w:eastAsia="Times New Roman" w:cs="Times New Roman"/>
                <w:color w:val="000000"/>
                <w:sz w:val="18"/>
                <w:szCs w:val="18"/>
              </w:rPr>
            </w:pPr>
            <w:proofErr w:type="spellStart"/>
            <w:r w:rsidRPr="005E41CA">
              <w:rPr>
                <w:rFonts w:eastAsia="Times New Roman" w:cs="Times New Roman"/>
                <w:color w:val="000000"/>
                <w:sz w:val="18"/>
                <w:szCs w:val="18"/>
              </w:rPr>
              <w:t>N.p.k</w:t>
            </w:r>
            <w:proofErr w:type="spellEnd"/>
            <w:r w:rsidRPr="005E41CA">
              <w:rPr>
                <w:rFonts w:eastAsia="Times New Roman" w:cs="Times New Roman"/>
                <w:color w:val="000000"/>
                <w:sz w:val="18"/>
                <w:szCs w:val="18"/>
              </w:rPr>
              <w:t>.</w:t>
            </w:r>
          </w:p>
        </w:tc>
        <w:tc>
          <w:tcPr>
            <w:tcW w:w="6663" w:type="dxa"/>
            <w:tcBorders>
              <w:top w:val="nil"/>
              <w:left w:val="nil"/>
              <w:bottom w:val="single" w:sz="8" w:space="0" w:color="auto"/>
              <w:right w:val="single" w:sz="8" w:space="0" w:color="auto"/>
            </w:tcBorders>
            <w:shd w:val="clear" w:color="000000" w:fill="BDD7EE"/>
            <w:noWrap/>
            <w:vAlign w:val="center"/>
            <w:hideMark/>
          </w:tcPr>
          <w:p w14:paraId="44C98A64"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BDD7EE"/>
            <w:vAlign w:val="center"/>
            <w:hideMark/>
          </w:tcPr>
          <w:p w14:paraId="02CEFCE4" w14:textId="77777777"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 xml:space="preserve">Ieņēmumi, </w:t>
            </w:r>
            <w:proofErr w:type="spellStart"/>
            <w:r w:rsidRPr="005E41CA">
              <w:rPr>
                <w:rFonts w:eastAsia="Times New Roman" w:cs="Times New Roman"/>
                <w:i/>
                <w:iCs/>
                <w:color w:val="000000"/>
                <w:sz w:val="18"/>
                <w:szCs w:val="18"/>
              </w:rPr>
              <w:t>euro</w:t>
            </w:r>
            <w:proofErr w:type="spellEnd"/>
          </w:p>
        </w:tc>
        <w:tc>
          <w:tcPr>
            <w:tcW w:w="2121" w:type="dxa"/>
            <w:tcBorders>
              <w:top w:val="nil"/>
              <w:left w:val="nil"/>
              <w:bottom w:val="single" w:sz="8" w:space="0" w:color="auto"/>
              <w:right w:val="single" w:sz="8" w:space="0" w:color="auto"/>
            </w:tcBorders>
            <w:shd w:val="clear" w:color="000000" w:fill="BDD7EE"/>
            <w:vAlign w:val="center"/>
            <w:hideMark/>
          </w:tcPr>
          <w:p w14:paraId="59C87325" w14:textId="77777777"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 xml:space="preserve">Izdevumi, </w:t>
            </w:r>
            <w:proofErr w:type="spellStart"/>
            <w:r w:rsidRPr="005E41CA">
              <w:rPr>
                <w:rFonts w:eastAsia="Times New Roman" w:cs="Times New Roman"/>
                <w:i/>
                <w:iCs/>
                <w:color w:val="000000"/>
                <w:sz w:val="18"/>
                <w:szCs w:val="18"/>
              </w:rPr>
              <w:t>euro</w:t>
            </w:r>
            <w:proofErr w:type="spellEnd"/>
          </w:p>
        </w:tc>
        <w:tc>
          <w:tcPr>
            <w:tcW w:w="2177" w:type="dxa"/>
            <w:tcBorders>
              <w:top w:val="nil"/>
              <w:left w:val="nil"/>
              <w:bottom w:val="single" w:sz="8" w:space="0" w:color="auto"/>
              <w:right w:val="single" w:sz="8" w:space="0" w:color="auto"/>
            </w:tcBorders>
            <w:shd w:val="clear" w:color="000000" w:fill="BDD7EE"/>
            <w:vAlign w:val="center"/>
            <w:hideMark/>
          </w:tcPr>
          <w:p w14:paraId="79F634BF" w14:textId="786F309F"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Ietekme uz B.9 neto aizdevumiem (+)/neto aizņēmumiem (-),</w:t>
            </w:r>
            <w:r>
              <w:rPr>
                <w:rFonts w:eastAsia="Times New Roman" w:cs="Times New Roman"/>
                <w:color w:val="000000"/>
                <w:sz w:val="18"/>
                <w:szCs w:val="18"/>
              </w:rPr>
              <w:t xml:space="preserve"> </w:t>
            </w:r>
            <w:proofErr w:type="spellStart"/>
            <w:r w:rsidRPr="005E41CA">
              <w:rPr>
                <w:rFonts w:eastAsia="Times New Roman" w:cs="Times New Roman"/>
                <w:i/>
                <w:iCs/>
                <w:color w:val="000000"/>
                <w:sz w:val="18"/>
                <w:szCs w:val="18"/>
              </w:rPr>
              <w:t>euro</w:t>
            </w:r>
            <w:proofErr w:type="spellEnd"/>
          </w:p>
        </w:tc>
      </w:tr>
      <w:tr w:rsidR="005E41CA" w:rsidRPr="005E41CA" w14:paraId="5553786D" w14:textId="77777777" w:rsidTr="006261DB">
        <w:trPr>
          <w:trHeight w:val="283"/>
        </w:trPr>
        <w:tc>
          <w:tcPr>
            <w:tcW w:w="1124" w:type="dxa"/>
            <w:tcBorders>
              <w:top w:val="nil"/>
              <w:left w:val="single" w:sz="8" w:space="0" w:color="auto"/>
              <w:bottom w:val="single" w:sz="8" w:space="0" w:color="auto"/>
              <w:right w:val="single" w:sz="8" w:space="0" w:color="auto"/>
            </w:tcBorders>
            <w:shd w:val="clear" w:color="000000" w:fill="DDEBF7"/>
            <w:noWrap/>
            <w:vAlign w:val="center"/>
            <w:hideMark/>
          </w:tcPr>
          <w:p w14:paraId="790DAF7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S130130</w:t>
            </w:r>
          </w:p>
        </w:tc>
        <w:tc>
          <w:tcPr>
            <w:tcW w:w="6663" w:type="dxa"/>
            <w:tcBorders>
              <w:top w:val="nil"/>
              <w:left w:val="nil"/>
              <w:bottom w:val="single" w:sz="8" w:space="0" w:color="auto"/>
              <w:right w:val="single" w:sz="8" w:space="0" w:color="auto"/>
            </w:tcBorders>
            <w:shd w:val="clear" w:color="000000" w:fill="DDEBF7"/>
            <w:noWrap/>
            <w:vAlign w:val="center"/>
            <w:hideMark/>
          </w:tcPr>
          <w:p w14:paraId="1D127C2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Valsts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6932602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4C9F8C8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1FDF51D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r>
      <w:tr w:rsidR="005E41CA" w:rsidRPr="005E41CA" w14:paraId="44AACABD"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7E3FC6D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w:t>
            </w:r>
          </w:p>
        </w:tc>
        <w:tc>
          <w:tcPr>
            <w:tcW w:w="6663" w:type="dxa"/>
            <w:tcBorders>
              <w:top w:val="nil"/>
              <w:left w:val="nil"/>
              <w:bottom w:val="single" w:sz="8" w:space="0" w:color="auto"/>
              <w:right w:val="single" w:sz="8" w:space="0" w:color="auto"/>
            </w:tcBorders>
            <w:shd w:val="clear" w:color="auto" w:fill="auto"/>
            <w:noWrap/>
            <w:hideMark/>
          </w:tcPr>
          <w:p w14:paraId="6FBBE664"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"Bērnu psihoneiroloģiskā slimnīca "Ainaži""</w:t>
            </w:r>
          </w:p>
        </w:tc>
        <w:tc>
          <w:tcPr>
            <w:tcW w:w="2121" w:type="dxa"/>
            <w:tcBorders>
              <w:top w:val="nil"/>
              <w:left w:val="nil"/>
              <w:bottom w:val="single" w:sz="8" w:space="0" w:color="auto"/>
              <w:right w:val="single" w:sz="8" w:space="0" w:color="auto"/>
            </w:tcBorders>
            <w:shd w:val="clear" w:color="auto" w:fill="auto"/>
            <w:noWrap/>
            <w:hideMark/>
          </w:tcPr>
          <w:p w14:paraId="168284D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2 036 157</w:t>
            </w:r>
          </w:p>
        </w:tc>
        <w:tc>
          <w:tcPr>
            <w:tcW w:w="2121" w:type="dxa"/>
            <w:tcBorders>
              <w:top w:val="nil"/>
              <w:left w:val="nil"/>
              <w:bottom w:val="single" w:sz="8" w:space="0" w:color="auto"/>
              <w:right w:val="single" w:sz="8" w:space="0" w:color="auto"/>
            </w:tcBorders>
            <w:shd w:val="clear" w:color="auto" w:fill="auto"/>
            <w:noWrap/>
            <w:hideMark/>
          </w:tcPr>
          <w:p w14:paraId="282EDEF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2 177 137</w:t>
            </w:r>
          </w:p>
        </w:tc>
        <w:tc>
          <w:tcPr>
            <w:tcW w:w="2177" w:type="dxa"/>
            <w:tcBorders>
              <w:top w:val="nil"/>
              <w:left w:val="nil"/>
              <w:bottom w:val="single" w:sz="8" w:space="0" w:color="auto"/>
              <w:right w:val="single" w:sz="8" w:space="0" w:color="auto"/>
            </w:tcBorders>
            <w:shd w:val="clear" w:color="auto" w:fill="auto"/>
            <w:noWrap/>
            <w:hideMark/>
          </w:tcPr>
          <w:p w14:paraId="292D29D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-140 980</w:t>
            </w:r>
          </w:p>
        </w:tc>
      </w:tr>
      <w:tr w:rsidR="005E41CA" w:rsidRPr="005E41CA" w14:paraId="4310EAC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7307FE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w:t>
            </w:r>
          </w:p>
        </w:tc>
        <w:tc>
          <w:tcPr>
            <w:tcW w:w="6663" w:type="dxa"/>
            <w:tcBorders>
              <w:top w:val="nil"/>
              <w:left w:val="nil"/>
              <w:bottom w:val="single" w:sz="8" w:space="0" w:color="auto"/>
              <w:right w:val="single" w:sz="8" w:space="0" w:color="auto"/>
            </w:tcBorders>
            <w:shd w:val="clear" w:color="auto" w:fill="auto"/>
            <w:noWrap/>
            <w:hideMark/>
          </w:tcPr>
          <w:p w14:paraId="4AA70F64"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Nodibinājums "Akadēmiskās informācijas centrs"</w:t>
            </w:r>
          </w:p>
        </w:tc>
        <w:tc>
          <w:tcPr>
            <w:tcW w:w="2121" w:type="dxa"/>
            <w:tcBorders>
              <w:top w:val="nil"/>
              <w:left w:val="nil"/>
              <w:bottom w:val="single" w:sz="8" w:space="0" w:color="auto"/>
              <w:right w:val="single" w:sz="8" w:space="0" w:color="auto"/>
            </w:tcBorders>
            <w:shd w:val="clear" w:color="auto" w:fill="auto"/>
            <w:noWrap/>
            <w:hideMark/>
          </w:tcPr>
          <w:p w14:paraId="060646B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241 000</w:t>
            </w:r>
          </w:p>
        </w:tc>
        <w:tc>
          <w:tcPr>
            <w:tcW w:w="2121" w:type="dxa"/>
            <w:tcBorders>
              <w:top w:val="nil"/>
              <w:left w:val="nil"/>
              <w:bottom w:val="single" w:sz="8" w:space="0" w:color="auto"/>
              <w:right w:val="single" w:sz="8" w:space="0" w:color="auto"/>
            </w:tcBorders>
            <w:shd w:val="clear" w:color="auto" w:fill="auto"/>
            <w:noWrap/>
            <w:hideMark/>
          </w:tcPr>
          <w:p w14:paraId="39D2EC9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1 914 191</w:t>
            </w:r>
          </w:p>
        </w:tc>
        <w:tc>
          <w:tcPr>
            <w:tcW w:w="2177" w:type="dxa"/>
            <w:tcBorders>
              <w:top w:val="nil"/>
              <w:left w:val="nil"/>
              <w:bottom w:val="single" w:sz="8" w:space="0" w:color="auto"/>
              <w:right w:val="single" w:sz="8" w:space="0" w:color="auto"/>
            </w:tcBorders>
            <w:shd w:val="clear" w:color="auto" w:fill="auto"/>
            <w:noWrap/>
            <w:hideMark/>
          </w:tcPr>
          <w:p w14:paraId="6BCA183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-1 673 191</w:t>
            </w:r>
          </w:p>
        </w:tc>
      </w:tr>
      <w:tr w:rsidR="005E41CA" w:rsidRPr="005E41CA" w14:paraId="22641E4C"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7B0A94B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w:t>
            </w:r>
          </w:p>
        </w:tc>
        <w:tc>
          <w:tcPr>
            <w:tcW w:w="6663" w:type="dxa"/>
            <w:tcBorders>
              <w:top w:val="nil"/>
              <w:left w:val="nil"/>
              <w:bottom w:val="single" w:sz="8" w:space="0" w:color="auto"/>
              <w:right w:val="single" w:sz="8" w:space="0" w:color="auto"/>
            </w:tcBorders>
            <w:shd w:val="clear" w:color="auto" w:fill="auto"/>
            <w:noWrap/>
            <w:hideMark/>
          </w:tcPr>
          <w:p w14:paraId="5FF785C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"Autotransporta direkcija"</w:t>
            </w:r>
          </w:p>
        </w:tc>
        <w:tc>
          <w:tcPr>
            <w:tcW w:w="2121" w:type="dxa"/>
            <w:tcBorders>
              <w:top w:val="nil"/>
              <w:left w:val="nil"/>
              <w:bottom w:val="single" w:sz="8" w:space="0" w:color="auto"/>
              <w:right w:val="single" w:sz="8" w:space="0" w:color="auto"/>
            </w:tcBorders>
            <w:shd w:val="clear" w:color="auto" w:fill="auto"/>
            <w:noWrap/>
            <w:hideMark/>
          </w:tcPr>
          <w:p w14:paraId="35D3C26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3 965 386</w:t>
            </w:r>
          </w:p>
        </w:tc>
        <w:tc>
          <w:tcPr>
            <w:tcW w:w="2121" w:type="dxa"/>
            <w:tcBorders>
              <w:top w:val="nil"/>
              <w:left w:val="nil"/>
              <w:bottom w:val="single" w:sz="8" w:space="0" w:color="auto"/>
              <w:right w:val="single" w:sz="8" w:space="0" w:color="auto"/>
            </w:tcBorders>
            <w:shd w:val="clear" w:color="auto" w:fill="auto"/>
            <w:noWrap/>
            <w:hideMark/>
          </w:tcPr>
          <w:p w14:paraId="17D5386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4 061 665</w:t>
            </w:r>
          </w:p>
        </w:tc>
        <w:tc>
          <w:tcPr>
            <w:tcW w:w="2177" w:type="dxa"/>
            <w:tcBorders>
              <w:top w:val="nil"/>
              <w:left w:val="nil"/>
              <w:bottom w:val="single" w:sz="8" w:space="0" w:color="auto"/>
              <w:right w:val="single" w:sz="8" w:space="0" w:color="auto"/>
            </w:tcBorders>
            <w:shd w:val="clear" w:color="auto" w:fill="auto"/>
            <w:noWrap/>
            <w:hideMark/>
          </w:tcPr>
          <w:p w14:paraId="69E21C4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-96 279</w:t>
            </w:r>
          </w:p>
        </w:tc>
      </w:tr>
      <w:tr w:rsidR="005E41CA" w:rsidRPr="005E41CA" w14:paraId="565989F6"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75EB142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w:t>
            </w:r>
          </w:p>
        </w:tc>
        <w:tc>
          <w:tcPr>
            <w:tcW w:w="6663" w:type="dxa"/>
            <w:tcBorders>
              <w:top w:val="nil"/>
              <w:left w:val="nil"/>
              <w:bottom w:val="single" w:sz="8" w:space="0" w:color="auto"/>
              <w:right w:val="single" w:sz="8" w:space="0" w:color="auto"/>
            </w:tcBorders>
            <w:shd w:val="clear" w:color="auto" w:fill="auto"/>
            <w:noWrap/>
            <w:hideMark/>
          </w:tcPr>
          <w:p w14:paraId="56715ED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xml:space="preserve">VSIA </w:t>
            </w:r>
            <w:r w:rsidRPr="005E41CA">
              <w:rPr>
                <w:rFonts w:eastAsia="Calibri" w:cs="Times New Roman"/>
                <w:sz w:val="18"/>
                <w:szCs w:val="18"/>
                <w:lang w:eastAsia="en-US"/>
              </w:rPr>
              <w:t>"</w:t>
            </w:r>
            <w:r w:rsidRPr="005E41CA">
              <w:rPr>
                <w:rFonts w:eastAsia="Times New Roman" w:cs="Times New Roman"/>
                <w:color w:val="000000"/>
                <w:sz w:val="18"/>
                <w:szCs w:val="18"/>
              </w:rPr>
              <w:t>Bērnu klīniskā universitātes slimnīca</w:t>
            </w:r>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564FE79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79 668 796</w:t>
            </w:r>
          </w:p>
        </w:tc>
        <w:tc>
          <w:tcPr>
            <w:tcW w:w="2121" w:type="dxa"/>
            <w:tcBorders>
              <w:top w:val="nil"/>
              <w:left w:val="nil"/>
              <w:bottom w:val="single" w:sz="8" w:space="0" w:color="auto"/>
              <w:right w:val="single" w:sz="8" w:space="0" w:color="auto"/>
            </w:tcBorders>
            <w:shd w:val="clear" w:color="auto" w:fill="auto"/>
            <w:noWrap/>
            <w:hideMark/>
          </w:tcPr>
          <w:p w14:paraId="52759B3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82 814 470</w:t>
            </w:r>
          </w:p>
        </w:tc>
        <w:tc>
          <w:tcPr>
            <w:tcW w:w="2177" w:type="dxa"/>
            <w:tcBorders>
              <w:top w:val="nil"/>
              <w:left w:val="nil"/>
              <w:bottom w:val="single" w:sz="8" w:space="0" w:color="auto"/>
              <w:right w:val="single" w:sz="8" w:space="0" w:color="auto"/>
            </w:tcBorders>
            <w:shd w:val="clear" w:color="auto" w:fill="auto"/>
            <w:noWrap/>
            <w:hideMark/>
          </w:tcPr>
          <w:p w14:paraId="04D0B91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-3 145 674</w:t>
            </w:r>
          </w:p>
        </w:tc>
      </w:tr>
      <w:tr w:rsidR="005E41CA" w:rsidRPr="005E41CA" w14:paraId="79458216"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40E7DB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w:t>
            </w:r>
          </w:p>
        </w:tc>
        <w:tc>
          <w:tcPr>
            <w:tcW w:w="6663" w:type="dxa"/>
            <w:tcBorders>
              <w:top w:val="nil"/>
              <w:left w:val="nil"/>
              <w:bottom w:val="single" w:sz="8" w:space="0" w:color="auto"/>
              <w:right w:val="single" w:sz="8" w:space="0" w:color="auto"/>
            </w:tcBorders>
            <w:shd w:val="clear" w:color="auto" w:fill="auto"/>
            <w:noWrap/>
            <w:hideMark/>
          </w:tcPr>
          <w:p w14:paraId="7AF94C5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xml:space="preserve">SIA </w:t>
            </w:r>
            <w:r w:rsidRPr="005E41CA">
              <w:rPr>
                <w:rFonts w:eastAsia="Calibri" w:cs="Times New Roman"/>
                <w:sz w:val="18"/>
                <w:szCs w:val="18"/>
                <w:lang w:eastAsia="en-US"/>
              </w:rPr>
              <w:t>"</w:t>
            </w:r>
            <w:r w:rsidRPr="005E41CA">
              <w:rPr>
                <w:rFonts w:eastAsia="Times New Roman" w:cs="Times New Roman"/>
                <w:color w:val="000000"/>
                <w:sz w:val="18"/>
                <w:szCs w:val="18"/>
              </w:rPr>
              <w:t>Veselības centrs "Biķernieki"</w:t>
            </w:r>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48F2794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3 160 948</w:t>
            </w:r>
          </w:p>
        </w:tc>
        <w:tc>
          <w:tcPr>
            <w:tcW w:w="2121" w:type="dxa"/>
            <w:tcBorders>
              <w:top w:val="nil"/>
              <w:left w:val="nil"/>
              <w:bottom w:val="single" w:sz="8" w:space="0" w:color="auto"/>
              <w:right w:val="single" w:sz="8" w:space="0" w:color="auto"/>
            </w:tcBorders>
            <w:shd w:val="clear" w:color="auto" w:fill="auto"/>
            <w:noWrap/>
            <w:hideMark/>
          </w:tcPr>
          <w:p w14:paraId="192454C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3 098 517</w:t>
            </w:r>
          </w:p>
        </w:tc>
        <w:tc>
          <w:tcPr>
            <w:tcW w:w="2177" w:type="dxa"/>
            <w:tcBorders>
              <w:top w:val="nil"/>
              <w:left w:val="nil"/>
              <w:bottom w:val="single" w:sz="8" w:space="0" w:color="auto"/>
              <w:right w:val="single" w:sz="8" w:space="0" w:color="auto"/>
            </w:tcBorders>
            <w:shd w:val="clear" w:color="auto" w:fill="auto"/>
            <w:noWrap/>
            <w:hideMark/>
          </w:tcPr>
          <w:p w14:paraId="21D4BC3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62 431</w:t>
            </w:r>
          </w:p>
        </w:tc>
      </w:tr>
      <w:tr w:rsidR="005E41CA" w:rsidRPr="005E41CA" w14:paraId="661BA52B"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7A9C8CB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w:t>
            </w:r>
          </w:p>
        </w:tc>
        <w:tc>
          <w:tcPr>
            <w:tcW w:w="6663" w:type="dxa"/>
            <w:tcBorders>
              <w:top w:val="nil"/>
              <w:left w:val="nil"/>
              <w:bottom w:val="single" w:sz="8" w:space="0" w:color="auto"/>
              <w:right w:val="single" w:sz="8" w:space="0" w:color="auto"/>
            </w:tcBorders>
            <w:shd w:val="clear" w:color="auto" w:fill="auto"/>
            <w:noWrap/>
            <w:hideMark/>
          </w:tcPr>
          <w:p w14:paraId="62CF12B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 xml:space="preserve">VSIA </w:t>
            </w:r>
            <w:r w:rsidRPr="005E41CA">
              <w:rPr>
                <w:rFonts w:eastAsia="Times New Roman" w:cs="Times New Roman"/>
                <w:color w:val="000000"/>
                <w:sz w:val="18"/>
                <w:szCs w:val="18"/>
              </w:rPr>
              <w:t>"</w:t>
            </w:r>
            <w:r w:rsidRPr="005E41CA">
              <w:rPr>
                <w:rFonts w:eastAsia="Calibri" w:cs="Times New Roman"/>
                <w:sz w:val="18"/>
                <w:szCs w:val="18"/>
                <w:lang w:eastAsia="en-US"/>
              </w:rPr>
              <w:t>Bulduru Dārzkopības vidusskola</w:t>
            </w:r>
            <w:r w:rsidRPr="005E41CA">
              <w:rPr>
                <w:rFonts w:eastAsia="Times New Roman" w:cs="Times New Roman"/>
                <w:color w:val="000000"/>
                <w:sz w:val="18"/>
                <w:szCs w:val="18"/>
              </w:rPr>
              <w:t>"</w:t>
            </w:r>
          </w:p>
        </w:tc>
        <w:tc>
          <w:tcPr>
            <w:tcW w:w="2121" w:type="dxa"/>
            <w:tcBorders>
              <w:top w:val="nil"/>
              <w:left w:val="nil"/>
              <w:bottom w:val="single" w:sz="8" w:space="0" w:color="auto"/>
              <w:right w:val="single" w:sz="8" w:space="0" w:color="auto"/>
            </w:tcBorders>
            <w:shd w:val="clear" w:color="auto" w:fill="auto"/>
            <w:noWrap/>
            <w:hideMark/>
          </w:tcPr>
          <w:p w14:paraId="3D0E907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835 000</w:t>
            </w:r>
          </w:p>
        </w:tc>
        <w:tc>
          <w:tcPr>
            <w:tcW w:w="2121" w:type="dxa"/>
            <w:tcBorders>
              <w:top w:val="nil"/>
              <w:left w:val="nil"/>
              <w:bottom w:val="single" w:sz="8" w:space="0" w:color="auto"/>
              <w:right w:val="single" w:sz="8" w:space="0" w:color="auto"/>
            </w:tcBorders>
            <w:shd w:val="clear" w:color="auto" w:fill="auto"/>
            <w:noWrap/>
            <w:hideMark/>
          </w:tcPr>
          <w:p w14:paraId="72C7DFD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955 925</w:t>
            </w:r>
          </w:p>
        </w:tc>
        <w:tc>
          <w:tcPr>
            <w:tcW w:w="2177" w:type="dxa"/>
            <w:tcBorders>
              <w:top w:val="nil"/>
              <w:left w:val="nil"/>
              <w:bottom w:val="single" w:sz="8" w:space="0" w:color="auto"/>
              <w:right w:val="single" w:sz="8" w:space="0" w:color="auto"/>
            </w:tcBorders>
            <w:shd w:val="clear" w:color="auto" w:fill="auto"/>
            <w:noWrap/>
            <w:hideMark/>
          </w:tcPr>
          <w:p w14:paraId="78E436E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-120 925</w:t>
            </w:r>
          </w:p>
        </w:tc>
      </w:tr>
      <w:tr w:rsidR="005E41CA" w:rsidRPr="005E41CA" w14:paraId="0FA299E7"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D9C4DB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w:t>
            </w:r>
          </w:p>
        </w:tc>
        <w:tc>
          <w:tcPr>
            <w:tcW w:w="6663" w:type="dxa"/>
            <w:tcBorders>
              <w:top w:val="nil"/>
              <w:left w:val="nil"/>
              <w:bottom w:val="single" w:sz="8" w:space="0" w:color="auto"/>
              <w:right w:val="single" w:sz="8" w:space="0" w:color="auto"/>
            </w:tcBorders>
            <w:shd w:val="clear" w:color="auto" w:fill="auto"/>
            <w:noWrap/>
            <w:hideMark/>
          </w:tcPr>
          <w:p w14:paraId="005D6EC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VAS "Ceļu satiksmes drošības direkcija"</w:t>
            </w:r>
          </w:p>
        </w:tc>
        <w:tc>
          <w:tcPr>
            <w:tcW w:w="2121" w:type="dxa"/>
            <w:tcBorders>
              <w:top w:val="nil"/>
              <w:left w:val="nil"/>
              <w:bottom w:val="single" w:sz="8" w:space="0" w:color="auto"/>
              <w:right w:val="single" w:sz="8" w:space="0" w:color="auto"/>
            </w:tcBorders>
            <w:shd w:val="clear" w:color="auto" w:fill="auto"/>
            <w:noWrap/>
            <w:hideMark/>
          </w:tcPr>
          <w:p w14:paraId="1B70466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60 095 407</w:t>
            </w:r>
          </w:p>
        </w:tc>
        <w:tc>
          <w:tcPr>
            <w:tcW w:w="2121" w:type="dxa"/>
            <w:tcBorders>
              <w:top w:val="nil"/>
              <w:left w:val="nil"/>
              <w:bottom w:val="single" w:sz="8" w:space="0" w:color="auto"/>
              <w:right w:val="single" w:sz="8" w:space="0" w:color="auto"/>
            </w:tcBorders>
            <w:shd w:val="clear" w:color="auto" w:fill="auto"/>
            <w:noWrap/>
            <w:hideMark/>
          </w:tcPr>
          <w:p w14:paraId="3D48A88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57 060 029</w:t>
            </w:r>
          </w:p>
        </w:tc>
        <w:tc>
          <w:tcPr>
            <w:tcW w:w="2177" w:type="dxa"/>
            <w:tcBorders>
              <w:top w:val="nil"/>
              <w:left w:val="nil"/>
              <w:bottom w:val="single" w:sz="8" w:space="0" w:color="auto"/>
              <w:right w:val="single" w:sz="8" w:space="0" w:color="auto"/>
            </w:tcBorders>
            <w:shd w:val="clear" w:color="auto" w:fill="auto"/>
            <w:noWrap/>
            <w:hideMark/>
          </w:tcPr>
          <w:p w14:paraId="2776B24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3 035 378</w:t>
            </w:r>
          </w:p>
        </w:tc>
      </w:tr>
      <w:tr w:rsidR="005E41CA" w:rsidRPr="005E41CA" w14:paraId="49823CE9"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BF6DE4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8</w:t>
            </w:r>
          </w:p>
        </w:tc>
        <w:tc>
          <w:tcPr>
            <w:tcW w:w="6663" w:type="dxa"/>
            <w:tcBorders>
              <w:top w:val="nil"/>
              <w:left w:val="nil"/>
              <w:bottom w:val="single" w:sz="8" w:space="0" w:color="auto"/>
              <w:right w:val="single" w:sz="8" w:space="0" w:color="auto"/>
            </w:tcBorders>
            <w:shd w:val="clear" w:color="auto" w:fill="auto"/>
            <w:noWrap/>
            <w:hideMark/>
          </w:tcPr>
          <w:p w14:paraId="78BB1054"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"Daugavpils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3B6E572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23 820 000</w:t>
            </w:r>
          </w:p>
        </w:tc>
        <w:tc>
          <w:tcPr>
            <w:tcW w:w="2121" w:type="dxa"/>
            <w:tcBorders>
              <w:top w:val="nil"/>
              <w:left w:val="nil"/>
              <w:bottom w:val="single" w:sz="8" w:space="0" w:color="auto"/>
              <w:right w:val="single" w:sz="8" w:space="0" w:color="auto"/>
            </w:tcBorders>
            <w:shd w:val="clear" w:color="auto" w:fill="auto"/>
            <w:noWrap/>
            <w:hideMark/>
          </w:tcPr>
          <w:p w14:paraId="13118D7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25 029 530</w:t>
            </w:r>
          </w:p>
        </w:tc>
        <w:tc>
          <w:tcPr>
            <w:tcW w:w="2177" w:type="dxa"/>
            <w:tcBorders>
              <w:top w:val="nil"/>
              <w:left w:val="nil"/>
              <w:bottom w:val="single" w:sz="8" w:space="0" w:color="auto"/>
              <w:right w:val="single" w:sz="8" w:space="0" w:color="auto"/>
            </w:tcBorders>
            <w:shd w:val="clear" w:color="auto" w:fill="auto"/>
            <w:noWrap/>
            <w:hideMark/>
          </w:tcPr>
          <w:p w14:paraId="236DE1F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-1 209 530</w:t>
            </w:r>
          </w:p>
        </w:tc>
      </w:tr>
      <w:tr w:rsidR="005E41CA" w:rsidRPr="005E41CA" w14:paraId="21B55F4E"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2467865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9</w:t>
            </w:r>
          </w:p>
        </w:tc>
        <w:tc>
          <w:tcPr>
            <w:tcW w:w="6663" w:type="dxa"/>
            <w:tcBorders>
              <w:top w:val="nil"/>
              <w:left w:val="nil"/>
              <w:bottom w:val="single" w:sz="8" w:space="0" w:color="auto"/>
              <w:right w:val="single" w:sz="8" w:space="0" w:color="auto"/>
            </w:tcBorders>
            <w:shd w:val="clear" w:color="auto" w:fill="auto"/>
            <w:noWrap/>
            <w:hideMark/>
          </w:tcPr>
          <w:p w14:paraId="329AA82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"Daugavpils teātris"</w:t>
            </w:r>
          </w:p>
        </w:tc>
        <w:tc>
          <w:tcPr>
            <w:tcW w:w="2121" w:type="dxa"/>
            <w:tcBorders>
              <w:top w:val="nil"/>
              <w:left w:val="nil"/>
              <w:bottom w:val="single" w:sz="8" w:space="0" w:color="auto"/>
              <w:right w:val="single" w:sz="8" w:space="0" w:color="auto"/>
            </w:tcBorders>
            <w:shd w:val="clear" w:color="auto" w:fill="auto"/>
            <w:noWrap/>
            <w:hideMark/>
          </w:tcPr>
          <w:p w14:paraId="7232B2F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2 119 665</w:t>
            </w:r>
          </w:p>
        </w:tc>
        <w:tc>
          <w:tcPr>
            <w:tcW w:w="2121" w:type="dxa"/>
            <w:tcBorders>
              <w:top w:val="nil"/>
              <w:left w:val="nil"/>
              <w:bottom w:val="single" w:sz="8" w:space="0" w:color="auto"/>
              <w:right w:val="single" w:sz="8" w:space="0" w:color="auto"/>
            </w:tcBorders>
            <w:shd w:val="clear" w:color="auto" w:fill="auto"/>
            <w:noWrap/>
            <w:hideMark/>
          </w:tcPr>
          <w:p w14:paraId="1E09A2A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2 151 344</w:t>
            </w:r>
          </w:p>
        </w:tc>
        <w:tc>
          <w:tcPr>
            <w:tcW w:w="2177" w:type="dxa"/>
            <w:tcBorders>
              <w:top w:val="nil"/>
              <w:left w:val="nil"/>
              <w:bottom w:val="single" w:sz="8" w:space="0" w:color="auto"/>
              <w:right w:val="single" w:sz="8" w:space="0" w:color="auto"/>
            </w:tcBorders>
            <w:shd w:val="clear" w:color="auto" w:fill="auto"/>
            <w:noWrap/>
            <w:hideMark/>
          </w:tcPr>
          <w:p w14:paraId="72B1953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-31 679</w:t>
            </w:r>
          </w:p>
        </w:tc>
      </w:tr>
      <w:tr w:rsidR="005E41CA" w:rsidRPr="005E41CA" w14:paraId="2994345E"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615F96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10</w:t>
            </w:r>
          </w:p>
        </w:tc>
        <w:tc>
          <w:tcPr>
            <w:tcW w:w="6663" w:type="dxa"/>
            <w:tcBorders>
              <w:top w:val="nil"/>
              <w:left w:val="nil"/>
              <w:bottom w:val="single" w:sz="8" w:space="0" w:color="auto"/>
              <w:right w:val="single" w:sz="8" w:space="0" w:color="auto"/>
            </w:tcBorders>
            <w:shd w:val="clear" w:color="auto" w:fill="auto"/>
            <w:noWrap/>
            <w:hideMark/>
          </w:tcPr>
          <w:p w14:paraId="540D6B2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"Enerģijas publiskais tirgotājs"</w:t>
            </w:r>
          </w:p>
        </w:tc>
        <w:tc>
          <w:tcPr>
            <w:tcW w:w="2121" w:type="dxa"/>
            <w:tcBorders>
              <w:top w:val="nil"/>
              <w:left w:val="nil"/>
              <w:bottom w:val="single" w:sz="8" w:space="0" w:color="auto"/>
              <w:right w:val="single" w:sz="8" w:space="0" w:color="auto"/>
            </w:tcBorders>
            <w:shd w:val="clear" w:color="auto" w:fill="auto"/>
            <w:noWrap/>
            <w:hideMark/>
          </w:tcPr>
          <w:p w14:paraId="21D4EB13" w14:textId="74595FB7" w:rsidR="005E41CA" w:rsidRPr="005E41CA" w:rsidRDefault="001E599B" w:rsidP="005E41CA">
            <w:pPr>
              <w:spacing w:after="0"/>
              <w:ind w:firstLine="0"/>
              <w:jc w:val="right"/>
              <w:rPr>
                <w:rFonts w:eastAsia="Times New Roman" w:cs="Times New Roman"/>
                <w:color w:val="000000"/>
                <w:sz w:val="18"/>
                <w:szCs w:val="18"/>
              </w:rPr>
            </w:pPr>
            <w:r>
              <w:rPr>
                <w:rFonts w:eastAsia="Times New Roman" w:cs="Times New Roman"/>
                <w:color w:val="000000"/>
                <w:sz w:val="18"/>
                <w:szCs w:val="18"/>
              </w:rPr>
              <w:t>54 206 019</w:t>
            </w:r>
          </w:p>
        </w:tc>
        <w:tc>
          <w:tcPr>
            <w:tcW w:w="2121" w:type="dxa"/>
            <w:tcBorders>
              <w:top w:val="nil"/>
              <w:left w:val="nil"/>
              <w:bottom w:val="single" w:sz="8" w:space="0" w:color="auto"/>
              <w:right w:val="single" w:sz="8" w:space="0" w:color="auto"/>
            </w:tcBorders>
            <w:shd w:val="clear" w:color="auto" w:fill="auto"/>
            <w:noWrap/>
            <w:hideMark/>
          </w:tcPr>
          <w:p w14:paraId="004AEFF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71 335 183</w:t>
            </w:r>
          </w:p>
        </w:tc>
        <w:tc>
          <w:tcPr>
            <w:tcW w:w="2177" w:type="dxa"/>
            <w:tcBorders>
              <w:top w:val="nil"/>
              <w:left w:val="nil"/>
              <w:bottom w:val="single" w:sz="8" w:space="0" w:color="auto"/>
              <w:right w:val="single" w:sz="8" w:space="0" w:color="auto"/>
            </w:tcBorders>
            <w:shd w:val="clear" w:color="auto" w:fill="auto"/>
            <w:noWrap/>
            <w:hideMark/>
          </w:tcPr>
          <w:p w14:paraId="55E41205" w14:textId="26F5580E"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w:t>
            </w:r>
            <w:r w:rsidR="001E599B">
              <w:rPr>
                <w:rFonts w:eastAsia="Calibri" w:cs="Times New Roman"/>
                <w:sz w:val="18"/>
                <w:szCs w:val="18"/>
                <w:lang w:eastAsia="en-US"/>
              </w:rPr>
              <w:t>17 129 164</w:t>
            </w:r>
          </w:p>
        </w:tc>
      </w:tr>
      <w:tr w:rsidR="005E41CA" w:rsidRPr="005E41CA" w14:paraId="02509436"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5A9C74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11</w:t>
            </w:r>
          </w:p>
        </w:tc>
        <w:tc>
          <w:tcPr>
            <w:tcW w:w="6663" w:type="dxa"/>
            <w:tcBorders>
              <w:top w:val="nil"/>
              <w:left w:val="nil"/>
              <w:bottom w:val="single" w:sz="8" w:space="0" w:color="auto"/>
              <w:right w:val="single" w:sz="8" w:space="0" w:color="auto"/>
            </w:tcBorders>
            <w:shd w:val="clear" w:color="auto" w:fill="auto"/>
            <w:noWrap/>
            <w:hideMark/>
          </w:tcPr>
          <w:p w14:paraId="4D4DB89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FeLM</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39AE761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74F5C51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1396268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36E2DC63"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852919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12</w:t>
            </w:r>
          </w:p>
        </w:tc>
        <w:tc>
          <w:tcPr>
            <w:tcW w:w="6663" w:type="dxa"/>
            <w:tcBorders>
              <w:top w:val="nil"/>
              <w:left w:val="nil"/>
              <w:bottom w:val="single" w:sz="8" w:space="0" w:color="auto"/>
              <w:right w:val="single" w:sz="8" w:space="0" w:color="auto"/>
            </w:tcBorders>
            <w:shd w:val="clear" w:color="auto" w:fill="auto"/>
            <w:noWrap/>
            <w:hideMark/>
          </w:tcPr>
          <w:p w14:paraId="42A7392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"Slimnīca "</w:t>
            </w:r>
            <w:proofErr w:type="spellStart"/>
            <w:r w:rsidRPr="005E41CA">
              <w:rPr>
                <w:rFonts w:eastAsia="Calibri" w:cs="Times New Roman"/>
                <w:sz w:val="18"/>
                <w:szCs w:val="18"/>
                <w:lang w:eastAsia="en-US"/>
              </w:rPr>
              <w:t>Ģintermuiža</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24475C1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12 301 909</w:t>
            </w:r>
          </w:p>
        </w:tc>
        <w:tc>
          <w:tcPr>
            <w:tcW w:w="2121" w:type="dxa"/>
            <w:tcBorders>
              <w:top w:val="nil"/>
              <w:left w:val="nil"/>
              <w:bottom w:val="single" w:sz="8" w:space="0" w:color="auto"/>
              <w:right w:val="single" w:sz="8" w:space="0" w:color="auto"/>
            </w:tcBorders>
            <w:shd w:val="clear" w:color="auto" w:fill="auto"/>
            <w:noWrap/>
            <w:hideMark/>
          </w:tcPr>
          <w:p w14:paraId="60A5960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12 660 209</w:t>
            </w:r>
          </w:p>
        </w:tc>
        <w:tc>
          <w:tcPr>
            <w:tcW w:w="2177" w:type="dxa"/>
            <w:tcBorders>
              <w:top w:val="nil"/>
              <w:left w:val="nil"/>
              <w:bottom w:val="single" w:sz="8" w:space="0" w:color="auto"/>
              <w:right w:val="single" w:sz="8" w:space="0" w:color="auto"/>
            </w:tcBorders>
            <w:shd w:val="clear" w:color="auto" w:fill="auto"/>
            <w:noWrap/>
            <w:hideMark/>
          </w:tcPr>
          <w:p w14:paraId="4B7A88E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-358 300</w:t>
            </w:r>
          </w:p>
        </w:tc>
      </w:tr>
      <w:tr w:rsidR="005E41CA" w:rsidRPr="005E41CA" w14:paraId="12ECBB3E"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82D8CF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13</w:t>
            </w:r>
          </w:p>
        </w:tc>
        <w:tc>
          <w:tcPr>
            <w:tcW w:w="6663" w:type="dxa"/>
            <w:tcBorders>
              <w:top w:val="nil"/>
              <w:left w:val="nil"/>
              <w:bottom w:val="single" w:sz="8" w:space="0" w:color="auto"/>
              <w:right w:val="single" w:sz="8" w:space="0" w:color="auto"/>
            </w:tcBorders>
            <w:shd w:val="clear" w:color="auto" w:fill="auto"/>
            <w:hideMark/>
          </w:tcPr>
          <w:p w14:paraId="4685D91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w:t>
            </w:r>
            <w:proofErr w:type="spellStart"/>
            <w:r w:rsidRPr="005E41CA">
              <w:rPr>
                <w:rFonts w:eastAsia="Calibri" w:cs="Times New Roman"/>
                <w:sz w:val="18"/>
                <w:szCs w:val="18"/>
                <w:lang w:eastAsia="en-US"/>
              </w:rPr>
              <w:t>Iekšlietu</w:t>
            </w:r>
            <w:proofErr w:type="spellEnd"/>
            <w:r w:rsidRPr="005E41CA">
              <w:rPr>
                <w:rFonts w:eastAsia="Calibri" w:cs="Times New Roman"/>
                <w:sz w:val="18"/>
                <w:szCs w:val="18"/>
                <w:lang w:eastAsia="en-US"/>
              </w:rPr>
              <w:t xml:space="preserve"> ministrijas poliklīnika"</w:t>
            </w:r>
          </w:p>
        </w:tc>
        <w:tc>
          <w:tcPr>
            <w:tcW w:w="2121" w:type="dxa"/>
            <w:tcBorders>
              <w:top w:val="nil"/>
              <w:left w:val="nil"/>
              <w:bottom w:val="single" w:sz="8" w:space="0" w:color="auto"/>
              <w:right w:val="single" w:sz="8" w:space="0" w:color="auto"/>
            </w:tcBorders>
            <w:shd w:val="clear" w:color="auto" w:fill="auto"/>
            <w:noWrap/>
            <w:hideMark/>
          </w:tcPr>
          <w:p w14:paraId="17E7114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2 963 250</w:t>
            </w:r>
          </w:p>
        </w:tc>
        <w:tc>
          <w:tcPr>
            <w:tcW w:w="2121" w:type="dxa"/>
            <w:tcBorders>
              <w:top w:val="nil"/>
              <w:left w:val="nil"/>
              <w:bottom w:val="single" w:sz="8" w:space="0" w:color="auto"/>
              <w:right w:val="single" w:sz="8" w:space="0" w:color="auto"/>
            </w:tcBorders>
            <w:shd w:val="clear" w:color="auto" w:fill="auto"/>
            <w:noWrap/>
            <w:hideMark/>
          </w:tcPr>
          <w:p w14:paraId="168E2E7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2 941 460</w:t>
            </w:r>
          </w:p>
        </w:tc>
        <w:tc>
          <w:tcPr>
            <w:tcW w:w="2177" w:type="dxa"/>
            <w:tcBorders>
              <w:top w:val="nil"/>
              <w:left w:val="nil"/>
              <w:bottom w:val="single" w:sz="8" w:space="0" w:color="auto"/>
              <w:right w:val="single" w:sz="8" w:space="0" w:color="auto"/>
            </w:tcBorders>
            <w:shd w:val="clear" w:color="auto" w:fill="auto"/>
            <w:noWrap/>
            <w:hideMark/>
          </w:tcPr>
          <w:p w14:paraId="6799D0D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21 790</w:t>
            </w:r>
          </w:p>
        </w:tc>
      </w:tr>
      <w:tr w:rsidR="005E41CA" w:rsidRPr="005E41CA" w14:paraId="3CC3744F"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1ED800C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14</w:t>
            </w:r>
          </w:p>
        </w:tc>
        <w:tc>
          <w:tcPr>
            <w:tcW w:w="6663" w:type="dxa"/>
            <w:tcBorders>
              <w:top w:val="nil"/>
              <w:left w:val="nil"/>
              <w:bottom w:val="single" w:sz="8" w:space="0" w:color="auto"/>
              <w:right w:val="single" w:sz="8" w:space="0" w:color="auto"/>
            </w:tcBorders>
            <w:shd w:val="clear" w:color="auto" w:fill="auto"/>
            <w:hideMark/>
          </w:tcPr>
          <w:p w14:paraId="5FA2C88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w:t>
            </w:r>
            <w:proofErr w:type="spellStart"/>
            <w:r w:rsidRPr="005E41CA">
              <w:rPr>
                <w:rFonts w:eastAsia="Calibri" w:cs="Times New Roman"/>
                <w:sz w:val="18"/>
                <w:szCs w:val="18"/>
                <w:lang w:eastAsia="en-US"/>
              </w:rPr>
              <w:t>LatRailNet</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02F3D50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1 467 000</w:t>
            </w:r>
          </w:p>
        </w:tc>
        <w:tc>
          <w:tcPr>
            <w:tcW w:w="2121" w:type="dxa"/>
            <w:tcBorders>
              <w:top w:val="nil"/>
              <w:left w:val="nil"/>
              <w:bottom w:val="single" w:sz="8" w:space="0" w:color="auto"/>
              <w:right w:val="single" w:sz="8" w:space="0" w:color="auto"/>
            </w:tcBorders>
            <w:shd w:val="clear" w:color="auto" w:fill="auto"/>
            <w:noWrap/>
            <w:hideMark/>
          </w:tcPr>
          <w:p w14:paraId="5F3F922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1 467 000</w:t>
            </w:r>
          </w:p>
        </w:tc>
        <w:tc>
          <w:tcPr>
            <w:tcW w:w="2177" w:type="dxa"/>
            <w:tcBorders>
              <w:top w:val="nil"/>
              <w:left w:val="nil"/>
              <w:bottom w:val="single" w:sz="8" w:space="0" w:color="auto"/>
              <w:right w:val="single" w:sz="8" w:space="0" w:color="auto"/>
            </w:tcBorders>
            <w:shd w:val="clear" w:color="auto" w:fill="auto"/>
            <w:noWrap/>
            <w:hideMark/>
          </w:tcPr>
          <w:p w14:paraId="24D5E51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24DA3F67"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151CE5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15</w:t>
            </w:r>
          </w:p>
        </w:tc>
        <w:tc>
          <w:tcPr>
            <w:tcW w:w="6663" w:type="dxa"/>
            <w:tcBorders>
              <w:top w:val="nil"/>
              <w:left w:val="nil"/>
              <w:bottom w:val="single" w:sz="8" w:space="0" w:color="auto"/>
              <w:right w:val="single" w:sz="8" w:space="0" w:color="auto"/>
            </w:tcBorders>
            <w:shd w:val="clear" w:color="auto" w:fill="auto"/>
            <w:noWrap/>
            <w:hideMark/>
          </w:tcPr>
          <w:p w14:paraId="2A64EE8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"Valsts Akadēmiskais koris "Latvija""</w:t>
            </w:r>
          </w:p>
        </w:tc>
        <w:tc>
          <w:tcPr>
            <w:tcW w:w="2121" w:type="dxa"/>
            <w:tcBorders>
              <w:top w:val="nil"/>
              <w:left w:val="nil"/>
              <w:bottom w:val="single" w:sz="8" w:space="0" w:color="auto"/>
              <w:right w:val="single" w:sz="8" w:space="0" w:color="auto"/>
            </w:tcBorders>
            <w:shd w:val="clear" w:color="auto" w:fill="auto"/>
            <w:noWrap/>
            <w:hideMark/>
          </w:tcPr>
          <w:p w14:paraId="7D1FFA4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115 000</w:t>
            </w:r>
          </w:p>
        </w:tc>
        <w:tc>
          <w:tcPr>
            <w:tcW w:w="2121" w:type="dxa"/>
            <w:tcBorders>
              <w:top w:val="nil"/>
              <w:left w:val="nil"/>
              <w:bottom w:val="single" w:sz="8" w:space="0" w:color="auto"/>
              <w:right w:val="single" w:sz="8" w:space="0" w:color="auto"/>
            </w:tcBorders>
            <w:shd w:val="clear" w:color="auto" w:fill="auto"/>
            <w:noWrap/>
            <w:hideMark/>
          </w:tcPr>
          <w:p w14:paraId="4ED2317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113 000</w:t>
            </w:r>
          </w:p>
        </w:tc>
        <w:tc>
          <w:tcPr>
            <w:tcW w:w="2177" w:type="dxa"/>
            <w:tcBorders>
              <w:top w:val="nil"/>
              <w:left w:val="nil"/>
              <w:bottom w:val="single" w:sz="8" w:space="0" w:color="auto"/>
              <w:right w:val="single" w:sz="8" w:space="0" w:color="auto"/>
            </w:tcBorders>
            <w:shd w:val="clear" w:color="auto" w:fill="auto"/>
            <w:noWrap/>
            <w:hideMark/>
          </w:tcPr>
          <w:p w14:paraId="70C085C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2 000</w:t>
            </w:r>
          </w:p>
        </w:tc>
      </w:tr>
      <w:tr w:rsidR="005E41CA" w:rsidRPr="005E41CA" w14:paraId="08F9B8E4"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3BF06C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16</w:t>
            </w:r>
          </w:p>
        </w:tc>
        <w:tc>
          <w:tcPr>
            <w:tcW w:w="6663" w:type="dxa"/>
            <w:tcBorders>
              <w:top w:val="nil"/>
              <w:left w:val="nil"/>
              <w:bottom w:val="single" w:sz="8" w:space="0" w:color="auto"/>
              <w:right w:val="single" w:sz="8" w:space="0" w:color="auto"/>
            </w:tcBorders>
            <w:shd w:val="clear" w:color="auto" w:fill="auto"/>
            <w:noWrap/>
            <w:hideMark/>
          </w:tcPr>
          <w:p w14:paraId="3274725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 xml:space="preserve">VAS "Latvijas Attīstības finanšu institūcija </w:t>
            </w:r>
            <w:proofErr w:type="spellStart"/>
            <w:r w:rsidRPr="005E41CA">
              <w:rPr>
                <w:rFonts w:eastAsia="Calibri" w:cs="Times New Roman"/>
                <w:sz w:val="18"/>
                <w:szCs w:val="18"/>
                <w:lang w:eastAsia="en-US"/>
              </w:rPr>
              <w:t>Altum</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3852355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35 019 644</w:t>
            </w:r>
          </w:p>
        </w:tc>
        <w:tc>
          <w:tcPr>
            <w:tcW w:w="2121" w:type="dxa"/>
            <w:tcBorders>
              <w:top w:val="nil"/>
              <w:left w:val="nil"/>
              <w:bottom w:val="single" w:sz="8" w:space="0" w:color="auto"/>
              <w:right w:val="single" w:sz="8" w:space="0" w:color="auto"/>
            </w:tcBorders>
            <w:shd w:val="clear" w:color="auto" w:fill="auto"/>
            <w:noWrap/>
            <w:hideMark/>
          </w:tcPr>
          <w:p w14:paraId="44D6038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26 030 593</w:t>
            </w:r>
          </w:p>
        </w:tc>
        <w:tc>
          <w:tcPr>
            <w:tcW w:w="2177" w:type="dxa"/>
            <w:tcBorders>
              <w:top w:val="nil"/>
              <w:left w:val="nil"/>
              <w:bottom w:val="single" w:sz="8" w:space="0" w:color="auto"/>
              <w:right w:val="single" w:sz="8" w:space="0" w:color="auto"/>
            </w:tcBorders>
            <w:shd w:val="clear" w:color="auto" w:fill="auto"/>
            <w:noWrap/>
            <w:hideMark/>
          </w:tcPr>
          <w:p w14:paraId="61515A1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8 989 051</w:t>
            </w:r>
          </w:p>
        </w:tc>
      </w:tr>
      <w:tr w:rsidR="005E41CA" w:rsidRPr="005E41CA" w14:paraId="58C52C41"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F36AD7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17</w:t>
            </w:r>
          </w:p>
        </w:tc>
        <w:tc>
          <w:tcPr>
            <w:tcW w:w="6663" w:type="dxa"/>
            <w:tcBorders>
              <w:top w:val="nil"/>
              <w:left w:val="nil"/>
              <w:bottom w:val="single" w:sz="8" w:space="0" w:color="auto"/>
              <w:right w:val="single" w:sz="8" w:space="0" w:color="auto"/>
            </w:tcBorders>
            <w:shd w:val="clear" w:color="auto" w:fill="auto"/>
            <w:noWrap/>
            <w:hideMark/>
          </w:tcPr>
          <w:p w14:paraId="1FA96F4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VAS "Latvijas autoceļu uzturētājs"</w:t>
            </w:r>
          </w:p>
        </w:tc>
        <w:tc>
          <w:tcPr>
            <w:tcW w:w="2121" w:type="dxa"/>
            <w:tcBorders>
              <w:top w:val="nil"/>
              <w:left w:val="nil"/>
              <w:bottom w:val="single" w:sz="8" w:space="0" w:color="auto"/>
              <w:right w:val="single" w:sz="8" w:space="0" w:color="auto"/>
            </w:tcBorders>
            <w:shd w:val="clear" w:color="auto" w:fill="auto"/>
            <w:noWrap/>
            <w:hideMark/>
          </w:tcPr>
          <w:p w14:paraId="421E770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86 535 590</w:t>
            </w:r>
          </w:p>
        </w:tc>
        <w:tc>
          <w:tcPr>
            <w:tcW w:w="2121" w:type="dxa"/>
            <w:tcBorders>
              <w:top w:val="nil"/>
              <w:left w:val="nil"/>
              <w:bottom w:val="single" w:sz="8" w:space="0" w:color="auto"/>
              <w:right w:val="single" w:sz="8" w:space="0" w:color="auto"/>
            </w:tcBorders>
            <w:shd w:val="clear" w:color="auto" w:fill="auto"/>
            <w:noWrap/>
            <w:hideMark/>
          </w:tcPr>
          <w:p w14:paraId="25C8C33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83 744 240</w:t>
            </w:r>
          </w:p>
        </w:tc>
        <w:tc>
          <w:tcPr>
            <w:tcW w:w="2177" w:type="dxa"/>
            <w:tcBorders>
              <w:top w:val="nil"/>
              <w:left w:val="nil"/>
              <w:bottom w:val="single" w:sz="8" w:space="0" w:color="auto"/>
              <w:right w:val="single" w:sz="8" w:space="0" w:color="auto"/>
            </w:tcBorders>
            <w:shd w:val="clear" w:color="auto" w:fill="auto"/>
            <w:noWrap/>
            <w:hideMark/>
          </w:tcPr>
          <w:p w14:paraId="21F540D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2 791 350</w:t>
            </w:r>
          </w:p>
        </w:tc>
      </w:tr>
      <w:tr w:rsidR="005E41CA" w:rsidRPr="005E41CA" w14:paraId="3EA11B3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1F3FA3A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18</w:t>
            </w:r>
          </w:p>
        </w:tc>
        <w:tc>
          <w:tcPr>
            <w:tcW w:w="6663" w:type="dxa"/>
            <w:tcBorders>
              <w:top w:val="nil"/>
              <w:left w:val="nil"/>
              <w:bottom w:val="single" w:sz="8" w:space="0" w:color="auto"/>
              <w:right w:val="single" w:sz="8" w:space="0" w:color="auto"/>
            </w:tcBorders>
            <w:shd w:val="clear" w:color="auto" w:fill="auto"/>
            <w:noWrap/>
            <w:hideMark/>
          </w:tcPr>
          <w:p w14:paraId="67757EE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Koncerti"</w:t>
            </w:r>
          </w:p>
        </w:tc>
        <w:tc>
          <w:tcPr>
            <w:tcW w:w="2121" w:type="dxa"/>
            <w:tcBorders>
              <w:top w:val="nil"/>
              <w:left w:val="nil"/>
              <w:bottom w:val="single" w:sz="8" w:space="0" w:color="auto"/>
              <w:right w:val="single" w:sz="8" w:space="0" w:color="auto"/>
            </w:tcBorders>
            <w:shd w:val="clear" w:color="auto" w:fill="auto"/>
            <w:noWrap/>
            <w:hideMark/>
          </w:tcPr>
          <w:p w14:paraId="21914F5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4 530 000</w:t>
            </w:r>
          </w:p>
        </w:tc>
        <w:tc>
          <w:tcPr>
            <w:tcW w:w="2121" w:type="dxa"/>
            <w:tcBorders>
              <w:top w:val="nil"/>
              <w:left w:val="nil"/>
              <w:bottom w:val="single" w:sz="8" w:space="0" w:color="auto"/>
              <w:right w:val="single" w:sz="8" w:space="0" w:color="auto"/>
            </w:tcBorders>
            <w:shd w:val="clear" w:color="auto" w:fill="auto"/>
            <w:noWrap/>
            <w:hideMark/>
          </w:tcPr>
          <w:p w14:paraId="5E9D68A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4 505 000</w:t>
            </w:r>
          </w:p>
        </w:tc>
        <w:tc>
          <w:tcPr>
            <w:tcW w:w="2177" w:type="dxa"/>
            <w:tcBorders>
              <w:top w:val="nil"/>
              <w:left w:val="nil"/>
              <w:bottom w:val="single" w:sz="8" w:space="0" w:color="auto"/>
              <w:right w:val="single" w:sz="8" w:space="0" w:color="auto"/>
            </w:tcBorders>
            <w:shd w:val="clear" w:color="auto" w:fill="auto"/>
            <w:noWrap/>
            <w:hideMark/>
          </w:tcPr>
          <w:p w14:paraId="57C5141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25 000</w:t>
            </w:r>
          </w:p>
        </w:tc>
      </w:tr>
      <w:tr w:rsidR="005E41CA" w:rsidRPr="005E41CA" w14:paraId="5C001BA5"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59CCFF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19</w:t>
            </w:r>
          </w:p>
        </w:tc>
        <w:tc>
          <w:tcPr>
            <w:tcW w:w="6663" w:type="dxa"/>
            <w:tcBorders>
              <w:top w:val="nil"/>
              <w:left w:val="nil"/>
              <w:bottom w:val="single" w:sz="8" w:space="0" w:color="auto"/>
              <w:right w:val="single" w:sz="8" w:space="0" w:color="auto"/>
            </w:tcBorders>
            <w:shd w:val="clear" w:color="auto" w:fill="auto"/>
            <w:noWrap/>
            <w:hideMark/>
          </w:tcPr>
          <w:p w14:paraId="2BE1F95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Leļļu teātris"</w:t>
            </w:r>
          </w:p>
        </w:tc>
        <w:tc>
          <w:tcPr>
            <w:tcW w:w="2121" w:type="dxa"/>
            <w:tcBorders>
              <w:top w:val="nil"/>
              <w:left w:val="nil"/>
              <w:bottom w:val="single" w:sz="8" w:space="0" w:color="auto"/>
              <w:right w:val="single" w:sz="8" w:space="0" w:color="auto"/>
            </w:tcBorders>
            <w:shd w:val="clear" w:color="auto" w:fill="auto"/>
            <w:noWrap/>
            <w:hideMark/>
          </w:tcPr>
          <w:p w14:paraId="172644B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650 000</w:t>
            </w:r>
          </w:p>
        </w:tc>
        <w:tc>
          <w:tcPr>
            <w:tcW w:w="2121" w:type="dxa"/>
            <w:tcBorders>
              <w:top w:val="nil"/>
              <w:left w:val="nil"/>
              <w:bottom w:val="single" w:sz="8" w:space="0" w:color="auto"/>
              <w:right w:val="single" w:sz="8" w:space="0" w:color="auto"/>
            </w:tcBorders>
            <w:shd w:val="clear" w:color="auto" w:fill="auto"/>
            <w:noWrap/>
            <w:hideMark/>
          </w:tcPr>
          <w:p w14:paraId="3226BB0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648 280</w:t>
            </w:r>
          </w:p>
        </w:tc>
        <w:tc>
          <w:tcPr>
            <w:tcW w:w="2177" w:type="dxa"/>
            <w:tcBorders>
              <w:top w:val="nil"/>
              <w:left w:val="nil"/>
              <w:bottom w:val="single" w:sz="8" w:space="0" w:color="auto"/>
              <w:right w:val="single" w:sz="8" w:space="0" w:color="auto"/>
            </w:tcBorders>
            <w:shd w:val="clear" w:color="auto" w:fill="auto"/>
            <w:noWrap/>
            <w:hideMark/>
          </w:tcPr>
          <w:p w14:paraId="12E0FAB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1 720</w:t>
            </w:r>
          </w:p>
        </w:tc>
      </w:tr>
      <w:tr w:rsidR="005E41CA" w:rsidRPr="005E41CA" w14:paraId="6915572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0B3173D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20</w:t>
            </w:r>
          </w:p>
        </w:tc>
        <w:tc>
          <w:tcPr>
            <w:tcW w:w="6663" w:type="dxa"/>
            <w:tcBorders>
              <w:top w:val="nil"/>
              <w:left w:val="nil"/>
              <w:bottom w:val="single" w:sz="8" w:space="0" w:color="auto"/>
              <w:right w:val="single" w:sz="8" w:space="0" w:color="auto"/>
            </w:tcBorders>
            <w:shd w:val="clear" w:color="auto" w:fill="auto"/>
            <w:noWrap/>
            <w:hideMark/>
          </w:tcPr>
          <w:p w14:paraId="0336C6D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Nacionālais simfoniskais orķestris"</w:t>
            </w:r>
          </w:p>
        </w:tc>
        <w:tc>
          <w:tcPr>
            <w:tcW w:w="2121" w:type="dxa"/>
            <w:tcBorders>
              <w:top w:val="nil"/>
              <w:left w:val="nil"/>
              <w:bottom w:val="single" w:sz="8" w:space="0" w:color="auto"/>
              <w:right w:val="single" w:sz="8" w:space="0" w:color="auto"/>
            </w:tcBorders>
            <w:shd w:val="clear" w:color="auto" w:fill="auto"/>
            <w:noWrap/>
            <w:hideMark/>
          </w:tcPr>
          <w:p w14:paraId="677712F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3 068 356</w:t>
            </w:r>
          </w:p>
        </w:tc>
        <w:tc>
          <w:tcPr>
            <w:tcW w:w="2121" w:type="dxa"/>
            <w:tcBorders>
              <w:top w:val="nil"/>
              <w:left w:val="nil"/>
              <w:bottom w:val="single" w:sz="8" w:space="0" w:color="auto"/>
              <w:right w:val="single" w:sz="8" w:space="0" w:color="auto"/>
            </w:tcBorders>
            <w:shd w:val="clear" w:color="auto" w:fill="auto"/>
            <w:noWrap/>
            <w:hideMark/>
          </w:tcPr>
          <w:p w14:paraId="5E1FD7B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3 068 236</w:t>
            </w:r>
          </w:p>
        </w:tc>
        <w:tc>
          <w:tcPr>
            <w:tcW w:w="2177" w:type="dxa"/>
            <w:tcBorders>
              <w:top w:val="nil"/>
              <w:left w:val="nil"/>
              <w:bottom w:val="single" w:sz="8" w:space="0" w:color="auto"/>
              <w:right w:val="single" w:sz="8" w:space="0" w:color="auto"/>
            </w:tcBorders>
            <w:shd w:val="clear" w:color="auto" w:fill="auto"/>
            <w:noWrap/>
            <w:hideMark/>
          </w:tcPr>
          <w:p w14:paraId="06A4531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120</w:t>
            </w:r>
          </w:p>
        </w:tc>
      </w:tr>
      <w:tr w:rsidR="005E41CA" w:rsidRPr="005E41CA" w14:paraId="4D448E3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72BC4D6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21</w:t>
            </w:r>
          </w:p>
        </w:tc>
        <w:tc>
          <w:tcPr>
            <w:tcW w:w="6663" w:type="dxa"/>
            <w:tcBorders>
              <w:top w:val="nil"/>
              <w:left w:val="nil"/>
              <w:bottom w:val="single" w:sz="8" w:space="0" w:color="auto"/>
              <w:right w:val="single" w:sz="8" w:space="0" w:color="auto"/>
            </w:tcBorders>
            <w:shd w:val="clear" w:color="auto" w:fill="auto"/>
            <w:noWrap/>
            <w:hideMark/>
          </w:tcPr>
          <w:p w14:paraId="3CF3308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"Latvijas Nacionālais sporta centrs"</w:t>
            </w:r>
          </w:p>
        </w:tc>
        <w:tc>
          <w:tcPr>
            <w:tcW w:w="2121" w:type="dxa"/>
            <w:tcBorders>
              <w:top w:val="nil"/>
              <w:left w:val="nil"/>
              <w:bottom w:val="single" w:sz="8" w:space="0" w:color="auto"/>
              <w:right w:val="single" w:sz="8" w:space="0" w:color="auto"/>
            </w:tcBorders>
            <w:shd w:val="clear" w:color="auto" w:fill="auto"/>
            <w:noWrap/>
            <w:hideMark/>
          </w:tcPr>
          <w:p w14:paraId="5899947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4 119 275</w:t>
            </w:r>
          </w:p>
        </w:tc>
        <w:tc>
          <w:tcPr>
            <w:tcW w:w="2121" w:type="dxa"/>
            <w:tcBorders>
              <w:top w:val="nil"/>
              <w:left w:val="nil"/>
              <w:bottom w:val="single" w:sz="8" w:space="0" w:color="auto"/>
              <w:right w:val="single" w:sz="8" w:space="0" w:color="auto"/>
            </w:tcBorders>
            <w:shd w:val="clear" w:color="auto" w:fill="auto"/>
            <w:noWrap/>
            <w:hideMark/>
          </w:tcPr>
          <w:p w14:paraId="16E188E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5 623 107</w:t>
            </w:r>
          </w:p>
        </w:tc>
        <w:tc>
          <w:tcPr>
            <w:tcW w:w="2177" w:type="dxa"/>
            <w:tcBorders>
              <w:top w:val="nil"/>
              <w:left w:val="nil"/>
              <w:bottom w:val="single" w:sz="8" w:space="0" w:color="auto"/>
              <w:right w:val="single" w:sz="8" w:space="0" w:color="auto"/>
            </w:tcBorders>
            <w:shd w:val="clear" w:color="auto" w:fill="auto"/>
            <w:noWrap/>
            <w:hideMark/>
          </w:tcPr>
          <w:p w14:paraId="654CC59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-1 503 832</w:t>
            </w:r>
          </w:p>
        </w:tc>
      </w:tr>
      <w:tr w:rsidR="005E41CA" w:rsidRPr="005E41CA" w14:paraId="6BC689E9"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A0FB5F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22</w:t>
            </w:r>
          </w:p>
        </w:tc>
        <w:tc>
          <w:tcPr>
            <w:tcW w:w="6663" w:type="dxa"/>
            <w:tcBorders>
              <w:top w:val="nil"/>
              <w:left w:val="nil"/>
              <w:bottom w:val="single" w:sz="8" w:space="0" w:color="auto"/>
              <w:right w:val="single" w:sz="8" w:space="0" w:color="auto"/>
            </w:tcBorders>
            <w:shd w:val="clear" w:color="auto" w:fill="auto"/>
            <w:noWrap/>
            <w:hideMark/>
          </w:tcPr>
          <w:p w14:paraId="27C44EC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Nacionālais teātris"</w:t>
            </w:r>
          </w:p>
        </w:tc>
        <w:tc>
          <w:tcPr>
            <w:tcW w:w="2121" w:type="dxa"/>
            <w:tcBorders>
              <w:top w:val="nil"/>
              <w:left w:val="nil"/>
              <w:bottom w:val="single" w:sz="8" w:space="0" w:color="auto"/>
              <w:right w:val="single" w:sz="8" w:space="0" w:color="auto"/>
            </w:tcBorders>
            <w:shd w:val="clear" w:color="auto" w:fill="auto"/>
            <w:noWrap/>
            <w:hideMark/>
          </w:tcPr>
          <w:p w14:paraId="310EC27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5 503 626</w:t>
            </w:r>
          </w:p>
        </w:tc>
        <w:tc>
          <w:tcPr>
            <w:tcW w:w="2121" w:type="dxa"/>
            <w:tcBorders>
              <w:top w:val="nil"/>
              <w:left w:val="nil"/>
              <w:bottom w:val="single" w:sz="8" w:space="0" w:color="auto"/>
              <w:right w:val="single" w:sz="8" w:space="0" w:color="auto"/>
            </w:tcBorders>
            <w:shd w:val="clear" w:color="auto" w:fill="auto"/>
            <w:noWrap/>
            <w:hideMark/>
          </w:tcPr>
          <w:p w14:paraId="1E4651F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5 480 368</w:t>
            </w:r>
          </w:p>
        </w:tc>
        <w:tc>
          <w:tcPr>
            <w:tcW w:w="2177" w:type="dxa"/>
            <w:tcBorders>
              <w:top w:val="nil"/>
              <w:left w:val="nil"/>
              <w:bottom w:val="single" w:sz="8" w:space="0" w:color="auto"/>
              <w:right w:val="single" w:sz="8" w:space="0" w:color="auto"/>
            </w:tcBorders>
            <w:shd w:val="clear" w:color="auto" w:fill="auto"/>
            <w:noWrap/>
            <w:hideMark/>
          </w:tcPr>
          <w:p w14:paraId="0AC2BC8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23 258</w:t>
            </w:r>
          </w:p>
        </w:tc>
      </w:tr>
      <w:tr w:rsidR="005E41CA" w:rsidRPr="005E41CA" w14:paraId="45807A8C"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AA5A2C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lastRenderedPageBreak/>
              <w:t>23</w:t>
            </w:r>
          </w:p>
        </w:tc>
        <w:tc>
          <w:tcPr>
            <w:tcW w:w="6663" w:type="dxa"/>
            <w:tcBorders>
              <w:top w:val="nil"/>
              <w:left w:val="nil"/>
              <w:bottom w:val="single" w:sz="8" w:space="0" w:color="auto"/>
              <w:right w:val="single" w:sz="8" w:space="0" w:color="auto"/>
            </w:tcBorders>
            <w:shd w:val="clear" w:color="auto" w:fill="auto"/>
            <w:noWrap/>
            <w:hideMark/>
          </w:tcPr>
          <w:p w14:paraId="7F63C014"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Nacionālā opera un balets"</w:t>
            </w:r>
          </w:p>
        </w:tc>
        <w:tc>
          <w:tcPr>
            <w:tcW w:w="2121" w:type="dxa"/>
            <w:tcBorders>
              <w:top w:val="nil"/>
              <w:left w:val="nil"/>
              <w:bottom w:val="single" w:sz="8" w:space="0" w:color="auto"/>
              <w:right w:val="single" w:sz="8" w:space="0" w:color="auto"/>
            </w:tcBorders>
            <w:shd w:val="clear" w:color="auto" w:fill="auto"/>
            <w:noWrap/>
            <w:hideMark/>
          </w:tcPr>
          <w:p w14:paraId="30CCBA2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3 713 000</w:t>
            </w:r>
          </w:p>
        </w:tc>
        <w:tc>
          <w:tcPr>
            <w:tcW w:w="2121" w:type="dxa"/>
            <w:tcBorders>
              <w:top w:val="nil"/>
              <w:left w:val="nil"/>
              <w:bottom w:val="single" w:sz="8" w:space="0" w:color="auto"/>
              <w:right w:val="single" w:sz="8" w:space="0" w:color="auto"/>
            </w:tcBorders>
            <w:shd w:val="clear" w:color="auto" w:fill="auto"/>
            <w:noWrap/>
            <w:hideMark/>
          </w:tcPr>
          <w:p w14:paraId="390E197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3 703 000</w:t>
            </w:r>
          </w:p>
        </w:tc>
        <w:tc>
          <w:tcPr>
            <w:tcW w:w="2177" w:type="dxa"/>
            <w:tcBorders>
              <w:top w:val="nil"/>
              <w:left w:val="nil"/>
              <w:bottom w:val="single" w:sz="8" w:space="0" w:color="auto"/>
              <w:right w:val="single" w:sz="8" w:space="0" w:color="auto"/>
            </w:tcBorders>
            <w:shd w:val="clear" w:color="auto" w:fill="auto"/>
            <w:noWrap/>
            <w:hideMark/>
          </w:tcPr>
          <w:p w14:paraId="6CF31BD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10 000</w:t>
            </w:r>
          </w:p>
        </w:tc>
      </w:tr>
      <w:tr w:rsidR="005E41CA" w:rsidRPr="005E41CA" w14:paraId="64A6095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CEA2C8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24</w:t>
            </w:r>
          </w:p>
        </w:tc>
        <w:tc>
          <w:tcPr>
            <w:tcW w:w="6663" w:type="dxa"/>
            <w:tcBorders>
              <w:top w:val="nil"/>
              <w:left w:val="nil"/>
              <w:bottom w:val="single" w:sz="8" w:space="0" w:color="auto"/>
              <w:right w:val="single" w:sz="8" w:space="0" w:color="auto"/>
            </w:tcBorders>
            <w:shd w:val="clear" w:color="auto" w:fill="auto"/>
            <w:noWrap/>
            <w:hideMark/>
          </w:tcPr>
          <w:p w14:paraId="6EBBA89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Proves birojs"</w:t>
            </w:r>
          </w:p>
        </w:tc>
        <w:tc>
          <w:tcPr>
            <w:tcW w:w="2121" w:type="dxa"/>
            <w:tcBorders>
              <w:top w:val="nil"/>
              <w:left w:val="nil"/>
              <w:bottom w:val="single" w:sz="8" w:space="0" w:color="auto"/>
              <w:right w:val="single" w:sz="8" w:space="0" w:color="auto"/>
            </w:tcBorders>
            <w:shd w:val="clear" w:color="auto" w:fill="auto"/>
            <w:noWrap/>
            <w:hideMark/>
          </w:tcPr>
          <w:p w14:paraId="304059E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640 000</w:t>
            </w:r>
          </w:p>
        </w:tc>
        <w:tc>
          <w:tcPr>
            <w:tcW w:w="2121" w:type="dxa"/>
            <w:tcBorders>
              <w:top w:val="nil"/>
              <w:left w:val="nil"/>
              <w:bottom w:val="single" w:sz="8" w:space="0" w:color="auto"/>
              <w:right w:val="single" w:sz="8" w:space="0" w:color="auto"/>
            </w:tcBorders>
            <w:shd w:val="clear" w:color="auto" w:fill="auto"/>
            <w:noWrap/>
            <w:hideMark/>
          </w:tcPr>
          <w:p w14:paraId="2FC544F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630 000</w:t>
            </w:r>
          </w:p>
        </w:tc>
        <w:tc>
          <w:tcPr>
            <w:tcW w:w="2177" w:type="dxa"/>
            <w:tcBorders>
              <w:top w:val="nil"/>
              <w:left w:val="nil"/>
              <w:bottom w:val="single" w:sz="8" w:space="0" w:color="auto"/>
              <w:right w:val="single" w:sz="8" w:space="0" w:color="auto"/>
            </w:tcBorders>
            <w:shd w:val="clear" w:color="auto" w:fill="auto"/>
            <w:noWrap/>
            <w:hideMark/>
          </w:tcPr>
          <w:p w14:paraId="3DF46A7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10 000</w:t>
            </w:r>
          </w:p>
        </w:tc>
      </w:tr>
      <w:tr w:rsidR="005E41CA" w:rsidRPr="005E41CA" w14:paraId="76A8848B"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0C01BF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25</w:t>
            </w:r>
          </w:p>
        </w:tc>
        <w:tc>
          <w:tcPr>
            <w:tcW w:w="6663" w:type="dxa"/>
            <w:tcBorders>
              <w:top w:val="nil"/>
              <w:left w:val="nil"/>
              <w:bottom w:val="single" w:sz="8" w:space="0" w:color="auto"/>
              <w:right w:val="single" w:sz="8" w:space="0" w:color="auto"/>
            </w:tcBorders>
            <w:shd w:val="clear" w:color="auto" w:fill="auto"/>
            <w:noWrap/>
            <w:hideMark/>
          </w:tcPr>
          <w:p w14:paraId="74FE1E7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Radio"</w:t>
            </w:r>
          </w:p>
        </w:tc>
        <w:tc>
          <w:tcPr>
            <w:tcW w:w="2121" w:type="dxa"/>
            <w:tcBorders>
              <w:top w:val="nil"/>
              <w:left w:val="nil"/>
              <w:bottom w:val="single" w:sz="8" w:space="0" w:color="auto"/>
              <w:right w:val="single" w:sz="8" w:space="0" w:color="auto"/>
            </w:tcBorders>
            <w:shd w:val="clear" w:color="auto" w:fill="auto"/>
            <w:noWrap/>
            <w:hideMark/>
          </w:tcPr>
          <w:p w14:paraId="53E36A2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12 853 857</w:t>
            </w:r>
          </w:p>
        </w:tc>
        <w:tc>
          <w:tcPr>
            <w:tcW w:w="2121" w:type="dxa"/>
            <w:tcBorders>
              <w:top w:val="nil"/>
              <w:left w:val="nil"/>
              <w:bottom w:val="single" w:sz="8" w:space="0" w:color="auto"/>
              <w:right w:val="single" w:sz="8" w:space="0" w:color="auto"/>
            </w:tcBorders>
            <w:shd w:val="clear" w:color="auto" w:fill="auto"/>
            <w:noWrap/>
            <w:hideMark/>
          </w:tcPr>
          <w:p w14:paraId="566B8F7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13 225 857</w:t>
            </w:r>
          </w:p>
        </w:tc>
        <w:tc>
          <w:tcPr>
            <w:tcW w:w="2177" w:type="dxa"/>
            <w:tcBorders>
              <w:top w:val="nil"/>
              <w:left w:val="nil"/>
              <w:bottom w:val="single" w:sz="8" w:space="0" w:color="auto"/>
              <w:right w:val="single" w:sz="8" w:space="0" w:color="auto"/>
            </w:tcBorders>
            <w:shd w:val="clear" w:color="auto" w:fill="auto"/>
            <w:noWrap/>
            <w:hideMark/>
          </w:tcPr>
          <w:p w14:paraId="776B9E6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-372 000</w:t>
            </w:r>
          </w:p>
        </w:tc>
      </w:tr>
      <w:tr w:rsidR="005E41CA" w:rsidRPr="005E41CA" w14:paraId="38CF07ED"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9F1D27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26</w:t>
            </w:r>
          </w:p>
        </w:tc>
        <w:tc>
          <w:tcPr>
            <w:tcW w:w="6663" w:type="dxa"/>
            <w:tcBorders>
              <w:top w:val="nil"/>
              <w:left w:val="nil"/>
              <w:bottom w:val="single" w:sz="8" w:space="0" w:color="auto"/>
              <w:right w:val="single" w:sz="8" w:space="0" w:color="auto"/>
            </w:tcBorders>
            <w:shd w:val="clear" w:color="auto" w:fill="auto"/>
            <w:noWrap/>
            <w:hideMark/>
          </w:tcPr>
          <w:p w14:paraId="0D22FBF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"Latvijas standarts"</w:t>
            </w:r>
          </w:p>
        </w:tc>
        <w:tc>
          <w:tcPr>
            <w:tcW w:w="2121" w:type="dxa"/>
            <w:tcBorders>
              <w:top w:val="nil"/>
              <w:left w:val="nil"/>
              <w:bottom w:val="single" w:sz="8" w:space="0" w:color="auto"/>
              <w:right w:val="single" w:sz="8" w:space="0" w:color="auto"/>
            </w:tcBorders>
            <w:shd w:val="clear" w:color="auto" w:fill="auto"/>
            <w:noWrap/>
            <w:hideMark/>
          </w:tcPr>
          <w:p w14:paraId="1228EE1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914 000</w:t>
            </w:r>
          </w:p>
        </w:tc>
        <w:tc>
          <w:tcPr>
            <w:tcW w:w="2121" w:type="dxa"/>
            <w:tcBorders>
              <w:top w:val="nil"/>
              <w:left w:val="nil"/>
              <w:bottom w:val="single" w:sz="8" w:space="0" w:color="auto"/>
              <w:right w:val="single" w:sz="8" w:space="0" w:color="auto"/>
            </w:tcBorders>
            <w:shd w:val="clear" w:color="auto" w:fill="auto"/>
            <w:noWrap/>
            <w:hideMark/>
          </w:tcPr>
          <w:p w14:paraId="4742235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881 915</w:t>
            </w:r>
          </w:p>
        </w:tc>
        <w:tc>
          <w:tcPr>
            <w:tcW w:w="2177" w:type="dxa"/>
            <w:tcBorders>
              <w:top w:val="nil"/>
              <w:left w:val="nil"/>
              <w:bottom w:val="single" w:sz="8" w:space="0" w:color="auto"/>
              <w:right w:val="single" w:sz="8" w:space="0" w:color="auto"/>
            </w:tcBorders>
            <w:shd w:val="clear" w:color="auto" w:fill="auto"/>
            <w:noWrap/>
            <w:hideMark/>
          </w:tcPr>
          <w:p w14:paraId="4F52DC0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32 085</w:t>
            </w:r>
          </w:p>
        </w:tc>
      </w:tr>
      <w:tr w:rsidR="005E41CA" w:rsidRPr="005E41CA" w14:paraId="6646226A"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796FE8B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27</w:t>
            </w:r>
          </w:p>
        </w:tc>
        <w:tc>
          <w:tcPr>
            <w:tcW w:w="6663" w:type="dxa"/>
            <w:tcBorders>
              <w:top w:val="nil"/>
              <w:left w:val="nil"/>
              <w:bottom w:val="single" w:sz="8" w:space="0" w:color="auto"/>
              <w:right w:val="single" w:sz="8" w:space="0" w:color="auto"/>
            </w:tcBorders>
            <w:shd w:val="clear" w:color="auto" w:fill="auto"/>
            <w:noWrap/>
            <w:hideMark/>
          </w:tcPr>
          <w:p w14:paraId="553F713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Televīzija"</w:t>
            </w:r>
          </w:p>
        </w:tc>
        <w:tc>
          <w:tcPr>
            <w:tcW w:w="2121" w:type="dxa"/>
            <w:tcBorders>
              <w:top w:val="nil"/>
              <w:left w:val="nil"/>
              <w:bottom w:val="single" w:sz="8" w:space="0" w:color="auto"/>
              <w:right w:val="single" w:sz="8" w:space="0" w:color="auto"/>
            </w:tcBorders>
            <w:shd w:val="clear" w:color="auto" w:fill="auto"/>
            <w:noWrap/>
            <w:hideMark/>
          </w:tcPr>
          <w:p w14:paraId="7DE863B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580 000</w:t>
            </w:r>
          </w:p>
        </w:tc>
        <w:tc>
          <w:tcPr>
            <w:tcW w:w="2121" w:type="dxa"/>
            <w:tcBorders>
              <w:top w:val="nil"/>
              <w:left w:val="nil"/>
              <w:bottom w:val="single" w:sz="8" w:space="0" w:color="auto"/>
              <w:right w:val="single" w:sz="8" w:space="0" w:color="auto"/>
            </w:tcBorders>
            <w:shd w:val="clear" w:color="auto" w:fill="auto"/>
            <w:noWrap/>
            <w:hideMark/>
          </w:tcPr>
          <w:p w14:paraId="5746378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116 000</w:t>
            </w:r>
          </w:p>
        </w:tc>
        <w:tc>
          <w:tcPr>
            <w:tcW w:w="2177" w:type="dxa"/>
            <w:tcBorders>
              <w:top w:val="nil"/>
              <w:left w:val="nil"/>
              <w:bottom w:val="single" w:sz="8" w:space="0" w:color="auto"/>
              <w:right w:val="single" w:sz="8" w:space="0" w:color="auto"/>
            </w:tcBorders>
            <w:shd w:val="clear" w:color="auto" w:fill="auto"/>
            <w:noWrap/>
            <w:hideMark/>
          </w:tcPr>
          <w:p w14:paraId="3BCDEE9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464 000</w:t>
            </w:r>
          </w:p>
        </w:tc>
      </w:tr>
      <w:tr w:rsidR="005E41CA" w:rsidRPr="005E41CA" w14:paraId="16A4C06A"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2BA3325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28</w:t>
            </w:r>
          </w:p>
        </w:tc>
        <w:tc>
          <w:tcPr>
            <w:tcW w:w="6663" w:type="dxa"/>
            <w:tcBorders>
              <w:top w:val="nil"/>
              <w:left w:val="nil"/>
              <w:bottom w:val="single" w:sz="8" w:space="0" w:color="auto"/>
              <w:right w:val="single" w:sz="8" w:space="0" w:color="auto"/>
            </w:tcBorders>
            <w:shd w:val="clear" w:color="auto" w:fill="auto"/>
            <w:noWrap/>
            <w:hideMark/>
          </w:tcPr>
          <w:p w14:paraId="2ED035A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"Latvijas Universitātes nekustamā īpašuma aģentūra"</w:t>
            </w:r>
          </w:p>
        </w:tc>
        <w:tc>
          <w:tcPr>
            <w:tcW w:w="2121" w:type="dxa"/>
            <w:tcBorders>
              <w:top w:val="nil"/>
              <w:left w:val="nil"/>
              <w:bottom w:val="single" w:sz="8" w:space="0" w:color="auto"/>
              <w:right w:val="single" w:sz="8" w:space="0" w:color="auto"/>
            </w:tcBorders>
            <w:shd w:val="clear" w:color="auto" w:fill="auto"/>
            <w:noWrap/>
            <w:hideMark/>
          </w:tcPr>
          <w:p w14:paraId="04A680D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1 496 906</w:t>
            </w:r>
          </w:p>
        </w:tc>
        <w:tc>
          <w:tcPr>
            <w:tcW w:w="2121" w:type="dxa"/>
            <w:tcBorders>
              <w:top w:val="nil"/>
              <w:left w:val="nil"/>
              <w:bottom w:val="single" w:sz="8" w:space="0" w:color="auto"/>
              <w:right w:val="single" w:sz="8" w:space="0" w:color="auto"/>
            </w:tcBorders>
            <w:shd w:val="clear" w:color="auto" w:fill="auto"/>
            <w:noWrap/>
            <w:hideMark/>
          </w:tcPr>
          <w:p w14:paraId="02AA5F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62 224</w:t>
            </w:r>
          </w:p>
        </w:tc>
        <w:tc>
          <w:tcPr>
            <w:tcW w:w="2177" w:type="dxa"/>
            <w:tcBorders>
              <w:top w:val="nil"/>
              <w:left w:val="nil"/>
              <w:bottom w:val="single" w:sz="8" w:space="0" w:color="auto"/>
              <w:right w:val="single" w:sz="8" w:space="0" w:color="auto"/>
            </w:tcBorders>
            <w:shd w:val="clear" w:color="auto" w:fill="auto"/>
            <w:noWrap/>
            <w:hideMark/>
          </w:tcPr>
          <w:p w14:paraId="5D12005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1 434 682</w:t>
            </w:r>
          </w:p>
        </w:tc>
      </w:tr>
      <w:tr w:rsidR="005E41CA" w:rsidRPr="005E41CA" w14:paraId="3586A227"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97657B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29</w:t>
            </w:r>
          </w:p>
        </w:tc>
        <w:tc>
          <w:tcPr>
            <w:tcW w:w="6663" w:type="dxa"/>
            <w:tcBorders>
              <w:top w:val="nil"/>
              <w:left w:val="nil"/>
              <w:bottom w:val="single" w:sz="8" w:space="0" w:color="auto"/>
              <w:right w:val="single" w:sz="8" w:space="0" w:color="auto"/>
            </w:tcBorders>
            <w:shd w:val="clear" w:color="auto" w:fill="auto"/>
            <w:noWrap/>
            <w:hideMark/>
          </w:tcPr>
          <w:p w14:paraId="5C0F933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Valsts ceļi"</w:t>
            </w:r>
          </w:p>
        </w:tc>
        <w:tc>
          <w:tcPr>
            <w:tcW w:w="2121" w:type="dxa"/>
            <w:tcBorders>
              <w:top w:val="nil"/>
              <w:left w:val="nil"/>
              <w:bottom w:val="single" w:sz="8" w:space="0" w:color="auto"/>
              <w:right w:val="single" w:sz="8" w:space="0" w:color="auto"/>
            </w:tcBorders>
            <w:shd w:val="clear" w:color="auto" w:fill="auto"/>
            <w:noWrap/>
            <w:hideMark/>
          </w:tcPr>
          <w:p w14:paraId="5C909F3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18 418 300</w:t>
            </w:r>
          </w:p>
        </w:tc>
        <w:tc>
          <w:tcPr>
            <w:tcW w:w="2121" w:type="dxa"/>
            <w:tcBorders>
              <w:top w:val="nil"/>
              <w:left w:val="nil"/>
              <w:bottom w:val="single" w:sz="8" w:space="0" w:color="auto"/>
              <w:right w:val="single" w:sz="8" w:space="0" w:color="auto"/>
            </w:tcBorders>
            <w:shd w:val="clear" w:color="auto" w:fill="auto"/>
            <w:noWrap/>
            <w:hideMark/>
          </w:tcPr>
          <w:p w14:paraId="3338FE3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18 318 300</w:t>
            </w:r>
          </w:p>
        </w:tc>
        <w:tc>
          <w:tcPr>
            <w:tcW w:w="2177" w:type="dxa"/>
            <w:tcBorders>
              <w:top w:val="nil"/>
              <w:left w:val="nil"/>
              <w:bottom w:val="single" w:sz="8" w:space="0" w:color="auto"/>
              <w:right w:val="single" w:sz="8" w:space="0" w:color="auto"/>
            </w:tcBorders>
            <w:shd w:val="clear" w:color="auto" w:fill="auto"/>
            <w:noWrap/>
            <w:hideMark/>
          </w:tcPr>
          <w:p w14:paraId="2C7C3EE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100 000</w:t>
            </w:r>
          </w:p>
        </w:tc>
      </w:tr>
      <w:tr w:rsidR="005E41CA" w:rsidRPr="005E41CA" w14:paraId="664416D9"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0907716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30</w:t>
            </w:r>
          </w:p>
        </w:tc>
        <w:tc>
          <w:tcPr>
            <w:tcW w:w="6663" w:type="dxa"/>
            <w:tcBorders>
              <w:top w:val="nil"/>
              <w:left w:val="nil"/>
              <w:bottom w:val="single" w:sz="8" w:space="0" w:color="auto"/>
              <w:right w:val="single" w:sz="8" w:space="0" w:color="auto"/>
            </w:tcBorders>
            <w:shd w:val="clear" w:color="auto" w:fill="auto"/>
            <w:noWrap/>
            <w:hideMark/>
          </w:tcPr>
          <w:p w14:paraId="7D96884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Vides, ģeoloģijas un meteoroloģijas centrs"</w:t>
            </w:r>
          </w:p>
        </w:tc>
        <w:tc>
          <w:tcPr>
            <w:tcW w:w="2121" w:type="dxa"/>
            <w:tcBorders>
              <w:top w:val="nil"/>
              <w:left w:val="nil"/>
              <w:bottom w:val="single" w:sz="8" w:space="0" w:color="auto"/>
              <w:right w:val="single" w:sz="8" w:space="0" w:color="auto"/>
            </w:tcBorders>
            <w:shd w:val="clear" w:color="auto" w:fill="auto"/>
            <w:noWrap/>
            <w:hideMark/>
          </w:tcPr>
          <w:p w14:paraId="12F81D4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2 597 068</w:t>
            </w:r>
          </w:p>
        </w:tc>
        <w:tc>
          <w:tcPr>
            <w:tcW w:w="2121" w:type="dxa"/>
            <w:tcBorders>
              <w:top w:val="nil"/>
              <w:left w:val="nil"/>
              <w:bottom w:val="single" w:sz="8" w:space="0" w:color="auto"/>
              <w:right w:val="single" w:sz="8" w:space="0" w:color="auto"/>
            </w:tcBorders>
            <w:shd w:val="clear" w:color="auto" w:fill="auto"/>
            <w:noWrap/>
            <w:hideMark/>
          </w:tcPr>
          <w:p w14:paraId="53874FC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2 428 199</w:t>
            </w:r>
          </w:p>
        </w:tc>
        <w:tc>
          <w:tcPr>
            <w:tcW w:w="2177" w:type="dxa"/>
            <w:tcBorders>
              <w:top w:val="nil"/>
              <w:left w:val="nil"/>
              <w:bottom w:val="single" w:sz="8" w:space="0" w:color="auto"/>
              <w:right w:val="single" w:sz="8" w:space="0" w:color="auto"/>
            </w:tcBorders>
            <w:shd w:val="clear" w:color="auto" w:fill="auto"/>
            <w:noWrap/>
            <w:hideMark/>
          </w:tcPr>
          <w:p w14:paraId="090D821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168 869</w:t>
            </w:r>
          </w:p>
        </w:tc>
      </w:tr>
      <w:tr w:rsidR="005E41CA" w:rsidRPr="005E41CA" w14:paraId="73135D9A"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D2D7E0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31</w:t>
            </w:r>
          </w:p>
        </w:tc>
        <w:tc>
          <w:tcPr>
            <w:tcW w:w="6663" w:type="dxa"/>
            <w:tcBorders>
              <w:top w:val="nil"/>
              <w:left w:val="nil"/>
              <w:bottom w:val="single" w:sz="8" w:space="0" w:color="auto"/>
              <w:right w:val="single" w:sz="8" w:space="0" w:color="auto"/>
            </w:tcBorders>
            <w:shd w:val="clear" w:color="auto" w:fill="auto"/>
            <w:noWrap/>
            <w:hideMark/>
          </w:tcPr>
          <w:p w14:paraId="35482A9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"Lielstraupes pils"</w:t>
            </w:r>
          </w:p>
        </w:tc>
        <w:tc>
          <w:tcPr>
            <w:tcW w:w="2121" w:type="dxa"/>
            <w:tcBorders>
              <w:top w:val="nil"/>
              <w:left w:val="nil"/>
              <w:bottom w:val="single" w:sz="8" w:space="0" w:color="auto"/>
              <w:right w:val="single" w:sz="8" w:space="0" w:color="auto"/>
            </w:tcBorders>
            <w:shd w:val="clear" w:color="auto" w:fill="auto"/>
            <w:noWrap/>
            <w:hideMark/>
          </w:tcPr>
          <w:p w14:paraId="2C975D4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45E1D53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03BC8A5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711E8521"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8FAD9C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32</w:t>
            </w:r>
          </w:p>
        </w:tc>
        <w:tc>
          <w:tcPr>
            <w:tcW w:w="6663" w:type="dxa"/>
            <w:tcBorders>
              <w:top w:val="nil"/>
              <w:left w:val="nil"/>
              <w:bottom w:val="single" w:sz="8" w:space="0" w:color="auto"/>
              <w:right w:val="single" w:sz="8" w:space="0" w:color="auto"/>
            </w:tcBorders>
            <w:shd w:val="clear" w:color="auto" w:fill="auto"/>
            <w:noWrap/>
            <w:hideMark/>
          </w:tcPr>
          <w:p w14:paraId="5A81727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"Liepājas simfoniskais orķestris"</w:t>
            </w:r>
          </w:p>
        </w:tc>
        <w:tc>
          <w:tcPr>
            <w:tcW w:w="2121" w:type="dxa"/>
            <w:tcBorders>
              <w:top w:val="nil"/>
              <w:left w:val="nil"/>
              <w:bottom w:val="single" w:sz="8" w:space="0" w:color="auto"/>
              <w:right w:val="single" w:sz="8" w:space="0" w:color="auto"/>
            </w:tcBorders>
            <w:shd w:val="clear" w:color="auto" w:fill="auto"/>
            <w:noWrap/>
            <w:hideMark/>
          </w:tcPr>
          <w:p w14:paraId="3310605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280 000</w:t>
            </w:r>
          </w:p>
        </w:tc>
        <w:tc>
          <w:tcPr>
            <w:tcW w:w="2121" w:type="dxa"/>
            <w:tcBorders>
              <w:top w:val="nil"/>
              <w:left w:val="nil"/>
              <w:bottom w:val="single" w:sz="8" w:space="0" w:color="auto"/>
              <w:right w:val="single" w:sz="8" w:space="0" w:color="auto"/>
            </w:tcBorders>
            <w:shd w:val="clear" w:color="auto" w:fill="auto"/>
            <w:noWrap/>
            <w:hideMark/>
          </w:tcPr>
          <w:p w14:paraId="164DF80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274 499</w:t>
            </w:r>
          </w:p>
        </w:tc>
        <w:tc>
          <w:tcPr>
            <w:tcW w:w="2177" w:type="dxa"/>
            <w:tcBorders>
              <w:top w:val="nil"/>
              <w:left w:val="nil"/>
              <w:bottom w:val="single" w:sz="8" w:space="0" w:color="auto"/>
              <w:right w:val="single" w:sz="8" w:space="0" w:color="auto"/>
            </w:tcBorders>
            <w:shd w:val="clear" w:color="auto" w:fill="auto"/>
            <w:noWrap/>
            <w:hideMark/>
          </w:tcPr>
          <w:p w14:paraId="482FE98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5 501</w:t>
            </w:r>
          </w:p>
        </w:tc>
      </w:tr>
      <w:tr w:rsidR="005E41CA" w:rsidRPr="005E41CA" w14:paraId="6D76115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AE63FD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33</w:t>
            </w:r>
          </w:p>
        </w:tc>
        <w:tc>
          <w:tcPr>
            <w:tcW w:w="6663" w:type="dxa"/>
            <w:tcBorders>
              <w:top w:val="nil"/>
              <w:left w:val="nil"/>
              <w:bottom w:val="single" w:sz="8" w:space="0" w:color="auto"/>
              <w:right w:val="single" w:sz="8" w:space="0" w:color="auto"/>
            </w:tcBorders>
            <w:shd w:val="clear" w:color="auto" w:fill="auto"/>
            <w:noWrap/>
            <w:hideMark/>
          </w:tcPr>
          <w:p w14:paraId="2E2B267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"Ludzas medicīnas centrs"</w:t>
            </w:r>
          </w:p>
        </w:tc>
        <w:tc>
          <w:tcPr>
            <w:tcW w:w="2121" w:type="dxa"/>
            <w:tcBorders>
              <w:top w:val="nil"/>
              <w:left w:val="nil"/>
              <w:bottom w:val="single" w:sz="8" w:space="0" w:color="auto"/>
              <w:right w:val="single" w:sz="8" w:space="0" w:color="auto"/>
            </w:tcBorders>
            <w:shd w:val="clear" w:color="auto" w:fill="auto"/>
            <w:noWrap/>
            <w:hideMark/>
          </w:tcPr>
          <w:p w14:paraId="486E9E0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4 700 000</w:t>
            </w:r>
          </w:p>
        </w:tc>
        <w:tc>
          <w:tcPr>
            <w:tcW w:w="2121" w:type="dxa"/>
            <w:tcBorders>
              <w:top w:val="nil"/>
              <w:left w:val="nil"/>
              <w:bottom w:val="single" w:sz="8" w:space="0" w:color="auto"/>
              <w:right w:val="single" w:sz="8" w:space="0" w:color="auto"/>
            </w:tcBorders>
            <w:shd w:val="clear" w:color="auto" w:fill="auto"/>
            <w:noWrap/>
            <w:hideMark/>
          </w:tcPr>
          <w:p w14:paraId="56B08E3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4 520 000</w:t>
            </w:r>
          </w:p>
        </w:tc>
        <w:tc>
          <w:tcPr>
            <w:tcW w:w="2177" w:type="dxa"/>
            <w:tcBorders>
              <w:top w:val="nil"/>
              <w:left w:val="nil"/>
              <w:bottom w:val="single" w:sz="8" w:space="0" w:color="auto"/>
              <w:right w:val="single" w:sz="8" w:space="0" w:color="auto"/>
            </w:tcBorders>
            <w:shd w:val="clear" w:color="auto" w:fill="auto"/>
            <w:noWrap/>
            <w:hideMark/>
          </w:tcPr>
          <w:p w14:paraId="4E4CA58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180 000</w:t>
            </w:r>
          </w:p>
        </w:tc>
      </w:tr>
      <w:tr w:rsidR="005E41CA" w:rsidRPr="005E41CA" w14:paraId="58E0C5B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58326E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34</w:t>
            </w:r>
          </w:p>
        </w:tc>
        <w:tc>
          <w:tcPr>
            <w:tcW w:w="6663" w:type="dxa"/>
            <w:tcBorders>
              <w:top w:val="nil"/>
              <w:left w:val="nil"/>
              <w:bottom w:val="single" w:sz="8" w:space="0" w:color="auto"/>
              <w:right w:val="single" w:sz="8" w:space="0" w:color="auto"/>
            </w:tcBorders>
            <w:shd w:val="clear" w:color="auto" w:fill="auto"/>
            <w:noWrap/>
            <w:hideMark/>
          </w:tcPr>
          <w:p w14:paraId="7377EA5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"Mihaila Čehova Rīgas Krievu teātris"</w:t>
            </w:r>
          </w:p>
        </w:tc>
        <w:tc>
          <w:tcPr>
            <w:tcW w:w="2121" w:type="dxa"/>
            <w:tcBorders>
              <w:top w:val="nil"/>
              <w:left w:val="nil"/>
              <w:bottom w:val="single" w:sz="8" w:space="0" w:color="auto"/>
              <w:right w:val="single" w:sz="8" w:space="0" w:color="auto"/>
            </w:tcBorders>
            <w:shd w:val="clear" w:color="auto" w:fill="auto"/>
            <w:noWrap/>
            <w:hideMark/>
          </w:tcPr>
          <w:p w14:paraId="5A6612E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2 120 000</w:t>
            </w:r>
          </w:p>
        </w:tc>
        <w:tc>
          <w:tcPr>
            <w:tcW w:w="2121" w:type="dxa"/>
            <w:tcBorders>
              <w:top w:val="nil"/>
              <w:left w:val="nil"/>
              <w:bottom w:val="single" w:sz="8" w:space="0" w:color="auto"/>
              <w:right w:val="single" w:sz="8" w:space="0" w:color="auto"/>
            </w:tcBorders>
            <w:shd w:val="clear" w:color="auto" w:fill="auto"/>
            <w:noWrap/>
            <w:hideMark/>
          </w:tcPr>
          <w:p w14:paraId="18F0E9B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2 065 596</w:t>
            </w:r>
          </w:p>
        </w:tc>
        <w:tc>
          <w:tcPr>
            <w:tcW w:w="2177" w:type="dxa"/>
            <w:tcBorders>
              <w:top w:val="nil"/>
              <w:left w:val="nil"/>
              <w:bottom w:val="single" w:sz="8" w:space="0" w:color="auto"/>
              <w:right w:val="single" w:sz="8" w:space="0" w:color="auto"/>
            </w:tcBorders>
            <w:shd w:val="clear" w:color="auto" w:fill="auto"/>
            <w:noWrap/>
            <w:hideMark/>
          </w:tcPr>
          <w:p w14:paraId="6D43B0C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54 404</w:t>
            </w:r>
          </w:p>
        </w:tc>
      </w:tr>
      <w:tr w:rsidR="005E41CA" w:rsidRPr="005E41CA" w14:paraId="13115A4F"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20CC83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35</w:t>
            </w:r>
          </w:p>
        </w:tc>
        <w:tc>
          <w:tcPr>
            <w:tcW w:w="6663" w:type="dxa"/>
            <w:tcBorders>
              <w:top w:val="nil"/>
              <w:left w:val="nil"/>
              <w:bottom w:val="single" w:sz="8" w:space="0" w:color="auto"/>
              <w:right w:val="single" w:sz="8" w:space="0" w:color="auto"/>
            </w:tcBorders>
            <w:shd w:val="clear" w:color="auto" w:fill="auto"/>
            <w:noWrap/>
            <w:hideMark/>
          </w:tcPr>
          <w:p w14:paraId="7F6A4A5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"Pasažieru vilciens"</w:t>
            </w:r>
          </w:p>
        </w:tc>
        <w:tc>
          <w:tcPr>
            <w:tcW w:w="2121" w:type="dxa"/>
            <w:tcBorders>
              <w:top w:val="nil"/>
              <w:left w:val="nil"/>
              <w:bottom w:val="single" w:sz="8" w:space="0" w:color="auto"/>
              <w:right w:val="single" w:sz="8" w:space="0" w:color="auto"/>
            </w:tcBorders>
            <w:shd w:val="clear" w:color="auto" w:fill="auto"/>
            <w:noWrap/>
            <w:hideMark/>
          </w:tcPr>
          <w:p w14:paraId="2BB39DD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72 854 741</w:t>
            </w:r>
          </w:p>
        </w:tc>
        <w:tc>
          <w:tcPr>
            <w:tcW w:w="2121" w:type="dxa"/>
            <w:tcBorders>
              <w:top w:val="nil"/>
              <w:left w:val="nil"/>
              <w:bottom w:val="single" w:sz="8" w:space="0" w:color="auto"/>
              <w:right w:val="single" w:sz="8" w:space="0" w:color="auto"/>
            </w:tcBorders>
            <w:shd w:val="clear" w:color="auto" w:fill="auto"/>
            <w:noWrap/>
            <w:hideMark/>
          </w:tcPr>
          <w:p w14:paraId="24BB02A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81 777 017</w:t>
            </w:r>
          </w:p>
        </w:tc>
        <w:tc>
          <w:tcPr>
            <w:tcW w:w="2177" w:type="dxa"/>
            <w:tcBorders>
              <w:top w:val="nil"/>
              <w:left w:val="nil"/>
              <w:bottom w:val="single" w:sz="8" w:space="0" w:color="auto"/>
              <w:right w:val="single" w:sz="8" w:space="0" w:color="auto"/>
            </w:tcBorders>
            <w:shd w:val="clear" w:color="auto" w:fill="auto"/>
            <w:noWrap/>
            <w:hideMark/>
          </w:tcPr>
          <w:p w14:paraId="3562317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-8 922 276</w:t>
            </w:r>
          </w:p>
        </w:tc>
      </w:tr>
      <w:tr w:rsidR="005E41CA" w:rsidRPr="005E41CA" w14:paraId="3D02102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1BC250A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36</w:t>
            </w:r>
          </w:p>
        </w:tc>
        <w:tc>
          <w:tcPr>
            <w:tcW w:w="6663" w:type="dxa"/>
            <w:tcBorders>
              <w:top w:val="nil"/>
              <w:left w:val="nil"/>
              <w:bottom w:val="single" w:sz="8" w:space="0" w:color="auto"/>
              <w:right w:val="single" w:sz="8" w:space="0" w:color="auto"/>
            </w:tcBorders>
            <w:shd w:val="clear" w:color="auto" w:fill="auto"/>
            <w:noWrap/>
            <w:hideMark/>
          </w:tcPr>
          <w:p w14:paraId="089C18B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"Paula Stradiņa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676CF15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191 471 812</w:t>
            </w:r>
          </w:p>
        </w:tc>
        <w:tc>
          <w:tcPr>
            <w:tcW w:w="2121" w:type="dxa"/>
            <w:tcBorders>
              <w:top w:val="nil"/>
              <w:left w:val="nil"/>
              <w:bottom w:val="single" w:sz="8" w:space="0" w:color="auto"/>
              <w:right w:val="single" w:sz="8" w:space="0" w:color="auto"/>
            </w:tcBorders>
            <w:shd w:val="clear" w:color="auto" w:fill="auto"/>
            <w:noWrap/>
            <w:hideMark/>
          </w:tcPr>
          <w:p w14:paraId="597417D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190 501 781</w:t>
            </w:r>
          </w:p>
        </w:tc>
        <w:tc>
          <w:tcPr>
            <w:tcW w:w="2177" w:type="dxa"/>
            <w:tcBorders>
              <w:top w:val="nil"/>
              <w:left w:val="nil"/>
              <w:bottom w:val="single" w:sz="8" w:space="0" w:color="auto"/>
              <w:right w:val="single" w:sz="8" w:space="0" w:color="auto"/>
            </w:tcBorders>
            <w:shd w:val="clear" w:color="auto" w:fill="auto"/>
            <w:noWrap/>
            <w:hideMark/>
          </w:tcPr>
          <w:p w14:paraId="55C3362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970 031</w:t>
            </w:r>
          </w:p>
        </w:tc>
      </w:tr>
      <w:tr w:rsidR="005E41CA" w:rsidRPr="005E41CA" w14:paraId="16D40479"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133162C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37</w:t>
            </w:r>
          </w:p>
        </w:tc>
        <w:tc>
          <w:tcPr>
            <w:tcW w:w="6663" w:type="dxa"/>
            <w:tcBorders>
              <w:top w:val="nil"/>
              <w:left w:val="nil"/>
              <w:bottom w:val="single" w:sz="8" w:space="0" w:color="auto"/>
              <w:right w:val="single" w:sz="8" w:space="0" w:color="auto"/>
            </w:tcBorders>
            <w:shd w:val="clear" w:color="auto" w:fill="auto"/>
            <w:noWrap/>
            <w:hideMark/>
          </w:tcPr>
          <w:p w14:paraId="68A8681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"Piejūras slimnīca"</w:t>
            </w:r>
          </w:p>
        </w:tc>
        <w:tc>
          <w:tcPr>
            <w:tcW w:w="2121" w:type="dxa"/>
            <w:tcBorders>
              <w:top w:val="nil"/>
              <w:left w:val="nil"/>
              <w:bottom w:val="single" w:sz="8" w:space="0" w:color="auto"/>
              <w:right w:val="single" w:sz="8" w:space="0" w:color="auto"/>
            </w:tcBorders>
            <w:shd w:val="clear" w:color="auto" w:fill="auto"/>
            <w:noWrap/>
            <w:hideMark/>
          </w:tcPr>
          <w:p w14:paraId="1FAEA38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5 399 600</w:t>
            </w:r>
          </w:p>
        </w:tc>
        <w:tc>
          <w:tcPr>
            <w:tcW w:w="2121" w:type="dxa"/>
            <w:tcBorders>
              <w:top w:val="nil"/>
              <w:left w:val="nil"/>
              <w:bottom w:val="single" w:sz="8" w:space="0" w:color="auto"/>
              <w:right w:val="single" w:sz="8" w:space="0" w:color="auto"/>
            </w:tcBorders>
            <w:shd w:val="clear" w:color="auto" w:fill="auto"/>
            <w:noWrap/>
            <w:hideMark/>
          </w:tcPr>
          <w:p w14:paraId="09C47C7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5 395 132</w:t>
            </w:r>
          </w:p>
        </w:tc>
        <w:tc>
          <w:tcPr>
            <w:tcW w:w="2177" w:type="dxa"/>
            <w:tcBorders>
              <w:top w:val="nil"/>
              <w:left w:val="nil"/>
              <w:bottom w:val="single" w:sz="8" w:space="0" w:color="auto"/>
              <w:right w:val="single" w:sz="8" w:space="0" w:color="auto"/>
            </w:tcBorders>
            <w:shd w:val="clear" w:color="auto" w:fill="auto"/>
            <w:noWrap/>
            <w:hideMark/>
          </w:tcPr>
          <w:p w14:paraId="51E69AF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4 468</w:t>
            </w:r>
          </w:p>
        </w:tc>
      </w:tr>
      <w:tr w:rsidR="005E41CA" w:rsidRPr="005E41CA" w14:paraId="79C9AE54"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EBC4A6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38</w:t>
            </w:r>
          </w:p>
        </w:tc>
        <w:tc>
          <w:tcPr>
            <w:tcW w:w="6663" w:type="dxa"/>
            <w:tcBorders>
              <w:top w:val="nil"/>
              <w:left w:val="nil"/>
              <w:bottom w:val="single" w:sz="8" w:space="0" w:color="auto"/>
              <w:right w:val="single" w:sz="8" w:space="0" w:color="auto"/>
            </w:tcBorders>
            <w:shd w:val="clear" w:color="auto" w:fill="auto"/>
            <w:noWrap/>
            <w:hideMark/>
          </w:tcPr>
          <w:p w14:paraId="787F575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 xml:space="preserve">SIA "Publisko aktīvu pārvaldītājs </w:t>
            </w:r>
            <w:proofErr w:type="spellStart"/>
            <w:r w:rsidRPr="005E41CA">
              <w:rPr>
                <w:rFonts w:eastAsia="Calibri" w:cs="Times New Roman"/>
                <w:sz w:val="18"/>
                <w:szCs w:val="18"/>
                <w:lang w:eastAsia="en-US"/>
              </w:rPr>
              <w:t>Possessor</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4845889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2 782 724</w:t>
            </w:r>
          </w:p>
        </w:tc>
        <w:tc>
          <w:tcPr>
            <w:tcW w:w="2121" w:type="dxa"/>
            <w:tcBorders>
              <w:top w:val="nil"/>
              <w:left w:val="nil"/>
              <w:bottom w:val="single" w:sz="8" w:space="0" w:color="auto"/>
              <w:right w:val="single" w:sz="8" w:space="0" w:color="auto"/>
            </w:tcBorders>
            <w:shd w:val="clear" w:color="auto" w:fill="auto"/>
            <w:noWrap/>
            <w:hideMark/>
          </w:tcPr>
          <w:p w14:paraId="2E96758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2 737 423</w:t>
            </w:r>
          </w:p>
        </w:tc>
        <w:tc>
          <w:tcPr>
            <w:tcW w:w="2177" w:type="dxa"/>
            <w:tcBorders>
              <w:top w:val="nil"/>
              <w:left w:val="nil"/>
              <w:bottom w:val="single" w:sz="8" w:space="0" w:color="auto"/>
              <w:right w:val="single" w:sz="8" w:space="0" w:color="auto"/>
            </w:tcBorders>
            <w:shd w:val="clear" w:color="auto" w:fill="auto"/>
            <w:noWrap/>
            <w:hideMark/>
          </w:tcPr>
          <w:p w14:paraId="5D289AD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45 301</w:t>
            </w:r>
          </w:p>
        </w:tc>
      </w:tr>
      <w:tr w:rsidR="005E41CA" w:rsidRPr="005E41CA" w14:paraId="16B5EA1E"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931C68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39</w:t>
            </w:r>
          </w:p>
        </w:tc>
        <w:tc>
          <w:tcPr>
            <w:tcW w:w="6663" w:type="dxa"/>
            <w:tcBorders>
              <w:top w:val="nil"/>
              <w:left w:val="nil"/>
              <w:bottom w:val="single" w:sz="8" w:space="0" w:color="auto"/>
              <w:right w:val="single" w:sz="8" w:space="0" w:color="auto"/>
            </w:tcBorders>
            <w:shd w:val="clear" w:color="auto" w:fill="auto"/>
            <w:noWrap/>
            <w:hideMark/>
          </w:tcPr>
          <w:p w14:paraId="1598EB4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"REAP"</w:t>
            </w:r>
          </w:p>
        </w:tc>
        <w:tc>
          <w:tcPr>
            <w:tcW w:w="2121" w:type="dxa"/>
            <w:tcBorders>
              <w:top w:val="nil"/>
              <w:left w:val="nil"/>
              <w:bottom w:val="single" w:sz="8" w:space="0" w:color="auto"/>
              <w:right w:val="single" w:sz="8" w:space="0" w:color="auto"/>
            </w:tcBorders>
            <w:shd w:val="clear" w:color="auto" w:fill="auto"/>
            <w:noWrap/>
            <w:hideMark/>
          </w:tcPr>
          <w:p w14:paraId="2685CC6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75FFFA5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195 200</w:t>
            </w:r>
          </w:p>
        </w:tc>
        <w:tc>
          <w:tcPr>
            <w:tcW w:w="2177" w:type="dxa"/>
            <w:tcBorders>
              <w:top w:val="nil"/>
              <w:left w:val="nil"/>
              <w:bottom w:val="single" w:sz="8" w:space="0" w:color="auto"/>
              <w:right w:val="single" w:sz="8" w:space="0" w:color="auto"/>
            </w:tcBorders>
            <w:shd w:val="clear" w:color="auto" w:fill="auto"/>
            <w:noWrap/>
            <w:hideMark/>
          </w:tcPr>
          <w:p w14:paraId="7834A54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-195 200</w:t>
            </w:r>
          </w:p>
        </w:tc>
      </w:tr>
      <w:tr w:rsidR="005E41CA" w:rsidRPr="005E41CA" w14:paraId="7D93B784"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BE3397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40</w:t>
            </w:r>
          </w:p>
        </w:tc>
        <w:tc>
          <w:tcPr>
            <w:tcW w:w="6663" w:type="dxa"/>
            <w:tcBorders>
              <w:top w:val="nil"/>
              <w:left w:val="nil"/>
              <w:bottom w:val="single" w:sz="8" w:space="0" w:color="auto"/>
              <w:right w:val="single" w:sz="8" w:space="0" w:color="auto"/>
            </w:tcBorders>
            <w:shd w:val="clear" w:color="auto" w:fill="auto"/>
            <w:noWrap/>
            <w:hideMark/>
          </w:tcPr>
          <w:p w14:paraId="37208FC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w:t>
            </w:r>
            <w:proofErr w:type="spellStart"/>
            <w:r w:rsidRPr="005E41CA">
              <w:rPr>
                <w:rFonts w:eastAsia="Calibri" w:cs="Times New Roman"/>
                <w:sz w:val="18"/>
                <w:szCs w:val="18"/>
                <w:lang w:eastAsia="en-US"/>
              </w:rPr>
              <w:t>Reverta</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7737ACD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2DED8F4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0D9DE62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4EE1C262"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26F4302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41</w:t>
            </w:r>
          </w:p>
        </w:tc>
        <w:tc>
          <w:tcPr>
            <w:tcW w:w="6663" w:type="dxa"/>
            <w:tcBorders>
              <w:top w:val="nil"/>
              <w:left w:val="nil"/>
              <w:bottom w:val="single" w:sz="8" w:space="0" w:color="auto"/>
              <w:right w:val="single" w:sz="8" w:space="0" w:color="auto"/>
            </w:tcBorders>
            <w:shd w:val="clear" w:color="auto" w:fill="auto"/>
            <w:noWrap/>
            <w:hideMark/>
          </w:tcPr>
          <w:p w14:paraId="00E7082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"Rīgas Austrumu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3A2F9EE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233 085 603</w:t>
            </w:r>
          </w:p>
        </w:tc>
        <w:tc>
          <w:tcPr>
            <w:tcW w:w="2121" w:type="dxa"/>
            <w:tcBorders>
              <w:top w:val="nil"/>
              <w:left w:val="nil"/>
              <w:bottom w:val="single" w:sz="8" w:space="0" w:color="auto"/>
              <w:right w:val="single" w:sz="8" w:space="0" w:color="auto"/>
            </w:tcBorders>
            <w:shd w:val="clear" w:color="auto" w:fill="auto"/>
            <w:noWrap/>
            <w:hideMark/>
          </w:tcPr>
          <w:p w14:paraId="4FF0A1C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227 963 546</w:t>
            </w:r>
          </w:p>
        </w:tc>
        <w:tc>
          <w:tcPr>
            <w:tcW w:w="2177" w:type="dxa"/>
            <w:tcBorders>
              <w:top w:val="nil"/>
              <w:left w:val="nil"/>
              <w:bottom w:val="single" w:sz="8" w:space="0" w:color="auto"/>
              <w:right w:val="single" w:sz="8" w:space="0" w:color="auto"/>
            </w:tcBorders>
            <w:shd w:val="clear" w:color="auto" w:fill="auto"/>
            <w:noWrap/>
            <w:hideMark/>
          </w:tcPr>
          <w:p w14:paraId="5D7AE64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5 122 057</w:t>
            </w:r>
          </w:p>
        </w:tc>
      </w:tr>
      <w:tr w:rsidR="005E41CA" w:rsidRPr="005E41CA" w14:paraId="7F1D83C8"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5EAFC1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42</w:t>
            </w:r>
          </w:p>
        </w:tc>
        <w:tc>
          <w:tcPr>
            <w:tcW w:w="6663" w:type="dxa"/>
            <w:tcBorders>
              <w:top w:val="nil"/>
              <w:left w:val="nil"/>
              <w:bottom w:val="single" w:sz="8" w:space="0" w:color="auto"/>
              <w:right w:val="single" w:sz="8" w:space="0" w:color="auto"/>
            </w:tcBorders>
            <w:shd w:val="clear" w:color="auto" w:fill="auto"/>
            <w:noWrap/>
            <w:hideMark/>
          </w:tcPr>
          <w:p w14:paraId="62D6246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"Rīgas Cirks"</w:t>
            </w:r>
          </w:p>
        </w:tc>
        <w:tc>
          <w:tcPr>
            <w:tcW w:w="2121" w:type="dxa"/>
            <w:tcBorders>
              <w:top w:val="nil"/>
              <w:left w:val="nil"/>
              <w:bottom w:val="single" w:sz="8" w:space="0" w:color="auto"/>
              <w:right w:val="single" w:sz="8" w:space="0" w:color="auto"/>
            </w:tcBorders>
            <w:shd w:val="clear" w:color="auto" w:fill="auto"/>
            <w:noWrap/>
            <w:hideMark/>
          </w:tcPr>
          <w:p w14:paraId="4C3F245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976 569</w:t>
            </w:r>
          </w:p>
        </w:tc>
        <w:tc>
          <w:tcPr>
            <w:tcW w:w="2121" w:type="dxa"/>
            <w:tcBorders>
              <w:top w:val="nil"/>
              <w:left w:val="nil"/>
              <w:bottom w:val="single" w:sz="8" w:space="0" w:color="auto"/>
              <w:right w:val="single" w:sz="8" w:space="0" w:color="auto"/>
            </w:tcBorders>
            <w:shd w:val="clear" w:color="auto" w:fill="auto"/>
            <w:noWrap/>
            <w:hideMark/>
          </w:tcPr>
          <w:p w14:paraId="2D60E0F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736 215</w:t>
            </w:r>
          </w:p>
        </w:tc>
        <w:tc>
          <w:tcPr>
            <w:tcW w:w="2177" w:type="dxa"/>
            <w:tcBorders>
              <w:top w:val="nil"/>
              <w:left w:val="nil"/>
              <w:bottom w:val="single" w:sz="8" w:space="0" w:color="auto"/>
              <w:right w:val="single" w:sz="8" w:space="0" w:color="auto"/>
            </w:tcBorders>
            <w:shd w:val="clear" w:color="auto" w:fill="auto"/>
            <w:noWrap/>
            <w:hideMark/>
          </w:tcPr>
          <w:p w14:paraId="78A222C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240 354</w:t>
            </w:r>
          </w:p>
        </w:tc>
      </w:tr>
      <w:tr w:rsidR="005E41CA" w:rsidRPr="005E41CA" w14:paraId="3FDDDBF6"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2A559F2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43</w:t>
            </w:r>
          </w:p>
        </w:tc>
        <w:tc>
          <w:tcPr>
            <w:tcW w:w="6663" w:type="dxa"/>
            <w:tcBorders>
              <w:top w:val="nil"/>
              <w:left w:val="nil"/>
              <w:bottom w:val="single" w:sz="8" w:space="0" w:color="auto"/>
              <w:right w:val="single" w:sz="8" w:space="0" w:color="auto"/>
            </w:tcBorders>
            <w:shd w:val="clear" w:color="auto" w:fill="auto"/>
            <w:noWrap/>
            <w:hideMark/>
          </w:tcPr>
          <w:p w14:paraId="31C7224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"Rīgas psihiatrijas un narkoloģijas centrs"</w:t>
            </w:r>
          </w:p>
        </w:tc>
        <w:tc>
          <w:tcPr>
            <w:tcW w:w="2121" w:type="dxa"/>
            <w:tcBorders>
              <w:top w:val="nil"/>
              <w:left w:val="nil"/>
              <w:bottom w:val="single" w:sz="8" w:space="0" w:color="auto"/>
              <w:right w:val="single" w:sz="8" w:space="0" w:color="auto"/>
            </w:tcBorders>
            <w:shd w:val="clear" w:color="auto" w:fill="auto"/>
            <w:noWrap/>
            <w:hideMark/>
          </w:tcPr>
          <w:p w14:paraId="3F7B2E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30 092 716</w:t>
            </w:r>
          </w:p>
        </w:tc>
        <w:tc>
          <w:tcPr>
            <w:tcW w:w="2121" w:type="dxa"/>
            <w:tcBorders>
              <w:top w:val="nil"/>
              <w:left w:val="nil"/>
              <w:bottom w:val="single" w:sz="8" w:space="0" w:color="auto"/>
              <w:right w:val="single" w:sz="8" w:space="0" w:color="auto"/>
            </w:tcBorders>
            <w:shd w:val="clear" w:color="auto" w:fill="auto"/>
            <w:noWrap/>
            <w:hideMark/>
          </w:tcPr>
          <w:p w14:paraId="73A73E2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30 953 716</w:t>
            </w:r>
          </w:p>
        </w:tc>
        <w:tc>
          <w:tcPr>
            <w:tcW w:w="2177" w:type="dxa"/>
            <w:tcBorders>
              <w:top w:val="nil"/>
              <w:left w:val="nil"/>
              <w:bottom w:val="single" w:sz="8" w:space="0" w:color="auto"/>
              <w:right w:val="single" w:sz="8" w:space="0" w:color="auto"/>
            </w:tcBorders>
            <w:shd w:val="clear" w:color="auto" w:fill="auto"/>
            <w:noWrap/>
            <w:hideMark/>
          </w:tcPr>
          <w:p w14:paraId="720834C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-861 000</w:t>
            </w:r>
          </w:p>
        </w:tc>
      </w:tr>
      <w:tr w:rsidR="005E41CA" w:rsidRPr="005E41CA" w14:paraId="3DA99AC9"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D4C373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44</w:t>
            </w:r>
          </w:p>
        </w:tc>
        <w:tc>
          <w:tcPr>
            <w:tcW w:w="6663" w:type="dxa"/>
            <w:tcBorders>
              <w:top w:val="nil"/>
              <w:left w:val="nil"/>
              <w:bottom w:val="single" w:sz="8" w:space="0" w:color="auto"/>
              <w:right w:val="single" w:sz="8" w:space="0" w:color="auto"/>
            </w:tcBorders>
            <w:shd w:val="clear" w:color="auto" w:fill="auto"/>
            <w:noWrap/>
            <w:hideMark/>
          </w:tcPr>
          <w:p w14:paraId="2FEF4AC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"Rīgas Tūrisma un radošās industrijas tehnikums"</w:t>
            </w:r>
          </w:p>
        </w:tc>
        <w:tc>
          <w:tcPr>
            <w:tcW w:w="2121" w:type="dxa"/>
            <w:tcBorders>
              <w:top w:val="nil"/>
              <w:left w:val="nil"/>
              <w:bottom w:val="single" w:sz="8" w:space="0" w:color="auto"/>
              <w:right w:val="single" w:sz="8" w:space="0" w:color="auto"/>
            </w:tcBorders>
            <w:shd w:val="clear" w:color="auto" w:fill="auto"/>
            <w:noWrap/>
            <w:hideMark/>
          </w:tcPr>
          <w:p w14:paraId="0A15135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7 159 000</w:t>
            </w:r>
          </w:p>
        </w:tc>
        <w:tc>
          <w:tcPr>
            <w:tcW w:w="2121" w:type="dxa"/>
            <w:tcBorders>
              <w:top w:val="nil"/>
              <w:left w:val="nil"/>
              <w:bottom w:val="single" w:sz="8" w:space="0" w:color="auto"/>
              <w:right w:val="single" w:sz="8" w:space="0" w:color="auto"/>
            </w:tcBorders>
            <w:shd w:val="clear" w:color="auto" w:fill="auto"/>
            <w:noWrap/>
            <w:hideMark/>
          </w:tcPr>
          <w:p w14:paraId="65945A1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7 155 150</w:t>
            </w:r>
          </w:p>
        </w:tc>
        <w:tc>
          <w:tcPr>
            <w:tcW w:w="2177" w:type="dxa"/>
            <w:tcBorders>
              <w:top w:val="nil"/>
              <w:left w:val="nil"/>
              <w:bottom w:val="single" w:sz="8" w:space="0" w:color="auto"/>
              <w:right w:val="single" w:sz="8" w:space="0" w:color="auto"/>
            </w:tcBorders>
            <w:shd w:val="clear" w:color="auto" w:fill="auto"/>
            <w:noWrap/>
            <w:hideMark/>
          </w:tcPr>
          <w:p w14:paraId="0750B12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3 850</w:t>
            </w:r>
          </w:p>
        </w:tc>
      </w:tr>
      <w:tr w:rsidR="005E41CA" w:rsidRPr="005E41CA" w14:paraId="2214108F"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2EA3D48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45</w:t>
            </w:r>
          </w:p>
        </w:tc>
        <w:tc>
          <w:tcPr>
            <w:tcW w:w="6663" w:type="dxa"/>
            <w:tcBorders>
              <w:top w:val="nil"/>
              <w:left w:val="nil"/>
              <w:bottom w:val="single" w:sz="8" w:space="0" w:color="auto"/>
              <w:right w:val="single" w:sz="8" w:space="0" w:color="auto"/>
            </w:tcBorders>
            <w:shd w:val="clear" w:color="auto" w:fill="auto"/>
            <w:noWrap/>
            <w:hideMark/>
          </w:tcPr>
          <w:p w14:paraId="5E1D322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"RTU Starptautiskā zinātņu un tehnoloģiju skola"</w:t>
            </w:r>
          </w:p>
        </w:tc>
        <w:tc>
          <w:tcPr>
            <w:tcW w:w="2121" w:type="dxa"/>
            <w:tcBorders>
              <w:top w:val="nil"/>
              <w:left w:val="nil"/>
              <w:bottom w:val="single" w:sz="8" w:space="0" w:color="auto"/>
              <w:right w:val="single" w:sz="8" w:space="0" w:color="auto"/>
            </w:tcBorders>
            <w:shd w:val="clear" w:color="auto" w:fill="auto"/>
            <w:noWrap/>
            <w:hideMark/>
          </w:tcPr>
          <w:p w14:paraId="21191C3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530 000</w:t>
            </w:r>
          </w:p>
        </w:tc>
        <w:tc>
          <w:tcPr>
            <w:tcW w:w="2121" w:type="dxa"/>
            <w:tcBorders>
              <w:top w:val="nil"/>
              <w:left w:val="nil"/>
              <w:bottom w:val="single" w:sz="8" w:space="0" w:color="auto"/>
              <w:right w:val="single" w:sz="8" w:space="0" w:color="auto"/>
            </w:tcBorders>
            <w:shd w:val="clear" w:color="auto" w:fill="auto"/>
            <w:noWrap/>
            <w:hideMark/>
          </w:tcPr>
          <w:p w14:paraId="5B5B557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513 890</w:t>
            </w:r>
          </w:p>
        </w:tc>
        <w:tc>
          <w:tcPr>
            <w:tcW w:w="2177" w:type="dxa"/>
            <w:tcBorders>
              <w:top w:val="nil"/>
              <w:left w:val="nil"/>
              <w:bottom w:val="single" w:sz="8" w:space="0" w:color="auto"/>
              <w:right w:val="single" w:sz="8" w:space="0" w:color="auto"/>
            </w:tcBorders>
            <w:shd w:val="clear" w:color="auto" w:fill="auto"/>
            <w:noWrap/>
            <w:hideMark/>
          </w:tcPr>
          <w:p w14:paraId="59EADC5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16 110</w:t>
            </w:r>
          </w:p>
        </w:tc>
      </w:tr>
      <w:tr w:rsidR="005E41CA" w:rsidRPr="005E41CA" w14:paraId="0A9790C1"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76CC09B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46</w:t>
            </w:r>
          </w:p>
        </w:tc>
        <w:tc>
          <w:tcPr>
            <w:tcW w:w="6663" w:type="dxa"/>
            <w:tcBorders>
              <w:top w:val="nil"/>
              <w:left w:val="nil"/>
              <w:bottom w:val="single" w:sz="8" w:space="0" w:color="auto"/>
              <w:right w:val="single" w:sz="8" w:space="0" w:color="auto"/>
            </w:tcBorders>
            <w:shd w:val="clear" w:color="auto" w:fill="auto"/>
            <w:noWrap/>
            <w:hideMark/>
          </w:tcPr>
          <w:p w14:paraId="0C9D0A5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Starptautiskā Rakstnieku un tulkotāju māja"</w:t>
            </w:r>
          </w:p>
        </w:tc>
        <w:tc>
          <w:tcPr>
            <w:tcW w:w="2121" w:type="dxa"/>
            <w:tcBorders>
              <w:top w:val="nil"/>
              <w:left w:val="nil"/>
              <w:bottom w:val="single" w:sz="8" w:space="0" w:color="auto"/>
              <w:right w:val="single" w:sz="8" w:space="0" w:color="auto"/>
            </w:tcBorders>
            <w:shd w:val="clear" w:color="auto" w:fill="auto"/>
            <w:noWrap/>
            <w:hideMark/>
          </w:tcPr>
          <w:p w14:paraId="7FA399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830 000</w:t>
            </w:r>
          </w:p>
        </w:tc>
        <w:tc>
          <w:tcPr>
            <w:tcW w:w="2121" w:type="dxa"/>
            <w:tcBorders>
              <w:top w:val="nil"/>
              <w:left w:val="nil"/>
              <w:bottom w:val="single" w:sz="8" w:space="0" w:color="auto"/>
              <w:right w:val="single" w:sz="8" w:space="0" w:color="auto"/>
            </w:tcBorders>
            <w:shd w:val="clear" w:color="auto" w:fill="auto"/>
            <w:noWrap/>
            <w:hideMark/>
          </w:tcPr>
          <w:p w14:paraId="42385C2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832 855</w:t>
            </w:r>
          </w:p>
        </w:tc>
        <w:tc>
          <w:tcPr>
            <w:tcW w:w="2177" w:type="dxa"/>
            <w:tcBorders>
              <w:top w:val="nil"/>
              <w:left w:val="nil"/>
              <w:bottom w:val="single" w:sz="8" w:space="0" w:color="auto"/>
              <w:right w:val="single" w:sz="8" w:space="0" w:color="auto"/>
            </w:tcBorders>
            <w:shd w:val="clear" w:color="auto" w:fill="auto"/>
            <w:noWrap/>
            <w:hideMark/>
          </w:tcPr>
          <w:p w14:paraId="0734AB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-2 855</w:t>
            </w:r>
          </w:p>
        </w:tc>
      </w:tr>
      <w:tr w:rsidR="005E41CA" w:rsidRPr="005E41CA" w14:paraId="40D5DCB2"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7398E07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47</w:t>
            </w:r>
          </w:p>
        </w:tc>
        <w:tc>
          <w:tcPr>
            <w:tcW w:w="6663" w:type="dxa"/>
            <w:tcBorders>
              <w:top w:val="nil"/>
              <w:left w:val="nil"/>
              <w:bottom w:val="single" w:sz="8" w:space="0" w:color="auto"/>
              <w:right w:val="single" w:sz="8" w:space="0" w:color="auto"/>
            </w:tcBorders>
            <w:shd w:val="clear" w:color="auto" w:fill="auto"/>
            <w:noWrap/>
            <w:hideMark/>
          </w:tcPr>
          <w:p w14:paraId="4AE79FA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"Strenču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32E4978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9 792 434</w:t>
            </w:r>
          </w:p>
        </w:tc>
        <w:tc>
          <w:tcPr>
            <w:tcW w:w="2121" w:type="dxa"/>
            <w:tcBorders>
              <w:top w:val="nil"/>
              <w:left w:val="nil"/>
              <w:bottom w:val="single" w:sz="8" w:space="0" w:color="auto"/>
              <w:right w:val="single" w:sz="8" w:space="0" w:color="auto"/>
            </w:tcBorders>
            <w:shd w:val="clear" w:color="auto" w:fill="auto"/>
            <w:noWrap/>
            <w:hideMark/>
          </w:tcPr>
          <w:p w14:paraId="0695989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9 730 428</w:t>
            </w:r>
          </w:p>
        </w:tc>
        <w:tc>
          <w:tcPr>
            <w:tcW w:w="2177" w:type="dxa"/>
            <w:tcBorders>
              <w:top w:val="nil"/>
              <w:left w:val="nil"/>
              <w:bottom w:val="single" w:sz="8" w:space="0" w:color="auto"/>
              <w:right w:val="single" w:sz="8" w:space="0" w:color="auto"/>
            </w:tcBorders>
            <w:shd w:val="clear" w:color="auto" w:fill="auto"/>
            <w:noWrap/>
            <w:hideMark/>
          </w:tcPr>
          <w:p w14:paraId="340BB97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62 006</w:t>
            </w:r>
          </w:p>
        </w:tc>
      </w:tr>
      <w:tr w:rsidR="005E41CA" w:rsidRPr="005E41CA" w14:paraId="798D8F15"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7807EC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48</w:t>
            </w:r>
          </w:p>
        </w:tc>
        <w:tc>
          <w:tcPr>
            <w:tcW w:w="6663" w:type="dxa"/>
            <w:tcBorders>
              <w:top w:val="nil"/>
              <w:left w:val="nil"/>
              <w:bottom w:val="single" w:sz="8" w:space="0" w:color="auto"/>
              <w:right w:val="single" w:sz="8" w:space="0" w:color="auto"/>
            </w:tcBorders>
            <w:shd w:val="clear" w:color="auto" w:fill="auto"/>
            <w:noWrap/>
            <w:hideMark/>
          </w:tcPr>
          <w:p w14:paraId="478CFB5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"Šampētera nams"</w:t>
            </w:r>
          </w:p>
        </w:tc>
        <w:tc>
          <w:tcPr>
            <w:tcW w:w="2121" w:type="dxa"/>
            <w:tcBorders>
              <w:top w:val="nil"/>
              <w:left w:val="nil"/>
              <w:bottom w:val="single" w:sz="8" w:space="0" w:color="auto"/>
              <w:right w:val="single" w:sz="8" w:space="0" w:color="auto"/>
            </w:tcBorders>
            <w:shd w:val="clear" w:color="auto" w:fill="auto"/>
            <w:noWrap/>
            <w:hideMark/>
          </w:tcPr>
          <w:p w14:paraId="0692873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2 639 189</w:t>
            </w:r>
          </w:p>
        </w:tc>
        <w:tc>
          <w:tcPr>
            <w:tcW w:w="2121" w:type="dxa"/>
            <w:tcBorders>
              <w:top w:val="nil"/>
              <w:left w:val="nil"/>
              <w:bottom w:val="single" w:sz="8" w:space="0" w:color="auto"/>
              <w:right w:val="single" w:sz="8" w:space="0" w:color="auto"/>
            </w:tcBorders>
            <w:shd w:val="clear" w:color="auto" w:fill="auto"/>
            <w:noWrap/>
            <w:hideMark/>
          </w:tcPr>
          <w:p w14:paraId="3E5AA16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2 654 169</w:t>
            </w:r>
          </w:p>
        </w:tc>
        <w:tc>
          <w:tcPr>
            <w:tcW w:w="2177" w:type="dxa"/>
            <w:tcBorders>
              <w:top w:val="nil"/>
              <w:left w:val="nil"/>
              <w:bottom w:val="single" w:sz="8" w:space="0" w:color="auto"/>
              <w:right w:val="single" w:sz="8" w:space="0" w:color="auto"/>
            </w:tcBorders>
            <w:shd w:val="clear" w:color="auto" w:fill="auto"/>
            <w:noWrap/>
            <w:hideMark/>
          </w:tcPr>
          <w:p w14:paraId="35EDA98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-14 980</w:t>
            </w:r>
          </w:p>
        </w:tc>
      </w:tr>
      <w:tr w:rsidR="005E41CA" w:rsidRPr="005E41CA" w14:paraId="7EA9B243"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6B720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49</w:t>
            </w:r>
          </w:p>
        </w:tc>
        <w:tc>
          <w:tcPr>
            <w:tcW w:w="6663" w:type="dxa"/>
            <w:tcBorders>
              <w:top w:val="nil"/>
              <w:left w:val="nil"/>
              <w:bottom w:val="single" w:sz="8" w:space="0" w:color="auto"/>
              <w:right w:val="single" w:sz="8" w:space="0" w:color="auto"/>
            </w:tcBorders>
            <w:shd w:val="clear" w:color="auto" w:fill="auto"/>
            <w:noWrap/>
            <w:hideMark/>
          </w:tcPr>
          <w:p w14:paraId="7A5A287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"Tiesu namu aģentūra"</w:t>
            </w:r>
          </w:p>
        </w:tc>
        <w:tc>
          <w:tcPr>
            <w:tcW w:w="2121" w:type="dxa"/>
            <w:tcBorders>
              <w:top w:val="nil"/>
              <w:left w:val="nil"/>
              <w:bottom w:val="single" w:sz="8" w:space="0" w:color="auto"/>
              <w:right w:val="single" w:sz="8" w:space="0" w:color="auto"/>
            </w:tcBorders>
            <w:shd w:val="clear" w:color="auto" w:fill="auto"/>
            <w:noWrap/>
            <w:hideMark/>
          </w:tcPr>
          <w:p w14:paraId="6FCEB64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9 050 000</w:t>
            </w:r>
          </w:p>
        </w:tc>
        <w:tc>
          <w:tcPr>
            <w:tcW w:w="2121" w:type="dxa"/>
            <w:tcBorders>
              <w:top w:val="nil"/>
              <w:left w:val="nil"/>
              <w:bottom w:val="single" w:sz="8" w:space="0" w:color="auto"/>
              <w:right w:val="single" w:sz="8" w:space="0" w:color="auto"/>
            </w:tcBorders>
            <w:shd w:val="clear" w:color="auto" w:fill="auto"/>
            <w:noWrap/>
            <w:hideMark/>
          </w:tcPr>
          <w:p w14:paraId="68333D8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13 453 000</w:t>
            </w:r>
          </w:p>
        </w:tc>
        <w:tc>
          <w:tcPr>
            <w:tcW w:w="2177" w:type="dxa"/>
            <w:tcBorders>
              <w:top w:val="nil"/>
              <w:left w:val="nil"/>
              <w:bottom w:val="single" w:sz="8" w:space="0" w:color="auto"/>
              <w:right w:val="single" w:sz="8" w:space="0" w:color="auto"/>
            </w:tcBorders>
            <w:shd w:val="clear" w:color="auto" w:fill="auto"/>
            <w:noWrap/>
            <w:hideMark/>
          </w:tcPr>
          <w:p w14:paraId="10CC0A0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-4 403 000</w:t>
            </w:r>
          </w:p>
        </w:tc>
      </w:tr>
      <w:tr w:rsidR="005E41CA" w:rsidRPr="005E41CA" w14:paraId="050E4767"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F28C0F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lastRenderedPageBreak/>
              <w:t>50</w:t>
            </w:r>
          </w:p>
        </w:tc>
        <w:tc>
          <w:tcPr>
            <w:tcW w:w="6663" w:type="dxa"/>
            <w:tcBorders>
              <w:top w:val="nil"/>
              <w:left w:val="nil"/>
              <w:bottom w:val="single" w:sz="8" w:space="0" w:color="auto"/>
              <w:right w:val="single" w:sz="8" w:space="0" w:color="auto"/>
            </w:tcBorders>
            <w:shd w:val="clear" w:color="auto" w:fill="auto"/>
            <w:noWrap/>
            <w:hideMark/>
          </w:tcPr>
          <w:p w14:paraId="698034C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"Traumatoloģijas un ortopēdijas slimnīca"</w:t>
            </w:r>
          </w:p>
        </w:tc>
        <w:tc>
          <w:tcPr>
            <w:tcW w:w="2121" w:type="dxa"/>
            <w:tcBorders>
              <w:top w:val="nil"/>
              <w:left w:val="nil"/>
              <w:bottom w:val="single" w:sz="8" w:space="0" w:color="auto"/>
              <w:right w:val="single" w:sz="8" w:space="0" w:color="auto"/>
            </w:tcBorders>
            <w:shd w:val="clear" w:color="auto" w:fill="auto"/>
            <w:noWrap/>
            <w:hideMark/>
          </w:tcPr>
          <w:p w14:paraId="767576B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26 780 000</w:t>
            </w:r>
          </w:p>
        </w:tc>
        <w:tc>
          <w:tcPr>
            <w:tcW w:w="2121" w:type="dxa"/>
            <w:tcBorders>
              <w:top w:val="nil"/>
              <w:left w:val="nil"/>
              <w:bottom w:val="single" w:sz="8" w:space="0" w:color="auto"/>
              <w:right w:val="single" w:sz="8" w:space="0" w:color="auto"/>
            </w:tcBorders>
            <w:shd w:val="clear" w:color="auto" w:fill="auto"/>
            <w:noWrap/>
            <w:hideMark/>
          </w:tcPr>
          <w:p w14:paraId="1358C5D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26 754 840</w:t>
            </w:r>
          </w:p>
        </w:tc>
        <w:tc>
          <w:tcPr>
            <w:tcW w:w="2177" w:type="dxa"/>
            <w:tcBorders>
              <w:top w:val="nil"/>
              <w:left w:val="nil"/>
              <w:bottom w:val="single" w:sz="8" w:space="0" w:color="auto"/>
              <w:right w:val="single" w:sz="8" w:space="0" w:color="auto"/>
            </w:tcBorders>
            <w:shd w:val="clear" w:color="auto" w:fill="auto"/>
            <w:noWrap/>
            <w:hideMark/>
          </w:tcPr>
          <w:p w14:paraId="4FAB98B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25 160</w:t>
            </w:r>
          </w:p>
        </w:tc>
      </w:tr>
      <w:tr w:rsidR="005E41CA" w:rsidRPr="005E41CA" w14:paraId="7F0FCD08"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0FD5E04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51</w:t>
            </w:r>
          </w:p>
        </w:tc>
        <w:tc>
          <w:tcPr>
            <w:tcW w:w="6663" w:type="dxa"/>
            <w:tcBorders>
              <w:top w:val="nil"/>
              <w:left w:val="nil"/>
              <w:bottom w:val="single" w:sz="8" w:space="0" w:color="auto"/>
              <w:right w:val="single" w:sz="8" w:space="0" w:color="auto"/>
            </w:tcBorders>
            <w:shd w:val="clear" w:color="auto" w:fill="auto"/>
            <w:noWrap/>
            <w:hideMark/>
          </w:tcPr>
          <w:p w14:paraId="1B09136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"Nacionālais rehabilitācijas centrs "Vaivari""</w:t>
            </w:r>
          </w:p>
        </w:tc>
        <w:tc>
          <w:tcPr>
            <w:tcW w:w="2121" w:type="dxa"/>
            <w:tcBorders>
              <w:top w:val="nil"/>
              <w:left w:val="nil"/>
              <w:bottom w:val="single" w:sz="8" w:space="0" w:color="auto"/>
              <w:right w:val="single" w:sz="8" w:space="0" w:color="auto"/>
            </w:tcBorders>
            <w:shd w:val="clear" w:color="auto" w:fill="auto"/>
            <w:noWrap/>
            <w:hideMark/>
          </w:tcPr>
          <w:p w14:paraId="463A1E9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20 147 337</w:t>
            </w:r>
          </w:p>
        </w:tc>
        <w:tc>
          <w:tcPr>
            <w:tcW w:w="2121" w:type="dxa"/>
            <w:tcBorders>
              <w:top w:val="nil"/>
              <w:left w:val="nil"/>
              <w:bottom w:val="single" w:sz="8" w:space="0" w:color="auto"/>
              <w:right w:val="single" w:sz="8" w:space="0" w:color="auto"/>
            </w:tcBorders>
            <w:shd w:val="clear" w:color="auto" w:fill="auto"/>
            <w:noWrap/>
            <w:hideMark/>
          </w:tcPr>
          <w:p w14:paraId="3EB3C42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20 812 358</w:t>
            </w:r>
          </w:p>
        </w:tc>
        <w:tc>
          <w:tcPr>
            <w:tcW w:w="2177" w:type="dxa"/>
            <w:tcBorders>
              <w:top w:val="nil"/>
              <w:left w:val="nil"/>
              <w:bottom w:val="single" w:sz="8" w:space="0" w:color="auto"/>
              <w:right w:val="single" w:sz="8" w:space="0" w:color="auto"/>
            </w:tcBorders>
            <w:shd w:val="clear" w:color="auto" w:fill="auto"/>
            <w:noWrap/>
            <w:hideMark/>
          </w:tcPr>
          <w:p w14:paraId="11798C8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-665 021</w:t>
            </w:r>
          </w:p>
        </w:tc>
      </w:tr>
      <w:tr w:rsidR="005E41CA" w:rsidRPr="005E41CA" w14:paraId="501256DA"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1C39B78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52</w:t>
            </w:r>
          </w:p>
        </w:tc>
        <w:tc>
          <w:tcPr>
            <w:tcW w:w="6663" w:type="dxa"/>
            <w:tcBorders>
              <w:top w:val="nil"/>
              <w:left w:val="nil"/>
              <w:bottom w:val="single" w:sz="8" w:space="0" w:color="auto"/>
              <w:right w:val="single" w:sz="8" w:space="0" w:color="auto"/>
            </w:tcBorders>
            <w:shd w:val="clear" w:color="auto" w:fill="auto"/>
            <w:noWrap/>
            <w:hideMark/>
          </w:tcPr>
          <w:p w14:paraId="6D416C4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"Valmieras drāmas teātris"</w:t>
            </w:r>
          </w:p>
        </w:tc>
        <w:tc>
          <w:tcPr>
            <w:tcW w:w="2121" w:type="dxa"/>
            <w:tcBorders>
              <w:top w:val="nil"/>
              <w:left w:val="nil"/>
              <w:bottom w:val="single" w:sz="8" w:space="0" w:color="auto"/>
              <w:right w:val="single" w:sz="8" w:space="0" w:color="auto"/>
            </w:tcBorders>
            <w:shd w:val="clear" w:color="auto" w:fill="auto"/>
            <w:noWrap/>
            <w:hideMark/>
          </w:tcPr>
          <w:p w14:paraId="01E31A1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736 481</w:t>
            </w:r>
          </w:p>
        </w:tc>
        <w:tc>
          <w:tcPr>
            <w:tcW w:w="2121" w:type="dxa"/>
            <w:tcBorders>
              <w:top w:val="nil"/>
              <w:left w:val="nil"/>
              <w:bottom w:val="single" w:sz="8" w:space="0" w:color="auto"/>
              <w:right w:val="single" w:sz="8" w:space="0" w:color="auto"/>
            </w:tcBorders>
            <w:shd w:val="clear" w:color="auto" w:fill="auto"/>
            <w:noWrap/>
            <w:hideMark/>
          </w:tcPr>
          <w:p w14:paraId="006D810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690 023</w:t>
            </w:r>
          </w:p>
        </w:tc>
        <w:tc>
          <w:tcPr>
            <w:tcW w:w="2177" w:type="dxa"/>
            <w:tcBorders>
              <w:top w:val="nil"/>
              <w:left w:val="nil"/>
              <w:bottom w:val="single" w:sz="8" w:space="0" w:color="auto"/>
              <w:right w:val="single" w:sz="8" w:space="0" w:color="auto"/>
            </w:tcBorders>
            <w:shd w:val="clear" w:color="auto" w:fill="auto"/>
            <w:noWrap/>
            <w:hideMark/>
          </w:tcPr>
          <w:p w14:paraId="03FB059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46 458</w:t>
            </w:r>
          </w:p>
        </w:tc>
      </w:tr>
      <w:tr w:rsidR="005E41CA" w:rsidRPr="005E41CA" w14:paraId="2ED71385"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A9AD09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53</w:t>
            </w:r>
          </w:p>
        </w:tc>
        <w:tc>
          <w:tcPr>
            <w:tcW w:w="6663" w:type="dxa"/>
            <w:tcBorders>
              <w:top w:val="nil"/>
              <w:left w:val="nil"/>
              <w:bottom w:val="single" w:sz="8" w:space="0" w:color="auto"/>
              <w:right w:val="single" w:sz="8" w:space="0" w:color="auto"/>
            </w:tcBorders>
            <w:shd w:val="clear" w:color="auto" w:fill="auto"/>
            <w:noWrap/>
            <w:hideMark/>
          </w:tcPr>
          <w:p w14:paraId="5040929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"Valsts nekustamie īpašumi"</w:t>
            </w:r>
          </w:p>
        </w:tc>
        <w:tc>
          <w:tcPr>
            <w:tcW w:w="2121" w:type="dxa"/>
            <w:tcBorders>
              <w:top w:val="nil"/>
              <w:left w:val="nil"/>
              <w:bottom w:val="single" w:sz="8" w:space="0" w:color="auto"/>
              <w:right w:val="single" w:sz="8" w:space="0" w:color="auto"/>
            </w:tcBorders>
            <w:shd w:val="clear" w:color="auto" w:fill="auto"/>
            <w:noWrap/>
            <w:hideMark/>
          </w:tcPr>
          <w:p w14:paraId="58444FA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44 816 411</w:t>
            </w:r>
          </w:p>
        </w:tc>
        <w:tc>
          <w:tcPr>
            <w:tcW w:w="2121" w:type="dxa"/>
            <w:tcBorders>
              <w:top w:val="nil"/>
              <w:left w:val="nil"/>
              <w:bottom w:val="single" w:sz="8" w:space="0" w:color="auto"/>
              <w:right w:val="single" w:sz="8" w:space="0" w:color="auto"/>
            </w:tcBorders>
            <w:shd w:val="clear" w:color="auto" w:fill="auto"/>
            <w:noWrap/>
            <w:hideMark/>
          </w:tcPr>
          <w:p w14:paraId="4FB04DE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49 651 587</w:t>
            </w:r>
          </w:p>
        </w:tc>
        <w:tc>
          <w:tcPr>
            <w:tcW w:w="2177" w:type="dxa"/>
            <w:tcBorders>
              <w:top w:val="nil"/>
              <w:left w:val="nil"/>
              <w:bottom w:val="single" w:sz="8" w:space="0" w:color="auto"/>
              <w:right w:val="single" w:sz="8" w:space="0" w:color="auto"/>
            </w:tcBorders>
            <w:shd w:val="clear" w:color="auto" w:fill="auto"/>
            <w:noWrap/>
            <w:hideMark/>
          </w:tcPr>
          <w:p w14:paraId="39A94C0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-4 835 176</w:t>
            </w:r>
          </w:p>
        </w:tc>
      </w:tr>
      <w:tr w:rsidR="005E41CA" w:rsidRPr="005E41CA" w14:paraId="25A14F01"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0C14A0C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54</w:t>
            </w:r>
          </w:p>
        </w:tc>
        <w:tc>
          <w:tcPr>
            <w:tcW w:w="6663" w:type="dxa"/>
            <w:tcBorders>
              <w:top w:val="nil"/>
              <w:left w:val="nil"/>
              <w:bottom w:val="single" w:sz="8" w:space="0" w:color="auto"/>
              <w:right w:val="single" w:sz="8" w:space="0" w:color="auto"/>
            </w:tcBorders>
            <w:shd w:val="clear" w:color="auto" w:fill="auto"/>
            <w:noWrap/>
            <w:hideMark/>
          </w:tcPr>
          <w:p w14:paraId="0E687C0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"Vides investīciju fonds"</w:t>
            </w:r>
          </w:p>
        </w:tc>
        <w:tc>
          <w:tcPr>
            <w:tcW w:w="2121" w:type="dxa"/>
            <w:tcBorders>
              <w:top w:val="nil"/>
              <w:left w:val="nil"/>
              <w:bottom w:val="single" w:sz="8" w:space="0" w:color="auto"/>
              <w:right w:val="single" w:sz="8" w:space="0" w:color="auto"/>
            </w:tcBorders>
            <w:shd w:val="clear" w:color="auto" w:fill="auto"/>
            <w:noWrap/>
            <w:hideMark/>
          </w:tcPr>
          <w:p w14:paraId="596B304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852 629</w:t>
            </w:r>
          </w:p>
        </w:tc>
        <w:tc>
          <w:tcPr>
            <w:tcW w:w="2121" w:type="dxa"/>
            <w:tcBorders>
              <w:top w:val="nil"/>
              <w:left w:val="nil"/>
              <w:bottom w:val="single" w:sz="8" w:space="0" w:color="auto"/>
              <w:right w:val="single" w:sz="8" w:space="0" w:color="auto"/>
            </w:tcBorders>
            <w:shd w:val="clear" w:color="auto" w:fill="auto"/>
            <w:noWrap/>
            <w:hideMark/>
          </w:tcPr>
          <w:p w14:paraId="0027C07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845 727</w:t>
            </w:r>
          </w:p>
        </w:tc>
        <w:tc>
          <w:tcPr>
            <w:tcW w:w="2177" w:type="dxa"/>
            <w:tcBorders>
              <w:top w:val="nil"/>
              <w:left w:val="nil"/>
              <w:bottom w:val="single" w:sz="8" w:space="0" w:color="auto"/>
              <w:right w:val="single" w:sz="8" w:space="0" w:color="auto"/>
            </w:tcBorders>
            <w:shd w:val="clear" w:color="auto" w:fill="auto"/>
            <w:noWrap/>
            <w:hideMark/>
          </w:tcPr>
          <w:p w14:paraId="100EDF8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6 902</w:t>
            </w:r>
          </w:p>
        </w:tc>
      </w:tr>
      <w:tr w:rsidR="005E41CA" w:rsidRPr="005E41CA" w14:paraId="4C69725E"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86093D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55</w:t>
            </w:r>
          </w:p>
        </w:tc>
        <w:tc>
          <w:tcPr>
            <w:tcW w:w="6663" w:type="dxa"/>
            <w:tcBorders>
              <w:top w:val="nil"/>
              <w:left w:val="nil"/>
              <w:bottom w:val="single" w:sz="8" w:space="0" w:color="auto"/>
              <w:right w:val="single" w:sz="8" w:space="0" w:color="auto"/>
            </w:tcBorders>
            <w:shd w:val="clear" w:color="auto" w:fill="auto"/>
            <w:noWrap/>
            <w:hideMark/>
          </w:tcPr>
          <w:p w14:paraId="6C1561A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"Zemkopības ministrijas nekustamie īpašumi"</w:t>
            </w:r>
          </w:p>
        </w:tc>
        <w:tc>
          <w:tcPr>
            <w:tcW w:w="2121" w:type="dxa"/>
            <w:tcBorders>
              <w:top w:val="nil"/>
              <w:left w:val="nil"/>
              <w:bottom w:val="single" w:sz="8" w:space="0" w:color="auto"/>
              <w:right w:val="single" w:sz="8" w:space="0" w:color="auto"/>
            </w:tcBorders>
            <w:shd w:val="clear" w:color="auto" w:fill="auto"/>
            <w:noWrap/>
            <w:hideMark/>
          </w:tcPr>
          <w:p w14:paraId="0B50DBE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2 394 700</w:t>
            </w:r>
          </w:p>
        </w:tc>
        <w:tc>
          <w:tcPr>
            <w:tcW w:w="2121" w:type="dxa"/>
            <w:tcBorders>
              <w:top w:val="nil"/>
              <w:left w:val="nil"/>
              <w:bottom w:val="single" w:sz="8" w:space="0" w:color="auto"/>
              <w:right w:val="single" w:sz="8" w:space="0" w:color="auto"/>
            </w:tcBorders>
            <w:shd w:val="clear" w:color="auto" w:fill="auto"/>
            <w:noWrap/>
            <w:hideMark/>
          </w:tcPr>
          <w:p w14:paraId="3810ED4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2 369 505</w:t>
            </w:r>
          </w:p>
        </w:tc>
        <w:tc>
          <w:tcPr>
            <w:tcW w:w="2177" w:type="dxa"/>
            <w:tcBorders>
              <w:top w:val="nil"/>
              <w:left w:val="nil"/>
              <w:bottom w:val="single" w:sz="8" w:space="0" w:color="auto"/>
              <w:right w:val="single" w:sz="8" w:space="0" w:color="auto"/>
            </w:tcBorders>
            <w:shd w:val="clear" w:color="auto" w:fill="auto"/>
            <w:noWrap/>
            <w:hideMark/>
          </w:tcPr>
          <w:p w14:paraId="7C6BBE1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25 195</w:t>
            </w:r>
          </w:p>
        </w:tc>
      </w:tr>
      <w:tr w:rsidR="005E41CA" w:rsidRPr="005E41CA" w14:paraId="52EAC413" w14:textId="77777777" w:rsidTr="006261DB">
        <w:trPr>
          <w:trHeight w:val="283"/>
        </w:trPr>
        <w:tc>
          <w:tcPr>
            <w:tcW w:w="1124" w:type="dxa"/>
            <w:tcBorders>
              <w:top w:val="nil"/>
              <w:left w:val="single" w:sz="8" w:space="0" w:color="auto"/>
              <w:bottom w:val="single" w:sz="8" w:space="0" w:color="auto"/>
              <w:right w:val="single" w:sz="8" w:space="0" w:color="auto"/>
            </w:tcBorders>
            <w:shd w:val="clear" w:color="000000" w:fill="DDEBF7"/>
            <w:noWrap/>
            <w:vAlign w:val="center"/>
            <w:hideMark/>
          </w:tcPr>
          <w:p w14:paraId="04556887" w14:textId="77777777"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S130330</w:t>
            </w:r>
          </w:p>
        </w:tc>
        <w:tc>
          <w:tcPr>
            <w:tcW w:w="6663" w:type="dxa"/>
            <w:tcBorders>
              <w:top w:val="nil"/>
              <w:left w:val="nil"/>
              <w:bottom w:val="single" w:sz="8" w:space="0" w:color="auto"/>
              <w:right w:val="single" w:sz="8" w:space="0" w:color="auto"/>
            </w:tcBorders>
            <w:shd w:val="clear" w:color="000000" w:fill="DDEBF7"/>
            <w:noWrap/>
            <w:vAlign w:val="center"/>
            <w:hideMark/>
          </w:tcPr>
          <w:p w14:paraId="5B97B77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Pašvaldības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66673C4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21816CE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7D3AC6D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r>
      <w:tr w:rsidR="005E41CA" w:rsidRPr="005E41CA" w14:paraId="4DF7555B"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1370FFE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56</w:t>
            </w:r>
          </w:p>
        </w:tc>
        <w:tc>
          <w:tcPr>
            <w:tcW w:w="6663" w:type="dxa"/>
            <w:tcBorders>
              <w:top w:val="nil"/>
              <w:left w:val="nil"/>
              <w:bottom w:val="single" w:sz="8" w:space="0" w:color="auto"/>
              <w:right w:val="single" w:sz="8" w:space="0" w:color="auto"/>
            </w:tcBorders>
            <w:shd w:val="clear" w:color="auto" w:fill="auto"/>
            <w:noWrap/>
            <w:hideMark/>
          </w:tcPr>
          <w:p w14:paraId="7116AD3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Aviasabiedrība</w:t>
            </w:r>
            <w:proofErr w:type="spellEnd"/>
            <w:r w:rsidRPr="005E41CA">
              <w:rPr>
                <w:rFonts w:eastAsia="Calibri" w:cs="Times New Roman"/>
                <w:sz w:val="18"/>
                <w:szCs w:val="18"/>
                <w:lang w:eastAsia="en-US"/>
              </w:rPr>
              <w:t xml:space="preserve"> "Liepāja""</w:t>
            </w:r>
          </w:p>
        </w:tc>
        <w:tc>
          <w:tcPr>
            <w:tcW w:w="2121" w:type="dxa"/>
            <w:tcBorders>
              <w:top w:val="nil"/>
              <w:left w:val="nil"/>
              <w:bottom w:val="single" w:sz="8" w:space="0" w:color="auto"/>
              <w:right w:val="single" w:sz="8" w:space="0" w:color="auto"/>
            </w:tcBorders>
            <w:shd w:val="clear" w:color="auto" w:fill="auto"/>
            <w:noWrap/>
            <w:hideMark/>
          </w:tcPr>
          <w:p w14:paraId="0E00F95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1 936 647</w:t>
            </w:r>
          </w:p>
        </w:tc>
        <w:tc>
          <w:tcPr>
            <w:tcW w:w="2121" w:type="dxa"/>
            <w:tcBorders>
              <w:top w:val="nil"/>
              <w:left w:val="nil"/>
              <w:bottom w:val="single" w:sz="8" w:space="0" w:color="auto"/>
              <w:right w:val="single" w:sz="8" w:space="0" w:color="auto"/>
            </w:tcBorders>
            <w:shd w:val="clear" w:color="auto" w:fill="auto"/>
            <w:noWrap/>
            <w:hideMark/>
          </w:tcPr>
          <w:p w14:paraId="5669718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1 652 718</w:t>
            </w:r>
          </w:p>
        </w:tc>
        <w:tc>
          <w:tcPr>
            <w:tcW w:w="2177" w:type="dxa"/>
            <w:tcBorders>
              <w:top w:val="nil"/>
              <w:left w:val="nil"/>
              <w:bottom w:val="single" w:sz="8" w:space="0" w:color="auto"/>
              <w:right w:val="single" w:sz="8" w:space="0" w:color="auto"/>
            </w:tcBorders>
            <w:shd w:val="clear" w:color="auto" w:fill="auto"/>
            <w:noWrap/>
            <w:hideMark/>
          </w:tcPr>
          <w:p w14:paraId="2634ADA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283 929</w:t>
            </w:r>
          </w:p>
        </w:tc>
      </w:tr>
      <w:tr w:rsidR="005E41CA" w:rsidRPr="005E41CA" w14:paraId="40C80736"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249274E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57</w:t>
            </w:r>
          </w:p>
        </w:tc>
        <w:tc>
          <w:tcPr>
            <w:tcW w:w="6663" w:type="dxa"/>
            <w:tcBorders>
              <w:top w:val="nil"/>
              <w:left w:val="nil"/>
              <w:bottom w:val="single" w:sz="8" w:space="0" w:color="auto"/>
              <w:right w:val="single" w:sz="8" w:space="0" w:color="auto"/>
            </w:tcBorders>
            <w:shd w:val="clear" w:color="auto" w:fill="auto"/>
            <w:noWrap/>
            <w:hideMark/>
          </w:tcPr>
          <w:p w14:paraId="219B8A8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Cēsu</w:t>
            </w:r>
            <w:proofErr w:type="spellEnd"/>
            <w:r w:rsidRPr="005E41CA">
              <w:rPr>
                <w:rFonts w:eastAsia="Calibri" w:cs="Times New Roman"/>
                <w:sz w:val="18"/>
                <w:szCs w:val="18"/>
                <w:lang w:eastAsia="en-US"/>
              </w:rPr>
              <w:t xml:space="preserve"> klīnika"</w:t>
            </w:r>
          </w:p>
        </w:tc>
        <w:tc>
          <w:tcPr>
            <w:tcW w:w="2121" w:type="dxa"/>
            <w:tcBorders>
              <w:top w:val="nil"/>
              <w:left w:val="nil"/>
              <w:bottom w:val="single" w:sz="8" w:space="0" w:color="auto"/>
              <w:right w:val="single" w:sz="8" w:space="0" w:color="auto"/>
            </w:tcBorders>
            <w:shd w:val="clear" w:color="auto" w:fill="auto"/>
            <w:noWrap/>
            <w:hideMark/>
          </w:tcPr>
          <w:p w14:paraId="671E10E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10 836 000</w:t>
            </w:r>
          </w:p>
        </w:tc>
        <w:tc>
          <w:tcPr>
            <w:tcW w:w="2121" w:type="dxa"/>
            <w:tcBorders>
              <w:top w:val="nil"/>
              <w:left w:val="nil"/>
              <w:bottom w:val="single" w:sz="8" w:space="0" w:color="auto"/>
              <w:right w:val="single" w:sz="8" w:space="0" w:color="auto"/>
            </w:tcBorders>
            <w:shd w:val="clear" w:color="auto" w:fill="auto"/>
            <w:noWrap/>
            <w:hideMark/>
          </w:tcPr>
          <w:p w14:paraId="077AEF5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11 341 500</w:t>
            </w:r>
          </w:p>
        </w:tc>
        <w:tc>
          <w:tcPr>
            <w:tcW w:w="2177" w:type="dxa"/>
            <w:tcBorders>
              <w:top w:val="nil"/>
              <w:left w:val="nil"/>
              <w:bottom w:val="single" w:sz="8" w:space="0" w:color="auto"/>
              <w:right w:val="single" w:sz="8" w:space="0" w:color="auto"/>
            </w:tcBorders>
            <w:shd w:val="clear" w:color="auto" w:fill="auto"/>
            <w:noWrap/>
            <w:hideMark/>
          </w:tcPr>
          <w:p w14:paraId="123CC7C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-505 500</w:t>
            </w:r>
          </w:p>
        </w:tc>
      </w:tr>
      <w:tr w:rsidR="005E41CA" w:rsidRPr="005E41CA" w14:paraId="4B5D5BFE"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4C9832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58</w:t>
            </w:r>
          </w:p>
        </w:tc>
        <w:tc>
          <w:tcPr>
            <w:tcW w:w="6663" w:type="dxa"/>
            <w:tcBorders>
              <w:top w:val="nil"/>
              <w:left w:val="nil"/>
              <w:bottom w:val="single" w:sz="8" w:space="0" w:color="auto"/>
              <w:right w:val="single" w:sz="8" w:space="0" w:color="auto"/>
            </w:tcBorders>
            <w:shd w:val="clear" w:color="auto" w:fill="auto"/>
            <w:noWrap/>
            <w:hideMark/>
          </w:tcPr>
          <w:p w14:paraId="51B83AA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"Daugavpils bērnu veselības centrs"</w:t>
            </w:r>
          </w:p>
        </w:tc>
        <w:tc>
          <w:tcPr>
            <w:tcW w:w="2121" w:type="dxa"/>
            <w:tcBorders>
              <w:top w:val="nil"/>
              <w:left w:val="nil"/>
              <w:bottom w:val="single" w:sz="8" w:space="0" w:color="auto"/>
              <w:right w:val="single" w:sz="8" w:space="0" w:color="auto"/>
            </w:tcBorders>
            <w:shd w:val="clear" w:color="auto" w:fill="auto"/>
            <w:noWrap/>
            <w:hideMark/>
          </w:tcPr>
          <w:p w14:paraId="23AF760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2 335 700</w:t>
            </w:r>
          </w:p>
        </w:tc>
        <w:tc>
          <w:tcPr>
            <w:tcW w:w="2121" w:type="dxa"/>
            <w:tcBorders>
              <w:top w:val="nil"/>
              <w:left w:val="nil"/>
              <w:bottom w:val="single" w:sz="8" w:space="0" w:color="auto"/>
              <w:right w:val="single" w:sz="8" w:space="0" w:color="auto"/>
            </w:tcBorders>
            <w:shd w:val="clear" w:color="auto" w:fill="auto"/>
            <w:noWrap/>
            <w:hideMark/>
          </w:tcPr>
          <w:p w14:paraId="1D4EF3E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2 328 430</w:t>
            </w:r>
          </w:p>
        </w:tc>
        <w:tc>
          <w:tcPr>
            <w:tcW w:w="2177" w:type="dxa"/>
            <w:tcBorders>
              <w:top w:val="nil"/>
              <w:left w:val="nil"/>
              <w:bottom w:val="single" w:sz="8" w:space="0" w:color="auto"/>
              <w:right w:val="single" w:sz="8" w:space="0" w:color="auto"/>
            </w:tcBorders>
            <w:shd w:val="clear" w:color="auto" w:fill="auto"/>
            <w:noWrap/>
            <w:hideMark/>
          </w:tcPr>
          <w:p w14:paraId="78F0DD0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7 270</w:t>
            </w:r>
          </w:p>
        </w:tc>
      </w:tr>
      <w:tr w:rsidR="005E41CA" w:rsidRPr="005E41CA" w14:paraId="55D6F77A"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79F0D7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59</w:t>
            </w:r>
          </w:p>
        </w:tc>
        <w:tc>
          <w:tcPr>
            <w:tcW w:w="6663" w:type="dxa"/>
            <w:tcBorders>
              <w:top w:val="nil"/>
              <w:left w:val="nil"/>
              <w:bottom w:val="single" w:sz="8" w:space="0" w:color="auto"/>
              <w:right w:val="single" w:sz="8" w:space="0" w:color="auto"/>
            </w:tcBorders>
            <w:shd w:val="clear" w:color="auto" w:fill="auto"/>
            <w:noWrap/>
            <w:hideMark/>
          </w:tcPr>
          <w:p w14:paraId="0BD57C0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"Daugavpils reģionālā slimnīca"</w:t>
            </w:r>
          </w:p>
        </w:tc>
        <w:tc>
          <w:tcPr>
            <w:tcW w:w="2121" w:type="dxa"/>
            <w:tcBorders>
              <w:top w:val="nil"/>
              <w:left w:val="nil"/>
              <w:bottom w:val="single" w:sz="8" w:space="0" w:color="auto"/>
              <w:right w:val="single" w:sz="8" w:space="0" w:color="auto"/>
            </w:tcBorders>
            <w:shd w:val="clear" w:color="auto" w:fill="auto"/>
            <w:noWrap/>
            <w:hideMark/>
          </w:tcPr>
          <w:p w14:paraId="18040FE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56 383 917</w:t>
            </w:r>
          </w:p>
        </w:tc>
        <w:tc>
          <w:tcPr>
            <w:tcW w:w="2121" w:type="dxa"/>
            <w:tcBorders>
              <w:top w:val="nil"/>
              <w:left w:val="nil"/>
              <w:bottom w:val="single" w:sz="8" w:space="0" w:color="auto"/>
              <w:right w:val="single" w:sz="8" w:space="0" w:color="auto"/>
            </w:tcBorders>
            <w:shd w:val="clear" w:color="auto" w:fill="auto"/>
            <w:noWrap/>
            <w:hideMark/>
          </w:tcPr>
          <w:p w14:paraId="6EE2F85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57 531 200</w:t>
            </w:r>
          </w:p>
        </w:tc>
        <w:tc>
          <w:tcPr>
            <w:tcW w:w="2177" w:type="dxa"/>
            <w:tcBorders>
              <w:top w:val="nil"/>
              <w:left w:val="nil"/>
              <w:bottom w:val="single" w:sz="8" w:space="0" w:color="auto"/>
              <w:right w:val="single" w:sz="8" w:space="0" w:color="auto"/>
            </w:tcBorders>
            <w:shd w:val="clear" w:color="auto" w:fill="auto"/>
            <w:noWrap/>
            <w:hideMark/>
          </w:tcPr>
          <w:p w14:paraId="145D2EB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-1 147 283</w:t>
            </w:r>
          </w:p>
        </w:tc>
      </w:tr>
      <w:tr w:rsidR="005E41CA" w:rsidRPr="005E41CA" w14:paraId="71095224"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2E0F5F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60</w:t>
            </w:r>
          </w:p>
        </w:tc>
        <w:tc>
          <w:tcPr>
            <w:tcW w:w="6663" w:type="dxa"/>
            <w:tcBorders>
              <w:top w:val="nil"/>
              <w:left w:val="nil"/>
              <w:bottom w:val="single" w:sz="8" w:space="0" w:color="auto"/>
              <w:right w:val="single" w:sz="8" w:space="0" w:color="auto"/>
            </w:tcBorders>
            <w:shd w:val="clear" w:color="auto" w:fill="auto"/>
            <w:noWrap/>
            <w:hideMark/>
          </w:tcPr>
          <w:p w14:paraId="7B48B4C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"Daugavpils satiksme"</w:t>
            </w:r>
          </w:p>
        </w:tc>
        <w:tc>
          <w:tcPr>
            <w:tcW w:w="2121" w:type="dxa"/>
            <w:tcBorders>
              <w:top w:val="nil"/>
              <w:left w:val="nil"/>
              <w:bottom w:val="single" w:sz="8" w:space="0" w:color="auto"/>
              <w:right w:val="single" w:sz="8" w:space="0" w:color="auto"/>
            </w:tcBorders>
            <w:shd w:val="clear" w:color="auto" w:fill="auto"/>
            <w:noWrap/>
            <w:hideMark/>
          </w:tcPr>
          <w:p w14:paraId="2F4B60E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12 131 894</w:t>
            </w:r>
          </w:p>
        </w:tc>
        <w:tc>
          <w:tcPr>
            <w:tcW w:w="2121" w:type="dxa"/>
            <w:tcBorders>
              <w:top w:val="nil"/>
              <w:left w:val="nil"/>
              <w:bottom w:val="single" w:sz="8" w:space="0" w:color="auto"/>
              <w:right w:val="single" w:sz="8" w:space="0" w:color="auto"/>
            </w:tcBorders>
            <w:shd w:val="clear" w:color="auto" w:fill="auto"/>
            <w:noWrap/>
            <w:hideMark/>
          </w:tcPr>
          <w:p w14:paraId="79D0488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11 611 261</w:t>
            </w:r>
          </w:p>
        </w:tc>
        <w:tc>
          <w:tcPr>
            <w:tcW w:w="2177" w:type="dxa"/>
            <w:tcBorders>
              <w:top w:val="nil"/>
              <w:left w:val="nil"/>
              <w:bottom w:val="single" w:sz="8" w:space="0" w:color="auto"/>
              <w:right w:val="single" w:sz="8" w:space="0" w:color="auto"/>
            </w:tcBorders>
            <w:shd w:val="clear" w:color="auto" w:fill="auto"/>
            <w:noWrap/>
            <w:hideMark/>
          </w:tcPr>
          <w:p w14:paraId="467AD34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520 633</w:t>
            </w:r>
          </w:p>
        </w:tc>
      </w:tr>
      <w:tr w:rsidR="005E41CA" w:rsidRPr="005E41CA" w14:paraId="0B872C2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0DA1241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61</w:t>
            </w:r>
          </w:p>
        </w:tc>
        <w:tc>
          <w:tcPr>
            <w:tcW w:w="6663" w:type="dxa"/>
            <w:tcBorders>
              <w:top w:val="nil"/>
              <w:left w:val="nil"/>
              <w:bottom w:val="single" w:sz="8" w:space="0" w:color="auto"/>
              <w:right w:val="single" w:sz="8" w:space="0" w:color="auto"/>
            </w:tcBorders>
            <w:shd w:val="clear" w:color="auto" w:fill="auto"/>
            <w:noWrap/>
            <w:hideMark/>
          </w:tcPr>
          <w:p w14:paraId="79F3623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"Dobeles un apkārtnes slimnīca"</w:t>
            </w:r>
          </w:p>
        </w:tc>
        <w:tc>
          <w:tcPr>
            <w:tcW w:w="2121" w:type="dxa"/>
            <w:tcBorders>
              <w:top w:val="nil"/>
              <w:left w:val="nil"/>
              <w:bottom w:val="single" w:sz="8" w:space="0" w:color="auto"/>
              <w:right w:val="single" w:sz="8" w:space="0" w:color="auto"/>
            </w:tcBorders>
            <w:shd w:val="clear" w:color="auto" w:fill="auto"/>
            <w:noWrap/>
            <w:hideMark/>
          </w:tcPr>
          <w:p w14:paraId="090CF27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7 580 000</w:t>
            </w:r>
          </w:p>
        </w:tc>
        <w:tc>
          <w:tcPr>
            <w:tcW w:w="2121" w:type="dxa"/>
            <w:tcBorders>
              <w:top w:val="nil"/>
              <w:left w:val="nil"/>
              <w:bottom w:val="single" w:sz="8" w:space="0" w:color="auto"/>
              <w:right w:val="single" w:sz="8" w:space="0" w:color="auto"/>
            </w:tcBorders>
            <w:shd w:val="clear" w:color="auto" w:fill="auto"/>
            <w:noWrap/>
            <w:hideMark/>
          </w:tcPr>
          <w:p w14:paraId="50BD8DB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7 505 379</w:t>
            </w:r>
          </w:p>
        </w:tc>
        <w:tc>
          <w:tcPr>
            <w:tcW w:w="2177" w:type="dxa"/>
            <w:tcBorders>
              <w:top w:val="nil"/>
              <w:left w:val="nil"/>
              <w:bottom w:val="single" w:sz="8" w:space="0" w:color="auto"/>
              <w:right w:val="single" w:sz="8" w:space="0" w:color="auto"/>
            </w:tcBorders>
            <w:shd w:val="clear" w:color="auto" w:fill="auto"/>
            <w:noWrap/>
            <w:hideMark/>
          </w:tcPr>
          <w:p w14:paraId="12F2E6A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74 621</w:t>
            </w:r>
          </w:p>
        </w:tc>
      </w:tr>
      <w:tr w:rsidR="005E41CA" w:rsidRPr="005E41CA" w14:paraId="5D8F6A17"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BB4757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62</w:t>
            </w:r>
          </w:p>
        </w:tc>
        <w:tc>
          <w:tcPr>
            <w:tcW w:w="6663" w:type="dxa"/>
            <w:tcBorders>
              <w:top w:val="nil"/>
              <w:left w:val="nil"/>
              <w:bottom w:val="single" w:sz="8" w:space="0" w:color="auto"/>
              <w:right w:val="single" w:sz="8" w:space="0" w:color="auto"/>
            </w:tcBorders>
            <w:shd w:val="clear" w:color="auto" w:fill="auto"/>
            <w:noWrap/>
            <w:hideMark/>
          </w:tcPr>
          <w:p w14:paraId="350BCFD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"Jelgavas pilsētas slimnīca"</w:t>
            </w:r>
          </w:p>
        </w:tc>
        <w:tc>
          <w:tcPr>
            <w:tcW w:w="2121" w:type="dxa"/>
            <w:tcBorders>
              <w:top w:val="nil"/>
              <w:left w:val="nil"/>
              <w:bottom w:val="single" w:sz="8" w:space="0" w:color="auto"/>
              <w:right w:val="single" w:sz="8" w:space="0" w:color="auto"/>
            </w:tcBorders>
            <w:shd w:val="clear" w:color="auto" w:fill="auto"/>
            <w:noWrap/>
            <w:hideMark/>
          </w:tcPr>
          <w:p w14:paraId="2130607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16 749 643</w:t>
            </w:r>
          </w:p>
        </w:tc>
        <w:tc>
          <w:tcPr>
            <w:tcW w:w="2121" w:type="dxa"/>
            <w:tcBorders>
              <w:top w:val="nil"/>
              <w:left w:val="nil"/>
              <w:bottom w:val="single" w:sz="8" w:space="0" w:color="auto"/>
              <w:right w:val="single" w:sz="8" w:space="0" w:color="auto"/>
            </w:tcBorders>
            <w:shd w:val="clear" w:color="auto" w:fill="auto"/>
            <w:noWrap/>
            <w:hideMark/>
          </w:tcPr>
          <w:p w14:paraId="57F273E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15 488 183</w:t>
            </w:r>
          </w:p>
        </w:tc>
        <w:tc>
          <w:tcPr>
            <w:tcW w:w="2177" w:type="dxa"/>
            <w:tcBorders>
              <w:top w:val="nil"/>
              <w:left w:val="nil"/>
              <w:bottom w:val="single" w:sz="8" w:space="0" w:color="auto"/>
              <w:right w:val="single" w:sz="8" w:space="0" w:color="auto"/>
            </w:tcBorders>
            <w:shd w:val="clear" w:color="auto" w:fill="auto"/>
            <w:noWrap/>
            <w:hideMark/>
          </w:tcPr>
          <w:p w14:paraId="0B552C4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1 261 460</w:t>
            </w:r>
          </w:p>
        </w:tc>
      </w:tr>
      <w:tr w:rsidR="005E41CA" w:rsidRPr="005E41CA" w14:paraId="1D2C5951"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1E5E23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63</w:t>
            </w:r>
          </w:p>
        </w:tc>
        <w:tc>
          <w:tcPr>
            <w:tcW w:w="6663" w:type="dxa"/>
            <w:tcBorders>
              <w:top w:val="nil"/>
              <w:left w:val="nil"/>
              <w:bottom w:val="single" w:sz="8" w:space="0" w:color="auto"/>
              <w:right w:val="single" w:sz="8" w:space="0" w:color="auto"/>
            </w:tcBorders>
            <w:shd w:val="clear" w:color="auto" w:fill="auto"/>
            <w:noWrap/>
            <w:hideMark/>
          </w:tcPr>
          <w:p w14:paraId="4B23A34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"Jēkabpils reģionālā slimnīca"</w:t>
            </w:r>
          </w:p>
        </w:tc>
        <w:tc>
          <w:tcPr>
            <w:tcW w:w="2121" w:type="dxa"/>
            <w:tcBorders>
              <w:top w:val="nil"/>
              <w:left w:val="nil"/>
              <w:bottom w:val="single" w:sz="8" w:space="0" w:color="auto"/>
              <w:right w:val="single" w:sz="8" w:space="0" w:color="auto"/>
            </w:tcBorders>
            <w:shd w:val="clear" w:color="auto" w:fill="auto"/>
            <w:noWrap/>
            <w:hideMark/>
          </w:tcPr>
          <w:p w14:paraId="313CCCF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18 757 696</w:t>
            </w:r>
          </w:p>
        </w:tc>
        <w:tc>
          <w:tcPr>
            <w:tcW w:w="2121" w:type="dxa"/>
            <w:tcBorders>
              <w:top w:val="nil"/>
              <w:left w:val="nil"/>
              <w:bottom w:val="single" w:sz="8" w:space="0" w:color="auto"/>
              <w:right w:val="single" w:sz="8" w:space="0" w:color="auto"/>
            </w:tcBorders>
            <w:shd w:val="clear" w:color="auto" w:fill="auto"/>
            <w:noWrap/>
            <w:hideMark/>
          </w:tcPr>
          <w:p w14:paraId="048EF8B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18 914 969</w:t>
            </w:r>
          </w:p>
        </w:tc>
        <w:tc>
          <w:tcPr>
            <w:tcW w:w="2177" w:type="dxa"/>
            <w:tcBorders>
              <w:top w:val="nil"/>
              <w:left w:val="nil"/>
              <w:bottom w:val="single" w:sz="8" w:space="0" w:color="auto"/>
              <w:right w:val="single" w:sz="8" w:space="0" w:color="auto"/>
            </w:tcBorders>
            <w:shd w:val="clear" w:color="auto" w:fill="auto"/>
            <w:noWrap/>
            <w:hideMark/>
          </w:tcPr>
          <w:p w14:paraId="7BE8630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-157 273</w:t>
            </w:r>
          </w:p>
        </w:tc>
      </w:tr>
      <w:tr w:rsidR="005E41CA" w:rsidRPr="005E41CA" w14:paraId="4562C903"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96B347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64</w:t>
            </w:r>
          </w:p>
        </w:tc>
        <w:tc>
          <w:tcPr>
            <w:tcW w:w="6663" w:type="dxa"/>
            <w:tcBorders>
              <w:top w:val="nil"/>
              <w:left w:val="nil"/>
              <w:bottom w:val="single" w:sz="8" w:space="0" w:color="auto"/>
              <w:right w:val="single" w:sz="8" w:space="0" w:color="auto"/>
            </w:tcBorders>
            <w:shd w:val="clear" w:color="auto" w:fill="auto"/>
            <w:noWrap/>
            <w:hideMark/>
          </w:tcPr>
          <w:p w14:paraId="30C7BFD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"Jūrmalas slimnīca"</w:t>
            </w:r>
          </w:p>
        </w:tc>
        <w:tc>
          <w:tcPr>
            <w:tcW w:w="2121" w:type="dxa"/>
            <w:tcBorders>
              <w:top w:val="nil"/>
              <w:left w:val="nil"/>
              <w:bottom w:val="single" w:sz="8" w:space="0" w:color="auto"/>
              <w:right w:val="single" w:sz="8" w:space="0" w:color="auto"/>
            </w:tcBorders>
            <w:shd w:val="clear" w:color="auto" w:fill="auto"/>
            <w:noWrap/>
            <w:hideMark/>
          </w:tcPr>
          <w:p w14:paraId="7A17B7C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10 941 229</w:t>
            </w:r>
          </w:p>
        </w:tc>
        <w:tc>
          <w:tcPr>
            <w:tcW w:w="2121" w:type="dxa"/>
            <w:tcBorders>
              <w:top w:val="nil"/>
              <w:left w:val="nil"/>
              <w:bottom w:val="single" w:sz="8" w:space="0" w:color="auto"/>
              <w:right w:val="single" w:sz="8" w:space="0" w:color="auto"/>
            </w:tcBorders>
            <w:shd w:val="clear" w:color="auto" w:fill="auto"/>
            <w:noWrap/>
            <w:hideMark/>
          </w:tcPr>
          <w:p w14:paraId="7AF2463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10 144 277</w:t>
            </w:r>
          </w:p>
        </w:tc>
        <w:tc>
          <w:tcPr>
            <w:tcW w:w="2177" w:type="dxa"/>
            <w:tcBorders>
              <w:top w:val="nil"/>
              <w:left w:val="nil"/>
              <w:bottom w:val="single" w:sz="8" w:space="0" w:color="auto"/>
              <w:right w:val="single" w:sz="8" w:space="0" w:color="auto"/>
            </w:tcBorders>
            <w:shd w:val="clear" w:color="auto" w:fill="auto"/>
            <w:noWrap/>
            <w:hideMark/>
          </w:tcPr>
          <w:p w14:paraId="3B7CFF8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796 952</w:t>
            </w:r>
          </w:p>
        </w:tc>
      </w:tr>
      <w:tr w:rsidR="005E41CA" w:rsidRPr="005E41CA" w14:paraId="5D45012F"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79C6471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65</w:t>
            </w:r>
          </w:p>
        </w:tc>
        <w:tc>
          <w:tcPr>
            <w:tcW w:w="6663" w:type="dxa"/>
            <w:tcBorders>
              <w:top w:val="nil"/>
              <w:left w:val="nil"/>
              <w:bottom w:val="single" w:sz="8" w:space="0" w:color="auto"/>
              <w:right w:val="single" w:sz="8" w:space="0" w:color="auto"/>
            </w:tcBorders>
            <w:shd w:val="clear" w:color="auto" w:fill="auto"/>
            <w:noWrap/>
            <w:hideMark/>
          </w:tcPr>
          <w:p w14:paraId="46A11BE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"Kuldīgas slimnīca"</w:t>
            </w:r>
          </w:p>
        </w:tc>
        <w:tc>
          <w:tcPr>
            <w:tcW w:w="2121" w:type="dxa"/>
            <w:tcBorders>
              <w:top w:val="nil"/>
              <w:left w:val="nil"/>
              <w:bottom w:val="single" w:sz="8" w:space="0" w:color="auto"/>
              <w:right w:val="single" w:sz="8" w:space="0" w:color="auto"/>
            </w:tcBorders>
            <w:shd w:val="clear" w:color="auto" w:fill="auto"/>
            <w:noWrap/>
            <w:hideMark/>
          </w:tcPr>
          <w:p w14:paraId="2DB79CA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12 175 563</w:t>
            </w:r>
          </w:p>
        </w:tc>
        <w:tc>
          <w:tcPr>
            <w:tcW w:w="2121" w:type="dxa"/>
            <w:tcBorders>
              <w:top w:val="nil"/>
              <w:left w:val="nil"/>
              <w:bottom w:val="single" w:sz="8" w:space="0" w:color="auto"/>
              <w:right w:val="single" w:sz="8" w:space="0" w:color="auto"/>
            </w:tcBorders>
            <w:shd w:val="clear" w:color="auto" w:fill="auto"/>
            <w:noWrap/>
            <w:hideMark/>
          </w:tcPr>
          <w:p w14:paraId="780237B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12 175 547</w:t>
            </w:r>
          </w:p>
        </w:tc>
        <w:tc>
          <w:tcPr>
            <w:tcW w:w="2177" w:type="dxa"/>
            <w:tcBorders>
              <w:top w:val="nil"/>
              <w:left w:val="nil"/>
              <w:bottom w:val="single" w:sz="8" w:space="0" w:color="auto"/>
              <w:right w:val="single" w:sz="8" w:space="0" w:color="auto"/>
            </w:tcBorders>
            <w:shd w:val="clear" w:color="auto" w:fill="auto"/>
            <w:noWrap/>
            <w:hideMark/>
          </w:tcPr>
          <w:p w14:paraId="0820616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16</w:t>
            </w:r>
          </w:p>
        </w:tc>
      </w:tr>
      <w:tr w:rsidR="005E41CA" w:rsidRPr="005E41CA" w14:paraId="3D07B260"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B4B495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66</w:t>
            </w:r>
          </w:p>
        </w:tc>
        <w:tc>
          <w:tcPr>
            <w:tcW w:w="6663" w:type="dxa"/>
            <w:tcBorders>
              <w:top w:val="nil"/>
              <w:left w:val="nil"/>
              <w:bottom w:val="single" w:sz="8" w:space="0" w:color="auto"/>
              <w:right w:val="single" w:sz="8" w:space="0" w:color="auto"/>
            </w:tcBorders>
            <w:shd w:val="clear" w:color="auto" w:fill="auto"/>
            <w:noWrap/>
            <w:hideMark/>
          </w:tcPr>
          <w:p w14:paraId="524912E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"Liepājas reģionālā slimnīca"</w:t>
            </w:r>
          </w:p>
        </w:tc>
        <w:tc>
          <w:tcPr>
            <w:tcW w:w="2121" w:type="dxa"/>
            <w:tcBorders>
              <w:top w:val="nil"/>
              <w:left w:val="nil"/>
              <w:bottom w:val="single" w:sz="8" w:space="0" w:color="auto"/>
              <w:right w:val="single" w:sz="8" w:space="0" w:color="auto"/>
            </w:tcBorders>
            <w:shd w:val="clear" w:color="auto" w:fill="auto"/>
            <w:noWrap/>
            <w:hideMark/>
          </w:tcPr>
          <w:p w14:paraId="586602C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31 390 684</w:t>
            </w:r>
          </w:p>
        </w:tc>
        <w:tc>
          <w:tcPr>
            <w:tcW w:w="2121" w:type="dxa"/>
            <w:tcBorders>
              <w:top w:val="nil"/>
              <w:left w:val="nil"/>
              <w:bottom w:val="single" w:sz="8" w:space="0" w:color="auto"/>
              <w:right w:val="single" w:sz="8" w:space="0" w:color="auto"/>
            </w:tcBorders>
            <w:shd w:val="clear" w:color="auto" w:fill="auto"/>
            <w:noWrap/>
            <w:hideMark/>
          </w:tcPr>
          <w:p w14:paraId="5C85593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29 336 077</w:t>
            </w:r>
          </w:p>
        </w:tc>
        <w:tc>
          <w:tcPr>
            <w:tcW w:w="2177" w:type="dxa"/>
            <w:tcBorders>
              <w:top w:val="nil"/>
              <w:left w:val="nil"/>
              <w:bottom w:val="single" w:sz="8" w:space="0" w:color="auto"/>
              <w:right w:val="single" w:sz="8" w:space="0" w:color="auto"/>
            </w:tcBorders>
            <w:shd w:val="clear" w:color="auto" w:fill="auto"/>
            <w:noWrap/>
            <w:hideMark/>
          </w:tcPr>
          <w:p w14:paraId="02BD8E4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2 054 607</w:t>
            </w:r>
          </w:p>
        </w:tc>
      </w:tr>
      <w:tr w:rsidR="005E41CA" w:rsidRPr="005E41CA" w14:paraId="66FF3144"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B52E76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67</w:t>
            </w:r>
          </w:p>
        </w:tc>
        <w:tc>
          <w:tcPr>
            <w:tcW w:w="6663" w:type="dxa"/>
            <w:tcBorders>
              <w:top w:val="nil"/>
              <w:left w:val="nil"/>
              <w:bottom w:val="single" w:sz="8" w:space="0" w:color="auto"/>
              <w:right w:val="single" w:sz="8" w:space="0" w:color="auto"/>
            </w:tcBorders>
            <w:shd w:val="clear" w:color="auto" w:fill="auto"/>
            <w:noWrap/>
            <w:hideMark/>
          </w:tcPr>
          <w:p w14:paraId="6683C1F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"Liepājas tramvajs"</w:t>
            </w:r>
          </w:p>
        </w:tc>
        <w:tc>
          <w:tcPr>
            <w:tcW w:w="2121" w:type="dxa"/>
            <w:tcBorders>
              <w:top w:val="nil"/>
              <w:left w:val="nil"/>
              <w:bottom w:val="single" w:sz="8" w:space="0" w:color="auto"/>
              <w:right w:val="single" w:sz="8" w:space="0" w:color="auto"/>
            </w:tcBorders>
            <w:shd w:val="clear" w:color="auto" w:fill="auto"/>
            <w:noWrap/>
            <w:hideMark/>
          </w:tcPr>
          <w:p w14:paraId="67B5FF0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2 914 878</w:t>
            </w:r>
          </w:p>
        </w:tc>
        <w:tc>
          <w:tcPr>
            <w:tcW w:w="2121" w:type="dxa"/>
            <w:tcBorders>
              <w:top w:val="nil"/>
              <w:left w:val="nil"/>
              <w:bottom w:val="single" w:sz="8" w:space="0" w:color="auto"/>
              <w:right w:val="single" w:sz="8" w:space="0" w:color="auto"/>
            </w:tcBorders>
            <w:shd w:val="clear" w:color="auto" w:fill="auto"/>
            <w:noWrap/>
            <w:hideMark/>
          </w:tcPr>
          <w:p w14:paraId="4C05432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3 210 579</w:t>
            </w:r>
          </w:p>
        </w:tc>
        <w:tc>
          <w:tcPr>
            <w:tcW w:w="2177" w:type="dxa"/>
            <w:tcBorders>
              <w:top w:val="nil"/>
              <w:left w:val="nil"/>
              <w:bottom w:val="single" w:sz="8" w:space="0" w:color="auto"/>
              <w:right w:val="single" w:sz="8" w:space="0" w:color="auto"/>
            </w:tcBorders>
            <w:shd w:val="clear" w:color="auto" w:fill="auto"/>
            <w:noWrap/>
            <w:hideMark/>
          </w:tcPr>
          <w:p w14:paraId="00EEDF7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-295 701</w:t>
            </w:r>
          </w:p>
        </w:tc>
      </w:tr>
      <w:tr w:rsidR="005E41CA" w:rsidRPr="005E41CA" w14:paraId="549E79F2"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711EC8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68</w:t>
            </w:r>
          </w:p>
        </w:tc>
        <w:tc>
          <w:tcPr>
            <w:tcW w:w="6663" w:type="dxa"/>
            <w:tcBorders>
              <w:top w:val="nil"/>
              <w:left w:val="nil"/>
              <w:bottom w:val="single" w:sz="8" w:space="0" w:color="auto"/>
              <w:right w:val="single" w:sz="8" w:space="0" w:color="auto"/>
            </w:tcBorders>
            <w:shd w:val="clear" w:color="auto" w:fill="auto"/>
            <w:noWrap/>
            <w:hideMark/>
          </w:tcPr>
          <w:p w14:paraId="35ABA86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"Madonas slimnīca"</w:t>
            </w:r>
          </w:p>
        </w:tc>
        <w:tc>
          <w:tcPr>
            <w:tcW w:w="2121" w:type="dxa"/>
            <w:tcBorders>
              <w:top w:val="nil"/>
              <w:left w:val="nil"/>
              <w:bottom w:val="single" w:sz="8" w:space="0" w:color="auto"/>
              <w:right w:val="single" w:sz="8" w:space="0" w:color="auto"/>
            </w:tcBorders>
            <w:shd w:val="clear" w:color="auto" w:fill="auto"/>
            <w:noWrap/>
            <w:hideMark/>
          </w:tcPr>
          <w:p w14:paraId="1569059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14 000 000</w:t>
            </w:r>
          </w:p>
        </w:tc>
        <w:tc>
          <w:tcPr>
            <w:tcW w:w="2121" w:type="dxa"/>
            <w:tcBorders>
              <w:top w:val="nil"/>
              <w:left w:val="nil"/>
              <w:bottom w:val="single" w:sz="8" w:space="0" w:color="auto"/>
              <w:right w:val="single" w:sz="8" w:space="0" w:color="auto"/>
            </w:tcBorders>
            <w:shd w:val="clear" w:color="auto" w:fill="auto"/>
            <w:noWrap/>
            <w:hideMark/>
          </w:tcPr>
          <w:p w14:paraId="79090B5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13 570 500</w:t>
            </w:r>
          </w:p>
        </w:tc>
        <w:tc>
          <w:tcPr>
            <w:tcW w:w="2177" w:type="dxa"/>
            <w:tcBorders>
              <w:top w:val="nil"/>
              <w:left w:val="nil"/>
              <w:bottom w:val="single" w:sz="8" w:space="0" w:color="auto"/>
              <w:right w:val="single" w:sz="8" w:space="0" w:color="auto"/>
            </w:tcBorders>
            <w:shd w:val="clear" w:color="auto" w:fill="auto"/>
            <w:noWrap/>
            <w:hideMark/>
          </w:tcPr>
          <w:p w14:paraId="6B05B28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429 500</w:t>
            </w:r>
          </w:p>
        </w:tc>
      </w:tr>
      <w:tr w:rsidR="005E41CA" w:rsidRPr="005E41CA" w14:paraId="2562264F"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EB92CD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69</w:t>
            </w:r>
          </w:p>
        </w:tc>
        <w:tc>
          <w:tcPr>
            <w:tcW w:w="6663" w:type="dxa"/>
            <w:tcBorders>
              <w:top w:val="nil"/>
              <w:left w:val="nil"/>
              <w:bottom w:val="single" w:sz="8" w:space="0" w:color="auto"/>
              <w:right w:val="single" w:sz="8" w:space="0" w:color="auto"/>
            </w:tcBorders>
            <w:shd w:val="clear" w:color="auto" w:fill="auto"/>
            <w:noWrap/>
            <w:hideMark/>
          </w:tcPr>
          <w:p w14:paraId="00F99AC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"Ogres rajona slimnīca"</w:t>
            </w:r>
          </w:p>
        </w:tc>
        <w:tc>
          <w:tcPr>
            <w:tcW w:w="2121" w:type="dxa"/>
            <w:tcBorders>
              <w:top w:val="nil"/>
              <w:left w:val="nil"/>
              <w:bottom w:val="single" w:sz="8" w:space="0" w:color="auto"/>
              <w:right w:val="single" w:sz="8" w:space="0" w:color="auto"/>
            </w:tcBorders>
            <w:shd w:val="clear" w:color="auto" w:fill="auto"/>
            <w:noWrap/>
            <w:hideMark/>
          </w:tcPr>
          <w:p w14:paraId="02B3B55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16 089 302</w:t>
            </w:r>
          </w:p>
        </w:tc>
        <w:tc>
          <w:tcPr>
            <w:tcW w:w="2121" w:type="dxa"/>
            <w:tcBorders>
              <w:top w:val="nil"/>
              <w:left w:val="nil"/>
              <w:bottom w:val="single" w:sz="8" w:space="0" w:color="auto"/>
              <w:right w:val="single" w:sz="8" w:space="0" w:color="auto"/>
            </w:tcBorders>
            <w:shd w:val="clear" w:color="auto" w:fill="auto"/>
            <w:noWrap/>
            <w:hideMark/>
          </w:tcPr>
          <w:p w14:paraId="434167E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16 410 302</w:t>
            </w:r>
          </w:p>
        </w:tc>
        <w:tc>
          <w:tcPr>
            <w:tcW w:w="2177" w:type="dxa"/>
            <w:tcBorders>
              <w:top w:val="nil"/>
              <w:left w:val="nil"/>
              <w:bottom w:val="single" w:sz="8" w:space="0" w:color="auto"/>
              <w:right w:val="single" w:sz="8" w:space="0" w:color="auto"/>
            </w:tcBorders>
            <w:shd w:val="clear" w:color="auto" w:fill="auto"/>
            <w:noWrap/>
            <w:hideMark/>
          </w:tcPr>
          <w:p w14:paraId="3F3D15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-321 000</w:t>
            </w:r>
          </w:p>
        </w:tc>
      </w:tr>
      <w:tr w:rsidR="005E41CA" w:rsidRPr="005E41CA" w14:paraId="6E6756E1"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416458B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70</w:t>
            </w:r>
          </w:p>
        </w:tc>
        <w:tc>
          <w:tcPr>
            <w:tcW w:w="6663" w:type="dxa"/>
            <w:tcBorders>
              <w:top w:val="nil"/>
              <w:left w:val="nil"/>
              <w:bottom w:val="single" w:sz="8" w:space="0" w:color="auto"/>
              <w:right w:val="single" w:sz="8" w:space="0" w:color="auto"/>
            </w:tcBorders>
            <w:shd w:val="clear" w:color="auto" w:fill="auto"/>
            <w:noWrap/>
            <w:hideMark/>
          </w:tcPr>
          <w:p w14:paraId="41ABA71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"Rēzeknes Satiksme"</w:t>
            </w:r>
          </w:p>
        </w:tc>
        <w:tc>
          <w:tcPr>
            <w:tcW w:w="2121" w:type="dxa"/>
            <w:tcBorders>
              <w:top w:val="nil"/>
              <w:left w:val="nil"/>
              <w:bottom w:val="single" w:sz="8" w:space="0" w:color="auto"/>
              <w:right w:val="single" w:sz="8" w:space="0" w:color="auto"/>
            </w:tcBorders>
            <w:shd w:val="clear" w:color="auto" w:fill="auto"/>
            <w:noWrap/>
            <w:hideMark/>
          </w:tcPr>
          <w:p w14:paraId="7136E67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2 739 783</w:t>
            </w:r>
          </w:p>
        </w:tc>
        <w:tc>
          <w:tcPr>
            <w:tcW w:w="2121" w:type="dxa"/>
            <w:tcBorders>
              <w:top w:val="nil"/>
              <w:left w:val="nil"/>
              <w:bottom w:val="single" w:sz="8" w:space="0" w:color="auto"/>
              <w:right w:val="single" w:sz="8" w:space="0" w:color="auto"/>
            </w:tcBorders>
            <w:shd w:val="clear" w:color="auto" w:fill="auto"/>
            <w:noWrap/>
            <w:hideMark/>
          </w:tcPr>
          <w:p w14:paraId="62334DE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2 257 736</w:t>
            </w:r>
          </w:p>
        </w:tc>
        <w:tc>
          <w:tcPr>
            <w:tcW w:w="2177" w:type="dxa"/>
            <w:tcBorders>
              <w:top w:val="nil"/>
              <w:left w:val="nil"/>
              <w:bottom w:val="single" w:sz="8" w:space="0" w:color="auto"/>
              <w:right w:val="single" w:sz="8" w:space="0" w:color="auto"/>
            </w:tcBorders>
            <w:shd w:val="clear" w:color="auto" w:fill="auto"/>
            <w:noWrap/>
            <w:hideMark/>
          </w:tcPr>
          <w:p w14:paraId="65404A1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482 047</w:t>
            </w:r>
          </w:p>
        </w:tc>
      </w:tr>
      <w:tr w:rsidR="005E41CA" w:rsidRPr="005E41CA" w14:paraId="390D965E"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0D7CDF9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71</w:t>
            </w:r>
          </w:p>
        </w:tc>
        <w:tc>
          <w:tcPr>
            <w:tcW w:w="6663" w:type="dxa"/>
            <w:tcBorders>
              <w:top w:val="nil"/>
              <w:left w:val="nil"/>
              <w:bottom w:val="single" w:sz="8" w:space="0" w:color="auto"/>
              <w:right w:val="single" w:sz="8" w:space="0" w:color="auto"/>
            </w:tcBorders>
            <w:shd w:val="clear" w:color="auto" w:fill="auto"/>
            <w:noWrap/>
            <w:hideMark/>
          </w:tcPr>
          <w:p w14:paraId="0A9B56D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"Rēzeknes slimnīca"</w:t>
            </w:r>
          </w:p>
        </w:tc>
        <w:tc>
          <w:tcPr>
            <w:tcW w:w="2121" w:type="dxa"/>
            <w:tcBorders>
              <w:top w:val="nil"/>
              <w:left w:val="nil"/>
              <w:bottom w:val="single" w:sz="8" w:space="0" w:color="auto"/>
              <w:right w:val="single" w:sz="8" w:space="0" w:color="auto"/>
            </w:tcBorders>
            <w:shd w:val="clear" w:color="auto" w:fill="auto"/>
            <w:noWrap/>
            <w:hideMark/>
          </w:tcPr>
          <w:p w14:paraId="045F308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26 100 000</w:t>
            </w:r>
          </w:p>
        </w:tc>
        <w:tc>
          <w:tcPr>
            <w:tcW w:w="2121" w:type="dxa"/>
            <w:tcBorders>
              <w:top w:val="nil"/>
              <w:left w:val="nil"/>
              <w:bottom w:val="single" w:sz="8" w:space="0" w:color="auto"/>
              <w:right w:val="single" w:sz="8" w:space="0" w:color="auto"/>
            </w:tcBorders>
            <w:shd w:val="clear" w:color="auto" w:fill="auto"/>
            <w:noWrap/>
            <w:hideMark/>
          </w:tcPr>
          <w:p w14:paraId="52D65EC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26 266 083</w:t>
            </w:r>
          </w:p>
        </w:tc>
        <w:tc>
          <w:tcPr>
            <w:tcW w:w="2177" w:type="dxa"/>
            <w:tcBorders>
              <w:top w:val="nil"/>
              <w:left w:val="nil"/>
              <w:bottom w:val="single" w:sz="8" w:space="0" w:color="auto"/>
              <w:right w:val="single" w:sz="8" w:space="0" w:color="auto"/>
            </w:tcBorders>
            <w:shd w:val="clear" w:color="auto" w:fill="auto"/>
            <w:noWrap/>
            <w:hideMark/>
          </w:tcPr>
          <w:p w14:paraId="04FEABB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-166 083</w:t>
            </w:r>
          </w:p>
        </w:tc>
      </w:tr>
      <w:tr w:rsidR="005E41CA" w:rsidRPr="005E41CA" w14:paraId="7E494296"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94E71A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72</w:t>
            </w:r>
          </w:p>
        </w:tc>
        <w:tc>
          <w:tcPr>
            <w:tcW w:w="6663" w:type="dxa"/>
            <w:tcBorders>
              <w:top w:val="nil"/>
              <w:left w:val="nil"/>
              <w:bottom w:val="single" w:sz="8" w:space="0" w:color="auto"/>
              <w:right w:val="single" w:sz="8" w:space="0" w:color="auto"/>
            </w:tcBorders>
            <w:shd w:val="clear" w:color="auto" w:fill="auto"/>
            <w:noWrap/>
            <w:hideMark/>
          </w:tcPr>
          <w:p w14:paraId="316B2E3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"Rīgas 1.slimnīca"</w:t>
            </w:r>
          </w:p>
        </w:tc>
        <w:tc>
          <w:tcPr>
            <w:tcW w:w="2121" w:type="dxa"/>
            <w:tcBorders>
              <w:top w:val="nil"/>
              <w:left w:val="nil"/>
              <w:bottom w:val="single" w:sz="8" w:space="0" w:color="auto"/>
              <w:right w:val="single" w:sz="8" w:space="0" w:color="auto"/>
            </w:tcBorders>
            <w:shd w:val="clear" w:color="auto" w:fill="auto"/>
            <w:noWrap/>
            <w:hideMark/>
          </w:tcPr>
          <w:p w14:paraId="77D9F62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25 300 059</w:t>
            </w:r>
          </w:p>
        </w:tc>
        <w:tc>
          <w:tcPr>
            <w:tcW w:w="2121" w:type="dxa"/>
            <w:tcBorders>
              <w:top w:val="nil"/>
              <w:left w:val="nil"/>
              <w:bottom w:val="single" w:sz="8" w:space="0" w:color="auto"/>
              <w:right w:val="single" w:sz="8" w:space="0" w:color="auto"/>
            </w:tcBorders>
            <w:shd w:val="clear" w:color="auto" w:fill="auto"/>
            <w:noWrap/>
            <w:hideMark/>
          </w:tcPr>
          <w:p w14:paraId="7FC5637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25 977 739</w:t>
            </w:r>
          </w:p>
        </w:tc>
        <w:tc>
          <w:tcPr>
            <w:tcW w:w="2177" w:type="dxa"/>
            <w:tcBorders>
              <w:top w:val="nil"/>
              <w:left w:val="nil"/>
              <w:bottom w:val="single" w:sz="8" w:space="0" w:color="auto"/>
              <w:right w:val="single" w:sz="8" w:space="0" w:color="auto"/>
            </w:tcBorders>
            <w:shd w:val="clear" w:color="auto" w:fill="auto"/>
            <w:noWrap/>
            <w:hideMark/>
          </w:tcPr>
          <w:p w14:paraId="52861E6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-677 680</w:t>
            </w:r>
          </w:p>
        </w:tc>
      </w:tr>
      <w:tr w:rsidR="005E41CA" w:rsidRPr="005E41CA" w14:paraId="2791ED8B"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5B8C674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73</w:t>
            </w:r>
          </w:p>
        </w:tc>
        <w:tc>
          <w:tcPr>
            <w:tcW w:w="6663" w:type="dxa"/>
            <w:tcBorders>
              <w:top w:val="nil"/>
              <w:left w:val="nil"/>
              <w:bottom w:val="single" w:sz="8" w:space="0" w:color="auto"/>
              <w:right w:val="single" w:sz="8" w:space="0" w:color="auto"/>
            </w:tcBorders>
            <w:shd w:val="clear" w:color="auto" w:fill="auto"/>
            <w:noWrap/>
            <w:hideMark/>
          </w:tcPr>
          <w:p w14:paraId="3463197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"Rīgas 2.slimnīca"</w:t>
            </w:r>
          </w:p>
        </w:tc>
        <w:tc>
          <w:tcPr>
            <w:tcW w:w="2121" w:type="dxa"/>
            <w:tcBorders>
              <w:top w:val="nil"/>
              <w:left w:val="nil"/>
              <w:bottom w:val="single" w:sz="8" w:space="0" w:color="auto"/>
              <w:right w:val="single" w:sz="8" w:space="0" w:color="auto"/>
            </w:tcBorders>
            <w:shd w:val="clear" w:color="auto" w:fill="auto"/>
            <w:noWrap/>
            <w:hideMark/>
          </w:tcPr>
          <w:p w14:paraId="58D58C3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10 780 000</w:t>
            </w:r>
          </w:p>
        </w:tc>
        <w:tc>
          <w:tcPr>
            <w:tcW w:w="2121" w:type="dxa"/>
            <w:tcBorders>
              <w:top w:val="nil"/>
              <w:left w:val="nil"/>
              <w:bottom w:val="single" w:sz="8" w:space="0" w:color="auto"/>
              <w:right w:val="single" w:sz="8" w:space="0" w:color="auto"/>
            </w:tcBorders>
            <w:shd w:val="clear" w:color="auto" w:fill="auto"/>
            <w:noWrap/>
            <w:hideMark/>
          </w:tcPr>
          <w:p w14:paraId="13707EC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10 944 424</w:t>
            </w:r>
          </w:p>
        </w:tc>
        <w:tc>
          <w:tcPr>
            <w:tcW w:w="2177" w:type="dxa"/>
            <w:tcBorders>
              <w:top w:val="nil"/>
              <w:left w:val="nil"/>
              <w:bottom w:val="single" w:sz="8" w:space="0" w:color="auto"/>
              <w:right w:val="single" w:sz="8" w:space="0" w:color="auto"/>
            </w:tcBorders>
            <w:shd w:val="clear" w:color="auto" w:fill="auto"/>
            <w:noWrap/>
            <w:hideMark/>
          </w:tcPr>
          <w:p w14:paraId="5DBC9AF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-164 424</w:t>
            </w:r>
          </w:p>
        </w:tc>
      </w:tr>
      <w:tr w:rsidR="005E41CA" w:rsidRPr="005E41CA" w14:paraId="00FD2B4A"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2452B1F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74</w:t>
            </w:r>
          </w:p>
        </w:tc>
        <w:tc>
          <w:tcPr>
            <w:tcW w:w="6663" w:type="dxa"/>
            <w:tcBorders>
              <w:top w:val="nil"/>
              <w:left w:val="nil"/>
              <w:bottom w:val="single" w:sz="8" w:space="0" w:color="auto"/>
              <w:right w:val="single" w:sz="8" w:space="0" w:color="auto"/>
            </w:tcBorders>
            <w:shd w:val="clear" w:color="auto" w:fill="auto"/>
            <w:noWrap/>
            <w:hideMark/>
          </w:tcPr>
          <w:p w14:paraId="1382C4C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"Rīgas Dzemdību nams"</w:t>
            </w:r>
          </w:p>
        </w:tc>
        <w:tc>
          <w:tcPr>
            <w:tcW w:w="2121" w:type="dxa"/>
            <w:tcBorders>
              <w:top w:val="nil"/>
              <w:left w:val="nil"/>
              <w:bottom w:val="single" w:sz="8" w:space="0" w:color="auto"/>
              <w:right w:val="single" w:sz="8" w:space="0" w:color="auto"/>
            </w:tcBorders>
            <w:shd w:val="clear" w:color="auto" w:fill="auto"/>
            <w:noWrap/>
            <w:hideMark/>
          </w:tcPr>
          <w:p w14:paraId="1AC3AA9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13 930 073</w:t>
            </w:r>
          </w:p>
        </w:tc>
        <w:tc>
          <w:tcPr>
            <w:tcW w:w="2121" w:type="dxa"/>
            <w:tcBorders>
              <w:top w:val="nil"/>
              <w:left w:val="nil"/>
              <w:bottom w:val="single" w:sz="8" w:space="0" w:color="auto"/>
              <w:right w:val="single" w:sz="8" w:space="0" w:color="auto"/>
            </w:tcBorders>
            <w:shd w:val="clear" w:color="auto" w:fill="auto"/>
            <w:noWrap/>
            <w:hideMark/>
          </w:tcPr>
          <w:p w14:paraId="5F73067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13 939 401</w:t>
            </w:r>
          </w:p>
        </w:tc>
        <w:tc>
          <w:tcPr>
            <w:tcW w:w="2177" w:type="dxa"/>
            <w:tcBorders>
              <w:top w:val="nil"/>
              <w:left w:val="nil"/>
              <w:bottom w:val="single" w:sz="8" w:space="0" w:color="auto"/>
              <w:right w:val="single" w:sz="8" w:space="0" w:color="auto"/>
            </w:tcBorders>
            <w:shd w:val="clear" w:color="auto" w:fill="auto"/>
            <w:noWrap/>
            <w:hideMark/>
          </w:tcPr>
          <w:p w14:paraId="5ACCE1B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-9 328</w:t>
            </w:r>
          </w:p>
        </w:tc>
      </w:tr>
      <w:tr w:rsidR="005E41CA" w:rsidRPr="005E41CA" w14:paraId="3607BF8A"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0B7273A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75</w:t>
            </w:r>
          </w:p>
        </w:tc>
        <w:tc>
          <w:tcPr>
            <w:tcW w:w="6663" w:type="dxa"/>
            <w:tcBorders>
              <w:top w:val="nil"/>
              <w:left w:val="nil"/>
              <w:bottom w:val="single" w:sz="8" w:space="0" w:color="auto"/>
              <w:right w:val="single" w:sz="8" w:space="0" w:color="auto"/>
            </w:tcBorders>
            <w:shd w:val="clear" w:color="auto" w:fill="auto"/>
            <w:noWrap/>
            <w:hideMark/>
          </w:tcPr>
          <w:p w14:paraId="40CA8E6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"Rīgas satiksme"</w:t>
            </w:r>
          </w:p>
        </w:tc>
        <w:tc>
          <w:tcPr>
            <w:tcW w:w="2121" w:type="dxa"/>
            <w:tcBorders>
              <w:top w:val="nil"/>
              <w:left w:val="nil"/>
              <w:bottom w:val="single" w:sz="8" w:space="0" w:color="auto"/>
              <w:right w:val="single" w:sz="8" w:space="0" w:color="auto"/>
            </w:tcBorders>
            <w:shd w:val="clear" w:color="auto" w:fill="auto"/>
            <w:noWrap/>
            <w:hideMark/>
          </w:tcPr>
          <w:p w14:paraId="35C4E8A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202 431 356</w:t>
            </w:r>
          </w:p>
        </w:tc>
        <w:tc>
          <w:tcPr>
            <w:tcW w:w="2121" w:type="dxa"/>
            <w:tcBorders>
              <w:top w:val="nil"/>
              <w:left w:val="nil"/>
              <w:bottom w:val="single" w:sz="8" w:space="0" w:color="auto"/>
              <w:right w:val="single" w:sz="8" w:space="0" w:color="auto"/>
            </w:tcBorders>
            <w:shd w:val="clear" w:color="auto" w:fill="auto"/>
            <w:noWrap/>
            <w:hideMark/>
          </w:tcPr>
          <w:p w14:paraId="5E1D524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204 641 731</w:t>
            </w:r>
          </w:p>
        </w:tc>
        <w:tc>
          <w:tcPr>
            <w:tcW w:w="2177" w:type="dxa"/>
            <w:tcBorders>
              <w:top w:val="nil"/>
              <w:left w:val="nil"/>
              <w:bottom w:val="single" w:sz="8" w:space="0" w:color="auto"/>
              <w:right w:val="single" w:sz="8" w:space="0" w:color="auto"/>
            </w:tcBorders>
            <w:shd w:val="clear" w:color="auto" w:fill="auto"/>
            <w:noWrap/>
            <w:hideMark/>
          </w:tcPr>
          <w:p w14:paraId="25EAA6A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-2 210 375</w:t>
            </w:r>
          </w:p>
        </w:tc>
      </w:tr>
      <w:tr w:rsidR="005E41CA" w:rsidRPr="005E41CA" w14:paraId="4EE78E44"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624BE26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lastRenderedPageBreak/>
              <w:t>76</w:t>
            </w:r>
          </w:p>
        </w:tc>
        <w:tc>
          <w:tcPr>
            <w:tcW w:w="6663" w:type="dxa"/>
            <w:tcBorders>
              <w:top w:val="nil"/>
              <w:left w:val="nil"/>
              <w:bottom w:val="single" w:sz="8" w:space="0" w:color="auto"/>
              <w:right w:val="single" w:sz="8" w:space="0" w:color="auto"/>
            </w:tcBorders>
            <w:shd w:val="clear" w:color="auto" w:fill="auto"/>
            <w:noWrap/>
            <w:hideMark/>
          </w:tcPr>
          <w:p w14:paraId="143A72E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"Rīgas veselības centrs"</w:t>
            </w:r>
          </w:p>
        </w:tc>
        <w:tc>
          <w:tcPr>
            <w:tcW w:w="2121" w:type="dxa"/>
            <w:tcBorders>
              <w:top w:val="nil"/>
              <w:left w:val="nil"/>
              <w:bottom w:val="single" w:sz="8" w:space="0" w:color="auto"/>
              <w:right w:val="single" w:sz="8" w:space="0" w:color="auto"/>
            </w:tcBorders>
            <w:shd w:val="clear" w:color="auto" w:fill="auto"/>
            <w:noWrap/>
            <w:hideMark/>
          </w:tcPr>
          <w:p w14:paraId="2155B7D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11 610 737</w:t>
            </w:r>
          </w:p>
        </w:tc>
        <w:tc>
          <w:tcPr>
            <w:tcW w:w="2121" w:type="dxa"/>
            <w:tcBorders>
              <w:top w:val="nil"/>
              <w:left w:val="nil"/>
              <w:bottom w:val="single" w:sz="8" w:space="0" w:color="auto"/>
              <w:right w:val="single" w:sz="8" w:space="0" w:color="auto"/>
            </w:tcBorders>
            <w:shd w:val="clear" w:color="auto" w:fill="auto"/>
            <w:noWrap/>
            <w:hideMark/>
          </w:tcPr>
          <w:p w14:paraId="707AA35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11 595 546</w:t>
            </w:r>
          </w:p>
        </w:tc>
        <w:tc>
          <w:tcPr>
            <w:tcW w:w="2177" w:type="dxa"/>
            <w:tcBorders>
              <w:top w:val="nil"/>
              <w:left w:val="nil"/>
              <w:bottom w:val="single" w:sz="8" w:space="0" w:color="auto"/>
              <w:right w:val="single" w:sz="8" w:space="0" w:color="auto"/>
            </w:tcBorders>
            <w:shd w:val="clear" w:color="auto" w:fill="auto"/>
            <w:noWrap/>
            <w:hideMark/>
          </w:tcPr>
          <w:p w14:paraId="2BD96AE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15 191</w:t>
            </w:r>
          </w:p>
        </w:tc>
      </w:tr>
      <w:tr w:rsidR="005E41CA" w:rsidRPr="005E41CA" w14:paraId="4FC0BE53"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244998D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77</w:t>
            </w:r>
          </w:p>
        </w:tc>
        <w:tc>
          <w:tcPr>
            <w:tcW w:w="6663" w:type="dxa"/>
            <w:tcBorders>
              <w:top w:val="nil"/>
              <w:left w:val="nil"/>
              <w:bottom w:val="single" w:sz="8" w:space="0" w:color="auto"/>
              <w:right w:val="single" w:sz="8" w:space="0" w:color="auto"/>
            </w:tcBorders>
            <w:shd w:val="clear" w:color="auto" w:fill="auto"/>
            <w:noWrap/>
            <w:hideMark/>
          </w:tcPr>
          <w:p w14:paraId="3678B37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"Olimpiskais centrs "Ventspils""</w:t>
            </w:r>
          </w:p>
        </w:tc>
        <w:tc>
          <w:tcPr>
            <w:tcW w:w="2121" w:type="dxa"/>
            <w:tcBorders>
              <w:top w:val="nil"/>
              <w:left w:val="nil"/>
              <w:bottom w:val="single" w:sz="8" w:space="0" w:color="auto"/>
              <w:right w:val="single" w:sz="8" w:space="0" w:color="auto"/>
            </w:tcBorders>
            <w:shd w:val="clear" w:color="auto" w:fill="auto"/>
            <w:noWrap/>
            <w:hideMark/>
          </w:tcPr>
          <w:p w14:paraId="4F8A9E4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4 746 873</w:t>
            </w:r>
          </w:p>
        </w:tc>
        <w:tc>
          <w:tcPr>
            <w:tcW w:w="2121" w:type="dxa"/>
            <w:tcBorders>
              <w:top w:val="nil"/>
              <w:left w:val="nil"/>
              <w:bottom w:val="single" w:sz="8" w:space="0" w:color="auto"/>
              <w:right w:val="single" w:sz="8" w:space="0" w:color="auto"/>
            </w:tcBorders>
            <w:shd w:val="clear" w:color="auto" w:fill="auto"/>
            <w:noWrap/>
            <w:hideMark/>
          </w:tcPr>
          <w:p w14:paraId="13E6B16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4 727 286</w:t>
            </w:r>
          </w:p>
        </w:tc>
        <w:tc>
          <w:tcPr>
            <w:tcW w:w="2177" w:type="dxa"/>
            <w:tcBorders>
              <w:top w:val="nil"/>
              <w:left w:val="nil"/>
              <w:bottom w:val="single" w:sz="8" w:space="0" w:color="auto"/>
              <w:right w:val="single" w:sz="8" w:space="0" w:color="auto"/>
            </w:tcBorders>
            <w:shd w:val="clear" w:color="auto" w:fill="auto"/>
            <w:noWrap/>
            <w:hideMark/>
          </w:tcPr>
          <w:p w14:paraId="1431A6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19 587</w:t>
            </w:r>
          </w:p>
        </w:tc>
      </w:tr>
      <w:tr w:rsidR="005E41CA" w:rsidRPr="005E41CA" w14:paraId="408130E9"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05255E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78</w:t>
            </w:r>
          </w:p>
        </w:tc>
        <w:tc>
          <w:tcPr>
            <w:tcW w:w="6663" w:type="dxa"/>
            <w:tcBorders>
              <w:top w:val="nil"/>
              <w:left w:val="nil"/>
              <w:bottom w:val="single" w:sz="8" w:space="0" w:color="auto"/>
              <w:right w:val="single" w:sz="8" w:space="0" w:color="auto"/>
            </w:tcBorders>
            <w:shd w:val="clear" w:color="auto" w:fill="auto"/>
            <w:noWrap/>
            <w:hideMark/>
          </w:tcPr>
          <w:p w14:paraId="61B6AAB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"Vidzemes slimnīca"</w:t>
            </w:r>
          </w:p>
        </w:tc>
        <w:tc>
          <w:tcPr>
            <w:tcW w:w="2121" w:type="dxa"/>
            <w:tcBorders>
              <w:top w:val="nil"/>
              <w:left w:val="nil"/>
              <w:bottom w:val="single" w:sz="8" w:space="0" w:color="auto"/>
              <w:right w:val="single" w:sz="8" w:space="0" w:color="auto"/>
            </w:tcBorders>
            <w:shd w:val="clear" w:color="auto" w:fill="auto"/>
            <w:noWrap/>
            <w:hideMark/>
          </w:tcPr>
          <w:p w14:paraId="37C08EA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24 870 584</w:t>
            </w:r>
          </w:p>
        </w:tc>
        <w:tc>
          <w:tcPr>
            <w:tcW w:w="2121" w:type="dxa"/>
            <w:tcBorders>
              <w:top w:val="nil"/>
              <w:left w:val="nil"/>
              <w:bottom w:val="single" w:sz="8" w:space="0" w:color="auto"/>
              <w:right w:val="single" w:sz="8" w:space="0" w:color="auto"/>
            </w:tcBorders>
            <w:shd w:val="clear" w:color="auto" w:fill="auto"/>
            <w:noWrap/>
            <w:hideMark/>
          </w:tcPr>
          <w:p w14:paraId="712DFB9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27 459 646</w:t>
            </w:r>
          </w:p>
        </w:tc>
        <w:tc>
          <w:tcPr>
            <w:tcW w:w="2177" w:type="dxa"/>
            <w:tcBorders>
              <w:top w:val="nil"/>
              <w:left w:val="nil"/>
              <w:bottom w:val="single" w:sz="8" w:space="0" w:color="auto"/>
              <w:right w:val="single" w:sz="8" w:space="0" w:color="auto"/>
            </w:tcBorders>
            <w:shd w:val="clear" w:color="auto" w:fill="auto"/>
            <w:noWrap/>
            <w:hideMark/>
          </w:tcPr>
          <w:p w14:paraId="0C19453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-2 589 062</w:t>
            </w:r>
          </w:p>
        </w:tc>
      </w:tr>
      <w:tr w:rsidR="005E41CA" w:rsidRPr="005E41CA" w14:paraId="6375B56F" w14:textId="77777777" w:rsidTr="006261DB">
        <w:trPr>
          <w:trHeight w:val="283"/>
        </w:trPr>
        <w:tc>
          <w:tcPr>
            <w:tcW w:w="1124" w:type="dxa"/>
            <w:tcBorders>
              <w:top w:val="nil"/>
              <w:left w:val="single" w:sz="8" w:space="0" w:color="auto"/>
              <w:bottom w:val="single" w:sz="8" w:space="0" w:color="auto"/>
              <w:right w:val="single" w:sz="8" w:space="0" w:color="auto"/>
            </w:tcBorders>
            <w:shd w:val="clear" w:color="auto" w:fill="auto"/>
            <w:noWrap/>
            <w:vAlign w:val="center"/>
            <w:hideMark/>
          </w:tcPr>
          <w:p w14:paraId="373E43F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79</w:t>
            </w:r>
          </w:p>
        </w:tc>
        <w:tc>
          <w:tcPr>
            <w:tcW w:w="6663" w:type="dxa"/>
            <w:tcBorders>
              <w:top w:val="nil"/>
              <w:left w:val="nil"/>
              <w:bottom w:val="single" w:sz="8" w:space="0" w:color="auto"/>
              <w:right w:val="single" w:sz="8" w:space="0" w:color="auto"/>
            </w:tcBorders>
            <w:shd w:val="clear" w:color="auto" w:fill="auto"/>
            <w:noWrap/>
            <w:hideMark/>
          </w:tcPr>
          <w:p w14:paraId="6AC34FF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Ziemeļkurzemes</w:t>
            </w:r>
            <w:proofErr w:type="spellEnd"/>
            <w:r w:rsidRPr="005E41CA">
              <w:rPr>
                <w:rFonts w:eastAsia="Calibri" w:cs="Times New Roman"/>
                <w:sz w:val="18"/>
                <w:szCs w:val="18"/>
                <w:lang w:eastAsia="en-US"/>
              </w:rPr>
              <w:t xml:space="preserve"> reģionālā slimnīca"</w:t>
            </w:r>
          </w:p>
        </w:tc>
        <w:tc>
          <w:tcPr>
            <w:tcW w:w="2121" w:type="dxa"/>
            <w:tcBorders>
              <w:top w:val="nil"/>
              <w:left w:val="nil"/>
              <w:bottom w:val="single" w:sz="8" w:space="0" w:color="auto"/>
              <w:right w:val="single" w:sz="8" w:space="0" w:color="auto"/>
            </w:tcBorders>
            <w:shd w:val="clear" w:color="auto" w:fill="auto"/>
            <w:noWrap/>
            <w:hideMark/>
          </w:tcPr>
          <w:p w14:paraId="61DEED9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24 735 254</w:t>
            </w:r>
          </w:p>
        </w:tc>
        <w:tc>
          <w:tcPr>
            <w:tcW w:w="2121" w:type="dxa"/>
            <w:tcBorders>
              <w:top w:val="nil"/>
              <w:left w:val="nil"/>
              <w:bottom w:val="single" w:sz="8" w:space="0" w:color="auto"/>
              <w:right w:val="single" w:sz="8" w:space="0" w:color="auto"/>
            </w:tcBorders>
            <w:shd w:val="clear" w:color="auto" w:fill="auto"/>
            <w:noWrap/>
            <w:hideMark/>
          </w:tcPr>
          <w:p w14:paraId="404DFBF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24 603 409</w:t>
            </w:r>
          </w:p>
        </w:tc>
        <w:tc>
          <w:tcPr>
            <w:tcW w:w="2177" w:type="dxa"/>
            <w:tcBorders>
              <w:top w:val="nil"/>
              <w:left w:val="nil"/>
              <w:bottom w:val="single" w:sz="8" w:space="0" w:color="auto"/>
              <w:right w:val="single" w:sz="8" w:space="0" w:color="auto"/>
            </w:tcBorders>
            <w:shd w:val="clear" w:color="auto" w:fill="auto"/>
            <w:noWrap/>
            <w:hideMark/>
          </w:tcPr>
          <w:p w14:paraId="0AC9315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131 845</w:t>
            </w:r>
          </w:p>
        </w:tc>
      </w:tr>
      <w:tr w:rsidR="00AB78AC" w:rsidRPr="005E41CA" w14:paraId="5FE992A9" w14:textId="77777777" w:rsidTr="006909EC">
        <w:trPr>
          <w:trHeight w:val="468"/>
        </w:trPr>
        <w:tc>
          <w:tcPr>
            <w:tcW w:w="14206"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5BE4854" w14:textId="258ED372" w:rsidR="00AB78AC" w:rsidRPr="005E41CA" w:rsidRDefault="00AB78AC" w:rsidP="00AB78AC">
            <w:pPr>
              <w:spacing w:after="0"/>
              <w:ind w:firstLine="0"/>
              <w:rPr>
                <w:rFonts w:eastAsia="Times New Roman" w:cs="Times New Roman"/>
                <w:color w:val="000000"/>
                <w:sz w:val="18"/>
                <w:szCs w:val="18"/>
              </w:rPr>
            </w:pPr>
            <w:r w:rsidRPr="005E41CA">
              <w:rPr>
                <w:rFonts w:eastAsia="Times New Roman" w:cs="Times New Roman"/>
                <w:color w:val="000000"/>
                <w:sz w:val="18"/>
                <w:szCs w:val="18"/>
              </w:rPr>
              <w:t xml:space="preserve">Tabulā ir norādīti vispārējās valdības </w:t>
            </w:r>
            <w:r>
              <w:rPr>
                <w:rFonts w:eastAsia="Times New Roman" w:cs="Times New Roman"/>
                <w:color w:val="000000"/>
                <w:sz w:val="18"/>
                <w:szCs w:val="18"/>
              </w:rPr>
              <w:t xml:space="preserve">sektorā klasificēto </w:t>
            </w:r>
            <w:r w:rsidRPr="005E41CA">
              <w:rPr>
                <w:rFonts w:eastAsia="Times New Roman" w:cs="Times New Roman"/>
                <w:color w:val="000000"/>
                <w:sz w:val="18"/>
                <w:szCs w:val="18"/>
              </w:rPr>
              <w:t xml:space="preserve">kapitālsabiedrību </w:t>
            </w:r>
            <w:r>
              <w:rPr>
                <w:rFonts w:eastAsia="Times New Roman" w:cs="Times New Roman"/>
                <w:color w:val="000000"/>
                <w:sz w:val="18"/>
                <w:szCs w:val="18"/>
              </w:rPr>
              <w:t xml:space="preserve">un nodibinājuma </w:t>
            </w:r>
            <w:r w:rsidRPr="005E41CA">
              <w:rPr>
                <w:rFonts w:eastAsia="Times New Roman" w:cs="Times New Roman"/>
                <w:color w:val="000000"/>
                <w:sz w:val="18"/>
                <w:szCs w:val="18"/>
              </w:rPr>
              <w:t>ieņēmumi, izdevumi un ietekme uz B.9 neto aizdevumiem (+)/neto aizņēmumiem (-)</w:t>
            </w:r>
            <w:r>
              <w:rPr>
                <w:rFonts w:eastAsia="Times New Roman" w:cs="Times New Roman"/>
                <w:color w:val="000000"/>
                <w:sz w:val="18"/>
                <w:szCs w:val="18"/>
              </w:rPr>
              <w:t xml:space="preserve"> </w:t>
            </w:r>
            <w:r w:rsidRPr="005E41CA">
              <w:rPr>
                <w:rFonts w:eastAsia="Times New Roman" w:cs="Times New Roman"/>
                <w:color w:val="000000"/>
                <w:sz w:val="18"/>
                <w:szCs w:val="18"/>
              </w:rPr>
              <w:t xml:space="preserve">atbilstoši </w:t>
            </w:r>
            <w:r>
              <w:rPr>
                <w:rFonts w:eastAsia="Times New Roman" w:cs="Times New Roman"/>
                <w:color w:val="000000"/>
                <w:sz w:val="18"/>
                <w:szCs w:val="18"/>
              </w:rPr>
              <w:t>to</w:t>
            </w:r>
            <w:r w:rsidRPr="005E41CA">
              <w:rPr>
                <w:rFonts w:eastAsia="Times New Roman" w:cs="Times New Roman"/>
                <w:color w:val="000000"/>
                <w:sz w:val="18"/>
                <w:szCs w:val="18"/>
              </w:rPr>
              <w:t xml:space="preserve"> </w:t>
            </w:r>
            <w:r>
              <w:rPr>
                <w:rFonts w:eastAsia="Times New Roman" w:cs="Times New Roman"/>
                <w:color w:val="000000"/>
                <w:sz w:val="18"/>
                <w:szCs w:val="18"/>
              </w:rPr>
              <w:t xml:space="preserve">iesniegtajām veidlapām FM organizētās aptaujas ietvaros 2023.gada jūlijā/augustā un Ministru kabineta pieņemtajiem lēmumiem par </w:t>
            </w:r>
            <w:r w:rsidRPr="005E41CA">
              <w:rPr>
                <w:rFonts w:eastAsia="Calibri" w:cs="Times New Roman"/>
                <w:sz w:val="18"/>
                <w:szCs w:val="18"/>
                <w:lang w:eastAsia="en-US"/>
              </w:rPr>
              <w:t>SIA "Enerģijas publiskais tirgotājs"</w:t>
            </w:r>
            <w:r>
              <w:rPr>
                <w:rFonts w:eastAsia="Calibri" w:cs="Times New Roman"/>
                <w:sz w:val="18"/>
                <w:szCs w:val="18"/>
                <w:lang w:eastAsia="en-US"/>
              </w:rPr>
              <w:t xml:space="preserve">, </w:t>
            </w:r>
            <w:r w:rsidRPr="005E41CA">
              <w:rPr>
                <w:rFonts w:eastAsia="Calibri" w:cs="Times New Roman"/>
                <w:sz w:val="18"/>
                <w:szCs w:val="18"/>
                <w:lang w:eastAsia="en-US"/>
              </w:rPr>
              <w:t>AS "Pasažieru vilciens"</w:t>
            </w:r>
            <w:r>
              <w:rPr>
                <w:rFonts w:eastAsia="Calibri" w:cs="Times New Roman"/>
                <w:sz w:val="18"/>
                <w:szCs w:val="18"/>
                <w:lang w:eastAsia="en-US"/>
              </w:rPr>
              <w:t xml:space="preserve"> un </w:t>
            </w:r>
            <w:r w:rsidRPr="005E41CA">
              <w:rPr>
                <w:rFonts w:eastAsia="Calibri" w:cs="Times New Roman"/>
                <w:sz w:val="18"/>
                <w:szCs w:val="18"/>
                <w:lang w:eastAsia="en-US"/>
              </w:rPr>
              <w:t>SIA "</w:t>
            </w:r>
            <w:r>
              <w:rPr>
                <w:rFonts w:eastAsia="Calibri" w:cs="Times New Roman"/>
                <w:sz w:val="18"/>
                <w:szCs w:val="18"/>
                <w:lang w:eastAsia="en-US"/>
              </w:rPr>
              <w:t>Rīgas</w:t>
            </w:r>
            <w:r w:rsidRPr="005E41CA">
              <w:rPr>
                <w:rFonts w:eastAsia="Calibri" w:cs="Times New Roman"/>
                <w:sz w:val="18"/>
                <w:szCs w:val="18"/>
                <w:lang w:eastAsia="en-US"/>
              </w:rPr>
              <w:t xml:space="preserve"> </w:t>
            </w:r>
            <w:r>
              <w:rPr>
                <w:rFonts w:eastAsia="Calibri" w:cs="Times New Roman"/>
                <w:sz w:val="18"/>
                <w:szCs w:val="18"/>
                <w:lang w:eastAsia="en-US"/>
              </w:rPr>
              <w:t>satiksme</w:t>
            </w:r>
            <w:r w:rsidRPr="005E41CA">
              <w:rPr>
                <w:rFonts w:eastAsia="Calibri" w:cs="Times New Roman"/>
                <w:sz w:val="18"/>
                <w:szCs w:val="18"/>
                <w:lang w:eastAsia="en-US"/>
              </w:rPr>
              <w:t>"</w:t>
            </w:r>
            <w:r>
              <w:rPr>
                <w:rFonts w:eastAsia="Calibri" w:cs="Times New Roman"/>
                <w:sz w:val="18"/>
                <w:szCs w:val="18"/>
                <w:lang w:eastAsia="en-US"/>
              </w:rPr>
              <w:t xml:space="preserve"> līdz 2023.gada 9.oktobrim.</w:t>
            </w:r>
          </w:p>
        </w:tc>
      </w:tr>
      <w:tr w:rsidR="00AB78AC" w:rsidRPr="005E41CA" w14:paraId="4FB5EBA2" w14:textId="77777777" w:rsidTr="006909EC">
        <w:trPr>
          <w:trHeight w:val="492"/>
        </w:trPr>
        <w:tc>
          <w:tcPr>
            <w:tcW w:w="14206" w:type="dxa"/>
            <w:gridSpan w:val="5"/>
            <w:tcBorders>
              <w:top w:val="nil"/>
              <w:left w:val="single" w:sz="8" w:space="0" w:color="auto"/>
              <w:bottom w:val="single" w:sz="8" w:space="0" w:color="auto"/>
              <w:right w:val="single" w:sz="8" w:space="0" w:color="000000"/>
            </w:tcBorders>
            <w:shd w:val="clear" w:color="auto" w:fill="auto"/>
            <w:noWrap/>
            <w:vAlign w:val="center"/>
            <w:hideMark/>
          </w:tcPr>
          <w:p w14:paraId="1EAC3690" w14:textId="3F5B8FD1" w:rsidR="00AB78AC" w:rsidRPr="005E41CA" w:rsidRDefault="00AB78AC" w:rsidP="00AB78AC">
            <w:pPr>
              <w:spacing w:after="0"/>
              <w:ind w:firstLine="0"/>
              <w:rPr>
                <w:rFonts w:eastAsia="Times New Roman" w:cs="Times New Roman"/>
                <w:color w:val="000000"/>
                <w:sz w:val="18"/>
                <w:szCs w:val="18"/>
                <w:highlight w:val="yellow"/>
              </w:rPr>
            </w:pPr>
            <w:r w:rsidRPr="005E41CA">
              <w:rPr>
                <w:rFonts w:eastAsia="Times New Roman" w:cs="Times New Roman"/>
                <w:color w:val="000000"/>
                <w:sz w:val="18"/>
                <w:szCs w:val="18"/>
              </w:rPr>
              <w:t xml:space="preserve">Vispārējās valdības </w:t>
            </w:r>
            <w:r>
              <w:rPr>
                <w:rFonts w:eastAsia="Times New Roman" w:cs="Times New Roman"/>
                <w:color w:val="000000"/>
                <w:sz w:val="18"/>
                <w:szCs w:val="18"/>
              </w:rPr>
              <w:t xml:space="preserve">sektorā klasificēto </w:t>
            </w:r>
            <w:r w:rsidRPr="005E41CA">
              <w:rPr>
                <w:rFonts w:eastAsia="Times New Roman" w:cs="Times New Roman"/>
                <w:color w:val="000000"/>
                <w:sz w:val="18"/>
                <w:szCs w:val="18"/>
              </w:rPr>
              <w:t xml:space="preserve">kapitālsabiedrību </w:t>
            </w:r>
            <w:r>
              <w:rPr>
                <w:rFonts w:eastAsia="Times New Roman" w:cs="Times New Roman"/>
                <w:color w:val="000000"/>
                <w:sz w:val="18"/>
                <w:szCs w:val="18"/>
              </w:rPr>
              <w:t xml:space="preserve">un nodibinājuma </w:t>
            </w:r>
            <w:r w:rsidRPr="005E41CA">
              <w:rPr>
                <w:rFonts w:eastAsia="Times New Roman" w:cs="Times New Roman"/>
                <w:color w:val="000000"/>
                <w:sz w:val="18"/>
                <w:szCs w:val="18"/>
              </w:rPr>
              <w:t>ietekme uz B.9 neto aizdevumiem (+)/neto aizņēmumiem (-), kas iekļauta vispārējās valdības budžeta prognozēs 2024. gadā</w:t>
            </w:r>
            <w:r>
              <w:rPr>
                <w:rFonts w:eastAsia="Times New Roman" w:cs="Times New Roman"/>
                <w:color w:val="000000"/>
                <w:sz w:val="18"/>
                <w:szCs w:val="18"/>
              </w:rPr>
              <w:t xml:space="preserve">, </w:t>
            </w:r>
            <w:r w:rsidRPr="005E41CA">
              <w:rPr>
                <w:rFonts w:eastAsia="Times New Roman" w:cs="Times New Roman"/>
                <w:color w:val="000000"/>
                <w:sz w:val="18"/>
                <w:szCs w:val="18"/>
              </w:rPr>
              <w:t>ir -</w:t>
            </w:r>
            <w:r>
              <w:rPr>
                <w:rFonts w:eastAsia="Times New Roman" w:cs="Times New Roman"/>
                <w:color w:val="000000"/>
                <w:sz w:val="18"/>
                <w:szCs w:val="18"/>
              </w:rPr>
              <w:t>23 867 582</w:t>
            </w:r>
            <w:r w:rsidRPr="005E41CA">
              <w:rPr>
                <w:rFonts w:eastAsia="Times New Roman" w:cs="Times New Roman"/>
                <w:color w:val="000000"/>
                <w:sz w:val="18"/>
                <w:szCs w:val="18"/>
              </w:rPr>
              <w:t xml:space="preserve"> </w:t>
            </w:r>
            <w:proofErr w:type="spellStart"/>
            <w:r w:rsidRPr="005E41CA">
              <w:rPr>
                <w:rFonts w:eastAsia="Times New Roman" w:cs="Times New Roman"/>
                <w:i/>
                <w:iCs/>
                <w:color w:val="000000"/>
                <w:sz w:val="18"/>
                <w:szCs w:val="18"/>
              </w:rPr>
              <w:t>euro</w:t>
            </w:r>
            <w:proofErr w:type="spellEnd"/>
            <w:r w:rsidRPr="005E41CA">
              <w:rPr>
                <w:rFonts w:eastAsia="Times New Roman" w:cs="Times New Roman"/>
                <w:i/>
                <w:iCs/>
                <w:color w:val="000000"/>
                <w:sz w:val="18"/>
                <w:szCs w:val="18"/>
              </w:rPr>
              <w:t>.</w:t>
            </w:r>
          </w:p>
        </w:tc>
      </w:tr>
    </w:tbl>
    <w:p w14:paraId="111D7DF8" w14:textId="77777777" w:rsidR="005E41CA" w:rsidRPr="005E41CA" w:rsidRDefault="005E41CA" w:rsidP="005E41CA">
      <w:pPr>
        <w:widowControl w:val="0"/>
        <w:ind w:firstLine="0"/>
        <w:jc w:val="left"/>
        <w:rPr>
          <w:rFonts w:eastAsia="Times New Roman" w:cs="Times New Roman"/>
          <w:b/>
          <w:sz w:val="18"/>
          <w:szCs w:val="18"/>
        </w:rPr>
      </w:pPr>
    </w:p>
    <w:p w14:paraId="6353BB7A" w14:textId="1E4C295D" w:rsidR="005E41CA" w:rsidRPr="005E41CA" w:rsidRDefault="005E41CA" w:rsidP="005E41CA">
      <w:pPr>
        <w:spacing w:after="0"/>
        <w:ind w:firstLine="0"/>
        <w:jc w:val="left"/>
        <w:rPr>
          <w:rFonts w:eastAsia="Times New Roman" w:cs="Times New Roman"/>
          <w:b/>
          <w:sz w:val="18"/>
          <w:szCs w:val="18"/>
        </w:rPr>
      </w:pPr>
      <w:r>
        <w:rPr>
          <w:rFonts w:eastAsia="Times New Roman" w:cs="Times New Roman"/>
          <w:b/>
          <w:sz w:val="18"/>
          <w:szCs w:val="18"/>
        </w:rPr>
        <w:br w:type="page"/>
      </w:r>
    </w:p>
    <w:tbl>
      <w:tblPr>
        <w:tblW w:w="14206" w:type="dxa"/>
        <w:tblLook w:val="04A0" w:firstRow="1" w:lastRow="0" w:firstColumn="1" w:lastColumn="0" w:noHBand="0" w:noVBand="1"/>
      </w:tblPr>
      <w:tblGrid>
        <w:gridCol w:w="1187"/>
        <w:gridCol w:w="6600"/>
        <w:gridCol w:w="2121"/>
        <w:gridCol w:w="2121"/>
        <w:gridCol w:w="2177"/>
      </w:tblGrid>
      <w:tr w:rsidR="005E41CA" w:rsidRPr="005E41CA" w14:paraId="768ACD64" w14:textId="77777777" w:rsidTr="006261DB">
        <w:trPr>
          <w:trHeight w:val="283"/>
          <w:tblHeader/>
        </w:trPr>
        <w:tc>
          <w:tcPr>
            <w:tcW w:w="14206" w:type="dxa"/>
            <w:gridSpan w:val="5"/>
            <w:tcBorders>
              <w:top w:val="single" w:sz="8" w:space="0" w:color="auto"/>
              <w:left w:val="single" w:sz="8" w:space="0" w:color="auto"/>
              <w:bottom w:val="single" w:sz="8" w:space="0" w:color="auto"/>
              <w:right w:val="single" w:sz="8" w:space="0" w:color="000000"/>
            </w:tcBorders>
            <w:shd w:val="clear" w:color="000000" w:fill="9BC2E6"/>
            <w:noWrap/>
            <w:vAlign w:val="center"/>
            <w:hideMark/>
          </w:tcPr>
          <w:p w14:paraId="5EFEF85C" w14:textId="77777777" w:rsidR="005E41CA" w:rsidRPr="005E41CA" w:rsidRDefault="005E41CA" w:rsidP="005E41CA">
            <w:pPr>
              <w:spacing w:after="0"/>
              <w:ind w:firstLine="0"/>
              <w:jc w:val="center"/>
              <w:rPr>
                <w:rFonts w:eastAsia="Times New Roman" w:cs="Times New Roman"/>
                <w:b/>
                <w:bCs/>
                <w:color w:val="000000"/>
                <w:sz w:val="18"/>
                <w:szCs w:val="18"/>
              </w:rPr>
            </w:pPr>
            <w:r w:rsidRPr="005E41CA">
              <w:rPr>
                <w:rFonts w:eastAsia="Times New Roman" w:cs="Times New Roman"/>
                <w:b/>
                <w:bCs/>
                <w:color w:val="000000"/>
                <w:sz w:val="18"/>
                <w:szCs w:val="18"/>
              </w:rPr>
              <w:lastRenderedPageBreak/>
              <w:t>2025</w:t>
            </w:r>
          </w:p>
        </w:tc>
      </w:tr>
      <w:tr w:rsidR="005E41CA" w:rsidRPr="005E41CA" w14:paraId="7EF2672A" w14:textId="77777777" w:rsidTr="006261DB">
        <w:trPr>
          <w:trHeight w:val="624"/>
          <w:tblHeader/>
        </w:trPr>
        <w:tc>
          <w:tcPr>
            <w:tcW w:w="1187" w:type="dxa"/>
            <w:tcBorders>
              <w:top w:val="nil"/>
              <w:left w:val="single" w:sz="8" w:space="0" w:color="auto"/>
              <w:bottom w:val="single" w:sz="8" w:space="0" w:color="auto"/>
              <w:right w:val="single" w:sz="8" w:space="0" w:color="auto"/>
            </w:tcBorders>
            <w:shd w:val="clear" w:color="000000" w:fill="BDD7EE"/>
            <w:noWrap/>
            <w:vAlign w:val="center"/>
            <w:hideMark/>
          </w:tcPr>
          <w:p w14:paraId="45F66BB7" w14:textId="77777777" w:rsidR="005E41CA" w:rsidRPr="005E41CA" w:rsidRDefault="005E41CA" w:rsidP="005E41CA">
            <w:pPr>
              <w:spacing w:after="0"/>
              <w:ind w:firstLine="0"/>
              <w:jc w:val="left"/>
              <w:rPr>
                <w:rFonts w:eastAsia="Times New Roman" w:cs="Times New Roman"/>
                <w:color w:val="000000"/>
                <w:sz w:val="18"/>
                <w:szCs w:val="18"/>
              </w:rPr>
            </w:pPr>
            <w:proofErr w:type="spellStart"/>
            <w:r w:rsidRPr="005E41CA">
              <w:rPr>
                <w:rFonts w:eastAsia="Times New Roman" w:cs="Times New Roman"/>
                <w:color w:val="000000"/>
                <w:sz w:val="18"/>
                <w:szCs w:val="18"/>
              </w:rPr>
              <w:t>N.p.k</w:t>
            </w:r>
            <w:proofErr w:type="spellEnd"/>
            <w:r w:rsidRPr="005E41CA">
              <w:rPr>
                <w:rFonts w:eastAsia="Times New Roman" w:cs="Times New Roman"/>
                <w:color w:val="000000"/>
                <w:sz w:val="18"/>
                <w:szCs w:val="18"/>
              </w:rPr>
              <w:t>.</w:t>
            </w:r>
          </w:p>
        </w:tc>
        <w:tc>
          <w:tcPr>
            <w:tcW w:w="6600" w:type="dxa"/>
            <w:tcBorders>
              <w:top w:val="nil"/>
              <w:left w:val="nil"/>
              <w:bottom w:val="single" w:sz="8" w:space="0" w:color="auto"/>
              <w:right w:val="single" w:sz="8" w:space="0" w:color="auto"/>
            </w:tcBorders>
            <w:shd w:val="clear" w:color="000000" w:fill="BDD7EE"/>
            <w:noWrap/>
            <w:vAlign w:val="center"/>
            <w:hideMark/>
          </w:tcPr>
          <w:p w14:paraId="198F250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BDD7EE"/>
            <w:vAlign w:val="center"/>
            <w:hideMark/>
          </w:tcPr>
          <w:p w14:paraId="238C0CFB" w14:textId="77777777"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 xml:space="preserve">Ieņēmumi, </w:t>
            </w:r>
            <w:proofErr w:type="spellStart"/>
            <w:r w:rsidRPr="005E41CA">
              <w:rPr>
                <w:rFonts w:eastAsia="Times New Roman" w:cs="Times New Roman"/>
                <w:i/>
                <w:iCs/>
                <w:color w:val="000000"/>
                <w:sz w:val="18"/>
                <w:szCs w:val="18"/>
              </w:rPr>
              <w:t>euro</w:t>
            </w:r>
            <w:proofErr w:type="spellEnd"/>
          </w:p>
        </w:tc>
        <w:tc>
          <w:tcPr>
            <w:tcW w:w="2121" w:type="dxa"/>
            <w:tcBorders>
              <w:top w:val="nil"/>
              <w:left w:val="nil"/>
              <w:bottom w:val="single" w:sz="8" w:space="0" w:color="auto"/>
              <w:right w:val="single" w:sz="8" w:space="0" w:color="auto"/>
            </w:tcBorders>
            <w:shd w:val="clear" w:color="000000" w:fill="BDD7EE"/>
            <w:vAlign w:val="center"/>
            <w:hideMark/>
          </w:tcPr>
          <w:p w14:paraId="4EDABCB2" w14:textId="77777777"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 xml:space="preserve">Izdevumi, </w:t>
            </w:r>
            <w:proofErr w:type="spellStart"/>
            <w:r w:rsidRPr="005E41CA">
              <w:rPr>
                <w:rFonts w:eastAsia="Times New Roman" w:cs="Times New Roman"/>
                <w:i/>
                <w:iCs/>
                <w:color w:val="000000"/>
                <w:sz w:val="18"/>
                <w:szCs w:val="18"/>
              </w:rPr>
              <w:t>euro</w:t>
            </w:r>
            <w:proofErr w:type="spellEnd"/>
          </w:p>
        </w:tc>
        <w:tc>
          <w:tcPr>
            <w:tcW w:w="2177" w:type="dxa"/>
            <w:tcBorders>
              <w:top w:val="nil"/>
              <w:left w:val="nil"/>
              <w:bottom w:val="single" w:sz="8" w:space="0" w:color="auto"/>
              <w:right w:val="single" w:sz="8" w:space="0" w:color="auto"/>
            </w:tcBorders>
            <w:shd w:val="clear" w:color="000000" w:fill="BDD7EE"/>
            <w:vAlign w:val="center"/>
            <w:hideMark/>
          </w:tcPr>
          <w:p w14:paraId="3885C564" w14:textId="6ADB99CB"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Ietekme uz B.9 neto aizdevumiem (+)/neto aizņēmumiem (-),</w:t>
            </w:r>
            <w:r>
              <w:rPr>
                <w:rFonts w:eastAsia="Times New Roman" w:cs="Times New Roman"/>
                <w:color w:val="000000"/>
                <w:sz w:val="18"/>
                <w:szCs w:val="18"/>
              </w:rPr>
              <w:t xml:space="preserve"> </w:t>
            </w:r>
            <w:proofErr w:type="spellStart"/>
            <w:r w:rsidRPr="005E41CA">
              <w:rPr>
                <w:rFonts w:eastAsia="Times New Roman" w:cs="Times New Roman"/>
                <w:i/>
                <w:iCs/>
                <w:color w:val="000000"/>
                <w:sz w:val="18"/>
                <w:szCs w:val="18"/>
              </w:rPr>
              <w:t>euro</w:t>
            </w:r>
            <w:proofErr w:type="spellEnd"/>
          </w:p>
        </w:tc>
      </w:tr>
      <w:tr w:rsidR="005E41CA" w:rsidRPr="005E41CA" w14:paraId="6FEABA2E" w14:textId="77777777" w:rsidTr="006261DB">
        <w:trPr>
          <w:trHeight w:val="283"/>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346CAE4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S130130</w:t>
            </w:r>
          </w:p>
        </w:tc>
        <w:tc>
          <w:tcPr>
            <w:tcW w:w="6600" w:type="dxa"/>
            <w:tcBorders>
              <w:top w:val="nil"/>
              <w:left w:val="nil"/>
              <w:bottom w:val="single" w:sz="8" w:space="0" w:color="auto"/>
              <w:right w:val="single" w:sz="8" w:space="0" w:color="auto"/>
            </w:tcBorders>
            <w:shd w:val="clear" w:color="000000" w:fill="DDEBF7"/>
            <w:noWrap/>
            <w:vAlign w:val="center"/>
            <w:hideMark/>
          </w:tcPr>
          <w:p w14:paraId="48674CC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Valsts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3DF9972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2B29A99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785BAC3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r>
      <w:tr w:rsidR="005E41CA" w:rsidRPr="005E41CA" w14:paraId="4E7A60F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AF56ED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w:t>
            </w:r>
          </w:p>
        </w:tc>
        <w:tc>
          <w:tcPr>
            <w:tcW w:w="6600" w:type="dxa"/>
            <w:tcBorders>
              <w:top w:val="nil"/>
              <w:left w:val="nil"/>
              <w:bottom w:val="single" w:sz="8" w:space="0" w:color="auto"/>
              <w:right w:val="single" w:sz="8" w:space="0" w:color="auto"/>
            </w:tcBorders>
            <w:shd w:val="clear" w:color="auto" w:fill="auto"/>
            <w:noWrap/>
            <w:hideMark/>
          </w:tcPr>
          <w:p w14:paraId="54A94EB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"Bērnu psihoneiroloģiskā slimnīca "Ainaži""</w:t>
            </w:r>
          </w:p>
        </w:tc>
        <w:tc>
          <w:tcPr>
            <w:tcW w:w="2121" w:type="dxa"/>
            <w:tcBorders>
              <w:top w:val="nil"/>
              <w:left w:val="nil"/>
              <w:bottom w:val="single" w:sz="8" w:space="0" w:color="auto"/>
              <w:right w:val="single" w:sz="8" w:space="0" w:color="auto"/>
            </w:tcBorders>
            <w:shd w:val="clear" w:color="auto" w:fill="auto"/>
            <w:noWrap/>
            <w:hideMark/>
          </w:tcPr>
          <w:p w14:paraId="7E3DE04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2 036 157</w:t>
            </w:r>
          </w:p>
        </w:tc>
        <w:tc>
          <w:tcPr>
            <w:tcW w:w="2121" w:type="dxa"/>
            <w:tcBorders>
              <w:top w:val="nil"/>
              <w:left w:val="nil"/>
              <w:bottom w:val="single" w:sz="8" w:space="0" w:color="auto"/>
              <w:right w:val="single" w:sz="8" w:space="0" w:color="auto"/>
            </w:tcBorders>
            <w:shd w:val="clear" w:color="auto" w:fill="auto"/>
            <w:noWrap/>
            <w:hideMark/>
          </w:tcPr>
          <w:p w14:paraId="26D1F22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2 056 137</w:t>
            </w:r>
          </w:p>
        </w:tc>
        <w:tc>
          <w:tcPr>
            <w:tcW w:w="2177" w:type="dxa"/>
            <w:tcBorders>
              <w:top w:val="nil"/>
              <w:left w:val="nil"/>
              <w:bottom w:val="single" w:sz="8" w:space="0" w:color="auto"/>
              <w:right w:val="single" w:sz="8" w:space="0" w:color="auto"/>
            </w:tcBorders>
            <w:shd w:val="clear" w:color="auto" w:fill="auto"/>
            <w:noWrap/>
            <w:hideMark/>
          </w:tcPr>
          <w:p w14:paraId="5F43FE2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-19 980</w:t>
            </w:r>
          </w:p>
        </w:tc>
      </w:tr>
      <w:tr w:rsidR="005E41CA" w:rsidRPr="005E41CA" w14:paraId="74D778D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7E7613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w:t>
            </w:r>
          </w:p>
        </w:tc>
        <w:tc>
          <w:tcPr>
            <w:tcW w:w="6600" w:type="dxa"/>
            <w:tcBorders>
              <w:top w:val="nil"/>
              <w:left w:val="nil"/>
              <w:bottom w:val="single" w:sz="8" w:space="0" w:color="auto"/>
              <w:right w:val="single" w:sz="8" w:space="0" w:color="auto"/>
            </w:tcBorders>
            <w:shd w:val="clear" w:color="auto" w:fill="auto"/>
            <w:noWrap/>
            <w:hideMark/>
          </w:tcPr>
          <w:p w14:paraId="12894144"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Nodibinājums "Akadēmiskās informācijas centrs"</w:t>
            </w:r>
          </w:p>
        </w:tc>
        <w:tc>
          <w:tcPr>
            <w:tcW w:w="2121" w:type="dxa"/>
            <w:tcBorders>
              <w:top w:val="nil"/>
              <w:left w:val="nil"/>
              <w:bottom w:val="single" w:sz="8" w:space="0" w:color="auto"/>
              <w:right w:val="single" w:sz="8" w:space="0" w:color="auto"/>
            </w:tcBorders>
            <w:shd w:val="clear" w:color="auto" w:fill="auto"/>
            <w:noWrap/>
            <w:hideMark/>
          </w:tcPr>
          <w:p w14:paraId="36998FB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241 000</w:t>
            </w:r>
          </w:p>
        </w:tc>
        <w:tc>
          <w:tcPr>
            <w:tcW w:w="2121" w:type="dxa"/>
            <w:tcBorders>
              <w:top w:val="nil"/>
              <w:left w:val="nil"/>
              <w:bottom w:val="single" w:sz="8" w:space="0" w:color="auto"/>
              <w:right w:val="single" w:sz="8" w:space="0" w:color="auto"/>
            </w:tcBorders>
            <w:shd w:val="clear" w:color="auto" w:fill="auto"/>
            <w:noWrap/>
            <w:hideMark/>
          </w:tcPr>
          <w:p w14:paraId="3C2B3A4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1 921 201</w:t>
            </w:r>
          </w:p>
        </w:tc>
        <w:tc>
          <w:tcPr>
            <w:tcW w:w="2177" w:type="dxa"/>
            <w:tcBorders>
              <w:top w:val="nil"/>
              <w:left w:val="nil"/>
              <w:bottom w:val="single" w:sz="8" w:space="0" w:color="auto"/>
              <w:right w:val="single" w:sz="8" w:space="0" w:color="auto"/>
            </w:tcBorders>
            <w:shd w:val="clear" w:color="auto" w:fill="auto"/>
            <w:noWrap/>
            <w:hideMark/>
          </w:tcPr>
          <w:p w14:paraId="61682EC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-1 680 201</w:t>
            </w:r>
          </w:p>
        </w:tc>
      </w:tr>
      <w:tr w:rsidR="005E41CA" w:rsidRPr="005E41CA" w14:paraId="5C7183E2"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9437CD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w:t>
            </w:r>
          </w:p>
        </w:tc>
        <w:tc>
          <w:tcPr>
            <w:tcW w:w="6600" w:type="dxa"/>
            <w:tcBorders>
              <w:top w:val="nil"/>
              <w:left w:val="nil"/>
              <w:bottom w:val="single" w:sz="8" w:space="0" w:color="auto"/>
              <w:right w:val="single" w:sz="8" w:space="0" w:color="auto"/>
            </w:tcBorders>
            <w:shd w:val="clear" w:color="auto" w:fill="auto"/>
            <w:noWrap/>
            <w:hideMark/>
          </w:tcPr>
          <w:p w14:paraId="7D19088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"Autotransporta direkcija"</w:t>
            </w:r>
          </w:p>
        </w:tc>
        <w:tc>
          <w:tcPr>
            <w:tcW w:w="2121" w:type="dxa"/>
            <w:tcBorders>
              <w:top w:val="nil"/>
              <w:left w:val="nil"/>
              <w:bottom w:val="single" w:sz="8" w:space="0" w:color="auto"/>
              <w:right w:val="single" w:sz="8" w:space="0" w:color="auto"/>
            </w:tcBorders>
            <w:shd w:val="clear" w:color="auto" w:fill="auto"/>
            <w:noWrap/>
            <w:hideMark/>
          </w:tcPr>
          <w:p w14:paraId="4468839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3 861 061</w:t>
            </w:r>
          </w:p>
        </w:tc>
        <w:tc>
          <w:tcPr>
            <w:tcW w:w="2121" w:type="dxa"/>
            <w:tcBorders>
              <w:top w:val="nil"/>
              <w:left w:val="nil"/>
              <w:bottom w:val="single" w:sz="8" w:space="0" w:color="auto"/>
              <w:right w:val="single" w:sz="8" w:space="0" w:color="auto"/>
            </w:tcBorders>
            <w:shd w:val="clear" w:color="auto" w:fill="auto"/>
            <w:noWrap/>
            <w:hideMark/>
          </w:tcPr>
          <w:p w14:paraId="788C6D2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3 954 434</w:t>
            </w:r>
          </w:p>
        </w:tc>
        <w:tc>
          <w:tcPr>
            <w:tcW w:w="2177" w:type="dxa"/>
            <w:tcBorders>
              <w:top w:val="nil"/>
              <w:left w:val="nil"/>
              <w:bottom w:val="single" w:sz="8" w:space="0" w:color="auto"/>
              <w:right w:val="single" w:sz="8" w:space="0" w:color="auto"/>
            </w:tcBorders>
            <w:shd w:val="clear" w:color="auto" w:fill="auto"/>
            <w:noWrap/>
            <w:hideMark/>
          </w:tcPr>
          <w:p w14:paraId="3E44475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-93 373</w:t>
            </w:r>
          </w:p>
        </w:tc>
      </w:tr>
      <w:tr w:rsidR="005E41CA" w:rsidRPr="005E41CA" w14:paraId="73D959A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9DD668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w:t>
            </w:r>
          </w:p>
        </w:tc>
        <w:tc>
          <w:tcPr>
            <w:tcW w:w="6600" w:type="dxa"/>
            <w:tcBorders>
              <w:top w:val="nil"/>
              <w:left w:val="nil"/>
              <w:bottom w:val="single" w:sz="8" w:space="0" w:color="auto"/>
              <w:right w:val="single" w:sz="8" w:space="0" w:color="auto"/>
            </w:tcBorders>
            <w:shd w:val="clear" w:color="auto" w:fill="auto"/>
            <w:noWrap/>
            <w:hideMark/>
          </w:tcPr>
          <w:p w14:paraId="0DB3BC7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"Bērnu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4352C0A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79 748 465</w:t>
            </w:r>
          </w:p>
        </w:tc>
        <w:tc>
          <w:tcPr>
            <w:tcW w:w="2121" w:type="dxa"/>
            <w:tcBorders>
              <w:top w:val="nil"/>
              <w:left w:val="nil"/>
              <w:bottom w:val="single" w:sz="8" w:space="0" w:color="auto"/>
              <w:right w:val="single" w:sz="8" w:space="0" w:color="auto"/>
            </w:tcBorders>
            <w:shd w:val="clear" w:color="auto" w:fill="auto"/>
            <w:noWrap/>
            <w:hideMark/>
          </w:tcPr>
          <w:p w14:paraId="58B5BE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77 287 888</w:t>
            </w:r>
          </w:p>
        </w:tc>
        <w:tc>
          <w:tcPr>
            <w:tcW w:w="2177" w:type="dxa"/>
            <w:tcBorders>
              <w:top w:val="nil"/>
              <w:left w:val="nil"/>
              <w:bottom w:val="single" w:sz="8" w:space="0" w:color="auto"/>
              <w:right w:val="single" w:sz="8" w:space="0" w:color="auto"/>
            </w:tcBorders>
            <w:shd w:val="clear" w:color="auto" w:fill="auto"/>
            <w:noWrap/>
            <w:hideMark/>
          </w:tcPr>
          <w:p w14:paraId="4F4DB9A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2 460 577</w:t>
            </w:r>
          </w:p>
        </w:tc>
      </w:tr>
      <w:tr w:rsidR="005E41CA" w:rsidRPr="005E41CA" w14:paraId="35E9EE1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450FE6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w:t>
            </w:r>
          </w:p>
        </w:tc>
        <w:tc>
          <w:tcPr>
            <w:tcW w:w="6600" w:type="dxa"/>
            <w:tcBorders>
              <w:top w:val="nil"/>
              <w:left w:val="nil"/>
              <w:bottom w:val="single" w:sz="8" w:space="0" w:color="auto"/>
              <w:right w:val="single" w:sz="8" w:space="0" w:color="auto"/>
            </w:tcBorders>
            <w:shd w:val="clear" w:color="auto" w:fill="auto"/>
            <w:noWrap/>
            <w:hideMark/>
          </w:tcPr>
          <w:p w14:paraId="623DCCF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"Veselības centrs "Biķernieki""</w:t>
            </w:r>
          </w:p>
        </w:tc>
        <w:tc>
          <w:tcPr>
            <w:tcW w:w="2121" w:type="dxa"/>
            <w:tcBorders>
              <w:top w:val="nil"/>
              <w:left w:val="nil"/>
              <w:bottom w:val="single" w:sz="8" w:space="0" w:color="auto"/>
              <w:right w:val="single" w:sz="8" w:space="0" w:color="auto"/>
            </w:tcBorders>
            <w:shd w:val="clear" w:color="auto" w:fill="auto"/>
            <w:noWrap/>
            <w:hideMark/>
          </w:tcPr>
          <w:p w14:paraId="77EC846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3 185 948</w:t>
            </w:r>
          </w:p>
        </w:tc>
        <w:tc>
          <w:tcPr>
            <w:tcW w:w="2121" w:type="dxa"/>
            <w:tcBorders>
              <w:top w:val="nil"/>
              <w:left w:val="nil"/>
              <w:bottom w:val="single" w:sz="8" w:space="0" w:color="auto"/>
              <w:right w:val="single" w:sz="8" w:space="0" w:color="auto"/>
            </w:tcBorders>
            <w:shd w:val="clear" w:color="auto" w:fill="auto"/>
            <w:noWrap/>
            <w:hideMark/>
          </w:tcPr>
          <w:p w14:paraId="479F71F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3 130 749</w:t>
            </w:r>
          </w:p>
        </w:tc>
        <w:tc>
          <w:tcPr>
            <w:tcW w:w="2177" w:type="dxa"/>
            <w:tcBorders>
              <w:top w:val="nil"/>
              <w:left w:val="nil"/>
              <w:bottom w:val="single" w:sz="8" w:space="0" w:color="auto"/>
              <w:right w:val="single" w:sz="8" w:space="0" w:color="auto"/>
            </w:tcBorders>
            <w:shd w:val="clear" w:color="auto" w:fill="auto"/>
            <w:noWrap/>
            <w:hideMark/>
          </w:tcPr>
          <w:p w14:paraId="4AE45DA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55 199</w:t>
            </w:r>
          </w:p>
        </w:tc>
      </w:tr>
      <w:tr w:rsidR="005E41CA" w:rsidRPr="005E41CA" w14:paraId="5D130358"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A5EDB9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w:t>
            </w:r>
          </w:p>
        </w:tc>
        <w:tc>
          <w:tcPr>
            <w:tcW w:w="6600" w:type="dxa"/>
            <w:tcBorders>
              <w:top w:val="nil"/>
              <w:left w:val="nil"/>
              <w:bottom w:val="single" w:sz="8" w:space="0" w:color="auto"/>
              <w:right w:val="single" w:sz="8" w:space="0" w:color="auto"/>
            </w:tcBorders>
            <w:shd w:val="clear" w:color="auto" w:fill="auto"/>
            <w:noWrap/>
            <w:hideMark/>
          </w:tcPr>
          <w:p w14:paraId="541A17E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"Bulduru Dārzkopības vidusskola"</w:t>
            </w:r>
          </w:p>
        </w:tc>
        <w:tc>
          <w:tcPr>
            <w:tcW w:w="2121" w:type="dxa"/>
            <w:tcBorders>
              <w:top w:val="nil"/>
              <w:left w:val="nil"/>
              <w:bottom w:val="single" w:sz="8" w:space="0" w:color="auto"/>
              <w:right w:val="single" w:sz="8" w:space="0" w:color="auto"/>
            </w:tcBorders>
            <w:shd w:val="clear" w:color="auto" w:fill="auto"/>
            <w:noWrap/>
            <w:hideMark/>
          </w:tcPr>
          <w:p w14:paraId="0813C4A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840 000</w:t>
            </w:r>
          </w:p>
        </w:tc>
        <w:tc>
          <w:tcPr>
            <w:tcW w:w="2121" w:type="dxa"/>
            <w:tcBorders>
              <w:top w:val="nil"/>
              <w:left w:val="nil"/>
              <w:bottom w:val="single" w:sz="8" w:space="0" w:color="auto"/>
              <w:right w:val="single" w:sz="8" w:space="0" w:color="auto"/>
            </w:tcBorders>
            <w:shd w:val="clear" w:color="auto" w:fill="auto"/>
            <w:noWrap/>
            <w:hideMark/>
          </w:tcPr>
          <w:p w14:paraId="796CC67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956 930</w:t>
            </w:r>
          </w:p>
        </w:tc>
        <w:tc>
          <w:tcPr>
            <w:tcW w:w="2177" w:type="dxa"/>
            <w:tcBorders>
              <w:top w:val="nil"/>
              <w:left w:val="nil"/>
              <w:bottom w:val="single" w:sz="8" w:space="0" w:color="auto"/>
              <w:right w:val="single" w:sz="8" w:space="0" w:color="auto"/>
            </w:tcBorders>
            <w:shd w:val="clear" w:color="auto" w:fill="auto"/>
            <w:noWrap/>
            <w:hideMark/>
          </w:tcPr>
          <w:p w14:paraId="5D067DB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-116 930</w:t>
            </w:r>
          </w:p>
        </w:tc>
      </w:tr>
      <w:tr w:rsidR="005E41CA" w:rsidRPr="005E41CA" w14:paraId="5C70042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D74239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w:t>
            </w:r>
          </w:p>
        </w:tc>
        <w:tc>
          <w:tcPr>
            <w:tcW w:w="6600" w:type="dxa"/>
            <w:tcBorders>
              <w:top w:val="nil"/>
              <w:left w:val="nil"/>
              <w:bottom w:val="single" w:sz="8" w:space="0" w:color="auto"/>
              <w:right w:val="single" w:sz="8" w:space="0" w:color="auto"/>
            </w:tcBorders>
            <w:shd w:val="clear" w:color="auto" w:fill="auto"/>
            <w:noWrap/>
            <w:hideMark/>
          </w:tcPr>
          <w:p w14:paraId="2B85D21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VAS "Ceļu satiksmes drošības direkcija"</w:t>
            </w:r>
          </w:p>
        </w:tc>
        <w:tc>
          <w:tcPr>
            <w:tcW w:w="2121" w:type="dxa"/>
            <w:tcBorders>
              <w:top w:val="nil"/>
              <w:left w:val="nil"/>
              <w:bottom w:val="single" w:sz="8" w:space="0" w:color="auto"/>
              <w:right w:val="single" w:sz="8" w:space="0" w:color="auto"/>
            </w:tcBorders>
            <w:shd w:val="clear" w:color="auto" w:fill="auto"/>
            <w:noWrap/>
            <w:hideMark/>
          </w:tcPr>
          <w:p w14:paraId="47D9705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58 968 218</w:t>
            </w:r>
          </w:p>
        </w:tc>
        <w:tc>
          <w:tcPr>
            <w:tcW w:w="2121" w:type="dxa"/>
            <w:tcBorders>
              <w:top w:val="nil"/>
              <w:left w:val="nil"/>
              <w:bottom w:val="single" w:sz="8" w:space="0" w:color="auto"/>
              <w:right w:val="single" w:sz="8" w:space="0" w:color="auto"/>
            </w:tcBorders>
            <w:shd w:val="clear" w:color="auto" w:fill="auto"/>
            <w:noWrap/>
            <w:hideMark/>
          </w:tcPr>
          <w:p w14:paraId="7BB82F2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56 710 050</w:t>
            </w:r>
          </w:p>
        </w:tc>
        <w:tc>
          <w:tcPr>
            <w:tcW w:w="2177" w:type="dxa"/>
            <w:tcBorders>
              <w:top w:val="nil"/>
              <w:left w:val="nil"/>
              <w:bottom w:val="single" w:sz="8" w:space="0" w:color="auto"/>
              <w:right w:val="single" w:sz="8" w:space="0" w:color="auto"/>
            </w:tcBorders>
            <w:shd w:val="clear" w:color="auto" w:fill="auto"/>
            <w:noWrap/>
            <w:hideMark/>
          </w:tcPr>
          <w:p w14:paraId="63F5815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2 258 168</w:t>
            </w:r>
          </w:p>
        </w:tc>
      </w:tr>
      <w:tr w:rsidR="005E41CA" w:rsidRPr="005E41CA" w14:paraId="7399FF28"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05D32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8</w:t>
            </w:r>
          </w:p>
        </w:tc>
        <w:tc>
          <w:tcPr>
            <w:tcW w:w="6600" w:type="dxa"/>
            <w:tcBorders>
              <w:top w:val="nil"/>
              <w:left w:val="nil"/>
              <w:bottom w:val="single" w:sz="8" w:space="0" w:color="auto"/>
              <w:right w:val="single" w:sz="8" w:space="0" w:color="auto"/>
            </w:tcBorders>
            <w:shd w:val="clear" w:color="auto" w:fill="auto"/>
            <w:noWrap/>
            <w:hideMark/>
          </w:tcPr>
          <w:p w14:paraId="225ABD8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"Daugavpils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0E26452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24 294 000</w:t>
            </w:r>
          </w:p>
        </w:tc>
        <w:tc>
          <w:tcPr>
            <w:tcW w:w="2121" w:type="dxa"/>
            <w:tcBorders>
              <w:top w:val="nil"/>
              <w:left w:val="nil"/>
              <w:bottom w:val="single" w:sz="8" w:space="0" w:color="auto"/>
              <w:right w:val="single" w:sz="8" w:space="0" w:color="auto"/>
            </w:tcBorders>
            <w:shd w:val="clear" w:color="auto" w:fill="auto"/>
            <w:noWrap/>
            <w:hideMark/>
          </w:tcPr>
          <w:p w14:paraId="6D36CF5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24 100 659</w:t>
            </w:r>
          </w:p>
        </w:tc>
        <w:tc>
          <w:tcPr>
            <w:tcW w:w="2177" w:type="dxa"/>
            <w:tcBorders>
              <w:top w:val="nil"/>
              <w:left w:val="nil"/>
              <w:bottom w:val="single" w:sz="8" w:space="0" w:color="auto"/>
              <w:right w:val="single" w:sz="8" w:space="0" w:color="auto"/>
            </w:tcBorders>
            <w:shd w:val="clear" w:color="auto" w:fill="auto"/>
            <w:noWrap/>
            <w:hideMark/>
          </w:tcPr>
          <w:p w14:paraId="6ABD19F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193 341</w:t>
            </w:r>
          </w:p>
        </w:tc>
      </w:tr>
      <w:tr w:rsidR="005E41CA" w:rsidRPr="005E41CA" w14:paraId="2D3EDB6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5DE86F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9</w:t>
            </w:r>
          </w:p>
        </w:tc>
        <w:tc>
          <w:tcPr>
            <w:tcW w:w="6600" w:type="dxa"/>
            <w:tcBorders>
              <w:top w:val="nil"/>
              <w:left w:val="nil"/>
              <w:bottom w:val="single" w:sz="8" w:space="0" w:color="auto"/>
              <w:right w:val="single" w:sz="8" w:space="0" w:color="auto"/>
            </w:tcBorders>
            <w:shd w:val="clear" w:color="auto" w:fill="auto"/>
            <w:noWrap/>
            <w:hideMark/>
          </w:tcPr>
          <w:p w14:paraId="74ED494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"Daugavpils teātris"</w:t>
            </w:r>
          </w:p>
        </w:tc>
        <w:tc>
          <w:tcPr>
            <w:tcW w:w="2121" w:type="dxa"/>
            <w:tcBorders>
              <w:top w:val="nil"/>
              <w:left w:val="nil"/>
              <w:bottom w:val="single" w:sz="8" w:space="0" w:color="auto"/>
              <w:right w:val="single" w:sz="8" w:space="0" w:color="auto"/>
            </w:tcBorders>
            <w:shd w:val="clear" w:color="auto" w:fill="auto"/>
            <w:noWrap/>
            <w:hideMark/>
          </w:tcPr>
          <w:p w14:paraId="4E216A5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2 152 253</w:t>
            </w:r>
          </w:p>
        </w:tc>
        <w:tc>
          <w:tcPr>
            <w:tcW w:w="2121" w:type="dxa"/>
            <w:tcBorders>
              <w:top w:val="nil"/>
              <w:left w:val="nil"/>
              <w:bottom w:val="single" w:sz="8" w:space="0" w:color="auto"/>
              <w:right w:val="single" w:sz="8" w:space="0" w:color="auto"/>
            </w:tcBorders>
            <w:shd w:val="clear" w:color="auto" w:fill="auto"/>
            <w:noWrap/>
            <w:hideMark/>
          </w:tcPr>
          <w:p w14:paraId="72F91F9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2 188 294</w:t>
            </w:r>
          </w:p>
        </w:tc>
        <w:tc>
          <w:tcPr>
            <w:tcW w:w="2177" w:type="dxa"/>
            <w:tcBorders>
              <w:top w:val="nil"/>
              <w:left w:val="nil"/>
              <w:bottom w:val="single" w:sz="8" w:space="0" w:color="auto"/>
              <w:right w:val="single" w:sz="8" w:space="0" w:color="auto"/>
            </w:tcBorders>
            <w:shd w:val="clear" w:color="auto" w:fill="auto"/>
            <w:noWrap/>
            <w:hideMark/>
          </w:tcPr>
          <w:p w14:paraId="5A3E909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-36 041</w:t>
            </w:r>
          </w:p>
        </w:tc>
      </w:tr>
      <w:tr w:rsidR="005E41CA" w:rsidRPr="005E41CA" w14:paraId="0112A5D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F75099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10</w:t>
            </w:r>
          </w:p>
        </w:tc>
        <w:tc>
          <w:tcPr>
            <w:tcW w:w="6600" w:type="dxa"/>
            <w:tcBorders>
              <w:top w:val="nil"/>
              <w:left w:val="nil"/>
              <w:bottom w:val="single" w:sz="8" w:space="0" w:color="auto"/>
              <w:right w:val="single" w:sz="8" w:space="0" w:color="auto"/>
            </w:tcBorders>
            <w:shd w:val="clear" w:color="auto" w:fill="auto"/>
            <w:noWrap/>
            <w:hideMark/>
          </w:tcPr>
          <w:p w14:paraId="27FDBEA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"Enerģijas publiskais tirgotājs"</w:t>
            </w:r>
          </w:p>
        </w:tc>
        <w:tc>
          <w:tcPr>
            <w:tcW w:w="2121" w:type="dxa"/>
            <w:tcBorders>
              <w:top w:val="nil"/>
              <w:left w:val="nil"/>
              <w:bottom w:val="single" w:sz="8" w:space="0" w:color="auto"/>
              <w:right w:val="single" w:sz="8" w:space="0" w:color="auto"/>
            </w:tcBorders>
            <w:shd w:val="clear" w:color="auto" w:fill="auto"/>
            <w:noWrap/>
            <w:hideMark/>
          </w:tcPr>
          <w:p w14:paraId="4C87A325" w14:textId="171FF1B5" w:rsidR="005E41CA" w:rsidRPr="005E41CA" w:rsidRDefault="001E599B" w:rsidP="005E41CA">
            <w:pPr>
              <w:spacing w:after="0"/>
              <w:ind w:firstLine="0"/>
              <w:jc w:val="right"/>
              <w:rPr>
                <w:rFonts w:eastAsia="Times New Roman" w:cs="Times New Roman"/>
                <w:color w:val="000000"/>
                <w:sz w:val="18"/>
                <w:szCs w:val="18"/>
              </w:rPr>
            </w:pPr>
            <w:r>
              <w:rPr>
                <w:rFonts w:eastAsia="Calibri" w:cs="Times New Roman"/>
                <w:sz w:val="18"/>
                <w:szCs w:val="18"/>
                <w:lang w:eastAsia="en-US"/>
              </w:rPr>
              <w:t>30 039 695</w:t>
            </w:r>
          </w:p>
        </w:tc>
        <w:tc>
          <w:tcPr>
            <w:tcW w:w="2121" w:type="dxa"/>
            <w:tcBorders>
              <w:top w:val="nil"/>
              <w:left w:val="nil"/>
              <w:bottom w:val="single" w:sz="8" w:space="0" w:color="auto"/>
              <w:right w:val="single" w:sz="8" w:space="0" w:color="auto"/>
            </w:tcBorders>
            <w:shd w:val="clear" w:color="auto" w:fill="auto"/>
            <w:noWrap/>
            <w:hideMark/>
          </w:tcPr>
          <w:p w14:paraId="0A8AAF2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71 379 053</w:t>
            </w:r>
          </w:p>
        </w:tc>
        <w:tc>
          <w:tcPr>
            <w:tcW w:w="2177" w:type="dxa"/>
            <w:tcBorders>
              <w:top w:val="nil"/>
              <w:left w:val="nil"/>
              <w:bottom w:val="single" w:sz="8" w:space="0" w:color="auto"/>
              <w:right w:val="single" w:sz="8" w:space="0" w:color="auto"/>
            </w:tcBorders>
            <w:shd w:val="clear" w:color="auto" w:fill="auto"/>
            <w:noWrap/>
            <w:hideMark/>
          </w:tcPr>
          <w:p w14:paraId="056EA73E" w14:textId="323C117B"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w:t>
            </w:r>
            <w:r w:rsidR="001E599B">
              <w:rPr>
                <w:rFonts w:eastAsia="Calibri" w:cs="Times New Roman"/>
                <w:sz w:val="18"/>
                <w:szCs w:val="18"/>
                <w:lang w:eastAsia="en-US"/>
              </w:rPr>
              <w:t>1 339 358</w:t>
            </w:r>
          </w:p>
        </w:tc>
      </w:tr>
      <w:tr w:rsidR="005E41CA" w:rsidRPr="005E41CA" w14:paraId="72705BA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3717C1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11</w:t>
            </w:r>
          </w:p>
        </w:tc>
        <w:tc>
          <w:tcPr>
            <w:tcW w:w="6600" w:type="dxa"/>
            <w:tcBorders>
              <w:top w:val="nil"/>
              <w:left w:val="nil"/>
              <w:bottom w:val="single" w:sz="8" w:space="0" w:color="auto"/>
              <w:right w:val="single" w:sz="8" w:space="0" w:color="auto"/>
            </w:tcBorders>
            <w:shd w:val="clear" w:color="auto" w:fill="auto"/>
            <w:noWrap/>
            <w:hideMark/>
          </w:tcPr>
          <w:p w14:paraId="73B2DE7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FeLM</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300D6B8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0DE3BE7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750F991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73612D2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B79B35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12</w:t>
            </w:r>
          </w:p>
        </w:tc>
        <w:tc>
          <w:tcPr>
            <w:tcW w:w="6600" w:type="dxa"/>
            <w:tcBorders>
              <w:top w:val="nil"/>
              <w:left w:val="nil"/>
              <w:bottom w:val="single" w:sz="8" w:space="0" w:color="auto"/>
              <w:right w:val="single" w:sz="8" w:space="0" w:color="auto"/>
            </w:tcBorders>
            <w:shd w:val="clear" w:color="auto" w:fill="auto"/>
            <w:noWrap/>
            <w:hideMark/>
          </w:tcPr>
          <w:p w14:paraId="66E30DE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"Slimnīca "</w:t>
            </w:r>
            <w:proofErr w:type="spellStart"/>
            <w:r w:rsidRPr="005E41CA">
              <w:rPr>
                <w:rFonts w:eastAsia="Calibri" w:cs="Times New Roman"/>
                <w:sz w:val="18"/>
                <w:szCs w:val="18"/>
                <w:lang w:eastAsia="en-US"/>
              </w:rPr>
              <w:t>Ģintermuiža</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2F99B20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12 301 909</w:t>
            </w:r>
          </w:p>
        </w:tc>
        <w:tc>
          <w:tcPr>
            <w:tcW w:w="2121" w:type="dxa"/>
            <w:tcBorders>
              <w:top w:val="nil"/>
              <w:left w:val="nil"/>
              <w:bottom w:val="single" w:sz="8" w:space="0" w:color="auto"/>
              <w:right w:val="single" w:sz="8" w:space="0" w:color="auto"/>
            </w:tcBorders>
            <w:shd w:val="clear" w:color="auto" w:fill="auto"/>
            <w:noWrap/>
            <w:hideMark/>
          </w:tcPr>
          <w:p w14:paraId="364ED51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12 666 852</w:t>
            </w:r>
          </w:p>
        </w:tc>
        <w:tc>
          <w:tcPr>
            <w:tcW w:w="2177" w:type="dxa"/>
            <w:tcBorders>
              <w:top w:val="nil"/>
              <w:left w:val="nil"/>
              <w:bottom w:val="single" w:sz="8" w:space="0" w:color="auto"/>
              <w:right w:val="single" w:sz="8" w:space="0" w:color="auto"/>
            </w:tcBorders>
            <w:shd w:val="clear" w:color="auto" w:fill="auto"/>
            <w:noWrap/>
            <w:hideMark/>
          </w:tcPr>
          <w:p w14:paraId="0950949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-364 943</w:t>
            </w:r>
          </w:p>
        </w:tc>
      </w:tr>
      <w:tr w:rsidR="005E41CA" w:rsidRPr="005E41CA" w14:paraId="601173B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20E629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13</w:t>
            </w:r>
          </w:p>
        </w:tc>
        <w:tc>
          <w:tcPr>
            <w:tcW w:w="6600" w:type="dxa"/>
            <w:tcBorders>
              <w:top w:val="nil"/>
              <w:left w:val="nil"/>
              <w:bottom w:val="single" w:sz="8" w:space="0" w:color="auto"/>
              <w:right w:val="single" w:sz="8" w:space="0" w:color="auto"/>
            </w:tcBorders>
            <w:shd w:val="clear" w:color="auto" w:fill="auto"/>
            <w:hideMark/>
          </w:tcPr>
          <w:p w14:paraId="2CE9663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w:t>
            </w:r>
            <w:proofErr w:type="spellStart"/>
            <w:r w:rsidRPr="005E41CA">
              <w:rPr>
                <w:rFonts w:eastAsia="Calibri" w:cs="Times New Roman"/>
                <w:sz w:val="18"/>
                <w:szCs w:val="18"/>
                <w:lang w:eastAsia="en-US"/>
              </w:rPr>
              <w:t>Iekšlietu</w:t>
            </w:r>
            <w:proofErr w:type="spellEnd"/>
            <w:r w:rsidRPr="005E41CA">
              <w:rPr>
                <w:rFonts w:eastAsia="Calibri" w:cs="Times New Roman"/>
                <w:sz w:val="18"/>
                <w:szCs w:val="18"/>
                <w:lang w:eastAsia="en-US"/>
              </w:rPr>
              <w:t xml:space="preserve"> ministrijas poliklīnika"</w:t>
            </w:r>
          </w:p>
        </w:tc>
        <w:tc>
          <w:tcPr>
            <w:tcW w:w="2121" w:type="dxa"/>
            <w:tcBorders>
              <w:top w:val="nil"/>
              <w:left w:val="nil"/>
              <w:bottom w:val="single" w:sz="8" w:space="0" w:color="auto"/>
              <w:right w:val="single" w:sz="8" w:space="0" w:color="auto"/>
            </w:tcBorders>
            <w:shd w:val="clear" w:color="auto" w:fill="auto"/>
            <w:noWrap/>
            <w:hideMark/>
          </w:tcPr>
          <w:p w14:paraId="110335B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2 998 250</w:t>
            </w:r>
          </w:p>
        </w:tc>
        <w:tc>
          <w:tcPr>
            <w:tcW w:w="2121" w:type="dxa"/>
            <w:tcBorders>
              <w:top w:val="nil"/>
              <w:left w:val="nil"/>
              <w:bottom w:val="single" w:sz="8" w:space="0" w:color="auto"/>
              <w:right w:val="single" w:sz="8" w:space="0" w:color="auto"/>
            </w:tcBorders>
            <w:shd w:val="clear" w:color="auto" w:fill="auto"/>
            <w:noWrap/>
            <w:hideMark/>
          </w:tcPr>
          <w:p w14:paraId="43301F8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2 975 960</w:t>
            </w:r>
          </w:p>
        </w:tc>
        <w:tc>
          <w:tcPr>
            <w:tcW w:w="2177" w:type="dxa"/>
            <w:tcBorders>
              <w:top w:val="nil"/>
              <w:left w:val="nil"/>
              <w:bottom w:val="single" w:sz="8" w:space="0" w:color="auto"/>
              <w:right w:val="single" w:sz="8" w:space="0" w:color="auto"/>
            </w:tcBorders>
            <w:shd w:val="clear" w:color="auto" w:fill="auto"/>
            <w:noWrap/>
            <w:hideMark/>
          </w:tcPr>
          <w:p w14:paraId="2836F99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22 290</w:t>
            </w:r>
          </w:p>
        </w:tc>
      </w:tr>
      <w:tr w:rsidR="005E41CA" w:rsidRPr="005E41CA" w14:paraId="4CA7D11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890075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14</w:t>
            </w:r>
          </w:p>
        </w:tc>
        <w:tc>
          <w:tcPr>
            <w:tcW w:w="6600" w:type="dxa"/>
            <w:tcBorders>
              <w:top w:val="nil"/>
              <w:left w:val="nil"/>
              <w:bottom w:val="single" w:sz="8" w:space="0" w:color="auto"/>
              <w:right w:val="single" w:sz="8" w:space="0" w:color="auto"/>
            </w:tcBorders>
            <w:shd w:val="clear" w:color="auto" w:fill="auto"/>
            <w:hideMark/>
          </w:tcPr>
          <w:p w14:paraId="6877989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w:t>
            </w:r>
            <w:proofErr w:type="spellStart"/>
            <w:r w:rsidRPr="005E41CA">
              <w:rPr>
                <w:rFonts w:eastAsia="Calibri" w:cs="Times New Roman"/>
                <w:sz w:val="18"/>
                <w:szCs w:val="18"/>
                <w:lang w:eastAsia="en-US"/>
              </w:rPr>
              <w:t>LatRailNet</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4F257A7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1 508 000</w:t>
            </w:r>
          </w:p>
        </w:tc>
        <w:tc>
          <w:tcPr>
            <w:tcW w:w="2121" w:type="dxa"/>
            <w:tcBorders>
              <w:top w:val="nil"/>
              <w:left w:val="nil"/>
              <w:bottom w:val="single" w:sz="8" w:space="0" w:color="auto"/>
              <w:right w:val="single" w:sz="8" w:space="0" w:color="auto"/>
            </w:tcBorders>
            <w:shd w:val="clear" w:color="auto" w:fill="auto"/>
            <w:noWrap/>
            <w:hideMark/>
          </w:tcPr>
          <w:p w14:paraId="6BD9495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1 508 000</w:t>
            </w:r>
          </w:p>
        </w:tc>
        <w:tc>
          <w:tcPr>
            <w:tcW w:w="2177" w:type="dxa"/>
            <w:tcBorders>
              <w:top w:val="nil"/>
              <w:left w:val="nil"/>
              <w:bottom w:val="single" w:sz="8" w:space="0" w:color="auto"/>
              <w:right w:val="single" w:sz="8" w:space="0" w:color="auto"/>
            </w:tcBorders>
            <w:shd w:val="clear" w:color="auto" w:fill="auto"/>
            <w:noWrap/>
            <w:hideMark/>
          </w:tcPr>
          <w:p w14:paraId="09DF0AA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77E9F95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D0CB92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15</w:t>
            </w:r>
          </w:p>
        </w:tc>
        <w:tc>
          <w:tcPr>
            <w:tcW w:w="6600" w:type="dxa"/>
            <w:tcBorders>
              <w:top w:val="nil"/>
              <w:left w:val="nil"/>
              <w:bottom w:val="single" w:sz="8" w:space="0" w:color="auto"/>
              <w:right w:val="single" w:sz="8" w:space="0" w:color="auto"/>
            </w:tcBorders>
            <w:shd w:val="clear" w:color="auto" w:fill="auto"/>
            <w:noWrap/>
            <w:hideMark/>
          </w:tcPr>
          <w:p w14:paraId="4C2781D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"Valsts Akadēmiskais koris "Latvija""</w:t>
            </w:r>
          </w:p>
        </w:tc>
        <w:tc>
          <w:tcPr>
            <w:tcW w:w="2121" w:type="dxa"/>
            <w:tcBorders>
              <w:top w:val="nil"/>
              <w:left w:val="nil"/>
              <w:bottom w:val="single" w:sz="8" w:space="0" w:color="auto"/>
              <w:right w:val="single" w:sz="8" w:space="0" w:color="auto"/>
            </w:tcBorders>
            <w:shd w:val="clear" w:color="auto" w:fill="auto"/>
            <w:noWrap/>
            <w:hideMark/>
          </w:tcPr>
          <w:p w14:paraId="22AD77F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126 200</w:t>
            </w:r>
          </w:p>
        </w:tc>
        <w:tc>
          <w:tcPr>
            <w:tcW w:w="2121" w:type="dxa"/>
            <w:tcBorders>
              <w:top w:val="nil"/>
              <w:left w:val="nil"/>
              <w:bottom w:val="single" w:sz="8" w:space="0" w:color="auto"/>
              <w:right w:val="single" w:sz="8" w:space="0" w:color="auto"/>
            </w:tcBorders>
            <w:shd w:val="clear" w:color="auto" w:fill="auto"/>
            <w:noWrap/>
            <w:hideMark/>
          </w:tcPr>
          <w:p w14:paraId="73E0FF0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124 200</w:t>
            </w:r>
          </w:p>
        </w:tc>
        <w:tc>
          <w:tcPr>
            <w:tcW w:w="2177" w:type="dxa"/>
            <w:tcBorders>
              <w:top w:val="nil"/>
              <w:left w:val="nil"/>
              <w:bottom w:val="single" w:sz="8" w:space="0" w:color="auto"/>
              <w:right w:val="single" w:sz="8" w:space="0" w:color="auto"/>
            </w:tcBorders>
            <w:shd w:val="clear" w:color="auto" w:fill="auto"/>
            <w:noWrap/>
            <w:hideMark/>
          </w:tcPr>
          <w:p w14:paraId="19A55CE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2 000</w:t>
            </w:r>
          </w:p>
        </w:tc>
      </w:tr>
      <w:tr w:rsidR="005E41CA" w:rsidRPr="005E41CA" w14:paraId="37AB752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60F35E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16</w:t>
            </w:r>
          </w:p>
        </w:tc>
        <w:tc>
          <w:tcPr>
            <w:tcW w:w="6600" w:type="dxa"/>
            <w:tcBorders>
              <w:top w:val="nil"/>
              <w:left w:val="nil"/>
              <w:bottom w:val="single" w:sz="8" w:space="0" w:color="auto"/>
              <w:right w:val="single" w:sz="8" w:space="0" w:color="auto"/>
            </w:tcBorders>
            <w:shd w:val="clear" w:color="auto" w:fill="auto"/>
            <w:noWrap/>
            <w:hideMark/>
          </w:tcPr>
          <w:p w14:paraId="7093BAD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 xml:space="preserve">VAS "Latvijas Attīstības finanšu institūcija </w:t>
            </w:r>
            <w:proofErr w:type="spellStart"/>
            <w:r w:rsidRPr="005E41CA">
              <w:rPr>
                <w:rFonts w:eastAsia="Calibri" w:cs="Times New Roman"/>
                <w:sz w:val="18"/>
                <w:szCs w:val="18"/>
                <w:lang w:eastAsia="en-US"/>
              </w:rPr>
              <w:t>Altum</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6E74388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39 318 693</w:t>
            </w:r>
          </w:p>
        </w:tc>
        <w:tc>
          <w:tcPr>
            <w:tcW w:w="2121" w:type="dxa"/>
            <w:tcBorders>
              <w:top w:val="nil"/>
              <w:left w:val="nil"/>
              <w:bottom w:val="single" w:sz="8" w:space="0" w:color="auto"/>
              <w:right w:val="single" w:sz="8" w:space="0" w:color="auto"/>
            </w:tcBorders>
            <w:shd w:val="clear" w:color="auto" w:fill="auto"/>
            <w:noWrap/>
            <w:hideMark/>
          </w:tcPr>
          <w:p w14:paraId="7BA96C4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30 719 090</w:t>
            </w:r>
          </w:p>
        </w:tc>
        <w:tc>
          <w:tcPr>
            <w:tcW w:w="2177" w:type="dxa"/>
            <w:tcBorders>
              <w:top w:val="nil"/>
              <w:left w:val="nil"/>
              <w:bottom w:val="single" w:sz="8" w:space="0" w:color="auto"/>
              <w:right w:val="single" w:sz="8" w:space="0" w:color="auto"/>
            </w:tcBorders>
            <w:shd w:val="clear" w:color="auto" w:fill="auto"/>
            <w:noWrap/>
            <w:hideMark/>
          </w:tcPr>
          <w:p w14:paraId="2DABECE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8 599 603</w:t>
            </w:r>
          </w:p>
        </w:tc>
      </w:tr>
      <w:tr w:rsidR="005E41CA" w:rsidRPr="005E41CA" w14:paraId="63490D1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7B9B42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17</w:t>
            </w:r>
          </w:p>
        </w:tc>
        <w:tc>
          <w:tcPr>
            <w:tcW w:w="6600" w:type="dxa"/>
            <w:tcBorders>
              <w:top w:val="nil"/>
              <w:left w:val="nil"/>
              <w:bottom w:val="single" w:sz="8" w:space="0" w:color="auto"/>
              <w:right w:val="single" w:sz="8" w:space="0" w:color="auto"/>
            </w:tcBorders>
            <w:shd w:val="clear" w:color="auto" w:fill="auto"/>
            <w:noWrap/>
            <w:hideMark/>
          </w:tcPr>
          <w:p w14:paraId="3A41205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VAS "Latvijas autoceļu uzturētājs"</w:t>
            </w:r>
          </w:p>
        </w:tc>
        <w:tc>
          <w:tcPr>
            <w:tcW w:w="2121" w:type="dxa"/>
            <w:tcBorders>
              <w:top w:val="nil"/>
              <w:left w:val="nil"/>
              <w:bottom w:val="single" w:sz="8" w:space="0" w:color="auto"/>
              <w:right w:val="single" w:sz="8" w:space="0" w:color="auto"/>
            </w:tcBorders>
            <w:shd w:val="clear" w:color="auto" w:fill="auto"/>
            <w:noWrap/>
            <w:hideMark/>
          </w:tcPr>
          <w:p w14:paraId="6F82CA8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89 178 090</w:t>
            </w:r>
          </w:p>
        </w:tc>
        <w:tc>
          <w:tcPr>
            <w:tcW w:w="2121" w:type="dxa"/>
            <w:tcBorders>
              <w:top w:val="nil"/>
              <w:left w:val="nil"/>
              <w:bottom w:val="single" w:sz="8" w:space="0" w:color="auto"/>
              <w:right w:val="single" w:sz="8" w:space="0" w:color="auto"/>
            </w:tcBorders>
            <w:shd w:val="clear" w:color="auto" w:fill="auto"/>
            <w:noWrap/>
            <w:hideMark/>
          </w:tcPr>
          <w:p w14:paraId="07A1635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87 647 390</w:t>
            </w:r>
          </w:p>
        </w:tc>
        <w:tc>
          <w:tcPr>
            <w:tcW w:w="2177" w:type="dxa"/>
            <w:tcBorders>
              <w:top w:val="nil"/>
              <w:left w:val="nil"/>
              <w:bottom w:val="single" w:sz="8" w:space="0" w:color="auto"/>
              <w:right w:val="single" w:sz="8" w:space="0" w:color="auto"/>
            </w:tcBorders>
            <w:shd w:val="clear" w:color="auto" w:fill="auto"/>
            <w:noWrap/>
            <w:hideMark/>
          </w:tcPr>
          <w:p w14:paraId="556D75B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1 530 700</w:t>
            </w:r>
          </w:p>
        </w:tc>
      </w:tr>
      <w:tr w:rsidR="005E41CA" w:rsidRPr="005E41CA" w14:paraId="7526DF6D"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48947D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18</w:t>
            </w:r>
          </w:p>
        </w:tc>
        <w:tc>
          <w:tcPr>
            <w:tcW w:w="6600" w:type="dxa"/>
            <w:tcBorders>
              <w:top w:val="nil"/>
              <w:left w:val="nil"/>
              <w:bottom w:val="single" w:sz="8" w:space="0" w:color="auto"/>
              <w:right w:val="single" w:sz="8" w:space="0" w:color="auto"/>
            </w:tcBorders>
            <w:shd w:val="clear" w:color="auto" w:fill="auto"/>
            <w:noWrap/>
            <w:hideMark/>
          </w:tcPr>
          <w:p w14:paraId="2195B3F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Koncerti"</w:t>
            </w:r>
          </w:p>
        </w:tc>
        <w:tc>
          <w:tcPr>
            <w:tcW w:w="2121" w:type="dxa"/>
            <w:tcBorders>
              <w:top w:val="nil"/>
              <w:left w:val="nil"/>
              <w:bottom w:val="single" w:sz="8" w:space="0" w:color="auto"/>
              <w:right w:val="single" w:sz="8" w:space="0" w:color="auto"/>
            </w:tcBorders>
            <w:shd w:val="clear" w:color="auto" w:fill="auto"/>
            <w:noWrap/>
            <w:hideMark/>
          </w:tcPr>
          <w:p w14:paraId="0725A85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4 630 500</w:t>
            </w:r>
          </w:p>
        </w:tc>
        <w:tc>
          <w:tcPr>
            <w:tcW w:w="2121" w:type="dxa"/>
            <w:tcBorders>
              <w:top w:val="nil"/>
              <w:left w:val="nil"/>
              <w:bottom w:val="single" w:sz="8" w:space="0" w:color="auto"/>
              <w:right w:val="single" w:sz="8" w:space="0" w:color="auto"/>
            </w:tcBorders>
            <w:shd w:val="clear" w:color="auto" w:fill="auto"/>
            <w:noWrap/>
            <w:hideMark/>
          </w:tcPr>
          <w:p w14:paraId="4AB76EB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4 601 000</w:t>
            </w:r>
          </w:p>
        </w:tc>
        <w:tc>
          <w:tcPr>
            <w:tcW w:w="2177" w:type="dxa"/>
            <w:tcBorders>
              <w:top w:val="nil"/>
              <w:left w:val="nil"/>
              <w:bottom w:val="single" w:sz="8" w:space="0" w:color="auto"/>
              <w:right w:val="single" w:sz="8" w:space="0" w:color="auto"/>
            </w:tcBorders>
            <w:shd w:val="clear" w:color="auto" w:fill="auto"/>
            <w:noWrap/>
            <w:hideMark/>
          </w:tcPr>
          <w:p w14:paraId="7A1E3D6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29 500</w:t>
            </w:r>
          </w:p>
        </w:tc>
      </w:tr>
      <w:tr w:rsidR="005E41CA" w:rsidRPr="005E41CA" w14:paraId="58BA996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F56433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19</w:t>
            </w:r>
          </w:p>
        </w:tc>
        <w:tc>
          <w:tcPr>
            <w:tcW w:w="6600" w:type="dxa"/>
            <w:tcBorders>
              <w:top w:val="nil"/>
              <w:left w:val="nil"/>
              <w:bottom w:val="single" w:sz="8" w:space="0" w:color="auto"/>
              <w:right w:val="single" w:sz="8" w:space="0" w:color="auto"/>
            </w:tcBorders>
            <w:shd w:val="clear" w:color="auto" w:fill="auto"/>
            <w:noWrap/>
            <w:hideMark/>
          </w:tcPr>
          <w:p w14:paraId="5B5DA77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Leļļu teātris"</w:t>
            </w:r>
          </w:p>
        </w:tc>
        <w:tc>
          <w:tcPr>
            <w:tcW w:w="2121" w:type="dxa"/>
            <w:tcBorders>
              <w:top w:val="nil"/>
              <w:left w:val="nil"/>
              <w:bottom w:val="single" w:sz="8" w:space="0" w:color="auto"/>
              <w:right w:val="single" w:sz="8" w:space="0" w:color="auto"/>
            </w:tcBorders>
            <w:shd w:val="clear" w:color="auto" w:fill="auto"/>
            <w:noWrap/>
            <w:hideMark/>
          </w:tcPr>
          <w:p w14:paraId="32EE5E4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701 000</w:t>
            </w:r>
          </w:p>
        </w:tc>
        <w:tc>
          <w:tcPr>
            <w:tcW w:w="2121" w:type="dxa"/>
            <w:tcBorders>
              <w:top w:val="nil"/>
              <w:left w:val="nil"/>
              <w:bottom w:val="single" w:sz="8" w:space="0" w:color="auto"/>
              <w:right w:val="single" w:sz="8" w:space="0" w:color="auto"/>
            </w:tcBorders>
            <w:shd w:val="clear" w:color="auto" w:fill="auto"/>
            <w:noWrap/>
            <w:hideMark/>
          </w:tcPr>
          <w:p w14:paraId="7DA32EF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697 800</w:t>
            </w:r>
          </w:p>
        </w:tc>
        <w:tc>
          <w:tcPr>
            <w:tcW w:w="2177" w:type="dxa"/>
            <w:tcBorders>
              <w:top w:val="nil"/>
              <w:left w:val="nil"/>
              <w:bottom w:val="single" w:sz="8" w:space="0" w:color="auto"/>
              <w:right w:val="single" w:sz="8" w:space="0" w:color="auto"/>
            </w:tcBorders>
            <w:shd w:val="clear" w:color="auto" w:fill="auto"/>
            <w:noWrap/>
            <w:hideMark/>
          </w:tcPr>
          <w:p w14:paraId="784DB8E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3 200</w:t>
            </w:r>
          </w:p>
        </w:tc>
      </w:tr>
      <w:tr w:rsidR="005E41CA" w:rsidRPr="005E41CA" w14:paraId="1BD0BD3A"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99B120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20</w:t>
            </w:r>
          </w:p>
        </w:tc>
        <w:tc>
          <w:tcPr>
            <w:tcW w:w="6600" w:type="dxa"/>
            <w:tcBorders>
              <w:top w:val="nil"/>
              <w:left w:val="nil"/>
              <w:bottom w:val="single" w:sz="8" w:space="0" w:color="auto"/>
              <w:right w:val="single" w:sz="8" w:space="0" w:color="auto"/>
            </w:tcBorders>
            <w:shd w:val="clear" w:color="auto" w:fill="auto"/>
            <w:noWrap/>
            <w:hideMark/>
          </w:tcPr>
          <w:p w14:paraId="1D0E7C3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Nacionālais simfoniskais orķestris"</w:t>
            </w:r>
          </w:p>
        </w:tc>
        <w:tc>
          <w:tcPr>
            <w:tcW w:w="2121" w:type="dxa"/>
            <w:tcBorders>
              <w:top w:val="nil"/>
              <w:left w:val="nil"/>
              <w:bottom w:val="single" w:sz="8" w:space="0" w:color="auto"/>
              <w:right w:val="single" w:sz="8" w:space="0" w:color="auto"/>
            </w:tcBorders>
            <w:shd w:val="clear" w:color="auto" w:fill="auto"/>
            <w:noWrap/>
            <w:hideMark/>
          </w:tcPr>
          <w:p w14:paraId="4FBF36B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3 069 600</w:t>
            </w:r>
          </w:p>
        </w:tc>
        <w:tc>
          <w:tcPr>
            <w:tcW w:w="2121" w:type="dxa"/>
            <w:tcBorders>
              <w:top w:val="nil"/>
              <w:left w:val="nil"/>
              <w:bottom w:val="single" w:sz="8" w:space="0" w:color="auto"/>
              <w:right w:val="single" w:sz="8" w:space="0" w:color="auto"/>
            </w:tcBorders>
            <w:shd w:val="clear" w:color="auto" w:fill="auto"/>
            <w:noWrap/>
            <w:hideMark/>
          </w:tcPr>
          <w:p w14:paraId="75A41A2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3 069 460</w:t>
            </w:r>
          </w:p>
        </w:tc>
        <w:tc>
          <w:tcPr>
            <w:tcW w:w="2177" w:type="dxa"/>
            <w:tcBorders>
              <w:top w:val="nil"/>
              <w:left w:val="nil"/>
              <w:bottom w:val="single" w:sz="8" w:space="0" w:color="auto"/>
              <w:right w:val="single" w:sz="8" w:space="0" w:color="auto"/>
            </w:tcBorders>
            <w:shd w:val="clear" w:color="auto" w:fill="auto"/>
            <w:noWrap/>
            <w:hideMark/>
          </w:tcPr>
          <w:p w14:paraId="338BF8B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140</w:t>
            </w:r>
          </w:p>
        </w:tc>
      </w:tr>
      <w:tr w:rsidR="005E41CA" w:rsidRPr="005E41CA" w14:paraId="283C122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1F8178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21</w:t>
            </w:r>
          </w:p>
        </w:tc>
        <w:tc>
          <w:tcPr>
            <w:tcW w:w="6600" w:type="dxa"/>
            <w:tcBorders>
              <w:top w:val="nil"/>
              <w:left w:val="nil"/>
              <w:bottom w:val="single" w:sz="8" w:space="0" w:color="auto"/>
              <w:right w:val="single" w:sz="8" w:space="0" w:color="auto"/>
            </w:tcBorders>
            <w:shd w:val="clear" w:color="auto" w:fill="auto"/>
            <w:noWrap/>
            <w:hideMark/>
          </w:tcPr>
          <w:p w14:paraId="15AAD45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"Latvijas Nacionālais sporta centrs"</w:t>
            </w:r>
          </w:p>
        </w:tc>
        <w:tc>
          <w:tcPr>
            <w:tcW w:w="2121" w:type="dxa"/>
            <w:tcBorders>
              <w:top w:val="nil"/>
              <w:left w:val="nil"/>
              <w:bottom w:val="single" w:sz="8" w:space="0" w:color="auto"/>
              <w:right w:val="single" w:sz="8" w:space="0" w:color="auto"/>
            </w:tcBorders>
            <w:shd w:val="clear" w:color="auto" w:fill="auto"/>
            <w:noWrap/>
            <w:hideMark/>
          </w:tcPr>
          <w:p w14:paraId="55A08F4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4 598 385</w:t>
            </w:r>
          </w:p>
        </w:tc>
        <w:tc>
          <w:tcPr>
            <w:tcW w:w="2121" w:type="dxa"/>
            <w:tcBorders>
              <w:top w:val="nil"/>
              <w:left w:val="nil"/>
              <w:bottom w:val="single" w:sz="8" w:space="0" w:color="auto"/>
              <w:right w:val="single" w:sz="8" w:space="0" w:color="auto"/>
            </w:tcBorders>
            <w:shd w:val="clear" w:color="auto" w:fill="auto"/>
            <w:noWrap/>
            <w:hideMark/>
          </w:tcPr>
          <w:p w14:paraId="0BA48A4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5 216 506</w:t>
            </w:r>
          </w:p>
        </w:tc>
        <w:tc>
          <w:tcPr>
            <w:tcW w:w="2177" w:type="dxa"/>
            <w:tcBorders>
              <w:top w:val="nil"/>
              <w:left w:val="nil"/>
              <w:bottom w:val="single" w:sz="8" w:space="0" w:color="auto"/>
              <w:right w:val="single" w:sz="8" w:space="0" w:color="auto"/>
            </w:tcBorders>
            <w:shd w:val="clear" w:color="auto" w:fill="auto"/>
            <w:noWrap/>
            <w:hideMark/>
          </w:tcPr>
          <w:p w14:paraId="425A961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-618 121</w:t>
            </w:r>
          </w:p>
        </w:tc>
      </w:tr>
      <w:tr w:rsidR="005E41CA" w:rsidRPr="005E41CA" w14:paraId="12F4CBA8"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391EF7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22</w:t>
            </w:r>
          </w:p>
        </w:tc>
        <w:tc>
          <w:tcPr>
            <w:tcW w:w="6600" w:type="dxa"/>
            <w:tcBorders>
              <w:top w:val="nil"/>
              <w:left w:val="nil"/>
              <w:bottom w:val="single" w:sz="8" w:space="0" w:color="auto"/>
              <w:right w:val="single" w:sz="8" w:space="0" w:color="auto"/>
            </w:tcBorders>
            <w:shd w:val="clear" w:color="auto" w:fill="auto"/>
            <w:noWrap/>
            <w:hideMark/>
          </w:tcPr>
          <w:p w14:paraId="309C54A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Nacionālais teātris"</w:t>
            </w:r>
          </w:p>
        </w:tc>
        <w:tc>
          <w:tcPr>
            <w:tcW w:w="2121" w:type="dxa"/>
            <w:tcBorders>
              <w:top w:val="nil"/>
              <w:left w:val="nil"/>
              <w:bottom w:val="single" w:sz="8" w:space="0" w:color="auto"/>
              <w:right w:val="single" w:sz="8" w:space="0" w:color="auto"/>
            </w:tcBorders>
            <w:shd w:val="clear" w:color="auto" w:fill="auto"/>
            <w:noWrap/>
            <w:hideMark/>
          </w:tcPr>
          <w:p w14:paraId="7868CC9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5 690 000</w:t>
            </w:r>
          </w:p>
        </w:tc>
        <w:tc>
          <w:tcPr>
            <w:tcW w:w="2121" w:type="dxa"/>
            <w:tcBorders>
              <w:top w:val="nil"/>
              <w:left w:val="nil"/>
              <w:bottom w:val="single" w:sz="8" w:space="0" w:color="auto"/>
              <w:right w:val="single" w:sz="8" w:space="0" w:color="auto"/>
            </w:tcBorders>
            <w:shd w:val="clear" w:color="auto" w:fill="auto"/>
            <w:noWrap/>
            <w:hideMark/>
          </w:tcPr>
          <w:p w14:paraId="677D4D4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5 677 000</w:t>
            </w:r>
          </w:p>
        </w:tc>
        <w:tc>
          <w:tcPr>
            <w:tcW w:w="2177" w:type="dxa"/>
            <w:tcBorders>
              <w:top w:val="nil"/>
              <w:left w:val="nil"/>
              <w:bottom w:val="single" w:sz="8" w:space="0" w:color="auto"/>
              <w:right w:val="single" w:sz="8" w:space="0" w:color="auto"/>
            </w:tcBorders>
            <w:shd w:val="clear" w:color="auto" w:fill="auto"/>
            <w:noWrap/>
            <w:hideMark/>
          </w:tcPr>
          <w:p w14:paraId="4D09FB2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13 000</w:t>
            </w:r>
          </w:p>
        </w:tc>
      </w:tr>
      <w:tr w:rsidR="005E41CA" w:rsidRPr="005E41CA" w14:paraId="747EB56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435A04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23</w:t>
            </w:r>
          </w:p>
        </w:tc>
        <w:tc>
          <w:tcPr>
            <w:tcW w:w="6600" w:type="dxa"/>
            <w:tcBorders>
              <w:top w:val="nil"/>
              <w:left w:val="nil"/>
              <w:bottom w:val="single" w:sz="8" w:space="0" w:color="auto"/>
              <w:right w:val="single" w:sz="8" w:space="0" w:color="auto"/>
            </w:tcBorders>
            <w:shd w:val="clear" w:color="auto" w:fill="auto"/>
            <w:noWrap/>
            <w:hideMark/>
          </w:tcPr>
          <w:p w14:paraId="2851CE9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Nacionālā opera un balets"</w:t>
            </w:r>
          </w:p>
        </w:tc>
        <w:tc>
          <w:tcPr>
            <w:tcW w:w="2121" w:type="dxa"/>
            <w:tcBorders>
              <w:top w:val="nil"/>
              <w:left w:val="nil"/>
              <w:bottom w:val="single" w:sz="8" w:space="0" w:color="auto"/>
              <w:right w:val="single" w:sz="8" w:space="0" w:color="auto"/>
            </w:tcBorders>
            <w:shd w:val="clear" w:color="auto" w:fill="auto"/>
            <w:noWrap/>
            <w:hideMark/>
          </w:tcPr>
          <w:p w14:paraId="656FE6D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3 745 000</w:t>
            </w:r>
          </w:p>
        </w:tc>
        <w:tc>
          <w:tcPr>
            <w:tcW w:w="2121" w:type="dxa"/>
            <w:tcBorders>
              <w:top w:val="nil"/>
              <w:left w:val="nil"/>
              <w:bottom w:val="single" w:sz="8" w:space="0" w:color="auto"/>
              <w:right w:val="single" w:sz="8" w:space="0" w:color="auto"/>
            </w:tcBorders>
            <w:shd w:val="clear" w:color="auto" w:fill="auto"/>
            <w:noWrap/>
            <w:hideMark/>
          </w:tcPr>
          <w:p w14:paraId="10F80B2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3 735 000</w:t>
            </w:r>
          </w:p>
        </w:tc>
        <w:tc>
          <w:tcPr>
            <w:tcW w:w="2177" w:type="dxa"/>
            <w:tcBorders>
              <w:top w:val="nil"/>
              <w:left w:val="nil"/>
              <w:bottom w:val="single" w:sz="8" w:space="0" w:color="auto"/>
              <w:right w:val="single" w:sz="8" w:space="0" w:color="auto"/>
            </w:tcBorders>
            <w:shd w:val="clear" w:color="auto" w:fill="auto"/>
            <w:noWrap/>
            <w:hideMark/>
          </w:tcPr>
          <w:p w14:paraId="16D13F8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10 000</w:t>
            </w:r>
          </w:p>
        </w:tc>
      </w:tr>
      <w:tr w:rsidR="005E41CA" w:rsidRPr="005E41CA" w14:paraId="27C5EBA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C02BD7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24</w:t>
            </w:r>
          </w:p>
        </w:tc>
        <w:tc>
          <w:tcPr>
            <w:tcW w:w="6600" w:type="dxa"/>
            <w:tcBorders>
              <w:top w:val="nil"/>
              <w:left w:val="nil"/>
              <w:bottom w:val="single" w:sz="8" w:space="0" w:color="auto"/>
              <w:right w:val="single" w:sz="8" w:space="0" w:color="auto"/>
            </w:tcBorders>
            <w:shd w:val="clear" w:color="auto" w:fill="auto"/>
            <w:noWrap/>
            <w:hideMark/>
          </w:tcPr>
          <w:p w14:paraId="502C226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Proves birojs"</w:t>
            </w:r>
          </w:p>
        </w:tc>
        <w:tc>
          <w:tcPr>
            <w:tcW w:w="2121" w:type="dxa"/>
            <w:tcBorders>
              <w:top w:val="nil"/>
              <w:left w:val="nil"/>
              <w:bottom w:val="single" w:sz="8" w:space="0" w:color="auto"/>
              <w:right w:val="single" w:sz="8" w:space="0" w:color="auto"/>
            </w:tcBorders>
            <w:shd w:val="clear" w:color="auto" w:fill="auto"/>
            <w:noWrap/>
            <w:hideMark/>
          </w:tcPr>
          <w:p w14:paraId="482F9F0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640 000</w:t>
            </w:r>
          </w:p>
        </w:tc>
        <w:tc>
          <w:tcPr>
            <w:tcW w:w="2121" w:type="dxa"/>
            <w:tcBorders>
              <w:top w:val="nil"/>
              <w:left w:val="nil"/>
              <w:bottom w:val="single" w:sz="8" w:space="0" w:color="auto"/>
              <w:right w:val="single" w:sz="8" w:space="0" w:color="auto"/>
            </w:tcBorders>
            <w:shd w:val="clear" w:color="auto" w:fill="auto"/>
            <w:noWrap/>
            <w:hideMark/>
          </w:tcPr>
          <w:p w14:paraId="65F4CDC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630 000</w:t>
            </w:r>
          </w:p>
        </w:tc>
        <w:tc>
          <w:tcPr>
            <w:tcW w:w="2177" w:type="dxa"/>
            <w:tcBorders>
              <w:top w:val="nil"/>
              <w:left w:val="nil"/>
              <w:bottom w:val="single" w:sz="8" w:space="0" w:color="auto"/>
              <w:right w:val="single" w:sz="8" w:space="0" w:color="auto"/>
            </w:tcBorders>
            <w:shd w:val="clear" w:color="auto" w:fill="auto"/>
            <w:noWrap/>
            <w:hideMark/>
          </w:tcPr>
          <w:p w14:paraId="7B87E76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10 000</w:t>
            </w:r>
          </w:p>
        </w:tc>
      </w:tr>
      <w:tr w:rsidR="005E41CA" w:rsidRPr="005E41CA" w14:paraId="3A878A0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EEF5D2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25</w:t>
            </w:r>
          </w:p>
        </w:tc>
        <w:tc>
          <w:tcPr>
            <w:tcW w:w="6600" w:type="dxa"/>
            <w:tcBorders>
              <w:top w:val="nil"/>
              <w:left w:val="nil"/>
              <w:bottom w:val="single" w:sz="8" w:space="0" w:color="auto"/>
              <w:right w:val="single" w:sz="8" w:space="0" w:color="auto"/>
            </w:tcBorders>
            <w:shd w:val="clear" w:color="auto" w:fill="auto"/>
            <w:noWrap/>
            <w:hideMark/>
          </w:tcPr>
          <w:p w14:paraId="6FD4C2E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Radio"</w:t>
            </w:r>
          </w:p>
        </w:tc>
        <w:tc>
          <w:tcPr>
            <w:tcW w:w="2121" w:type="dxa"/>
            <w:tcBorders>
              <w:top w:val="nil"/>
              <w:left w:val="nil"/>
              <w:bottom w:val="single" w:sz="8" w:space="0" w:color="auto"/>
              <w:right w:val="single" w:sz="8" w:space="0" w:color="auto"/>
            </w:tcBorders>
            <w:shd w:val="clear" w:color="auto" w:fill="auto"/>
            <w:noWrap/>
            <w:hideMark/>
          </w:tcPr>
          <w:p w14:paraId="50462B4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12 953 857</w:t>
            </w:r>
          </w:p>
        </w:tc>
        <w:tc>
          <w:tcPr>
            <w:tcW w:w="2121" w:type="dxa"/>
            <w:tcBorders>
              <w:top w:val="nil"/>
              <w:left w:val="nil"/>
              <w:bottom w:val="single" w:sz="8" w:space="0" w:color="auto"/>
              <w:right w:val="single" w:sz="8" w:space="0" w:color="auto"/>
            </w:tcBorders>
            <w:shd w:val="clear" w:color="auto" w:fill="auto"/>
            <w:noWrap/>
            <w:hideMark/>
          </w:tcPr>
          <w:p w14:paraId="2EF80DE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13 342 857</w:t>
            </w:r>
          </w:p>
        </w:tc>
        <w:tc>
          <w:tcPr>
            <w:tcW w:w="2177" w:type="dxa"/>
            <w:tcBorders>
              <w:top w:val="nil"/>
              <w:left w:val="nil"/>
              <w:bottom w:val="single" w:sz="8" w:space="0" w:color="auto"/>
              <w:right w:val="single" w:sz="8" w:space="0" w:color="auto"/>
            </w:tcBorders>
            <w:shd w:val="clear" w:color="auto" w:fill="auto"/>
            <w:noWrap/>
            <w:hideMark/>
          </w:tcPr>
          <w:p w14:paraId="7D3A241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-389 000</w:t>
            </w:r>
          </w:p>
        </w:tc>
      </w:tr>
      <w:tr w:rsidR="005E41CA" w:rsidRPr="005E41CA" w14:paraId="42D4E5F7"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CC627B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26</w:t>
            </w:r>
          </w:p>
        </w:tc>
        <w:tc>
          <w:tcPr>
            <w:tcW w:w="6600" w:type="dxa"/>
            <w:tcBorders>
              <w:top w:val="nil"/>
              <w:left w:val="nil"/>
              <w:bottom w:val="single" w:sz="8" w:space="0" w:color="auto"/>
              <w:right w:val="single" w:sz="8" w:space="0" w:color="auto"/>
            </w:tcBorders>
            <w:shd w:val="clear" w:color="auto" w:fill="auto"/>
            <w:noWrap/>
            <w:hideMark/>
          </w:tcPr>
          <w:p w14:paraId="58EFACF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"Latvijas standarts"</w:t>
            </w:r>
          </w:p>
        </w:tc>
        <w:tc>
          <w:tcPr>
            <w:tcW w:w="2121" w:type="dxa"/>
            <w:tcBorders>
              <w:top w:val="nil"/>
              <w:left w:val="nil"/>
              <w:bottom w:val="single" w:sz="8" w:space="0" w:color="auto"/>
              <w:right w:val="single" w:sz="8" w:space="0" w:color="auto"/>
            </w:tcBorders>
            <w:shd w:val="clear" w:color="auto" w:fill="auto"/>
            <w:noWrap/>
            <w:hideMark/>
          </w:tcPr>
          <w:p w14:paraId="7DCC679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914 000</w:t>
            </w:r>
          </w:p>
        </w:tc>
        <w:tc>
          <w:tcPr>
            <w:tcW w:w="2121" w:type="dxa"/>
            <w:tcBorders>
              <w:top w:val="nil"/>
              <w:left w:val="nil"/>
              <w:bottom w:val="single" w:sz="8" w:space="0" w:color="auto"/>
              <w:right w:val="single" w:sz="8" w:space="0" w:color="auto"/>
            </w:tcBorders>
            <w:shd w:val="clear" w:color="auto" w:fill="auto"/>
            <w:noWrap/>
            <w:hideMark/>
          </w:tcPr>
          <w:p w14:paraId="25AFB59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878 000</w:t>
            </w:r>
          </w:p>
        </w:tc>
        <w:tc>
          <w:tcPr>
            <w:tcW w:w="2177" w:type="dxa"/>
            <w:tcBorders>
              <w:top w:val="nil"/>
              <w:left w:val="nil"/>
              <w:bottom w:val="single" w:sz="8" w:space="0" w:color="auto"/>
              <w:right w:val="single" w:sz="8" w:space="0" w:color="auto"/>
            </w:tcBorders>
            <w:shd w:val="clear" w:color="auto" w:fill="auto"/>
            <w:noWrap/>
            <w:hideMark/>
          </w:tcPr>
          <w:p w14:paraId="60D7689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36 000</w:t>
            </w:r>
          </w:p>
        </w:tc>
      </w:tr>
      <w:tr w:rsidR="005E41CA" w:rsidRPr="005E41CA" w14:paraId="48D7BC3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C86FE8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lastRenderedPageBreak/>
              <w:t>27</w:t>
            </w:r>
          </w:p>
        </w:tc>
        <w:tc>
          <w:tcPr>
            <w:tcW w:w="6600" w:type="dxa"/>
            <w:tcBorders>
              <w:top w:val="nil"/>
              <w:left w:val="nil"/>
              <w:bottom w:val="single" w:sz="8" w:space="0" w:color="auto"/>
              <w:right w:val="single" w:sz="8" w:space="0" w:color="auto"/>
            </w:tcBorders>
            <w:shd w:val="clear" w:color="auto" w:fill="auto"/>
            <w:noWrap/>
            <w:hideMark/>
          </w:tcPr>
          <w:p w14:paraId="61DFA46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Televīzija"</w:t>
            </w:r>
          </w:p>
        </w:tc>
        <w:tc>
          <w:tcPr>
            <w:tcW w:w="2121" w:type="dxa"/>
            <w:tcBorders>
              <w:top w:val="nil"/>
              <w:left w:val="nil"/>
              <w:bottom w:val="single" w:sz="8" w:space="0" w:color="auto"/>
              <w:right w:val="single" w:sz="8" w:space="0" w:color="auto"/>
            </w:tcBorders>
            <w:shd w:val="clear" w:color="auto" w:fill="auto"/>
            <w:noWrap/>
            <w:hideMark/>
          </w:tcPr>
          <w:p w14:paraId="5BB242E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580 000</w:t>
            </w:r>
          </w:p>
        </w:tc>
        <w:tc>
          <w:tcPr>
            <w:tcW w:w="2121" w:type="dxa"/>
            <w:tcBorders>
              <w:top w:val="nil"/>
              <w:left w:val="nil"/>
              <w:bottom w:val="single" w:sz="8" w:space="0" w:color="auto"/>
              <w:right w:val="single" w:sz="8" w:space="0" w:color="auto"/>
            </w:tcBorders>
            <w:shd w:val="clear" w:color="auto" w:fill="auto"/>
            <w:noWrap/>
            <w:hideMark/>
          </w:tcPr>
          <w:p w14:paraId="60BD890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116 000</w:t>
            </w:r>
          </w:p>
        </w:tc>
        <w:tc>
          <w:tcPr>
            <w:tcW w:w="2177" w:type="dxa"/>
            <w:tcBorders>
              <w:top w:val="nil"/>
              <w:left w:val="nil"/>
              <w:bottom w:val="single" w:sz="8" w:space="0" w:color="auto"/>
              <w:right w:val="single" w:sz="8" w:space="0" w:color="auto"/>
            </w:tcBorders>
            <w:shd w:val="clear" w:color="auto" w:fill="auto"/>
            <w:noWrap/>
            <w:hideMark/>
          </w:tcPr>
          <w:p w14:paraId="623FE8E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464 000</w:t>
            </w:r>
          </w:p>
        </w:tc>
      </w:tr>
      <w:tr w:rsidR="005E41CA" w:rsidRPr="005E41CA" w14:paraId="40782A8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75B737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28</w:t>
            </w:r>
          </w:p>
        </w:tc>
        <w:tc>
          <w:tcPr>
            <w:tcW w:w="6600" w:type="dxa"/>
            <w:tcBorders>
              <w:top w:val="nil"/>
              <w:left w:val="nil"/>
              <w:bottom w:val="single" w:sz="8" w:space="0" w:color="auto"/>
              <w:right w:val="single" w:sz="8" w:space="0" w:color="auto"/>
            </w:tcBorders>
            <w:shd w:val="clear" w:color="auto" w:fill="auto"/>
            <w:noWrap/>
            <w:hideMark/>
          </w:tcPr>
          <w:p w14:paraId="2A68DFD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"Latvijas Universitātes nekustamā īpašuma aģentūra"</w:t>
            </w:r>
          </w:p>
        </w:tc>
        <w:tc>
          <w:tcPr>
            <w:tcW w:w="2121" w:type="dxa"/>
            <w:tcBorders>
              <w:top w:val="nil"/>
              <w:left w:val="nil"/>
              <w:bottom w:val="single" w:sz="8" w:space="0" w:color="auto"/>
              <w:right w:val="single" w:sz="8" w:space="0" w:color="auto"/>
            </w:tcBorders>
            <w:shd w:val="clear" w:color="auto" w:fill="auto"/>
            <w:noWrap/>
            <w:hideMark/>
          </w:tcPr>
          <w:p w14:paraId="1460058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2 000 525</w:t>
            </w:r>
          </w:p>
        </w:tc>
        <w:tc>
          <w:tcPr>
            <w:tcW w:w="2121" w:type="dxa"/>
            <w:tcBorders>
              <w:top w:val="nil"/>
              <w:left w:val="nil"/>
              <w:bottom w:val="single" w:sz="8" w:space="0" w:color="auto"/>
              <w:right w:val="single" w:sz="8" w:space="0" w:color="auto"/>
            </w:tcBorders>
            <w:shd w:val="clear" w:color="auto" w:fill="auto"/>
            <w:noWrap/>
            <w:hideMark/>
          </w:tcPr>
          <w:p w14:paraId="42C0343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24 253</w:t>
            </w:r>
          </w:p>
        </w:tc>
        <w:tc>
          <w:tcPr>
            <w:tcW w:w="2177" w:type="dxa"/>
            <w:tcBorders>
              <w:top w:val="nil"/>
              <w:left w:val="nil"/>
              <w:bottom w:val="single" w:sz="8" w:space="0" w:color="auto"/>
              <w:right w:val="single" w:sz="8" w:space="0" w:color="auto"/>
            </w:tcBorders>
            <w:shd w:val="clear" w:color="auto" w:fill="auto"/>
            <w:noWrap/>
            <w:hideMark/>
          </w:tcPr>
          <w:p w14:paraId="62A0736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1 976 272</w:t>
            </w:r>
          </w:p>
        </w:tc>
      </w:tr>
      <w:tr w:rsidR="005E41CA" w:rsidRPr="005E41CA" w14:paraId="507FB4E8"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D05784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29</w:t>
            </w:r>
          </w:p>
        </w:tc>
        <w:tc>
          <w:tcPr>
            <w:tcW w:w="6600" w:type="dxa"/>
            <w:tcBorders>
              <w:top w:val="nil"/>
              <w:left w:val="nil"/>
              <w:bottom w:val="single" w:sz="8" w:space="0" w:color="auto"/>
              <w:right w:val="single" w:sz="8" w:space="0" w:color="auto"/>
            </w:tcBorders>
            <w:shd w:val="clear" w:color="auto" w:fill="auto"/>
            <w:noWrap/>
            <w:hideMark/>
          </w:tcPr>
          <w:p w14:paraId="35E33A5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Valsts ceļi"</w:t>
            </w:r>
          </w:p>
        </w:tc>
        <w:tc>
          <w:tcPr>
            <w:tcW w:w="2121" w:type="dxa"/>
            <w:tcBorders>
              <w:top w:val="nil"/>
              <w:left w:val="nil"/>
              <w:bottom w:val="single" w:sz="8" w:space="0" w:color="auto"/>
              <w:right w:val="single" w:sz="8" w:space="0" w:color="auto"/>
            </w:tcBorders>
            <w:shd w:val="clear" w:color="auto" w:fill="auto"/>
            <w:noWrap/>
            <w:hideMark/>
          </w:tcPr>
          <w:p w14:paraId="6941140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18 418 300</w:t>
            </w:r>
          </w:p>
        </w:tc>
        <w:tc>
          <w:tcPr>
            <w:tcW w:w="2121" w:type="dxa"/>
            <w:tcBorders>
              <w:top w:val="nil"/>
              <w:left w:val="nil"/>
              <w:bottom w:val="single" w:sz="8" w:space="0" w:color="auto"/>
              <w:right w:val="single" w:sz="8" w:space="0" w:color="auto"/>
            </w:tcBorders>
            <w:shd w:val="clear" w:color="auto" w:fill="auto"/>
            <w:noWrap/>
            <w:hideMark/>
          </w:tcPr>
          <w:p w14:paraId="00AB6D1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18 318 300</w:t>
            </w:r>
          </w:p>
        </w:tc>
        <w:tc>
          <w:tcPr>
            <w:tcW w:w="2177" w:type="dxa"/>
            <w:tcBorders>
              <w:top w:val="nil"/>
              <w:left w:val="nil"/>
              <w:bottom w:val="single" w:sz="8" w:space="0" w:color="auto"/>
              <w:right w:val="single" w:sz="8" w:space="0" w:color="auto"/>
            </w:tcBorders>
            <w:shd w:val="clear" w:color="auto" w:fill="auto"/>
            <w:noWrap/>
            <w:hideMark/>
          </w:tcPr>
          <w:p w14:paraId="4B85364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100 000</w:t>
            </w:r>
          </w:p>
        </w:tc>
      </w:tr>
      <w:tr w:rsidR="005E41CA" w:rsidRPr="005E41CA" w14:paraId="2EF043F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E4C044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30</w:t>
            </w:r>
          </w:p>
        </w:tc>
        <w:tc>
          <w:tcPr>
            <w:tcW w:w="6600" w:type="dxa"/>
            <w:tcBorders>
              <w:top w:val="nil"/>
              <w:left w:val="nil"/>
              <w:bottom w:val="single" w:sz="8" w:space="0" w:color="auto"/>
              <w:right w:val="single" w:sz="8" w:space="0" w:color="auto"/>
            </w:tcBorders>
            <w:shd w:val="clear" w:color="auto" w:fill="auto"/>
            <w:noWrap/>
            <w:hideMark/>
          </w:tcPr>
          <w:p w14:paraId="554D8D2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Vides, ģeoloģijas un meteoroloģijas centrs"</w:t>
            </w:r>
          </w:p>
        </w:tc>
        <w:tc>
          <w:tcPr>
            <w:tcW w:w="2121" w:type="dxa"/>
            <w:tcBorders>
              <w:top w:val="nil"/>
              <w:left w:val="nil"/>
              <w:bottom w:val="single" w:sz="8" w:space="0" w:color="auto"/>
              <w:right w:val="single" w:sz="8" w:space="0" w:color="auto"/>
            </w:tcBorders>
            <w:shd w:val="clear" w:color="auto" w:fill="auto"/>
            <w:noWrap/>
            <w:hideMark/>
          </w:tcPr>
          <w:p w14:paraId="1B2E190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2 674 980</w:t>
            </w:r>
          </w:p>
        </w:tc>
        <w:tc>
          <w:tcPr>
            <w:tcW w:w="2121" w:type="dxa"/>
            <w:tcBorders>
              <w:top w:val="nil"/>
              <w:left w:val="nil"/>
              <w:bottom w:val="single" w:sz="8" w:space="0" w:color="auto"/>
              <w:right w:val="single" w:sz="8" w:space="0" w:color="auto"/>
            </w:tcBorders>
            <w:shd w:val="clear" w:color="auto" w:fill="auto"/>
            <w:noWrap/>
            <w:hideMark/>
          </w:tcPr>
          <w:p w14:paraId="5283941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2 453 539</w:t>
            </w:r>
          </w:p>
        </w:tc>
        <w:tc>
          <w:tcPr>
            <w:tcW w:w="2177" w:type="dxa"/>
            <w:tcBorders>
              <w:top w:val="nil"/>
              <w:left w:val="nil"/>
              <w:bottom w:val="single" w:sz="8" w:space="0" w:color="auto"/>
              <w:right w:val="single" w:sz="8" w:space="0" w:color="auto"/>
            </w:tcBorders>
            <w:shd w:val="clear" w:color="auto" w:fill="auto"/>
            <w:noWrap/>
            <w:hideMark/>
          </w:tcPr>
          <w:p w14:paraId="1CD4E8B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221 441</w:t>
            </w:r>
          </w:p>
        </w:tc>
      </w:tr>
      <w:tr w:rsidR="005E41CA" w:rsidRPr="005E41CA" w14:paraId="0D24F50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26D31C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31</w:t>
            </w:r>
          </w:p>
        </w:tc>
        <w:tc>
          <w:tcPr>
            <w:tcW w:w="6600" w:type="dxa"/>
            <w:tcBorders>
              <w:top w:val="nil"/>
              <w:left w:val="nil"/>
              <w:bottom w:val="single" w:sz="8" w:space="0" w:color="auto"/>
              <w:right w:val="single" w:sz="8" w:space="0" w:color="auto"/>
            </w:tcBorders>
            <w:shd w:val="clear" w:color="auto" w:fill="auto"/>
            <w:noWrap/>
            <w:hideMark/>
          </w:tcPr>
          <w:p w14:paraId="421A81B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"Lielstraupes pils"</w:t>
            </w:r>
          </w:p>
        </w:tc>
        <w:tc>
          <w:tcPr>
            <w:tcW w:w="2121" w:type="dxa"/>
            <w:tcBorders>
              <w:top w:val="nil"/>
              <w:left w:val="nil"/>
              <w:bottom w:val="single" w:sz="8" w:space="0" w:color="auto"/>
              <w:right w:val="single" w:sz="8" w:space="0" w:color="auto"/>
            </w:tcBorders>
            <w:shd w:val="clear" w:color="auto" w:fill="auto"/>
            <w:noWrap/>
            <w:hideMark/>
          </w:tcPr>
          <w:p w14:paraId="0DEF4A1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2FF8EF9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7C0CABB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5E71E24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DD9147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32</w:t>
            </w:r>
          </w:p>
        </w:tc>
        <w:tc>
          <w:tcPr>
            <w:tcW w:w="6600" w:type="dxa"/>
            <w:tcBorders>
              <w:top w:val="nil"/>
              <w:left w:val="nil"/>
              <w:bottom w:val="single" w:sz="8" w:space="0" w:color="auto"/>
              <w:right w:val="single" w:sz="8" w:space="0" w:color="auto"/>
            </w:tcBorders>
            <w:shd w:val="clear" w:color="auto" w:fill="auto"/>
            <w:noWrap/>
            <w:hideMark/>
          </w:tcPr>
          <w:p w14:paraId="6BF3DE6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"Liepājas simfoniskais orķestris"</w:t>
            </w:r>
          </w:p>
        </w:tc>
        <w:tc>
          <w:tcPr>
            <w:tcW w:w="2121" w:type="dxa"/>
            <w:tcBorders>
              <w:top w:val="nil"/>
              <w:left w:val="nil"/>
              <w:bottom w:val="single" w:sz="8" w:space="0" w:color="auto"/>
              <w:right w:val="single" w:sz="8" w:space="0" w:color="auto"/>
            </w:tcBorders>
            <w:shd w:val="clear" w:color="auto" w:fill="auto"/>
            <w:noWrap/>
            <w:hideMark/>
          </w:tcPr>
          <w:p w14:paraId="05A8950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285 000</w:t>
            </w:r>
          </w:p>
        </w:tc>
        <w:tc>
          <w:tcPr>
            <w:tcW w:w="2121" w:type="dxa"/>
            <w:tcBorders>
              <w:top w:val="nil"/>
              <w:left w:val="nil"/>
              <w:bottom w:val="single" w:sz="8" w:space="0" w:color="auto"/>
              <w:right w:val="single" w:sz="8" w:space="0" w:color="auto"/>
            </w:tcBorders>
            <w:shd w:val="clear" w:color="auto" w:fill="auto"/>
            <w:noWrap/>
            <w:hideMark/>
          </w:tcPr>
          <w:p w14:paraId="2F68EAA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298 345</w:t>
            </w:r>
          </w:p>
        </w:tc>
        <w:tc>
          <w:tcPr>
            <w:tcW w:w="2177" w:type="dxa"/>
            <w:tcBorders>
              <w:top w:val="nil"/>
              <w:left w:val="nil"/>
              <w:bottom w:val="single" w:sz="8" w:space="0" w:color="auto"/>
              <w:right w:val="single" w:sz="8" w:space="0" w:color="auto"/>
            </w:tcBorders>
            <w:shd w:val="clear" w:color="auto" w:fill="auto"/>
            <w:noWrap/>
            <w:hideMark/>
          </w:tcPr>
          <w:p w14:paraId="66FEF7B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-13 345</w:t>
            </w:r>
          </w:p>
        </w:tc>
      </w:tr>
      <w:tr w:rsidR="005E41CA" w:rsidRPr="005E41CA" w14:paraId="0213095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2036E0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33</w:t>
            </w:r>
          </w:p>
        </w:tc>
        <w:tc>
          <w:tcPr>
            <w:tcW w:w="6600" w:type="dxa"/>
            <w:tcBorders>
              <w:top w:val="nil"/>
              <w:left w:val="nil"/>
              <w:bottom w:val="single" w:sz="8" w:space="0" w:color="auto"/>
              <w:right w:val="single" w:sz="8" w:space="0" w:color="auto"/>
            </w:tcBorders>
            <w:shd w:val="clear" w:color="auto" w:fill="auto"/>
            <w:noWrap/>
            <w:hideMark/>
          </w:tcPr>
          <w:p w14:paraId="689FE18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"Ludzas medicīnas centrs"</w:t>
            </w:r>
          </w:p>
        </w:tc>
        <w:tc>
          <w:tcPr>
            <w:tcW w:w="2121" w:type="dxa"/>
            <w:tcBorders>
              <w:top w:val="nil"/>
              <w:left w:val="nil"/>
              <w:bottom w:val="single" w:sz="8" w:space="0" w:color="auto"/>
              <w:right w:val="single" w:sz="8" w:space="0" w:color="auto"/>
            </w:tcBorders>
            <w:shd w:val="clear" w:color="auto" w:fill="auto"/>
            <w:noWrap/>
            <w:hideMark/>
          </w:tcPr>
          <w:p w14:paraId="589B9E4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4 730 000</w:t>
            </w:r>
          </w:p>
        </w:tc>
        <w:tc>
          <w:tcPr>
            <w:tcW w:w="2121" w:type="dxa"/>
            <w:tcBorders>
              <w:top w:val="nil"/>
              <w:left w:val="nil"/>
              <w:bottom w:val="single" w:sz="8" w:space="0" w:color="auto"/>
              <w:right w:val="single" w:sz="8" w:space="0" w:color="auto"/>
            </w:tcBorders>
            <w:shd w:val="clear" w:color="auto" w:fill="auto"/>
            <w:noWrap/>
            <w:hideMark/>
          </w:tcPr>
          <w:p w14:paraId="651315E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4 550 000</w:t>
            </w:r>
          </w:p>
        </w:tc>
        <w:tc>
          <w:tcPr>
            <w:tcW w:w="2177" w:type="dxa"/>
            <w:tcBorders>
              <w:top w:val="nil"/>
              <w:left w:val="nil"/>
              <w:bottom w:val="single" w:sz="8" w:space="0" w:color="auto"/>
              <w:right w:val="single" w:sz="8" w:space="0" w:color="auto"/>
            </w:tcBorders>
            <w:shd w:val="clear" w:color="auto" w:fill="auto"/>
            <w:noWrap/>
            <w:hideMark/>
          </w:tcPr>
          <w:p w14:paraId="283B32A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180 000</w:t>
            </w:r>
          </w:p>
        </w:tc>
      </w:tr>
      <w:tr w:rsidR="005E41CA" w:rsidRPr="005E41CA" w14:paraId="2C6D530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F58F0F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34</w:t>
            </w:r>
          </w:p>
        </w:tc>
        <w:tc>
          <w:tcPr>
            <w:tcW w:w="6600" w:type="dxa"/>
            <w:tcBorders>
              <w:top w:val="nil"/>
              <w:left w:val="nil"/>
              <w:bottom w:val="single" w:sz="8" w:space="0" w:color="auto"/>
              <w:right w:val="single" w:sz="8" w:space="0" w:color="auto"/>
            </w:tcBorders>
            <w:shd w:val="clear" w:color="auto" w:fill="auto"/>
            <w:noWrap/>
            <w:hideMark/>
          </w:tcPr>
          <w:p w14:paraId="022128B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"Mihaila Čehova Rīgas Krievu teātris"</w:t>
            </w:r>
          </w:p>
        </w:tc>
        <w:tc>
          <w:tcPr>
            <w:tcW w:w="2121" w:type="dxa"/>
            <w:tcBorders>
              <w:top w:val="nil"/>
              <w:left w:val="nil"/>
              <w:bottom w:val="single" w:sz="8" w:space="0" w:color="auto"/>
              <w:right w:val="single" w:sz="8" w:space="0" w:color="auto"/>
            </w:tcBorders>
            <w:shd w:val="clear" w:color="auto" w:fill="auto"/>
            <w:noWrap/>
            <w:hideMark/>
          </w:tcPr>
          <w:p w14:paraId="4D2313E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2 145 000</w:t>
            </w:r>
          </w:p>
        </w:tc>
        <w:tc>
          <w:tcPr>
            <w:tcW w:w="2121" w:type="dxa"/>
            <w:tcBorders>
              <w:top w:val="nil"/>
              <w:left w:val="nil"/>
              <w:bottom w:val="single" w:sz="8" w:space="0" w:color="auto"/>
              <w:right w:val="single" w:sz="8" w:space="0" w:color="auto"/>
            </w:tcBorders>
            <w:shd w:val="clear" w:color="auto" w:fill="auto"/>
            <w:noWrap/>
            <w:hideMark/>
          </w:tcPr>
          <w:p w14:paraId="55BF333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2 081 668</w:t>
            </w:r>
          </w:p>
        </w:tc>
        <w:tc>
          <w:tcPr>
            <w:tcW w:w="2177" w:type="dxa"/>
            <w:tcBorders>
              <w:top w:val="nil"/>
              <w:left w:val="nil"/>
              <w:bottom w:val="single" w:sz="8" w:space="0" w:color="auto"/>
              <w:right w:val="single" w:sz="8" w:space="0" w:color="auto"/>
            </w:tcBorders>
            <w:shd w:val="clear" w:color="auto" w:fill="auto"/>
            <w:noWrap/>
            <w:hideMark/>
          </w:tcPr>
          <w:p w14:paraId="231D0C4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63 332</w:t>
            </w:r>
          </w:p>
        </w:tc>
      </w:tr>
      <w:tr w:rsidR="005E41CA" w:rsidRPr="005E41CA" w14:paraId="6D549D6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9169C0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35</w:t>
            </w:r>
          </w:p>
        </w:tc>
        <w:tc>
          <w:tcPr>
            <w:tcW w:w="6600" w:type="dxa"/>
            <w:tcBorders>
              <w:top w:val="nil"/>
              <w:left w:val="nil"/>
              <w:bottom w:val="single" w:sz="8" w:space="0" w:color="auto"/>
              <w:right w:val="single" w:sz="8" w:space="0" w:color="auto"/>
            </w:tcBorders>
            <w:shd w:val="clear" w:color="auto" w:fill="auto"/>
            <w:noWrap/>
            <w:hideMark/>
          </w:tcPr>
          <w:p w14:paraId="736C1DF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"Pasažieru vilciens"</w:t>
            </w:r>
          </w:p>
        </w:tc>
        <w:tc>
          <w:tcPr>
            <w:tcW w:w="2121" w:type="dxa"/>
            <w:tcBorders>
              <w:top w:val="nil"/>
              <w:left w:val="nil"/>
              <w:bottom w:val="single" w:sz="8" w:space="0" w:color="auto"/>
              <w:right w:val="single" w:sz="8" w:space="0" w:color="auto"/>
            </w:tcBorders>
            <w:shd w:val="clear" w:color="auto" w:fill="auto"/>
            <w:noWrap/>
            <w:hideMark/>
          </w:tcPr>
          <w:p w14:paraId="15C5945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77 323 449</w:t>
            </w:r>
          </w:p>
        </w:tc>
        <w:tc>
          <w:tcPr>
            <w:tcW w:w="2121" w:type="dxa"/>
            <w:tcBorders>
              <w:top w:val="nil"/>
              <w:left w:val="nil"/>
              <w:bottom w:val="single" w:sz="8" w:space="0" w:color="auto"/>
              <w:right w:val="single" w:sz="8" w:space="0" w:color="auto"/>
            </w:tcBorders>
            <w:shd w:val="clear" w:color="auto" w:fill="auto"/>
            <w:noWrap/>
            <w:hideMark/>
          </w:tcPr>
          <w:p w14:paraId="57D7EBA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75 137 614</w:t>
            </w:r>
          </w:p>
        </w:tc>
        <w:tc>
          <w:tcPr>
            <w:tcW w:w="2177" w:type="dxa"/>
            <w:tcBorders>
              <w:top w:val="nil"/>
              <w:left w:val="nil"/>
              <w:bottom w:val="single" w:sz="8" w:space="0" w:color="auto"/>
              <w:right w:val="single" w:sz="8" w:space="0" w:color="auto"/>
            </w:tcBorders>
            <w:shd w:val="clear" w:color="auto" w:fill="auto"/>
            <w:noWrap/>
            <w:hideMark/>
          </w:tcPr>
          <w:p w14:paraId="1179162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2 185 835</w:t>
            </w:r>
          </w:p>
        </w:tc>
      </w:tr>
      <w:tr w:rsidR="005E41CA" w:rsidRPr="005E41CA" w14:paraId="6BA34447"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22674B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36</w:t>
            </w:r>
          </w:p>
        </w:tc>
        <w:tc>
          <w:tcPr>
            <w:tcW w:w="6600" w:type="dxa"/>
            <w:tcBorders>
              <w:top w:val="nil"/>
              <w:left w:val="nil"/>
              <w:bottom w:val="single" w:sz="8" w:space="0" w:color="auto"/>
              <w:right w:val="single" w:sz="8" w:space="0" w:color="auto"/>
            </w:tcBorders>
            <w:shd w:val="clear" w:color="auto" w:fill="auto"/>
            <w:noWrap/>
            <w:hideMark/>
          </w:tcPr>
          <w:p w14:paraId="78579E3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"Paula Stradiņa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545D7DB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203 543 352</w:t>
            </w:r>
          </w:p>
        </w:tc>
        <w:tc>
          <w:tcPr>
            <w:tcW w:w="2121" w:type="dxa"/>
            <w:tcBorders>
              <w:top w:val="nil"/>
              <w:left w:val="nil"/>
              <w:bottom w:val="single" w:sz="8" w:space="0" w:color="auto"/>
              <w:right w:val="single" w:sz="8" w:space="0" w:color="auto"/>
            </w:tcBorders>
            <w:shd w:val="clear" w:color="auto" w:fill="auto"/>
            <w:noWrap/>
            <w:hideMark/>
          </w:tcPr>
          <w:p w14:paraId="21ADD33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200 130 083</w:t>
            </w:r>
          </w:p>
        </w:tc>
        <w:tc>
          <w:tcPr>
            <w:tcW w:w="2177" w:type="dxa"/>
            <w:tcBorders>
              <w:top w:val="nil"/>
              <w:left w:val="nil"/>
              <w:bottom w:val="single" w:sz="8" w:space="0" w:color="auto"/>
              <w:right w:val="single" w:sz="8" w:space="0" w:color="auto"/>
            </w:tcBorders>
            <w:shd w:val="clear" w:color="auto" w:fill="auto"/>
            <w:noWrap/>
            <w:hideMark/>
          </w:tcPr>
          <w:p w14:paraId="248DB69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3 413 269</w:t>
            </w:r>
          </w:p>
        </w:tc>
      </w:tr>
      <w:tr w:rsidR="005E41CA" w:rsidRPr="005E41CA" w14:paraId="7A29C38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17F4E2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37</w:t>
            </w:r>
          </w:p>
        </w:tc>
        <w:tc>
          <w:tcPr>
            <w:tcW w:w="6600" w:type="dxa"/>
            <w:tcBorders>
              <w:top w:val="nil"/>
              <w:left w:val="nil"/>
              <w:bottom w:val="single" w:sz="8" w:space="0" w:color="auto"/>
              <w:right w:val="single" w:sz="8" w:space="0" w:color="auto"/>
            </w:tcBorders>
            <w:shd w:val="clear" w:color="auto" w:fill="auto"/>
            <w:noWrap/>
            <w:hideMark/>
          </w:tcPr>
          <w:p w14:paraId="3BE7144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"Piejūras slimnīca"</w:t>
            </w:r>
          </w:p>
        </w:tc>
        <w:tc>
          <w:tcPr>
            <w:tcW w:w="2121" w:type="dxa"/>
            <w:tcBorders>
              <w:top w:val="nil"/>
              <w:left w:val="nil"/>
              <w:bottom w:val="single" w:sz="8" w:space="0" w:color="auto"/>
              <w:right w:val="single" w:sz="8" w:space="0" w:color="auto"/>
            </w:tcBorders>
            <w:shd w:val="clear" w:color="auto" w:fill="auto"/>
            <w:noWrap/>
            <w:hideMark/>
          </w:tcPr>
          <w:p w14:paraId="2B00B77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5 453 600</w:t>
            </w:r>
          </w:p>
        </w:tc>
        <w:tc>
          <w:tcPr>
            <w:tcW w:w="2121" w:type="dxa"/>
            <w:tcBorders>
              <w:top w:val="nil"/>
              <w:left w:val="nil"/>
              <w:bottom w:val="single" w:sz="8" w:space="0" w:color="auto"/>
              <w:right w:val="single" w:sz="8" w:space="0" w:color="auto"/>
            </w:tcBorders>
            <w:shd w:val="clear" w:color="auto" w:fill="auto"/>
            <w:noWrap/>
            <w:hideMark/>
          </w:tcPr>
          <w:p w14:paraId="558C00E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5 363 132</w:t>
            </w:r>
          </w:p>
        </w:tc>
        <w:tc>
          <w:tcPr>
            <w:tcW w:w="2177" w:type="dxa"/>
            <w:tcBorders>
              <w:top w:val="nil"/>
              <w:left w:val="nil"/>
              <w:bottom w:val="single" w:sz="8" w:space="0" w:color="auto"/>
              <w:right w:val="single" w:sz="8" w:space="0" w:color="auto"/>
            </w:tcBorders>
            <w:shd w:val="clear" w:color="auto" w:fill="auto"/>
            <w:noWrap/>
            <w:hideMark/>
          </w:tcPr>
          <w:p w14:paraId="770AF36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90 468</w:t>
            </w:r>
          </w:p>
        </w:tc>
      </w:tr>
      <w:tr w:rsidR="005E41CA" w:rsidRPr="005E41CA" w14:paraId="5353CF7D"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F3F534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38</w:t>
            </w:r>
          </w:p>
        </w:tc>
        <w:tc>
          <w:tcPr>
            <w:tcW w:w="6600" w:type="dxa"/>
            <w:tcBorders>
              <w:top w:val="nil"/>
              <w:left w:val="nil"/>
              <w:bottom w:val="single" w:sz="8" w:space="0" w:color="auto"/>
              <w:right w:val="single" w:sz="8" w:space="0" w:color="auto"/>
            </w:tcBorders>
            <w:shd w:val="clear" w:color="auto" w:fill="auto"/>
            <w:noWrap/>
            <w:hideMark/>
          </w:tcPr>
          <w:p w14:paraId="2B6ADC6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 xml:space="preserve">SIA "Publisko aktīvu pārvaldītājs </w:t>
            </w:r>
            <w:proofErr w:type="spellStart"/>
            <w:r w:rsidRPr="005E41CA">
              <w:rPr>
                <w:rFonts w:eastAsia="Calibri" w:cs="Times New Roman"/>
                <w:sz w:val="18"/>
                <w:szCs w:val="18"/>
                <w:lang w:eastAsia="en-US"/>
              </w:rPr>
              <w:t>Possessor</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3D954C4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2 504 452</w:t>
            </w:r>
          </w:p>
        </w:tc>
        <w:tc>
          <w:tcPr>
            <w:tcW w:w="2121" w:type="dxa"/>
            <w:tcBorders>
              <w:top w:val="nil"/>
              <w:left w:val="nil"/>
              <w:bottom w:val="single" w:sz="8" w:space="0" w:color="auto"/>
              <w:right w:val="single" w:sz="8" w:space="0" w:color="auto"/>
            </w:tcBorders>
            <w:shd w:val="clear" w:color="auto" w:fill="auto"/>
            <w:noWrap/>
            <w:hideMark/>
          </w:tcPr>
          <w:p w14:paraId="239D28B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2 486 052</w:t>
            </w:r>
          </w:p>
        </w:tc>
        <w:tc>
          <w:tcPr>
            <w:tcW w:w="2177" w:type="dxa"/>
            <w:tcBorders>
              <w:top w:val="nil"/>
              <w:left w:val="nil"/>
              <w:bottom w:val="single" w:sz="8" w:space="0" w:color="auto"/>
              <w:right w:val="single" w:sz="8" w:space="0" w:color="auto"/>
            </w:tcBorders>
            <w:shd w:val="clear" w:color="auto" w:fill="auto"/>
            <w:noWrap/>
            <w:hideMark/>
          </w:tcPr>
          <w:p w14:paraId="5F30199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18 400</w:t>
            </w:r>
          </w:p>
        </w:tc>
      </w:tr>
      <w:tr w:rsidR="005E41CA" w:rsidRPr="005E41CA" w14:paraId="611143D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14BC95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39</w:t>
            </w:r>
          </w:p>
        </w:tc>
        <w:tc>
          <w:tcPr>
            <w:tcW w:w="6600" w:type="dxa"/>
            <w:tcBorders>
              <w:top w:val="nil"/>
              <w:left w:val="nil"/>
              <w:bottom w:val="single" w:sz="8" w:space="0" w:color="auto"/>
              <w:right w:val="single" w:sz="8" w:space="0" w:color="auto"/>
            </w:tcBorders>
            <w:shd w:val="clear" w:color="auto" w:fill="auto"/>
            <w:noWrap/>
            <w:hideMark/>
          </w:tcPr>
          <w:p w14:paraId="63792EF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"REAP"</w:t>
            </w:r>
          </w:p>
        </w:tc>
        <w:tc>
          <w:tcPr>
            <w:tcW w:w="2121" w:type="dxa"/>
            <w:tcBorders>
              <w:top w:val="nil"/>
              <w:left w:val="nil"/>
              <w:bottom w:val="single" w:sz="8" w:space="0" w:color="auto"/>
              <w:right w:val="single" w:sz="8" w:space="0" w:color="auto"/>
            </w:tcBorders>
            <w:shd w:val="clear" w:color="auto" w:fill="auto"/>
            <w:noWrap/>
            <w:hideMark/>
          </w:tcPr>
          <w:p w14:paraId="3B0C3B7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5F52D7E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195 200</w:t>
            </w:r>
          </w:p>
        </w:tc>
        <w:tc>
          <w:tcPr>
            <w:tcW w:w="2177" w:type="dxa"/>
            <w:tcBorders>
              <w:top w:val="nil"/>
              <w:left w:val="nil"/>
              <w:bottom w:val="single" w:sz="8" w:space="0" w:color="auto"/>
              <w:right w:val="single" w:sz="8" w:space="0" w:color="auto"/>
            </w:tcBorders>
            <w:shd w:val="clear" w:color="auto" w:fill="auto"/>
            <w:noWrap/>
            <w:hideMark/>
          </w:tcPr>
          <w:p w14:paraId="0831297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-195 200</w:t>
            </w:r>
          </w:p>
        </w:tc>
      </w:tr>
      <w:tr w:rsidR="005E41CA" w:rsidRPr="005E41CA" w14:paraId="538F589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E64D8C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40</w:t>
            </w:r>
          </w:p>
        </w:tc>
        <w:tc>
          <w:tcPr>
            <w:tcW w:w="6600" w:type="dxa"/>
            <w:tcBorders>
              <w:top w:val="nil"/>
              <w:left w:val="nil"/>
              <w:bottom w:val="single" w:sz="8" w:space="0" w:color="auto"/>
              <w:right w:val="single" w:sz="8" w:space="0" w:color="auto"/>
            </w:tcBorders>
            <w:shd w:val="clear" w:color="auto" w:fill="auto"/>
            <w:noWrap/>
            <w:hideMark/>
          </w:tcPr>
          <w:p w14:paraId="2DDE7C8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w:t>
            </w:r>
            <w:proofErr w:type="spellStart"/>
            <w:r w:rsidRPr="005E41CA">
              <w:rPr>
                <w:rFonts w:eastAsia="Calibri" w:cs="Times New Roman"/>
                <w:sz w:val="18"/>
                <w:szCs w:val="18"/>
                <w:lang w:eastAsia="en-US"/>
              </w:rPr>
              <w:t>Reverta</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4B5B2BB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03A8F6E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0415CE1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41891F7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D4565D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41</w:t>
            </w:r>
          </w:p>
        </w:tc>
        <w:tc>
          <w:tcPr>
            <w:tcW w:w="6600" w:type="dxa"/>
            <w:tcBorders>
              <w:top w:val="nil"/>
              <w:left w:val="nil"/>
              <w:bottom w:val="single" w:sz="8" w:space="0" w:color="auto"/>
              <w:right w:val="single" w:sz="8" w:space="0" w:color="auto"/>
            </w:tcBorders>
            <w:shd w:val="clear" w:color="auto" w:fill="auto"/>
            <w:noWrap/>
            <w:hideMark/>
          </w:tcPr>
          <w:p w14:paraId="2A61385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"Rīgas Austrumu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6EBBE4E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238 002 391</w:t>
            </w:r>
          </w:p>
        </w:tc>
        <w:tc>
          <w:tcPr>
            <w:tcW w:w="2121" w:type="dxa"/>
            <w:tcBorders>
              <w:top w:val="nil"/>
              <w:left w:val="nil"/>
              <w:bottom w:val="single" w:sz="8" w:space="0" w:color="auto"/>
              <w:right w:val="single" w:sz="8" w:space="0" w:color="auto"/>
            </w:tcBorders>
            <w:shd w:val="clear" w:color="auto" w:fill="auto"/>
            <w:noWrap/>
            <w:hideMark/>
          </w:tcPr>
          <w:p w14:paraId="394A718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232 771 830</w:t>
            </w:r>
          </w:p>
        </w:tc>
        <w:tc>
          <w:tcPr>
            <w:tcW w:w="2177" w:type="dxa"/>
            <w:tcBorders>
              <w:top w:val="nil"/>
              <w:left w:val="nil"/>
              <w:bottom w:val="single" w:sz="8" w:space="0" w:color="auto"/>
              <w:right w:val="single" w:sz="8" w:space="0" w:color="auto"/>
            </w:tcBorders>
            <w:shd w:val="clear" w:color="auto" w:fill="auto"/>
            <w:noWrap/>
            <w:hideMark/>
          </w:tcPr>
          <w:p w14:paraId="77F3080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5 230 561</w:t>
            </w:r>
          </w:p>
        </w:tc>
      </w:tr>
      <w:tr w:rsidR="005E41CA" w:rsidRPr="005E41CA" w14:paraId="476FB66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489B19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42</w:t>
            </w:r>
          </w:p>
        </w:tc>
        <w:tc>
          <w:tcPr>
            <w:tcW w:w="6600" w:type="dxa"/>
            <w:tcBorders>
              <w:top w:val="nil"/>
              <w:left w:val="nil"/>
              <w:bottom w:val="single" w:sz="8" w:space="0" w:color="auto"/>
              <w:right w:val="single" w:sz="8" w:space="0" w:color="auto"/>
            </w:tcBorders>
            <w:shd w:val="clear" w:color="auto" w:fill="auto"/>
            <w:noWrap/>
            <w:hideMark/>
          </w:tcPr>
          <w:p w14:paraId="716EA3A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"Rīgas Cirks"</w:t>
            </w:r>
          </w:p>
        </w:tc>
        <w:tc>
          <w:tcPr>
            <w:tcW w:w="2121" w:type="dxa"/>
            <w:tcBorders>
              <w:top w:val="nil"/>
              <w:left w:val="nil"/>
              <w:bottom w:val="single" w:sz="8" w:space="0" w:color="auto"/>
              <w:right w:val="single" w:sz="8" w:space="0" w:color="auto"/>
            </w:tcBorders>
            <w:shd w:val="clear" w:color="auto" w:fill="auto"/>
            <w:noWrap/>
            <w:hideMark/>
          </w:tcPr>
          <w:p w14:paraId="3C89278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999 816</w:t>
            </w:r>
          </w:p>
        </w:tc>
        <w:tc>
          <w:tcPr>
            <w:tcW w:w="2121" w:type="dxa"/>
            <w:tcBorders>
              <w:top w:val="nil"/>
              <w:left w:val="nil"/>
              <w:bottom w:val="single" w:sz="8" w:space="0" w:color="auto"/>
              <w:right w:val="single" w:sz="8" w:space="0" w:color="auto"/>
            </w:tcBorders>
            <w:shd w:val="clear" w:color="auto" w:fill="auto"/>
            <w:noWrap/>
            <w:hideMark/>
          </w:tcPr>
          <w:p w14:paraId="74BECC4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761 347</w:t>
            </w:r>
          </w:p>
        </w:tc>
        <w:tc>
          <w:tcPr>
            <w:tcW w:w="2177" w:type="dxa"/>
            <w:tcBorders>
              <w:top w:val="nil"/>
              <w:left w:val="nil"/>
              <w:bottom w:val="single" w:sz="8" w:space="0" w:color="auto"/>
              <w:right w:val="single" w:sz="8" w:space="0" w:color="auto"/>
            </w:tcBorders>
            <w:shd w:val="clear" w:color="auto" w:fill="auto"/>
            <w:noWrap/>
            <w:hideMark/>
          </w:tcPr>
          <w:p w14:paraId="56B0606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238 469</w:t>
            </w:r>
          </w:p>
        </w:tc>
      </w:tr>
      <w:tr w:rsidR="005E41CA" w:rsidRPr="005E41CA" w14:paraId="4B36B2A2"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3B6270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43</w:t>
            </w:r>
          </w:p>
        </w:tc>
        <w:tc>
          <w:tcPr>
            <w:tcW w:w="6600" w:type="dxa"/>
            <w:tcBorders>
              <w:top w:val="nil"/>
              <w:left w:val="nil"/>
              <w:bottom w:val="single" w:sz="8" w:space="0" w:color="auto"/>
              <w:right w:val="single" w:sz="8" w:space="0" w:color="auto"/>
            </w:tcBorders>
            <w:shd w:val="clear" w:color="auto" w:fill="auto"/>
            <w:noWrap/>
            <w:hideMark/>
          </w:tcPr>
          <w:p w14:paraId="1E02F5B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"Rīgas psihiatrijas un narkoloģijas centrs"</w:t>
            </w:r>
          </w:p>
        </w:tc>
        <w:tc>
          <w:tcPr>
            <w:tcW w:w="2121" w:type="dxa"/>
            <w:tcBorders>
              <w:top w:val="nil"/>
              <w:left w:val="nil"/>
              <w:bottom w:val="single" w:sz="8" w:space="0" w:color="auto"/>
              <w:right w:val="single" w:sz="8" w:space="0" w:color="auto"/>
            </w:tcBorders>
            <w:shd w:val="clear" w:color="auto" w:fill="auto"/>
            <w:noWrap/>
            <w:hideMark/>
          </w:tcPr>
          <w:p w14:paraId="7298D7E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32 663 733</w:t>
            </w:r>
          </w:p>
        </w:tc>
        <w:tc>
          <w:tcPr>
            <w:tcW w:w="2121" w:type="dxa"/>
            <w:tcBorders>
              <w:top w:val="nil"/>
              <w:left w:val="nil"/>
              <w:bottom w:val="single" w:sz="8" w:space="0" w:color="auto"/>
              <w:right w:val="single" w:sz="8" w:space="0" w:color="auto"/>
            </w:tcBorders>
            <w:shd w:val="clear" w:color="auto" w:fill="auto"/>
            <w:noWrap/>
            <w:hideMark/>
          </w:tcPr>
          <w:p w14:paraId="6C9F86C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33 163 733</w:t>
            </w:r>
          </w:p>
        </w:tc>
        <w:tc>
          <w:tcPr>
            <w:tcW w:w="2177" w:type="dxa"/>
            <w:tcBorders>
              <w:top w:val="nil"/>
              <w:left w:val="nil"/>
              <w:bottom w:val="single" w:sz="8" w:space="0" w:color="auto"/>
              <w:right w:val="single" w:sz="8" w:space="0" w:color="auto"/>
            </w:tcBorders>
            <w:shd w:val="clear" w:color="auto" w:fill="auto"/>
            <w:noWrap/>
            <w:hideMark/>
          </w:tcPr>
          <w:p w14:paraId="3F0202E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-500 000</w:t>
            </w:r>
          </w:p>
        </w:tc>
      </w:tr>
      <w:tr w:rsidR="005E41CA" w:rsidRPr="005E41CA" w14:paraId="71C08DD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C6FD2B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44</w:t>
            </w:r>
          </w:p>
        </w:tc>
        <w:tc>
          <w:tcPr>
            <w:tcW w:w="6600" w:type="dxa"/>
            <w:tcBorders>
              <w:top w:val="nil"/>
              <w:left w:val="nil"/>
              <w:bottom w:val="single" w:sz="8" w:space="0" w:color="auto"/>
              <w:right w:val="single" w:sz="8" w:space="0" w:color="auto"/>
            </w:tcBorders>
            <w:shd w:val="clear" w:color="auto" w:fill="auto"/>
            <w:noWrap/>
            <w:hideMark/>
          </w:tcPr>
          <w:p w14:paraId="38F34C2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"Rīgas Tūrisma un radošās industrijas tehnikums"</w:t>
            </w:r>
          </w:p>
        </w:tc>
        <w:tc>
          <w:tcPr>
            <w:tcW w:w="2121" w:type="dxa"/>
            <w:tcBorders>
              <w:top w:val="nil"/>
              <w:left w:val="nil"/>
              <w:bottom w:val="single" w:sz="8" w:space="0" w:color="auto"/>
              <w:right w:val="single" w:sz="8" w:space="0" w:color="auto"/>
            </w:tcBorders>
            <w:shd w:val="clear" w:color="auto" w:fill="auto"/>
            <w:noWrap/>
            <w:hideMark/>
          </w:tcPr>
          <w:p w14:paraId="68BCA12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7 302 000</w:t>
            </w:r>
          </w:p>
        </w:tc>
        <w:tc>
          <w:tcPr>
            <w:tcW w:w="2121" w:type="dxa"/>
            <w:tcBorders>
              <w:top w:val="nil"/>
              <w:left w:val="nil"/>
              <w:bottom w:val="single" w:sz="8" w:space="0" w:color="auto"/>
              <w:right w:val="single" w:sz="8" w:space="0" w:color="auto"/>
            </w:tcBorders>
            <w:shd w:val="clear" w:color="auto" w:fill="auto"/>
            <w:noWrap/>
            <w:hideMark/>
          </w:tcPr>
          <w:p w14:paraId="277EFEC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7 296 373</w:t>
            </w:r>
          </w:p>
        </w:tc>
        <w:tc>
          <w:tcPr>
            <w:tcW w:w="2177" w:type="dxa"/>
            <w:tcBorders>
              <w:top w:val="nil"/>
              <w:left w:val="nil"/>
              <w:bottom w:val="single" w:sz="8" w:space="0" w:color="auto"/>
              <w:right w:val="single" w:sz="8" w:space="0" w:color="auto"/>
            </w:tcBorders>
            <w:shd w:val="clear" w:color="auto" w:fill="auto"/>
            <w:noWrap/>
            <w:hideMark/>
          </w:tcPr>
          <w:p w14:paraId="4E0004A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5 627</w:t>
            </w:r>
          </w:p>
        </w:tc>
      </w:tr>
      <w:tr w:rsidR="005E41CA" w:rsidRPr="005E41CA" w14:paraId="0D68553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30EF41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45</w:t>
            </w:r>
          </w:p>
        </w:tc>
        <w:tc>
          <w:tcPr>
            <w:tcW w:w="6600" w:type="dxa"/>
            <w:tcBorders>
              <w:top w:val="nil"/>
              <w:left w:val="nil"/>
              <w:bottom w:val="single" w:sz="8" w:space="0" w:color="auto"/>
              <w:right w:val="single" w:sz="8" w:space="0" w:color="auto"/>
            </w:tcBorders>
            <w:shd w:val="clear" w:color="auto" w:fill="auto"/>
            <w:noWrap/>
            <w:hideMark/>
          </w:tcPr>
          <w:p w14:paraId="6FB5B3B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"RTU Starptautiskā zinātņu un tehnoloģiju skola"</w:t>
            </w:r>
          </w:p>
        </w:tc>
        <w:tc>
          <w:tcPr>
            <w:tcW w:w="2121" w:type="dxa"/>
            <w:tcBorders>
              <w:top w:val="nil"/>
              <w:left w:val="nil"/>
              <w:bottom w:val="single" w:sz="8" w:space="0" w:color="auto"/>
              <w:right w:val="single" w:sz="8" w:space="0" w:color="auto"/>
            </w:tcBorders>
            <w:shd w:val="clear" w:color="auto" w:fill="auto"/>
            <w:noWrap/>
            <w:hideMark/>
          </w:tcPr>
          <w:p w14:paraId="28BBA21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530 000</w:t>
            </w:r>
          </w:p>
        </w:tc>
        <w:tc>
          <w:tcPr>
            <w:tcW w:w="2121" w:type="dxa"/>
            <w:tcBorders>
              <w:top w:val="nil"/>
              <w:left w:val="nil"/>
              <w:bottom w:val="single" w:sz="8" w:space="0" w:color="auto"/>
              <w:right w:val="single" w:sz="8" w:space="0" w:color="auto"/>
            </w:tcBorders>
            <w:shd w:val="clear" w:color="auto" w:fill="auto"/>
            <w:noWrap/>
            <w:hideMark/>
          </w:tcPr>
          <w:p w14:paraId="4146F30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512 500</w:t>
            </w:r>
          </w:p>
        </w:tc>
        <w:tc>
          <w:tcPr>
            <w:tcW w:w="2177" w:type="dxa"/>
            <w:tcBorders>
              <w:top w:val="nil"/>
              <w:left w:val="nil"/>
              <w:bottom w:val="single" w:sz="8" w:space="0" w:color="auto"/>
              <w:right w:val="single" w:sz="8" w:space="0" w:color="auto"/>
            </w:tcBorders>
            <w:shd w:val="clear" w:color="auto" w:fill="auto"/>
            <w:noWrap/>
            <w:hideMark/>
          </w:tcPr>
          <w:p w14:paraId="59E6FC4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17 500</w:t>
            </w:r>
          </w:p>
        </w:tc>
      </w:tr>
      <w:tr w:rsidR="005E41CA" w:rsidRPr="005E41CA" w14:paraId="2275DF3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69994F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46</w:t>
            </w:r>
          </w:p>
        </w:tc>
        <w:tc>
          <w:tcPr>
            <w:tcW w:w="6600" w:type="dxa"/>
            <w:tcBorders>
              <w:top w:val="nil"/>
              <w:left w:val="nil"/>
              <w:bottom w:val="single" w:sz="8" w:space="0" w:color="auto"/>
              <w:right w:val="single" w:sz="8" w:space="0" w:color="auto"/>
            </w:tcBorders>
            <w:shd w:val="clear" w:color="auto" w:fill="auto"/>
            <w:noWrap/>
            <w:hideMark/>
          </w:tcPr>
          <w:p w14:paraId="7CF3AE5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Starptautiskā Rakstnieku un tulkotāju māja"</w:t>
            </w:r>
          </w:p>
        </w:tc>
        <w:tc>
          <w:tcPr>
            <w:tcW w:w="2121" w:type="dxa"/>
            <w:tcBorders>
              <w:top w:val="nil"/>
              <w:left w:val="nil"/>
              <w:bottom w:val="single" w:sz="8" w:space="0" w:color="auto"/>
              <w:right w:val="single" w:sz="8" w:space="0" w:color="auto"/>
            </w:tcBorders>
            <w:shd w:val="clear" w:color="auto" w:fill="auto"/>
            <w:noWrap/>
            <w:hideMark/>
          </w:tcPr>
          <w:p w14:paraId="2B74939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790 200</w:t>
            </w:r>
          </w:p>
        </w:tc>
        <w:tc>
          <w:tcPr>
            <w:tcW w:w="2121" w:type="dxa"/>
            <w:tcBorders>
              <w:top w:val="nil"/>
              <w:left w:val="nil"/>
              <w:bottom w:val="single" w:sz="8" w:space="0" w:color="auto"/>
              <w:right w:val="single" w:sz="8" w:space="0" w:color="auto"/>
            </w:tcBorders>
            <w:shd w:val="clear" w:color="auto" w:fill="auto"/>
            <w:noWrap/>
            <w:hideMark/>
          </w:tcPr>
          <w:p w14:paraId="324E695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793 700</w:t>
            </w:r>
          </w:p>
        </w:tc>
        <w:tc>
          <w:tcPr>
            <w:tcW w:w="2177" w:type="dxa"/>
            <w:tcBorders>
              <w:top w:val="nil"/>
              <w:left w:val="nil"/>
              <w:bottom w:val="single" w:sz="8" w:space="0" w:color="auto"/>
              <w:right w:val="single" w:sz="8" w:space="0" w:color="auto"/>
            </w:tcBorders>
            <w:shd w:val="clear" w:color="auto" w:fill="auto"/>
            <w:noWrap/>
            <w:hideMark/>
          </w:tcPr>
          <w:p w14:paraId="052CCB0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-3 500</w:t>
            </w:r>
          </w:p>
        </w:tc>
      </w:tr>
      <w:tr w:rsidR="005E41CA" w:rsidRPr="005E41CA" w14:paraId="4E2D460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F018E7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47</w:t>
            </w:r>
          </w:p>
        </w:tc>
        <w:tc>
          <w:tcPr>
            <w:tcW w:w="6600" w:type="dxa"/>
            <w:tcBorders>
              <w:top w:val="nil"/>
              <w:left w:val="nil"/>
              <w:bottom w:val="single" w:sz="8" w:space="0" w:color="auto"/>
              <w:right w:val="single" w:sz="8" w:space="0" w:color="auto"/>
            </w:tcBorders>
            <w:shd w:val="clear" w:color="auto" w:fill="auto"/>
            <w:noWrap/>
            <w:hideMark/>
          </w:tcPr>
          <w:p w14:paraId="19C2146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"Strenču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4595E30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9 896 270</w:t>
            </w:r>
          </w:p>
        </w:tc>
        <w:tc>
          <w:tcPr>
            <w:tcW w:w="2121" w:type="dxa"/>
            <w:tcBorders>
              <w:top w:val="nil"/>
              <w:left w:val="nil"/>
              <w:bottom w:val="single" w:sz="8" w:space="0" w:color="auto"/>
              <w:right w:val="single" w:sz="8" w:space="0" w:color="auto"/>
            </w:tcBorders>
            <w:shd w:val="clear" w:color="auto" w:fill="auto"/>
            <w:noWrap/>
            <w:hideMark/>
          </w:tcPr>
          <w:p w14:paraId="22343A9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9 767 542</w:t>
            </w:r>
          </w:p>
        </w:tc>
        <w:tc>
          <w:tcPr>
            <w:tcW w:w="2177" w:type="dxa"/>
            <w:tcBorders>
              <w:top w:val="nil"/>
              <w:left w:val="nil"/>
              <w:bottom w:val="single" w:sz="8" w:space="0" w:color="auto"/>
              <w:right w:val="single" w:sz="8" w:space="0" w:color="auto"/>
            </w:tcBorders>
            <w:shd w:val="clear" w:color="auto" w:fill="auto"/>
            <w:noWrap/>
            <w:hideMark/>
          </w:tcPr>
          <w:p w14:paraId="48B7CC8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128 728</w:t>
            </w:r>
          </w:p>
        </w:tc>
      </w:tr>
      <w:tr w:rsidR="005E41CA" w:rsidRPr="005E41CA" w14:paraId="0B71EA1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9E5751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48</w:t>
            </w:r>
          </w:p>
        </w:tc>
        <w:tc>
          <w:tcPr>
            <w:tcW w:w="6600" w:type="dxa"/>
            <w:tcBorders>
              <w:top w:val="nil"/>
              <w:left w:val="nil"/>
              <w:bottom w:val="single" w:sz="8" w:space="0" w:color="auto"/>
              <w:right w:val="single" w:sz="8" w:space="0" w:color="auto"/>
            </w:tcBorders>
            <w:shd w:val="clear" w:color="auto" w:fill="auto"/>
            <w:noWrap/>
            <w:hideMark/>
          </w:tcPr>
          <w:p w14:paraId="32C972F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"Šampētera nams"</w:t>
            </w:r>
          </w:p>
        </w:tc>
        <w:tc>
          <w:tcPr>
            <w:tcW w:w="2121" w:type="dxa"/>
            <w:tcBorders>
              <w:top w:val="nil"/>
              <w:left w:val="nil"/>
              <w:bottom w:val="single" w:sz="8" w:space="0" w:color="auto"/>
              <w:right w:val="single" w:sz="8" w:space="0" w:color="auto"/>
            </w:tcBorders>
            <w:shd w:val="clear" w:color="auto" w:fill="auto"/>
            <w:noWrap/>
            <w:hideMark/>
          </w:tcPr>
          <w:p w14:paraId="754CE48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2 694 612</w:t>
            </w:r>
          </w:p>
        </w:tc>
        <w:tc>
          <w:tcPr>
            <w:tcW w:w="2121" w:type="dxa"/>
            <w:tcBorders>
              <w:top w:val="nil"/>
              <w:left w:val="nil"/>
              <w:bottom w:val="single" w:sz="8" w:space="0" w:color="auto"/>
              <w:right w:val="single" w:sz="8" w:space="0" w:color="auto"/>
            </w:tcBorders>
            <w:shd w:val="clear" w:color="auto" w:fill="auto"/>
            <w:noWrap/>
            <w:hideMark/>
          </w:tcPr>
          <w:p w14:paraId="21E88EC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2 709 592</w:t>
            </w:r>
          </w:p>
        </w:tc>
        <w:tc>
          <w:tcPr>
            <w:tcW w:w="2177" w:type="dxa"/>
            <w:tcBorders>
              <w:top w:val="nil"/>
              <w:left w:val="nil"/>
              <w:bottom w:val="single" w:sz="8" w:space="0" w:color="auto"/>
              <w:right w:val="single" w:sz="8" w:space="0" w:color="auto"/>
            </w:tcBorders>
            <w:shd w:val="clear" w:color="auto" w:fill="auto"/>
            <w:noWrap/>
            <w:hideMark/>
          </w:tcPr>
          <w:p w14:paraId="71BA198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-14 980</w:t>
            </w:r>
          </w:p>
        </w:tc>
      </w:tr>
      <w:tr w:rsidR="005E41CA" w:rsidRPr="005E41CA" w14:paraId="406FFBE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C2F62D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49</w:t>
            </w:r>
          </w:p>
        </w:tc>
        <w:tc>
          <w:tcPr>
            <w:tcW w:w="6600" w:type="dxa"/>
            <w:tcBorders>
              <w:top w:val="nil"/>
              <w:left w:val="nil"/>
              <w:bottom w:val="single" w:sz="8" w:space="0" w:color="auto"/>
              <w:right w:val="single" w:sz="8" w:space="0" w:color="auto"/>
            </w:tcBorders>
            <w:shd w:val="clear" w:color="auto" w:fill="auto"/>
            <w:noWrap/>
            <w:hideMark/>
          </w:tcPr>
          <w:p w14:paraId="30EF485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"Tiesu namu aģentūra"</w:t>
            </w:r>
          </w:p>
        </w:tc>
        <w:tc>
          <w:tcPr>
            <w:tcW w:w="2121" w:type="dxa"/>
            <w:tcBorders>
              <w:top w:val="nil"/>
              <w:left w:val="nil"/>
              <w:bottom w:val="single" w:sz="8" w:space="0" w:color="auto"/>
              <w:right w:val="single" w:sz="8" w:space="0" w:color="auto"/>
            </w:tcBorders>
            <w:shd w:val="clear" w:color="auto" w:fill="auto"/>
            <w:noWrap/>
            <w:hideMark/>
          </w:tcPr>
          <w:p w14:paraId="66B8007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9 150 000</w:t>
            </w:r>
          </w:p>
        </w:tc>
        <w:tc>
          <w:tcPr>
            <w:tcW w:w="2121" w:type="dxa"/>
            <w:tcBorders>
              <w:top w:val="nil"/>
              <w:left w:val="nil"/>
              <w:bottom w:val="single" w:sz="8" w:space="0" w:color="auto"/>
              <w:right w:val="single" w:sz="8" w:space="0" w:color="auto"/>
            </w:tcBorders>
            <w:shd w:val="clear" w:color="auto" w:fill="auto"/>
            <w:noWrap/>
            <w:hideMark/>
          </w:tcPr>
          <w:p w14:paraId="3BF67F3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23 968 113</w:t>
            </w:r>
          </w:p>
        </w:tc>
        <w:tc>
          <w:tcPr>
            <w:tcW w:w="2177" w:type="dxa"/>
            <w:tcBorders>
              <w:top w:val="nil"/>
              <w:left w:val="nil"/>
              <w:bottom w:val="single" w:sz="8" w:space="0" w:color="auto"/>
              <w:right w:val="single" w:sz="8" w:space="0" w:color="auto"/>
            </w:tcBorders>
            <w:shd w:val="clear" w:color="auto" w:fill="auto"/>
            <w:noWrap/>
            <w:hideMark/>
          </w:tcPr>
          <w:p w14:paraId="7A7A49D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-14 818 113</w:t>
            </w:r>
          </w:p>
        </w:tc>
      </w:tr>
      <w:tr w:rsidR="005E41CA" w:rsidRPr="005E41CA" w14:paraId="1412FBB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31E858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50</w:t>
            </w:r>
          </w:p>
        </w:tc>
        <w:tc>
          <w:tcPr>
            <w:tcW w:w="6600" w:type="dxa"/>
            <w:tcBorders>
              <w:top w:val="nil"/>
              <w:left w:val="nil"/>
              <w:bottom w:val="single" w:sz="8" w:space="0" w:color="auto"/>
              <w:right w:val="single" w:sz="8" w:space="0" w:color="auto"/>
            </w:tcBorders>
            <w:shd w:val="clear" w:color="auto" w:fill="auto"/>
            <w:noWrap/>
            <w:hideMark/>
          </w:tcPr>
          <w:p w14:paraId="64F5A55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"Traumatoloģijas un ortopēdijas slimnīca"</w:t>
            </w:r>
          </w:p>
        </w:tc>
        <w:tc>
          <w:tcPr>
            <w:tcW w:w="2121" w:type="dxa"/>
            <w:tcBorders>
              <w:top w:val="nil"/>
              <w:left w:val="nil"/>
              <w:bottom w:val="single" w:sz="8" w:space="0" w:color="auto"/>
              <w:right w:val="single" w:sz="8" w:space="0" w:color="auto"/>
            </w:tcBorders>
            <w:shd w:val="clear" w:color="auto" w:fill="auto"/>
            <w:noWrap/>
            <w:hideMark/>
          </w:tcPr>
          <w:p w14:paraId="3ED5133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27 583 400</w:t>
            </w:r>
          </w:p>
        </w:tc>
        <w:tc>
          <w:tcPr>
            <w:tcW w:w="2121" w:type="dxa"/>
            <w:tcBorders>
              <w:top w:val="nil"/>
              <w:left w:val="nil"/>
              <w:bottom w:val="single" w:sz="8" w:space="0" w:color="auto"/>
              <w:right w:val="single" w:sz="8" w:space="0" w:color="auto"/>
            </w:tcBorders>
            <w:shd w:val="clear" w:color="auto" w:fill="auto"/>
            <w:noWrap/>
            <w:hideMark/>
          </w:tcPr>
          <w:p w14:paraId="0F4FBEB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27 554 544</w:t>
            </w:r>
          </w:p>
        </w:tc>
        <w:tc>
          <w:tcPr>
            <w:tcW w:w="2177" w:type="dxa"/>
            <w:tcBorders>
              <w:top w:val="nil"/>
              <w:left w:val="nil"/>
              <w:bottom w:val="single" w:sz="8" w:space="0" w:color="auto"/>
              <w:right w:val="single" w:sz="8" w:space="0" w:color="auto"/>
            </w:tcBorders>
            <w:shd w:val="clear" w:color="auto" w:fill="auto"/>
            <w:noWrap/>
            <w:hideMark/>
          </w:tcPr>
          <w:p w14:paraId="015424C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28 856</w:t>
            </w:r>
          </w:p>
        </w:tc>
      </w:tr>
      <w:tr w:rsidR="005E41CA" w:rsidRPr="005E41CA" w14:paraId="2BDE11C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7509CF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51</w:t>
            </w:r>
          </w:p>
        </w:tc>
        <w:tc>
          <w:tcPr>
            <w:tcW w:w="6600" w:type="dxa"/>
            <w:tcBorders>
              <w:top w:val="nil"/>
              <w:left w:val="nil"/>
              <w:bottom w:val="single" w:sz="8" w:space="0" w:color="auto"/>
              <w:right w:val="single" w:sz="8" w:space="0" w:color="auto"/>
            </w:tcBorders>
            <w:shd w:val="clear" w:color="auto" w:fill="auto"/>
            <w:noWrap/>
            <w:hideMark/>
          </w:tcPr>
          <w:p w14:paraId="2AA369A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"Nacionālais rehabilitācijas centrs "Vaivari""</w:t>
            </w:r>
          </w:p>
        </w:tc>
        <w:tc>
          <w:tcPr>
            <w:tcW w:w="2121" w:type="dxa"/>
            <w:tcBorders>
              <w:top w:val="nil"/>
              <w:left w:val="nil"/>
              <w:bottom w:val="single" w:sz="8" w:space="0" w:color="auto"/>
              <w:right w:val="single" w:sz="8" w:space="0" w:color="auto"/>
            </w:tcBorders>
            <w:shd w:val="clear" w:color="auto" w:fill="auto"/>
            <w:noWrap/>
            <w:hideMark/>
          </w:tcPr>
          <w:p w14:paraId="5A18A4E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20 348 811</w:t>
            </w:r>
          </w:p>
        </w:tc>
        <w:tc>
          <w:tcPr>
            <w:tcW w:w="2121" w:type="dxa"/>
            <w:tcBorders>
              <w:top w:val="nil"/>
              <w:left w:val="nil"/>
              <w:bottom w:val="single" w:sz="8" w:space="0" w:color="auto"/>
              <w:right w:val="single" w:sz="8" w:space="0" w:color="auto"/>
            </w:tcBorders>
            <w:shd w:val="clear" w:color="auto" w:fill="auto"/>
            <w:noWrap/>
            <w:hideMark/>
          </w:tcPr>
          <w:p w14:paraId="7E7BE49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20 343 811</w:t>
            </w:r>
          </w:p>
        </w:tc>
        <w:tc>
          <w:tcPr>
            <w:tcW w:w="2177" w:type="dxa"/>
            <w:tcBorders>
              <w:top w:val="nil"/>
              <w:left w:val="nil"/>
              <w:bottom w:val="single" w:sz="8" w:space="0" w:color="auto"/>
              <w:right w:val="single" w:sz="8" w:space="0" w:color="auto"/>
            </w:tcBorders>
            <w:shd w:val="clear" w:color="auto" w:fill="auto"/>
            <w:noWrap/>
            <w:hideMark/>
          </w:tcPr>
          <w:p w14:paraId="71FDACE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5 000</w:t>
            </w:r>
          </w:p>
        </w:tc>
      </w:tr>
      <w:tr w:rsidR="005E41CA" w:rsidRPr="005E41CA" w14:paraId="7A77106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15CB14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52</w:t>
            </w:r>
          </w:p>
        </w:tc>
        <w:tc>
          <w:tcPr>
            <w:tcW w:w="6600" w:type="dxa"/>
            <w:tcBorders>
              <w:top w:val="nil"/>
              <w:left w:val="nil"/>
              <w:bottom w:val="single" w:sz="8" w:space="0" w:color="auto"/>
              <w:right w:val="single" w:sz="8" w:space="0" w:color="auto"/>
            </w:tcBorders>
            <w:shd w:val="clear" w:color="auto" w:fill="auto"/>
            <w:noWrap/>
            <w:hideMark/>
          </w:tcPr>
          <w:p w14:paraId="5C0983D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"Valmieras drāmas teātris"</w:t>
            </w:r>
          </w:p>
        </w:tc>
        <w:tc>
          <w:tcPr>
            <w:tcW w:w="2121" w:type="dxa"/>
            <w:tcBorders>
              <w:top w:val="nil"/>
              <w:left w:val="nil"/>
              <w:bottom w:val="single" w:sz="8" w:space="0" w:color="auto"/>
              <w:right w:val="single" w:sz="8" w:space="0" w:color="auto"/>
            </w:tcBorders>
            <w:shd w:val="clear" w:color="auto" w:fill="auto"/>
            <w:noWrap/>
            <w:hideMark/>
          </w:tcPr>
          <w:p w14:paraId="741314B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791 717</w:t>
            </w:r>
          </w:p>
        </w:tc>
        <w:tc>
          <w:tcPr>
            <w:tcW w:w="2121" w:type="dxa"/>
            <w:tcBorders>
              <w:top w:val="nil"/>
              <w:left w:val="nil"/>
              <w:bottom w:val="single" w:sz="8" w:space="0" w:color="auto"/>
              <w:right w:val="single" w:sz="8" w:space="0" w:color="auto"/>
            </w:tcBorders>
            <w:shd w:val="clear" w:color="auto" w:fill="auto"/>
            <w:noWrap/>
            <w:hideMark/>
          </w:tcPr>
          <w:p w14:paraId="1B0F68D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806 050</w:t>
            </w:r>
          </w:p>
        </w:tc>
        <w:tc>
          <w:tcPr>
            <w:tcW w:w="2177" w:type="dxa"/>
            <w:tcBorders>
              <w:top w:val="nil"/>
              <w:left w:val="nil"/>
              <w:bottom w:val="single" w:sz="8" w:space="0" w:color="auto"/>
              <w:right w:val="single" w:sz="8" w:space="0" w:color="auto"/>
            </w:tcBorders>
            <w:shd w:val="clear" w:color="auto" w:fill="auto"/>
            <w:noWrap/>
            <w:hideMark/>
          </w:tcPr>
          <w:p w14:paraId="39367D7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-14 333</w:t>
            </w:r>
          </w:p>
        </w:tc>
      </w:tr>
      <w:tr w:rsidR="005E41CA" w:rsidRPr="005E41CA" w14:paraId="32D979D7"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4BCE34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53</w:t>
            </w:r>
          </w:p>
        </w:tc>
        <w:tc>
          <w:tcPr>
            <w:tcW w:w="6600" w:type="dxa"/>
            <w:tcBorders>
              <w:top w:val="nil"/>
              <w:left w:val="nil"/>
              <w:bottom w:val="single" w:sz="8" w:space="0" w:color="auto"/>
              <w:right w:val="single" w:sz="8" w:space="0" w:color="auto"/>
            </w:tcBorders>
            <w:shd w:val="clear" w:color="auto" w:fill="auto"/>
            <w:noWrap/>
            <w:hideMark/>
          </w:tcPr>
          <w:p w14:paraId="1D6927D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"Valsts nekustamie īpašumi"</w:t>
            </w:r>
          </w:p>
        </w:tc>
        <w:tc>
          <w:tcPr>
            <w:tcW w:w="2121" w:type="dxa"/>
            <w:tcBorders>
              <w:top w:val="nil"/>
              <w:left w:val="nil"/>
              <w:bottom w:val="single" w:sz="8" w:space="0" w:color="auto"/>
              <w:right w:val="single" w:sz="8" w:space="0" w:color="auto"/>
            </w:tcBorders>
            <w:shd w:val="clear" w:color="auto" w:fill="auto"/>
            <w:noWrap/>
            <w:hideMark/>
          </w:tcPr>
          <w:p w14:paraId="662A2A4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45 313 790</w:t>
            </w:r>
          </w:p>
        </w:tc>
        <w:tc>
          <w:tcPr>
            <w:tcW w:w="2121" w:type="dxa"/>
            <w:tcBorders>
              <w:top w:val="nil"/>
              <w:left w:val="nil"/>
              <w:bottom w:val="single" w:sz="8" w:space="0" w:color="auto"/>
              <w:right w:val="single" w:sz="8" w:space="0" w:color="auto"/>
            </w:tcBorders>
            <w:shd w:val="clear" w:color="auto" w:fill="auto"/>
            <w:noWrap/>
            <w:hideMark/>
          </w:tcPr>
          <w:p w14:paraId="7AA521C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50 280 348</w:t>
            </w:r>
          </w:p>
        </w:tc>
        <w:tc>
          <w:tcPr>
            <w:tcW w:w="2177" w:type="dxa"/>
            <w:tcBorders>
              <w:top w:val="nil"/>
              <w:left w:val="nil"/>
              <w:bottom w:val="single" w:sz="8" w:space="0" w:color="auto"/>
              <w:right w:val="single" w:sz="8" w:space="0" w:color="auto"/>
            </w:tcBorders>
            <w:shd w:val="clear" w:color="auto" w:fill="auto"/>
            <w:noWrap/>
            <w:hideMark/>
          </w:tcPr>
          <w:p w14:paraId="2C0E121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-4 966 558</w:t>
            </w:r>
          </w:p>
        </w:tc>
      </w:tr>
      <w:tr w:rsidR="005E41CA" w:rsidRPr="005E41CA" w14:paraId="7A09E49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C23F36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lastRenderedPageBreak/>
              <w:t>54</w:t>
            </w:r>
          </w:p>
        </w:tc>
        <w:tc>
          <w:tcPr>
            <w:tcW w:w="6600" w:type="dxa"/>
            <w:tcBorders>
              <w:top w:val="nil"/>
              <w:left w:val="nil"/>
              <w:bottom w:val="single" w:sz="8" w:space="0" w:color="auto"/>
              <w:right w:val="single" w:sz="8" w:space="0" w:color="auto"/>
            </w:tcBorders>
            <w:shd w:val="clear" w:color="auto" w:fill="auto"/>
            <w:noWrap/>
            <w:hideMark/>
          </w:tcPr>
          <w:p w14:paraId="6A3D055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"Vides investīciju fonds"</w:t>
            </w:r>
          </w:p>
        </w:tc>
        <w:tc>
          <w:tcPr>
            <w:tcW w:w="2121" w:type="dxa"/>
            <w:tcBorders>
              <w:top w:val="nil"/>
              <w:left w:val="nil"/>
              <w:bottom w:val="single" w:sz="8" w:space="0" w:color="auto"/>
              <w:right w:val="single" w:sz="8" w:space="0" w:color="auto"/>
            </w:tcBorders>
            <w:shd w:val="clear" w:color="auto" w:fill="auto"/>
            <w:noWrap/>
            <w:hideMark/>
          </w:tcPr>
          <w:p w14:paraId="4202B56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888 656</w:t>
            </w:r>
          </w:p>
        </w:tc>
        <w:tc>
          <w:tcPr>
            <w:tcW w:w="2121" w:type="dxa"/>
            <w:tcBorders>
              <w:top w:val="nil"/>
              <w:left w:val="nil"/>
              <w:bottom w:val="single" w:sz="8" w:space="0" w:color="auto"/>
              <w:right w:val="single" w:sz="8" w:space="0" w:color="auto"/>
            </w:tcBorders>
            <w:shd w:val="clear" w:color="auto" w:fill="auto"/>
            <w:noWrap/>
            <w:hideMark/>
          </w:tcPr>
          <w:p w14:paraId="7CF6A96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881 972</w:t>
            </w:r>
          </w:p>
        </w:tc>
        <w:tc>
          <w:tcPr>
            <w:tcW w:w="2177" w:type="dxa"/>
            <w:tcBorders>
              <w:top w:val="nil"/>
              <w:left w:val="nil"/>
              <w:bottom w:val="single" w:sz="8" w:space="0" w:color="auto"/>
              <w:right w:val="single" w:sz="8" w:space="0" w:color="auto"/>
            </w:tcBorders>
            <w:shd w:val="clear" w:color="auto" w:fill="auto"/>
            <w:noWrap/>
            <w:hideMark/>
          </w:tcPr>
          <w:p w14:paraId="1DCDC4F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6 684</w:t>
            </w:r>
          </w:p>
        </w:tc>
      </w:tr>
      <w:tr w:rsidR="005E41CA" w:rsidRPr="005E41CA" w14:paraId="528EB19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8942D4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55</w:t>
            </w:r>
          </w:p>
        </w:tc>
        <w:tc>
          <w:tcPr>
            <w:tcW w:w="6600" w:type="dxa"/>
            <w:tcBorders>
              <w:top w:val="nil"/>
              <w:left w:val="nil"/>
              <w:bottom w:val="single" w:sz="8" w:space="0" w:color="auto"/>
              <w:right w:val="single" w:sz="8" w:space="0" w:color="auto"/>
            </w:tcBorders>
            <w:shd w:val="clear" w:color="auto" w:fill="auto"/>
            <w:noWrap/>
            <w:hideMark/>
          </w:tcPr>
          <w:p w14:paraId="179AF44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"Zemkopības ministrijas nekustamie īpašumi"</w:t>
            </w:r>
          </w:p>
        </w:tc>
        <w:tc>
          <w:tcPr>
            <w:tcW w:w="2121" w:type="dxa"/>
            <w:tcBorders>
              <w:top w:val="nil"/>
              <w:left w:val="nil"/>
              <w:bottom w:val="single" w:sz="8" w:space="0" w:color="auto"/>
              <w:right w:val="single" w:sz="8" w:space="0" w:color="auto"/>
            </w:tcBorders>
            <w:shd w:val="clear" w:color="auto" w:fill="auto"/>
            <w:noWrap/>
            <w:hideMark/>
          </w:tcPr>
          <w:p w14:paraId="2E99698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2 634 170</w:t>
            </w:r>
          </w:p>
        </w:tc>
        <w:tc>
          <w:tcPr>
            <w:tcW w:w="2121" w:type="dxa"/>
            <w:tcBorders>
              <w:top w:val="nil"/>
              <w:left w:val="nil"/>
              <w:bottom w:val="single" w:sz="8" w:space="0" w:color="auto"/>
              <w:right w:val="single" w:sz="8" w:space="0" w:color="auto"/>
            </w:tcBorders>
            <w:shd w:val="clear" w:color="auto" w:fill="auto"/>
            <w:noWrap/>
            <w:hideMark/>
          </w:tcPr>
          <w:p w14:paraId="4E72734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2 606 775</w:t>
            </w:r>
          </w:p>
        </w:tc>
        <w:tc>
          <w:tcPr>
            <w:tcW w:w="2177" w:type="dxa"/>
            <w:tcBorders>
              <w:top w:val="nil"/>
              <w:left w:val="nil"/>
              <w:bottom w:val="single" w:sz="8" w:space="0" w:color="auto"/>
              <w:right w:val="single" w:sz="8" w:space="0" w:color="auto"/>
            </w:tcBorders>
            <w:shd w:val="clear" w:color="auto" w:fill="auto"/>
            <w:noWrap/>
            <w:hideMark/>
          </w:tcPr>
          <w:p w14:paraId="17BD41B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27 395</w:t>
            </w:r>
          </w:p>
        </w:tc>
      </w:tr>
      <w:tr w:rsidR="005E41CA" w:rsidRPr="005E41CA" w14:paraId="084174B3" w14:textId="77777777" w:rsidTr="006261DB">
        <w:trPr>
          <w:trHeight w:val="283"/>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473EE855" w14:textId="77777777"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S130330</w:t>
            </w:r>
          </w:p>
        </w:tc>
        <w:tc>
          <w:tcPr>
            <w:tcW w:w="6600" w:type="dxa"/>
            <w:tcBorders>
              <w:top w:val="nil"/>
              <w:left w:val="nil"/>
              <w:bottom w:val="single" w:sz="8" w:space="0" w:color="auto"/>
              <w:right w:val="single" w:sz="8" w:space="0" w:color="auto"/>
            </w:tcBorders>
            <w:shd w:val="clear" w:color="000000" w:fill="DDEBF7"/>
            <w:noWrap/>
            <w:vAlign w:val="center"/>
            <w:hideMark/>
          </w:tcPr>
          <w:p w14:paraId="5363EAD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Pašvaldības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3B35B59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168345A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4513160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r>
      <w:tr w:rsidR="005E41CA" w:rsidRPr="005E41CA" w14:paraId="70C09F4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2269C3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56</w:t>
            </w:r>
          </w:p>
        </w:tc>
        <w:tc>
          <w:tcPr>
            <w:tcW w:w="6600" w:type="dxa"/>
            <w:tcBorders>
              <w:top w:val="nil"/>
              <w:left w:val="nil"/>
              <w:bottom w:val="single" w:sz="8" w:space="0" w:color="auto"/>
              <w:right w:val="single" w:sz="8" w:space="0" w:color="auto"/>
            </w:tcBorders>
            <w:shd w:val="clear" w:color="auto" w:fill="auto"/>
            <w:noWrap/>
            <w:hideMark/>
          </w:tcPr>
          <w:p w14:paraId="2E42E13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Aviasabiedrība</w:t>
            </w:r>
            <w:proofErr w:type="spellEnd"/>
            <w:r w:rsidRPr="005E41CA">
              <w:rPr>
                <w:rFonts w:eastAsia="Calibri" w:cs="Times New Roman"/>
                <w:sz w:val="18"/>
                <w:szCs w:val="18"/>
                <w:lang w:eastAsia="en-US"/>
              </w:rPr>
              <w:t xml:space="preserve"> "Liepāja""</w:t>
            </w:r>
          </w:p>
        </w:tc>
        <w:tc>
          <w:tcPr>
            <w:tcW w:w="2121" w:type="dxa"/>
            <w:tcBorders>
              <w:top w:val="nil"/>
              <w:left w:val="nil"/>
              <w:bottom w:val="single" w:sz="8" w:space="0" w:color="auto"/>
              <w:right w:val="single" w:sz="8" w:space="0" w:color="auto"/>
            </w:tcBorders>
            <w:shd w:val="clear" w:color="auto" w:fill="auto"/>
            <w:noWrap/>
            <w:hideMark/>
          </w:tcPr>
          <w:p w14:paraId="56C7A80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2 112 703</w:t>
            </w:r>
          </w:p>
        </w:tc>
        <w:tc>
          <w:tcPr>
            <w:tcW w:w="2121" w:type="dxa"/>
            <w:tcBorders>
              <w:top w:val="nil"/>
              <w:left w:val="nil"/>
              <w:bottom w:val="single" w:sz="8" w:space="0" w:color="auto"/>
              <w:right w:val="single" w:sz="8" w:space="0" w:color="auto"/>
            </w:tcBorders>
            <w:shd w:val="clear" w:color="auto" w:fill="auto"/>
            <w:noWrap/>
            <w:hideMark/>
          </w:tcPr>
          <w:p w14:paraId="4486816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1 830 175</w:t>
            </w:r>
          </w:p>
        </w:tc>
        <w:tc>
          <w:tcPr>
            <w:tcW w:w="2177" w:type="dxa"/>
            <w:tcBorders>
              <w:top w:val="nil"/>
              <w:left w:val="nil"/>
              <w:bottom w:val="single" w:sz="8" w:space="0" w:color="auto"/>
              <w:right w:val="single" w:sz="8" w:space="0" w:color="auto"/>
            </w:tcBorders>
            <w:shd w:val="clear" w:color="auto" w:fill="auto"/>
            <w:noWrap/>
            <w:hideMark/>
          </w:tcPr>
          <w:p w14:paraId="771EB98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282 528</w:t>
            </w:r>
          </w:p>
        </w:tc>
      </w:tr>
      <w:tr w:rsidR="005E41CA" w:rsidRPr="005E41CA" w14:paraId="29077D7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8AC216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57</w:t>
            </w:r>
          </w:p>
        </w:tc>
        <w:tc>
          <w:tcPr>
            <w:tcW w:w="6600" w:type="dxa"/>
            <w:tcBorders>
              <w:top w:val="nil"/>
              <w:left w:val="nil"/>
              <w:bottom w:val="single" w:sz="8" w:space="0" w:color="auto"/>
              <w:right w:val="single" w:sz="8" w:space="0" w:color="auto"/>
            </w:tcBorders>
            <w:shd w:val="clear" w:color="auto" w:fill="auto"/>
            <w:noWrap/>
            <w:hideMark/>
          </w:tcPr>
          <w:p w14:paraId="6E8AD49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Cēsu</w:t>
            </w:r>
            <w:proofErr w:type="spellEnd"/>
            <w:r w:rsidRPr="005E41CA">
              <w:rPr>
                <w:rFonts w:eastAsia="Calibri" w:cs="Times New Roman"/>
                <w:sz w:val="18"/>
                <w:szCs w:val="18"/>
                <w:lang w:eastAsia="en-US"/>
              </w:rPr>
              <w:t xml:space="preserve"> klīnika"</w:t>
            </w:r>
          </w:p>
        </w:tc>
        <w:tc>
          <w:tcPr>
            <w:tcW w:w="2121" w:type="dxa"/>
            <w:tcBorders>
              <w:top w:val="nil"/>
              <w:left w:val="nil"/>
              <w:bottom w:val="single" w:sz="8" w:space="0" w:color="auto"/>
              <w:right w:val="single" w:sz="8" w:space="0" w:color="auto"/>
            </w:tcBorders>
            <w:shd w:val="clear" w:color="auto" w:fill="auto"/>
            <w:noWrap/>
            <w:hideMark/>
          </w:tcPr>
          <w:p w14:paraId="5F0BADE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11 000 000</w:t>
            </w:r>
          </w:p>
        </w:tc>
        <w:tc>
          <w:tcPr>
            <w:tcW w:w="2121" w:type="dxa"/>
            <w:tcBorders>
              <w:top w:val="nil"/>
              <w:left w:val="nil"/>
              <w:bottom w:val="single" w:sz="8" w:space="0" w:color="auto"/>
              <w:right w:val="single" w:sz="8" w:space="0" w:color="auto"/>
            </w:tcBorders>
            <w:shd w:val="clear" w:color="auto" w:fill="auto"/>
            <w:noWrap/>
            <w:hideMark/>
          </w:tcPr>
          <w:p w14:paraId="5E1C591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11 805 500</w:t>
            </w:r>
          </w:p>
        </w:tc>
        <w:tc>
          <w:tcPr>
            <w:tcW w:w="2177" w:type="dxa"/>
            <w:tcBorders>
              <w:top w:val="nil"/>
              <w:left w:val="nil"/>
              <w:bottom w:val="single" w:sz="8" w:space="0" w:color="auto"/>
              <w:right w:val="single" w:sz="8" w:space="0" w:color="auto"/>
            </w:tcBorders>
            <w:shd w:val="clear" w:color="auto" w:fill="auto"/>
            <w:noWrap/>
            <w:hideMark/>
          </w:tcPr>
          <w:p w14:paraId="00932BE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-805 500</w:t>
            </w:r>
          </w:p>
        </w:tc>
      </w:tr>
      <w:tr w:rsidR="005E41CA" w:rsidRPr="005E41CA" w14:paraId="2BA45D3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1F64AAC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58</w:t>
            </w:r>
          </w:p>
        </w:tc>
        <w:tc>
          <w:tcPr>
            <w:tcW w:w="6600" w:type="dxa"/>
            <w:tcBorders>
              <w:top w:val="nil"/>
              <w:left w:val="nil"/>
              <w:bottom w:val="single" w:sz="8" w:space="0" w:color="auto"/>
              <w:right w:val="single" w:sz="8" w:space="0" w:color="auto"/>
            </w:tcBorders>
            <w:shd w:val="clear" w:color="auto" w:fill="auto"/>
            <w:noWrap/>
            <w:hideMark/>
          </w:tcPr>
          <w:p w14:paraId="73F76465"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"Daugavpils bērnu veselības centrs"</w:t>
            </w:r>
          </w:p>
        </w:tc>
        <w:tc>
          <w:tcPr>
            <w:tcW w:w="2121" w:type="dxa"/>
            <w:tcBorders>
              <w:top w:val="nil"/>
              <w:left w:val="nil"/>
              <w:bottom w:val="single" w:sz="8" w:space="0" w:color="auto"/>
              <w:right w:val="single" w:sz="8" w:space="0" w:color="auto"/>
            </w:tcBorders>
            <w:shd w:val="clear" w:color="auto" w:fill="auto"/>
            <w:noWrap/>
            <w:hideMark/>
          </w:tcPr>
          <w:p w14:paraId="74D37AA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2 499 430</w:t>
            </w:r>
          </w:p>
        </w:tc>
        <w:tc>
          <w:tcPr>
            <w:tcW w:w="2121" w:type="dxa"/>
            <w:tcBorders>
              <w:top w:val="nil"/>
              <w:left w:val="nil"/>
              <w:bottom w:val="single" w:sz="8" w:space="0" w:color="auto"/>
              <w:right w:val="single" w:sz="8" w:space="0" w:color="auto"/>
            </w:tcBorders>
            <w:shd w:val="clear" w:color="auto" w:fill="auto"/>
            <w:noWrap/>
            <w:hideMark/>
          </w:tcPr>
          <w:p w14:paraId="70162A5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2 536 740</w:t>
            </w:r>
          </w:p>
        </w:tc>
        <w:tc>
          <w:tcPr>
            <w:tcW w:w="2177" w:type="dxa"/>
            <w:tcBorders>
              <w:top w:val="nil"/>
              <w:left w:val="nil"/>
              <w:bottom w:val="single" w:sz="8" w:space="0" w:color="auto"/>
              <w:right w:val="single" w:sz="8" w:space="0" w:color="auto"/>
            </w:tcBorders>
            <w:shd w:val="clear" w:color="auto" w:fill="auto"/>
            <w:noWrap/>
            <w:hideMark/>
          </w:tcPr>
          <w:p w14:paraId="1D644B2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-37 310</w:t>
            </w:r>
          </w:p>
        </w:tc>
      </w:tr>
      <w:tr w:rsidR="005E41CA" w:rsidRPr="005E41CA" w14:paraId="352F88DA"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5B9870A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59</w:t>
            </w:r>
          </w:p>
        </w:tc>
        <w:tc>
          <w:tcPr>
            <w:tcW w:w="6600" w:type="dxa"/>
            <w:tcBorders>
              <w:top w:val="nil"/>
              <w:left w:val="nil"/>
              <w:bottom w:val="single" w:sz="8" w:space="0" w:color="auto"/>
              <w:right w:val="single" w:sz="8" w:space="0" w:color="auto"/>
            </w:tcBorders>
            <w:shd w:val="clear" w:color="auto" w:fill="auto"/>
            <w:noWrap/>
            <w:hideMark/>
          </w:tcPr>
          <w:p w14:paraId="02268B91"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"Daugavpils reģionālā slimnīca"</w:t>
            </w:r>
          </w:p>
        </w:tc>
        <w:tc>
          <w:tcPr>
            <w:tcW w:w="2121" w:type="dxa"/>
            <w:tcBorders>
              <w:top w:val="nil"/>
              <w:left w:val="nil"/>
              <w:bottom w:val="single" w:sz="8" w:space="0" w:color="auto"/>
              <w:right w:val="single" w:sz="8" w:space="0" w:color="auto"/>
            </w:tcBorders>
            <w:shd w:val="clear" w:color="auto" w:fill="auto"/>
            <w:noWrap/>
            <w:hideMark/>
          </w:tcPr>
          <w:p w14:paraId="1BC4E57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60 894 630</w:t>
            </w:r>
          </w:p>
        </w:tc>
        <w:tc>
          <w:tcPr>
            <w:tcW w:w="2121" w:type="dxa"/>
            <w:tcBorders>
              <w:top w:val="nil"/>
              <w:left w:val="nil"/>
              <w:bottom w:val="single" w:sz="8" w:space="0" w:color="auto"/>
              <w:right w:val="single" w:sz="8" w:space="0" w:color="auto"/>
            </w:tcBorders>
            <w:shd w:val="clear" w:color="auto" w:fill="auto"/>
            <w:noWrap/>
            <w:hideMark/>
          </w:tcPr>
          <w:p w14:paraId="6BA2B02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60 287 463</w:t>
            </w:r>
          </w:p>
        </w:tc>
        <w:tc>
          <w:tcPr>
            <w:tcW w:w="2177" w:type="dxa"/>
            <w:tcBorders>
              <w:top w:val="nil"/>
              <w:left w:val="nil"/>
              <w:bottom w:val="single" w:sz="8" w:space="0" w:color="auto"/>
              <w:right w:val="single" w:sz="8" w:space="0" w:color="auto"/>
            </w:tcBorders>
            <w:shd w:val="clear" w:color="auto" w:fill="auto"/>
            <w:noWrap/>
            <w:hideMark/>
          </w:tcPr>
          <w:p w14:paraId="5B4D07C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607 167</w:t>
            </w:r>
          </w:p>
        </w:tc>
      </w:tr>
      <w:tr w:rsidR="005E41CA" w:rsidRPr="005E41CA" w14:paraId="7BC0738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7BA1D1D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60</w:t>
            </w:r>
          </w:p>
        </w:tc>
        <w:tc>
          <w:tcPr>
            <w:tcW w:w="6600" w:type="dxa"/>
            <w:tcBorders>
              <w:top w:val="nil"/>
              <w:left w:val="nil"/>
              <w:bottom w:val="single" w:sz="8" w:space="0" w:color="auto"/>
              <w:right w:val="single" w:sz="8" w:space="0" w:color="auto"/>
            </w:tcBorders>
            <w:shd w:val="clear" w:color="auto" w:fill="auto"/>
            <w:noWrap/>
            <w:hideMark/>
          </w:tcPr>
          <w:p w14:paraId="09FBD2E4"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AS "Daugavpils satiksme"</w:t>
            </w:r>
          </w:p>
        </w:tc>
        <w:tc>
          <w:tcPr>
            <w:tcW w:w="2121" w:type="dxa"/>
            <w:tcBorders>
              <w:top w:val="nil"/>
              <w:left w:val="nil"/>
              <w:bottom w:val="single" w:sz="8" w:space="0" w:color="auto"/>
              <w:right w:val="single" w:sz="8" w:space="0" w:color="auto"/>
            </w:tcBorders>
            <w:shd w:val="clear" w:color="auto" w:fill="auto"/>
            <w:noWrap/>
            <w:hideMark/>
          </w:tcPr>
          <w:p w14:paraId="1CD627B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12 456 939</w:t>
            </w:r>
          </w:p>
        </w:tc>
        <w:tc>
          <w:tcPr>
            <w:tcW w:w="2121" w:type="dxa"/>
            <w:tcBorders>
              <w:top w:val="nil"/>
              <w:left w:val="nil"/>
              <w:bottom w:val="single" w:sz="8" w:space="0" w:color="auto"/>
              <w:right w:val="single" w:sz="8" w:space="0" w:color="auto"/>
            </w:tcBorders>
            <w:shd w:val="clear" w:color="auto" w:fill="auto"/>
            <w:noWrap/>
            <w:hideMark/>
          </w:tcPr>
          <w:p w14:paraId="5EBE0B0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11 888 112</w:t>
            </w:r>
          </w:p>
        </w:tc>
        <w:tc>
          <w:tcPr>
            <w:tcW w:w="2177" w:type="dxa"/>
            <w:tcBorders>
              <w:top w:val="nil"/>
              <w:left w:val="nil"/>
              <w:bottom w:val="single" w:sz="8" w:space="0" w:color="auto"/>
              <w:right w:val="single" w:sz="8" w:space="0" w:color="auto"/>
            </w:tcBorders>
            <w:shd w:val="clear" w:color="auto" w:fill="auto"/>
            <w:noWrap/>
            <w:hideMark/>
          </w:tcPr>
          <w:p w14:paraId="3BBA78F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568 827</w:t>
            </w:r>
          </w:p>
        </w:tc>
      </w:tr>
      <w:tr w:rsidR="005E41CA" w:rsidRPr="005E41CA" w14:paraId="263AC65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11BDD6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61</w:t>
            </w:r>
          </w:p>
        </w:tc>
        <w:tc>
          <w:tcPr>
            <w:tcW w:w="6600" w:type="dxa"/>
            <w:tcBorders>
              <w:top w:val="nil"/>
              <w:left w:val="nil"/>
              <w:bottom w:val="single" w:sz="8" w:space="0" w:color="auto"/>
              <w:right w:val="single" w:sz="8" w:space="0" w:color="auto"/>
            </w:tcBorders>
            <w:shd w:val="clear" w:color="auto" w:fill="auto"/>
            <w:noWrap/>
            <w:hideMark/>
          </w:tcPr>
          <w:p w14:paraId="450A760A"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"Dobeles un apkārtnes slimnīca"</w:t>
            </w:r>
          </w:p>
        </w:tc>
        <w:tc>
          <w:tcPr>
            <w:tcW w:w="2121" w:type="dxa"/>
            <w:tcBorders>
              <w:top w:val="nil"/>
              <w:left w:val="nil"/>
              <w:bottom w:val="single" w:sz="8" w:space="0" w:color="auto"/>
              <w:right w:val="single" w:sz="8" w:space="0" w:color="auto"/>
            </w:tcBorders>
            <w:shd w:val="clear" w:color="auto" w:fill="auto"/>
            <w:noWrap/>
            <w:hideMark/>
          </w:tcPr>
          <w:p w14:paraId="3D5F368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7 589 716</w:t>
            </w:r>
          </w:p>
        </w:tc>
        <w:tc>
          <w:tcPr>
            <w:tcW w:w="2121" w:type="dxa"/>
            <w:tcBorders>
              <w:top w:val="nil"/>
              <w:left w:val="nil"/>
              <w:bottom w:val="single" w:sz="8" w:space="0" w:color="auto"/>
              <w:right w:val="single" w:sz="8" w:space="0" w:color="auto"/>
            </w:tcBorders>
            <w:shd w:val="clear" w:color="auto" w:fill="auto"/>
            <w:noWrap/>
            <w:hideMark/>
          </w:tcPr>
          <w:p w14:paraId="08BA905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7 537 125</w:t>
            </w:r>
          </w:p>
        </w:tc>
        <w:tc>
          <w:tcPr>
            <w:tcW w:w="2177" w:type="dxa"/>
            <w:tcBorders>
              <w:top w:val="nil"/>
              <w:left w:val="nil"/>
              <w:bottom w:val="single" w:sz="8" w:space="0" w:color="auto"/>
              <w:right w:val="single" w:sz="8" w:space="0" w:color="auto"/>
            </w:tcBorders>
            <w:shd w:val="clear" w:color="auto" w:fill="auto"/>
            <w:noWrap/>
            <w:hideMark/>
          </w:tcPr>
          <w:p w14:paraId="783F0F4C"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52 591</w:t>
            </w:r>
          </w:p>
        </w:tc>
      </w:tr>
      <w:tr w:rsidR="005E41CA" w:rsidRPr="005E41CA" w14:paraId="12BC237D"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37D757C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62</w:t>
            </w:r>
          </w:p>
        </w:tc>
        <w:tc>
          <w:tcPr>
            <w:tcW w:w="6600" w:type="dxa"/>
            <w:tcBorders>
              <w:top w:val="nil"/>
              <w:left w:val="nil"/>
              <w:bottom w:val="single" w:sz="8" w:space="0" w:color="auto"/>
              <w:right w:val="single" w:sz="8" w:space="0" w:color="auto"/>
            </w:tcBorders>
            <w:shd w:val="clear" w:color="auto" w:fill="auto"/>
            <w:noWrap/>
            <w:hideMark/>
          </w:tcPr>
          <w:p w14:paraId="5B4EA61C"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"Jelgavas pilsētas slimnīca"</w:t>
            </w:r>
          </w:p>
        </w:tc>
        <w:tc>
          <w:tcPr>
            <w:tcW w:w="2121" w:type="dxa"/>
            <w:tcBorders>
              <w:top w:val="nil"/>
              <w:left w:val="nil"/>
              <w:bottom w:val="single" w:sz="8" w:space="0" w:color="auto"/>
              <w:right w:val="single" w:sz="8" w:space="0" w:color="auto"/>
            </w:tcBorders>
            <w:shd w:val="clear" w:color="auto" w:fill="auto"/>
            <w:noWrap/>
            <w:hideMark/>
          </w:tcPr>
          <w:p w14:paraId="73476AF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17 084 635</w:t>
            </w:r>
          </w:p>
        </w:tc>
        <w:tc>
          <w:tcPr>
            <w:tcW w:w="2121" w:type="dxa"/>
            <w:tcBorders>
              <w:top w:val="nil"/>
              <w:left w:val="nil"/>
              <w:bottom w:val="single" w:sz="8" w:space="0" w:color="auto"/>
              <w:right w:val="single" w:sz="8" w:space="0" w:color="auto"/>
            </w:tcBorders>
            <w:shd w:val="clear" w:color="auto" w:fill="auto"/>
            <w:noWrap/>
            <w:hideMark/>
          </w:tcPr>
          <w:p w14:paraId="15DE998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15 821 356</w:t>
            </w:r>
          </w:p>
        </w:tc>
        <w:tc>
          <w:tcPr>
            <w:tcW w:w="2177" w:type="dxa"/>
            <w:tcBorders>
              <w:top w:val="nil"/>
              <w:left w:val="nil"/>
              <w:bottom w:val="single" w:sz="8" w:space="0" w:color="auto"/>
              <w:right w:val="single" w:sz="8" w:space="0" w:color="auto"/>
            </w:tcBorders>
            <w:shd w:val="clear" w:color="auto" w:fill="auto"/>
            <w:noWrap/>
            <w:hideMark/>
          </w:tcPr>
          <w:p w14:paraId="17B4EB8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1 263 279</w:t>
            </w:r>
          </w:p>
        </w:tc>
      </w:tr>
      <w:tr w:rsidR="005E41CA" w:rsidRPr="005E41CA" w14:paraId="08D2939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56AA218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63</w:t>
            </w:r>
          </w:p>
        </w:tc>
        <w:tc>
          <w:tcPr>
            <w:tcW w:w="6600" w:type="dxa"/>
            <w:tcBorders>
              <w:top w:val="nil"/>
              <w:left w:val="nil"/>
              <w:bottom w:val="single" w:sz="8" w:space="0" w:color="auto"/>
              <w:right w:val="single" w:sz="8" w:space="0" w:color="auto"/>
            </w:tcBorders>
            <w:shd w:val="clear" w:color="auto" w:fill="auto"/>
            <w:noWrap/>
            <w:hideMark/>
          </w:tcPr>
          <w:p w14:paraId="57D58EA3"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"Jēkabpils reģionālā slimnīca"</w:t>
            </w:r>
          </w:p>
        </w:tc>
        <w:tc>
          <w:tcPr>
            <w:tcW w:w="2121" w:type="dxa"/>
            <w:tcBorders>
              <w:top w:val="nil"/>
              <w:left w:val="nil"/>
              <w:bottom w:val="single" w:sz="8" w:space="0" w:color="auto"/>
              <w:right w:val="single" w:sz="8" w:space="0" w:color="auto"/>
            </w:tcBorders>
            <w:shd w:val="clear" w:color="auto" w:fill="auto"/>
            <w:noWrap/>
            <w:hideMark/>
          </w:tcPr>
          <w:p w14:paraId="36CDE57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19 500 000</w:t>
            </w:r>
          </w:p>
        </w:tc>
        <w:tc>
          <w:tcPr>
            <w:tcW w:w="2121" w:type="dxa"/>
            <w:tcBorders>
              <w:top w:val="nil"/>
              <w:left w:val="nil"/>
              <w:bottom w:val="single" w:sz="8" w:space="0" w:color="auto"/>
              <w:right w:val="single" w:sz="8" w:space="0" w:color="auto"/>
            </w:tcBorders>
            <w:shd w:val="clear" w:color="auto" w:fill="auto"/>
            <w:noWrap/>
            <w:hideMark/>
          </w:tcPr>
          <w:p w14:paraId="13E8254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19 201 000</w:t>
            </w:r>
          </w:p>
        </w:tc>
        <w:tc>
          <w:tcPr>
            <w:tcW w:w="2177" w:type="dxa"/>
            <w:tcBorders>
              <w:top w:val="nil"/>
              <w:left w:val="nil"/>
              <w:bottom w:val="single" w:sz="8" w:space="0" w:color="auto"/>
              <w:right w:val="single" w:sz="8" w:space="0" w:color="auto"/>
            </w:tcBorders>
            <w:shd w:val="clear" w:color="auto" w:fill="auto"/>
            <w:noWrap/>
            <w:hideMark/>
          </w:tcPr>
          <w:p w14:paraId="4BEAC69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299 000</w:t>
            </w:r>
          </w:p>
        </w:tc>
      </w:tr>
      <w:tr w:rsidR="005E41CA" w:rsidRPr="005E41CA" w14:paraId="442709D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1174A27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64</w:t>
            </w:r>
          </w:p>
        </w:tc>
        <w:tc>
          <w:tcPr>
            <w:tcW w:w="6600" w:type="dxa"/>
            <w:tcBorders>
              <w:top w:val="nil"/>
              <w:left w:val="nil"/>
              <w:bottom w:val="single" w:sz="8" w:space="0" w:color="auto"/>
              <w:right w:val="single" w:sz="8" w:space="0" w:color="auto"/>
            </w:tcBorders>
            <w:shd w:val="clear" w:color="auto" w:fill="auto"/>
            <w:noWrap/>
            <w:hideMark/>
          </w:tcPr>
          <w:p w14:paraId="4289287D"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"Jūrmalas slimnīca"</w:t>
            </w:r>
          </w:p>
        </w:tc>
        <w:tc>
          <w:tcPr>
            <w:tcW w:w="2121" w:type="dxa"/>
            <w:tcBorders>
              <w:top w:val="nil"/>
              <w:left w:val="nil"/>
              <w:bottom w:val="single" w:sz="8" w:space="0" w:color="auto"/>
              <w:right w:val="single" w:sz="8" w:space="0" w:color="auto"/>
            </w:tcBorders>
            <w:shd w:val="clear" w:color="auto" w:fill="auto"/>
            <w:noWrap/>
            <w:hideMark/>
          </w:tcPr>
          <w:p w14:paraId="22E30FE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11 747 155</w:t>
            </w:r>
          </w:p>
        </w:tc>
        <w:tc>
          <w:tcPr>
            <w:tcW w:w="2121" w:type="dxa"/>
            <w:tcBorders>
              <w:top w:val="nil"/>
              <w:left w:val="nil"/>
              <w:bottom w:val="single" w:sz="8" w:space="0" w:color="auto"/>
              <w:right w:val="single" w:sz="8" w:space="0" w:color="auto"/>
            </w:tcBorders>
            <w:shd w:val="clear" w:color="auto" w:fill="auto"/>
            <w:noWrap/>
            <w:hideMark/>
          </w:tcPr>
          <w:p w14:paraId="7BE648F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11 491 739</w:t>
            </w:r>
          </w:p>
        </w:tc>
        <w:tc>
          <w:tcPr>
            <w:tcW w:w="2177" w:type="dxa"/>
            <w:tcBorders>
              <w:top w:val="nil"/>
              <w:left w:val="nil"/>
              <w:bottom w:val="single" w:sz="8" w:space="0" w:color="auto"/>
              <w:right w:val="single" w:sz="8" w:space="0" w:color="auto"/>
            </w:tcBorders>
            <w:shd w:val="clear" w:color="auto" w:fill="auto"/>
            <w:noWrap/>
            <w:hideMark/>
          </w:tcPr>
          <w:p w14:paraId="4C89239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255 416</w:t>
            </w:r>
          </w:p>
        </w:tc>
      </w:tr>
      <w:tr w:rsidR="005E41CA" w:rsidRPr="005E41CA" w14:paraId="0E623077"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8B1102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65</w:t>
            </w:r>
          </w:p>
        </w:tc>
        <w:tc>
          <w:tcPr>
            <w:tcW w:w="6600" w:type="dxa"/>
            <w:tcBorders>
              <w:top w:val="nil"/>
              <w:left w:val="nil"/>
              <w:bottom w:val="single" w:sz="8" w:space="0" w:color="auto"/>
              <w:right w:val="single" w:sz="8" w:space="0" w:color="auto"/>
            </w:tcBorders>
            <w:shd w:val="clear" w:color="auto" w:fill="auto"/>
            <w:noWrap/>
            <w:hideMark/>
          </w:tcPr>
          <w:p w14:paraId="2BC4EDCD"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"Kuldīgas slimnīca"</w:t>
            </w:r>
          </w:p>
        </w:tc>
        <w:tc>
          <w:tcPr>
            <w:tcW w:w="2121" w:type="dxa"/>
            <w:tcBorders>
              <w:top w:val="nil"/>
              <w:left w:val="nil"/>
              <w:bottom w:val="single" w:sz="8" w:space="0" w:color="auto"/>
              <w:right w:val="single" w:sz="8" w:space="0" w:color="auto"/>
            </w:tcBorders>
            <w:shd w:val="clear" w:color="auto" w:fill="auto"/>
            <w:noWrap/>
            <w:hideMark/>
          </w:tcPr>
          <w:p w14:paraId="3CE3983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13 656 755</w:t>
            </w:r>
          </w:p>
        </w:tc>
        <w:tc>
          <w:tcPr>
            <w:tcW w:w="2121" w:type="dxa"/>
            <w:tcBorders>
              <w:top w:val="nil"/>
              <w:left w:val="nil"/>
              <w:bottom w:val="single" w:sz="8" w:space="0" w:color="auto"/>
              <w:right w:val="single" w:sz="8" w:space="0" w:color="auto"/>
            </w:tcBorders>
            <w:shd w:val="clear" w:color="auto" w:fill="auto"/>
            <w:noWrap/>
            <w:hideMark/>
          </w:tcPr>
          <w:p w14:paraId="0252EEB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13 652 065</w:t>
            </w:r>
          </w:p>
        </w:tc>
        <w:tc>
          <w:tcPr>
            <w:tcW w:w="2177" w:type="dxa"/>
            <w:tcBorders>
              <w:top w:val="nil"/>
              <w:left w:val="nil"/>
              <w:bottom w:val="single" w:sz="8" w:space="0" w:color="auto"/>
              <w:right w:val="single" w:sz="8" w:space="0" w:color="auto"/>
            </w:tcBorders>
            <w:shd w:val="clear" w:color="auto" w:fill="auto"/>
            <w:noWrap/>
            <w:hideMark/>
          </w:tcPr>
          <w:p w14:paraId="429CA49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4 690</w:t>
            </w:r>
          </w:p>
        </w:tc>
      </w:tr>
      <w:tr w:rsidR="005E41CA" w:rsidRPr="005E41CA" w14:paraId="5A2209C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67E9EAE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66</w:t>
            </w:r>
          </w:p>
        </w:tc>
        <w:tc>
          <w:tcPr>
            <w:tcW w:w="6600" w:type="dxa"/>
            <w:tcBorders>
              <w:top w:val="nil"/>
              <w:left w:val="nil"/>
              <w:bottom w:val="single" w:sz="8" w:space="0" w:color="auto"/>
              <w:right w:val="single" w:sz="8" w:space="0" w:color="auto"/>
            </w:tcBorders>
            <w:shd w:val="clear" w:color="auto" w:fill="auto"/>
            <w:noWrap/>
            <w:hideMark/>
          </w:tcPr>
          <w:p w14:paraId="13E6213A"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"Liepājas reģionālā slimnīca"</w:t>
            </w:r>
          </w:p>
        </w:tc>
        <w:tc>
          <w:tcPr>
            <w:tcW w:w="2121" w:type="dxa"/>
            <w:tcBorders>
              <w:top w:val="nil"/>
              <w:left w:val="nil"/>
              <w:bottom w:val="single" w:sz="8" w:space="0" w:color="auto"/>
              <w:right w:val="single" w:sz="8" w:space="0" w:color="auto"/>
            </w:tcBorders>
            <w:shd w:val="clear" w:color="auto" w:fill="auto"/>
            <w:noWrap/>
            <w:hideMark/>
          </w:tcPr>
          <w:p w14:paraId="7E95581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31 890 684</w:t>
            </w:r>
          </w:p>
        </w:tc>
        <w:tc>
          <w:tcPr>
            <w:tcW w:w="2121" w:type="dxa"/>
            <w:tcBorders>
              <w:top w:val="nil"/>
              <w:left w:val="nil"/>
              <w:bottom w:val="single" w:sz="8" w:space="0" w:color="auto"/>
              <w:right w:val="single" w:sz="8" w:space="0" w:color="auto"/>
            </w:tcBorders>
            <w:shd w:val="clear" w:color="auto" w:fill="auto"/>
            <w:noWrap/>
            <w:hideMark/>
          </w:tcPr>
          <w:p w14:paraId="4261D9D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29 836 077</w:t>
            </w:r>
          </w:p>
        </w:tc>
        <w:tc>
          <w:tcPr>
            <w:tcW w:w="2177" w:type="dxa"/>
            <w:tcBorders>
              <w:top w:val="nil"/>
              <w:left w:val="nil"/>
              <w:bottom w:val="single" w:sz="8" w:space="0" w:color="auto"/>
              <w:right w:val="single" w:sz="8" w:space="0" w:color="auto"/>
            </w:tcBorders>
            <w:shd w:val="clear" w:color="auto" w:fill="auto"/>
            <w:noWrap/>
            <w:hideMark/>
          </w:tcPr>
          <w:p w14:paraId="3EEE619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2 054 607</w:t>
            </w:r>
          </w:p>
        </w:tc>
      </w:tr>
      <w:tr w:rsidR="005E41CA" w:rsidRPr="005E41CA" w14:paraId="7D15DC0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66DE458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67</w:t>
            </w:r>
          </w:p>
        </w:tc>
        <w:tc>
          <w:tcPr>
            <w:tcW w:w="6600" w:type="dxa"/>
            <w:tcBorders>
              <w:top w:val="nil"/>
              <w:left w:val="nil"/>
              <w:bottom w:val="single" w:sz="8" w:space="0" w:color="auto"/>
              <w:right w:val="single" w:sz="8" w:space="0" w:color="auto"/>
            </w:tcBorders>
            <w:shd w:val="clear" w:color="auto" w:fill="auto"/>
            <w:noWrap/>
            <w:hideMark/>
          </w:tcPr>
          <w:p w14:paraId="781D2566"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"Liepājas tramvajs"</w:t>
            </w:r>
          </w:p>
        </w:tc>
        <w:tc>
          <w:tcPr>
            <w:tcW w:w="2121" w:type="dxa"/>
            <w:tcBorders>
              <w:top w:val="nil"/>
              <w:left w:val="nil"/>
              <w:bottom w:val="single" w:sz="8" w:space="0" w:color="auto"/>
              <w:right w:val="single" w:sz="8" w:space="0" w:color="auto"/>
            </w:tcBorders>
            <w:shd w:val="clear" w:color="auto" w:fill="auto"/>
            <w:noWrap/>
            <w:hideMark/>
          </w:tcPr>
          <w:p w14:paraId="1130BB7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3 002 324</w:t>
            </w:r>
          </w:p>
        </w:tc>
        <w:tc>
          <w:tcPr>
            <w:tcW w:w="2121" w:type="dxa"/>
            <w:tcBorders>
              <w:top w:val="nil"/>
              <w:left w:val="nil"/>
              <w:bottom w:val="single" w:sz="8" w:space="0" w:color="auto"/>
              <w:right w:val="single" w:sz="8" w:space="0" w:color="auto"/>
            </w:tcBorders>
            <w:shd w:val="clear" w:color="auto" w:fill="auto"/>
            <w:noWrap/>
            <w:hideMark/>
          </w:tcPr>
          <w:p w14:paraId="159445A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3 325 743</w:t>
            </w:r>
          </w:p>
        </w:tc>
        <w:tc>
          <w:tcPr>
            <w:tcW w:w="2177" w:type="dxa"/>
            <w:tcBorders>
              <w:top w:val="nil"/>
              <w:left w:val="nil"/>
              <w:bottom w:val="single" w:sz="8" w:space="0" w:color="auto"/>
              <w:right w:val="single" w:sz="8" w:space="0" w:color="auto"/>
            </w:tcBorders>
            <w:shd w:val="clear" w:color="auto" w:fill="auto"/>
            <w:noWrap/>
            <w:hideMark/>
          </w:tcPr>
          <w:p w14:paraId="744102D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-323 419</w:t>
            </w:r>
          </w:p>
        </w:tc>
      </w:tr>
      <w:tr w:rsidR="005E41CA" w:rsidRPr="005E41CA" w14:paraId="0AF73E9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4AA6B2C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68</w:t>
            </w:r>
          </w:p>
        </w:tc>
        <w:tc>
          <w:tcPr>
            <w:tcW w:w="6600" w:type="dxa"/>
            <w:tcBorders>
              <w:top w:val="nil"/>
              <w:left w:val="nil"/>
              <w:bottom w:val="single" w:sz="8" w:space="0" w:color="auto"/>
              <w:right w:val="single" w:sz="8" w:space="0" w:color="auto"/>
            </w:tcBorders>
            <w:shd w:val="clear" w:color="auto" w:fill="auto"/>
            <w:noWrap/>
            <w:hideMark/>
          </w:tcPr>
          <w:p w14:paraId="7824C1EC"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"Madonas slimnīca"</w:t>
            </w:r>
          </w:p>
        </w:tc>
        <w:tc>
          <w:tcPr>
            <w:tcW w:w="2121" w:type="dxa"/>
            <w:tcBorders>
              <w:top w:val="nil"/>
              <w:left w:val="nil"/>
              <w:bottom w:val="single" w:sz="8" w:space="0" w:color="auto"/>
              <w:right w:val="single" w:sz="8" w:space="0" w:color="auto"/>
            </w:tcBorders>
            <w:shd w:val="clear" w:color="auto" w:fill="auto"/>
            <w:noWrap/>
            <w:hideMark/>
          </w:tcPr>
          <w:p w14:paraId="353067D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14 700 000</w:t>
            </w:r>
          </w:p>
        </w:tc>
        <w:tc>
          <w:tcPr>
            <w:tcW w:w="2121" w:type="dxa"/>
            <w:tcBorders>
              <w:top w:val="nil"/>
              <w:left w:val="nil"/>
              <w:bottom w:val="single" w:sz="8" w:space="0" w:color="auto"/>
              <w:right w:val="single" w:sz="8" w:space="0" w:color="auto"/>
            </w:tcBorders>
            <w:shd w:val="clear" w:color="auto" w:fill="auto"/>
            <w:noWrap/>
            <w:hideMark/>
          </w:tcPr>
          <w:p w14:paraId="1D0C1BD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14 256 000</w:t>
            </w:r>
          </w:p>
        </w:tc>
        <w:tc>
          <w:tcPr>
            <w:tcW w:w="2177" w:type="dxa"/>
            <w:tcBorders>
              <w:top w:val="nil"/>
              <w:left w:val="nil"/>
              <w:bottom w:val="single" w:sz="8" w:space="0" w:color="auto"/>
              <w:right w:val="single" w:sz="8" w:space="0" w:color="auto"/>
            </w:tcBorders>
            <w:shd w:val="clear" w:color="auto" w:fill="auto"/>
            <w:noWrap/>
            <w:hideMark/>
          </w:tcPr>
          <w:p w14:paraId="7494C93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444 000</w:t>
            </w:r>
          </w:p>
        </w:tc>
      </w:tr>
      <w:tr w:rsidR="005E41CA" w:rsidRPr="005E41CA" w14:paraId="6C8E718A"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4A28B59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69</w:t>
            </w:r>
          </w:p>
        </w:tc>
        <w:tc>
          <w:tcPr>
            <w:tcW w:w="6600" w:type="dxa"/>
            <w:tcBorders>
              <w:top w:val="nil"/>
              <w:left w:val="nil"/>
              <w:bottom w:val="single" w:sz="8" w:space="0" w:color="auto"/>
              <w:right w:val="single" w:sz="8" w:space="0" w:color="auto"/>
            </w:tcBorders>
            <w:shd w:val="clear" w:color="auto" w:fill="auto"/>
            <w:noWrap/>
            <w:hideMark/>
          </w:tcPr>
          <w:p w14:paraId="16CC3FEC"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"Ogres rajona slimnīca"</w:t>
            </w:r>
          </w:p>
        </w:tc>
        <w:tc>
          <w:tcPr>
            <w:tcW w:w="2121" w:type="dxa"/>
            <w:tcBorders>
              <w:top w:val="nil"/>
              <w:left w:val="nil"/>
              <w:bottom w:val="single" w:sz="8" w:space="0" w:color="auto"/>
              <w:right w:val="single" w:sz="8" w:space="0" w:color="auto"/>
            </w:tcBorders>
            <w:shd w:val="clear" w:color="auto" w:fill="auto"/>
            <w:noWrap/>
            <w:hideMark/>
          </w:tcPr>
          <w:p w14:paraId="34BD0C3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16 732 874</w:t>
            </w:r>
          </w:p>
        </w:tc>
        <w:tc>
          <w:tcPr>
            <w:tcW w:w="2121" w:type="dxa"/>
            <w:tcBorders>
              <w:top w:val="nil"/>
              <w:left w:val="nil"/>
              <w:bottom w:val="single" w:sz="8" w:space="0" w:color="auto"/>
              <w:right w:val="single" w:sz="8" w:space="0" w:color="auto"/>
            </w:tcBorders>
            <w:shd w:val="clear" w:color="auto" w:fill="auto"/>
            <w:noWrap/>
            <w:hideMark/>
          </w:tcPr>
          <w:p w14:paraId="538963E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17 053 874</w:t>
            </w:r>
          </w:p>
        </w:tc>
        <w:tc>
          <w:tcPr>
            <w:tcW w:w="2177" w:type="dxa"/>
            <w:tcBorders>
              <w:top w:val="nil"/>
              <w:left w:val="nil"/>
              <w:bottom w:val="single" w:sz="8" w:space="0" w:color="auto"/>
              <w:right w:val="single" w:sz="8" w:space="0" w:color="auto"/>
            </w:tcBorders>
            <w:shd w:val="clear" w:color="auto" w:fill="auto"/>
            <w:noWrap/>
            <w:hideMark/>
          </w:tcPr>
          <w:p w14:paraId="58CA864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-321 000</w:t>
            </w:r>
          </w:p>
        </w:tc>
      </w:tr>
      <w:tr w:rsidR="005E41CA" w:rsidRPr="005E41CA" w14:paraId="2594128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FA69ED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70</w:t>
            </w:r>
          </w:p>
        </w:tc>
        <w:tc>
          <w:tcPr>
            <w:tcW w:w="6600" w:type="dxa"/>
            <w:tcBorders>
              <w:top w:val="nil"/>
              <w:left w:val="nil"/>
              <w:bottom w:val="single" w:sz="8" w:space="0" w:color="auto"/>
              <w:right w:val="single" w:sz="8" w:space="0" w:color="auto"/>
            </w:tcBorders>
            <w:shd w:val="clear" w:color="auto" w:fill="auto"/>
            <w:noWrap/>
            <w:hideMark/>
          </w:tcPr>
          <w:p w14:paraId="26295522"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"Rēzeknes Satiksme"</w:t>
            </w:r>
          </w:p>
        </w:tc>
        <w:tc>
          <w:tcPr>
            <w:tcW w:w="2121" w:type="dxa"/>
            <w:tcBorders>
              <w:top w:val="nil"/>
              <w:left w:val="nil"/>
              <w:bottom w:val="single" w:sz="8" w:space="0" w:color="auto"/>
              <w:right w:val="single" w:sz="8" w:space="0" w:color="auto"/>
            </w:tcBorders>
            <w:shd w:val="clear" w:color="auto" w:fill="auto"/>
            <w:noWrap/>
            <w:hideMark/>
          </w:tcPr>
          <w:p w14:paraId="1AB3D2D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2 818 398</w:t>
            </w:r>
          </w:p>
        </w:tc>
        <w:tc>
          <w:tcPr>
            <w:tcW w:w="2121" w:type="dxa"/>
            <w:tcBorders>
              <w:top w:val="nil"/>
              <w:left w:val="nil"/>
              <w:bottom w:val="single" w:sz="8" w:space="0" w:color="auto"/>
              <w:right w:val="single" w:sz="8" w:space="0" w:color="auto"/>
            </w:tcBorders>
            <w:shd w:val="clear" w:color="auto" w:fill="auto"/>
            <w:noWrap/>
            <w:hideMark/>
          </w:tcPr>
          <w:p w14:paraId="7FAB711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2 373 534</w:t>
            </w:r>
          </w:p>
        </w:tc>
        <w:tc>
          <w:tcPr>
            <w:tcW w:w="2177" w:type="dxa"/>
            <w:tcBorders>
              <w:top w:val="nil"/>
              <w:left w:val="nil"/>
              <w:bottom w:val="single" w:sz="8" w:space="0" w:color="auto"/>
              <w:right w:val="single" w:sz="8" w:space="0" w:color="auto"/>
            </w:tcBorders>
            <w:shd w:val="clear" w:color="auto" w:fill="auto"/>
            <w:noWrap/>
            <w:hideMark/>
          </w:tcPr>
          <w:p w14:paraId="6F1F79E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444 864</w:t>
            </w:r>
          </w:p>
        </w:tc>
      </w:tr>
      <w:tr w:rsidR="005E41CA" w:rsidRPr="005E41CA" w14:paraId="7347D02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3C983BE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71</w:t>
            </w:r>
          </w:p>
        </w:tc>
        <w:tc>
          <w:tcPr>
            <w:tcW w:w="6600" w:type="dxa"/>
            <w:tcBorders>
              <w:top w:val="nil"/>
              <w:left w:val="nil"/>
              <w:bottom w:val="single" w:sz="8" w:space="0" w:color="auto"/>
              <w:right w:val="single" w:sz="8" w:space="0" w:color="auto"/>
            </w:tcBorders>
            <w:shd w:val="clear" w:color="auto" w:fill="auto"/>
            <w:noWrap/>
            <w:hideMark/>
          </w:tcPr>
          <w:p w14:paraId="374006B5"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"Rēzeknes slimnīca"</w:t>
            </w:r>
          </w:p>
        </w:tc>
        <w:tc>
          <w:tcPr>
            <w:tcW w:w="2121" w:type="dxa"/>
            <w:tcBorders>
              <w:top w:val="nil"/>
              <w:left w:val="nil"/>
              <w:bottom w:val="single" w:sz="8" w:space="0" w:color="auto"/>
              <w:right w:val="single" w:sz="8" w:space="0" w:color="auto"/>
            </w:tcBorders>
            <w:shd w:val="clear" w:color="auto" w:fill="auto"/>
            <w:noWrap/>
            <w:hideMark/>
          </w:tcPr>
          <w:p w14:paraId="2E4E212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27 100 000</w:t>
            </w:r>
          </w:p>
        </w:tc>
        <w:tc>
          <w:tcPr>
            <w:tcW w:w="2121" w:type="dxa"/>
            <w:tcBorders>
              <w:top w:val="nil"/>
              <w:left w:val="nil"/>
              <w:bottom w:val="single" w:sz="8" w:space="0" w:color="auto"/>
              <w:right w:val="single" w:sz="8" w:space="0" w:color="auto"/>
            </w:tcBorders>
            <w:shd w:val="clear" w:color="auto" w:fill="auto"/>
            <w:noWrap/>
            <w:hideMark/>
          </w:tcPr>
          <w:p w14:paraId="065A8F0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27 267 500</w:t>
            </w:r>
          </w:p>
        </w:tc>
        <w:tc>
          <w:tcPr>
            <w:tcW w:w="2177" w:type="dxa"/>
            <w:tcBorders>
              <w:top w:val="nil"/>
              <w:left w:val="nil"/>
              <w:bottom w:val="single" w:sz="8" w:space="0" w:color="auto"/>
              <w:right w:val="single" w:sz="8" w:space="0" w:color="auto"/>
            </w:tcBorders>
            <w:shd w:val="clear" w:color="auto" w:fill="auto"/>
            <w:noWrap/>
            <w:hideMark/>
          </w:tcPr>
          <w:p w14:paraId="5B2D489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-167 500</w:t>
            </w:r>
          </w:p>
        </w:tc>
      </w:tr>
      <w:tr w:rsidR="005E41CA" w:rsidRPr="005E41CA" w14:paraId="6A1C106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508700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72</w:t>
            </w:r>
          </w:p>
        </w:tc>
        <w:tc>
          <w:tcPr>
            <w:tcW w:w="6600" w:type="dxa"/>
            <w:tcBorders>
              <w:top w:val="nil"/>
              <w:left w:val="nil"/>
              <w:bottom w:val="single" w:sz="8" w:space="0" w:color="auto"/>
              <w:right w:val="single" w:sz="8" w:space="0" w:color="auto"/>
            </w:tcBorders>
            <w:shd w:val="clear" w:color="auto" w:fill="auto"/>
            <w:noWrap/>
            <w:hideMark/>
          </w:tcPr>
          <w:p w14:paraId="4FBFC2D8"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1.slimnīca"</w:t>
            </w:r>
          </w:p>
        </w:tc>
        <w:tc>
          <w:tcPr>
            <w:tcW w:w="2121" w:type="dxa"/>
            <w:tcBorders>
              <w:top w:val="nil"/>
              <w:left w:val="nil"/>
              <w:bottom w:val="single" w:sz="8" w:space="0" w:color="auto"/>
              <w:right w:val="single" w:sz="8" w:space="0" w:color="auto"/>
            </w:tcBorders>
            <w:shd w:val="clear" w:color="auto" w:fill="auto"/>
            <w:noWrap/>
            <w:hideMark/>
          </w:tcPr>
          <w:p w14:paraId="0AA2B8A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25 959 260</w:t>
            </w:r>
          </w:p>
        </w:tc>
        <w:tc>
          <w:tcPr>
            <w:tcW w:w="2121" w:type="dxa"/>
            <w:tcBorders>
              <w:top w:val="nil"/>
              <w:left w:val="nil"/>
              <w:bottom w:val="single" w:sz="8" w:space="0" w:color="auto"/>
              <w:right w:val="single" w:sz="8" w:space="0" w:color="auto"/>
            </w:tcBorders>
            <w:shd w:val="clear" w:color="auto" w:fill="auto"/>
            <w:noWrap/>
            <w:hideMark/>
          </w:tcPr>
          <w:p w14:paraId="1F93A76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26 359 599</w:t>
            </w:r>
          </w:p>
        </w:tc>
        <w:tc>
          <w:tcPr>
            <w:tcW w:w="2177" w:type="dxa"/>
            <w:tcBorders>
              <w:top w:val="nil"/>
              <w:left w:val="nil"/>
              <w:bottom w:val="single" w:sz="8" w:space="0" w:color="auto"/>
              <w:right w:val="single" w:sz="8" w:space="0" w:color="auto"/>
            </w:tcBorders>
            <w:shd w:val="clear" w:color="auto" w:fill="auto"/>
            <w:noWrap/>
            <w:hideMark/>
          </w:tcPr>
          <w:p w14:paraId="7E89089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-400 339</w:t>
            </w:r>
          </w:p>
        </w:tc>
      </w:tr>
      <w:tr w:rsidR="005E41CA" w:rsidRPr="005E41CA" w14:paraId="13BADE7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51AD2CA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73</w:t>
            </w:r>
          </w:p>
        </w:tc>
        <w:tc>
          <w:tcPr>
            <w:tcW w:w="6600" w:type="dxa"/>
            <w:tcBorders>
              <w:top w:val="nil"/>
              <w:left w:val="nil"/>
              <w:bottom w:val="single" w:sz="8" w:space="0" w:color="auto"/>
              <w:right w:val="single" w:sz="8" w:space="0" w:color="auto"/>
            </w:tcBorders>
            <w:shd w:val="clear" w:color="auto" w:fill="auto"/>
            <w:noWrap/>
            <w:hideMark/>
          </w:tcPr>
          <w:p w14:paraId="7B96230E"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2.slimnīca"</w:t>
            </w:r>
          </w:p>
        </w:tc>
        <w:tc>
          <w:tcPr>
            <w:tcW w:w="2121" w:type="dxa"/>
            <w:tcBorders>
              <w:top w:val="nil"/>
              <w:left w:val="nil"/>
              <w:bottom w:val="single" w:sz="8" w:space="0" w:color="auto"/>
              <w:right w:val="single" w:sz="8" w:space="0" w:color="auto"/>
            </w:tcBorders>
            <w:shd w:val="clear" w:color="auto" w:fill="auto"/>
            <w:noWrap/>
            <w:hideMark/>
          </w:tcPr>
          <w:p w14:paraId="49CBD8F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10 780 000</w:t>
            </w:r>
          </w:p>
        </w:tc>
        <w:tc>
          <w:tcPr>
            <w:tcW w:w="2121" w:type="dxa"/>
            <w:tcBorders>
              <w:top w:val="nil"/>
              <w:left w:val="nil"/>
              <w:bottom w:val="single" w:sz="8" w:space="0" w:color="auto"/>
              <w:right w:val="single" w:sz="8" w:space="0" w:color="auto"/>
            </w:tcBorders>
            <w:shd w:val="clear" w:color="auto" w:fill="auto"/>
            <w:noWrap/>
            <w:hideMark/>
          </w:tcPr>
          <w:p w14:paraId="2C4FE9A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10 944 375</w:t>
            </w:r>
          </w:p>
        </w:tc>
        <w:tc>
          <w:tcPr>
            <w:tcW w:w="2177" w:type="dxa"/>
            <w:tcBorders>
              <w:top w:val="nil"/>
              <w:left w:val="nil"/>
              <w:bottom w:val="single" w:sz="8" w:space="0" w:color="auto"/>
              <w:right w:val="single" w:sz="8" w:space="0" w:color="auto"/>
            </w:tcBorders>
            <w:shd w:val="clear" w:color="auto" w:fill="auto"/>
            <w:noWrap/>
            <w:hideMark/>
          </w:tcPr>
          <w:p w14:paraId="10C2942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-164 375</w:t>
            </w:r>
          </w:p>
        </w:tc>
      </w:tr>
      <w:tr w:rsidR="005E41CA" w:rsidRPr="005E41CA" w14:paraId="6799A0F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02F5081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74</w:t>
            </w:r>
          </w:p>
        </w:tc>
        <w:tc>
          <w:tcPr>
            <w:tcW w:w="6600" w:type="dxa"/>
            <w:tcBorders>
              <w:top w:val="nil"/>
              <w:left w:val="nil"/>
              <w:bottom w:val="single" w:sz="8" w:space="0" w:color="auto"/>
              <w:right w:val="single" w:sz="8" w:space="0" w:color="auto"/>
            </w:tcBorders>
            <w:shd w:val="clear" w:color="auto" w:fill="auto"/>
            <w:noWrap/>
            <w:hideMark/>
          </w:tcPr>
          <w:p w14:paraId="0D454A08"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Dzemdību nams"</w:t>
            </w:r>
          </w:p>
        </w:tc>
        <w:tc>
          <w:tcPr>
            <w:tcW w:w="2121" w:type="dxa"/>
            <w:tcBorders>
              <w:top w:val="nil"/>
              <w:left w:val="nil"/>
              <w:bottom w:val="single" w:sz="8" w:space="0" w:color="auto"/>
              <w:right w:val="single" w:sz="8" w:space="0" w:color="auto"/>
            </w:tcBorders>
            <w:shd w:val="clear" w:color="auto" w:fill="auto"/>
            <w:noWrap/>
            <w:hideMark/>
          </w:tcPr>
          <w:p w14:paraId="3635D44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14 347 975</w:t>
            </w:r>
          </w:p>
        </w:tc>
        <w:tc>
          <w:tcPr>
            <w:tcW w:w="2121" w:type="dxa"/>
            <w:tcBorders>
              <w:top w:val="nil"/>
              <w:left w:val="nil"/>
              <w:bottom w:val="single" w:sz="8" w:space="0" w:color="auto"/>
              <w:right w:val="single" w:sz="8" w:space="0" w:color="auto"/>
            </w:tcBorders>
            <w:shd w:val="clear" w:color="auto" w:fill="auto"/>
            <w:noWrap/>
            <w:hideMark/>
          </w:tcPr>
          <w:p w14:paraId="4A1E4BB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14 559 666</w:t>
            </w:r>
          </w:p>
        </w:tc>
        <w:tc>
          <w:tcPr>
            <w:tcW w:w="2177" w:type="dxa"/>
            <w:tcBorders>
              <w:top w:val="nil"/>
              <w:left w:val="nil"/>
              <w:bottom w:val="single" w:sz="8" w:space="0" w:color="auto"/>
              <w:right w:val="single" w:sz="8" w:space="0" w:color="auto"/>
            </w:tcBorders>
            <w:shd w:val="clear" w:color="auto" w:fill="auto"/>
            <w:noWrap/>
            <w:hideMark/>
          </w:tcPr>
          <w:p w14:paraId="074B1CB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-211 691</w:t>
            </w:r>
          </w:p>
        </w:tc>
      </w:tr>
      <w:tr w:rsidR="005E41CA" w:rsidRPr="005E41CA" w14:paraId="3ACB727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0BC254E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75</w:t>
            </w:r>
          </w:p>
        </w:tc>
        <w:tc>
          <w:tcPr>
            <w:tcW w:w="6600" w:type="dxa"/>
            <w:tcBorders>
              <w:top w:val="nil"/>
              <w:left w:val="nil"/>
              <w:bottom w:val="single" w:sz="8" w:space="0" w:color="auto"/>
              <w:right w:val="single" w:sz="8" w:space="0" w:color="auto"/>
            </w:tcBorders>
            <w:shd w:val="clear" w:color="auto" w:fill="auto"/>
            <w:noWrap/>
            <w:hideMark/>
          </w:tcPr>
          <w:p w14:paraId="393F8B24"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satiksme"</w:t>
            </w:r>
          </w:p>
        </w:tc>
        <w:tc>
          <w:tcPr>
            <w:tcW w:w="2121" w:type="dxa"/>
            <w:tcBorders>
              <w:top w:val="nil"/>
              <w:left w:val="nil"/>
              <w:bottom w:val="single" w:sz="8" w:space="0" w:color="auto"/>
              <w:right w:val="single" w:sz="8" w:space="0" w:color="auto"/>
            </w:tcBorders>
            <w:shd w:val="clear" w:color="auto" w:fill="auto"/>
            <w:noWrap/>
            <w:hideMark/>
          </w:tcPr>
          <w:p w14:paraId="55C9B58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215 871 282</w:t>
            </w:r>
          </w:p>
        </w:tc>
        <w:tc>
          <w:tcPr>
            <w:tcW w:w="2121" w:type="dxa"/>
            <w:tcBorders>
              <w:top w:val="nil"/>
              <w:left w:val="nil"/>
              <w:bottom w:val="single" w:sz="8" w:space="0" w:color="auto"/>
              <w:right w:val="single" w:sz="8" w:space="0" w:color="auto"/>
            </w:tcBorders>
            <w:shd w:val="clear" w:color="auto" w:fill="auto"/>
            <w:noWrap/>
            <w:hideMark/>
          </w:tcPr>
          <w:p w14:paraId="3645C08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220 672 781</w:t>
            </w:r>
          </w:p>
        </w:tc>
        <w:tc>
          <w:tcPr>
            <w:tcW w:w="2177" w:type="dxa"/>
            <w:tcBorders>
              <w:top w:val="nil"/>
              <w:left w:val="nil"/>
              <w:bottom w:val="single" w:sz="8" w:space="0" w:color="auto"/>
              <w:right w:val="single" w:sz="8" w:space="0" w:color="auto"/>
            </w:tcBorders>
            <w:shd w:val="clear" w:color="auto" w:fill="auto"/>
            <w:noWrap/>
            <w:hideMark/>
          </w:tcPr>
          <w:p w14:paraId="2CF7D5A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-4 801 499</w:t>
            </w:r>
          </w:p>
        </w:tc>
      </w:tr>
      <w:tr w:rsidR="005E41CA" w:rsidRPr="005E41CA" w14:paraId="1693232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9F3AF3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76</w:t>
            </w:r>
          </w:p>
        </w:tc>
        <w:tc>
          <w:tcPr>
            <w:tcW w:w="6600" w:type="dxa"/>
            <w:tcBorders>
              <w:top w:val="nil"/>
              <w:left w:val="nil"/>
              <w:bottom w:val="single" w:sz="8" w:space="0" w:color="auto"/>
              <w:right w:val="single" w:sz="8" w:space="0" w:color="auto"/>
            </w:tcBorders>
            <w:shd w:val="clear" w:color="auto" w:fill="auto"/>
            <w:noWrap/>
            <w:hideMark/>
          </w:tcPr>
          <w:p w14:paraId="0496160C"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veselības centrs"</w:t>
            </w:r>
          </w:p>
        </w:tc>
        <w:tc>
          <w:tcPr>
            <w:tcW w:w="2121" w:type="dxa"/>
            <w:tcBorders>
              <w:top w:val="nil"/>
              <w:left w:val="nil"/>
              <w:bottom w:val="single" w:sz="8" w:space="0" w:color="auto"/>
              <w:right w:val="single" w:sz="8" w:space="0" w:color="auto"/>
            </w:tcBorders>
            <w:shd w:val="clear" w:color="auto" w:fill="auto"/>
            <w:noWrap/>
            <w:hideMark/>
          </w:tcPr>
          <w:p w14:paraId="0CD872E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11 722 844</w:t>
            </w:r>
          </w:p>
        </w:tc>
        <w:tc>
          <w:tcPr>
            <w:tcW w:w="2121" w:type="dxa"/>
            <w:tcBorders>
              <w:top w:val="nil"/>
              <w:left w:val="nil"/>
              <w:bottom w:val="single" w:sz="8" w:space="0" w:color="auto"/>
              <w:right w:val="single" w:sz="8" w:space="0" w:color="auto"/>
            </w:tcBorders>
            <w:shd w:val="clear" w:color="auto" w:fill="auto"/>
            <w:noWrap/>
            <w:hideMark/>
          </w:tcPr>
          <w:p w14:paraId="66BC9F4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11 737 721</w:t>
            </w:r>
          </w:p>
        </w:tc>
        <w:tc>
          <w:tcPr>
            <w:tcW w:w="2177" w:type="dxa"/>
            <w:tcBorders>
              <w:top w:val="nil"/>
              <w:left w:val="nil"/>
              <w:bottom w:val="single" w:sz="8" w:space="0" w:color="auto"/>
              <w:right w:val="single" w:sz="8" w:space="0" w:color="auto"/>
            </w:tcBorders>
            <w:shd w:val="clear" w:color="auto" w:fill="auto"/>
            <w:noWrap/>
            <w:hideMark/>
          </w:tcPr>
          <w:p w14:paraId="6D37F3DC"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-14 877</w:t>
            </w:r>
          </w:p>
        </w:tc>
      </w:tr>
      <w:tr w:rsidR="005E41CA" w:rsidRPr="005E41CA" w14:paraId="0AAEBE93"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5B950B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77</w:t>
            </w:r>
          </w:p>
        </w:tc>
        <w:tc>
          <w:tcPr>
            <w:tcW w:w="6600" w:type="dxa"/>
            <w:tcBorders>
              <w:top w:val="nil"/>
              <w:left w:val="nil"/>
              <w:bottom w:val="single" w:sz="8" w:space="0" w:color="auto"/>
              <w:right w:val="single" w:sz="8" w:space="0" w:color="auto"/>
            </w:tcBorders>
            <w:shd w:val="clear" w:color="auto" w:fill="auto"/>
            <w:noWrap/>
            <w:hideMark/>
          </w:tcPr>
          <w:p w14:paraId="51593386"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"Olimpiskais centrs "Ventspils""</w:t>
            </w:r>
          </w:p>
        </w:tc>
        <w:tc>
          <w:tcPr>
            <w:tcW w:w="2121" w:type="dxa"/>
            <w:tcBorders>
              <w:top w:val="nil"/>
              <w:left w:val="nil"/>
              <w:bottom w:val="single" w:sz="8" w:space="0" w:color="auto"/>
              <w:right w:val="single" w:sz="8" w:space="0" w:color="auto"/>
            </w:tcBorders>
            <w:shd w:val="clear" w:color="auto" w:fill="auto"/>
            <w:noWrap/>
            <w:hideMark/>
          </w:tcPr>
          <w:p w14:paraId="661A6F5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4 714 444</w:t>
            </w:r>
          </w:p>
        </w:tc>
        <w:tc>
          <w:tcPr>
            <w:tcW w:w="2121" w:type="dxa"/>
            <w:tcBorders>
              <w:top w:val="nil"/>
              <w:left w:val="nil"/>
              <w:bottom w:val="single" w:sz="8" w:space="0" w:color="auto"/>
              <w:right w:val="single" w:sz="8" w:space="0" w:color="auto"/>
            </w:tcBorders>
            <w:shd w:val="clear" w:color="auto" w:fill="auto"/>
            <w:noWrap/>
            <w:hideMark/>
          </w:tcPr>
          <w:p w14:paraId="1F2F8B9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4 683 026</w:t>
            </w:r>
          </w:p>
        </w:tc>
        <w:tc>
          <w:tcPr>
            <w:tcW w:w="2177" w:type="dxa"/>
            <w:tcBorders>
              <w:top w:val="nil"/>
              <w:left w:val="nil"/>
              <w:bottom w:val="single" w:sz="8" w:space="0" w:color="auto"/>
              <w:right w:val="single" w:sz="8" w:space="0" w:color="auto"/>
            </w:tcBorders>
            <w:shd w:val="clear" w:color="auto" w:fill="auto"/>
            <w:noWrap/>
            <w:hideMark/>
          </w:tcPr>
          <w:p w14:paraId="7E0B184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31 418</w:t>
            </w:r>
          </w:p>
        </w:tc>
      </w:tr>
      <w:tr w:rsidR="005E41CA" w:rsidRPr="005E41CA" w14:paraId="274555E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6CD1C72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78</w:t>
            </w:r>
          </w:p>
        </w:tc>
        <w:tc>
          <w:tcPr>
            <w:tcW w:w="6600" w:type="dxa"/>
            <w:tcBorders>
              <w:top w:val="nil"/>
              <w:left w:val="nil"/>
              <w:bottom w:val="single" w:sz="8" w:space="0" w:color="auto"/>
              <w:right w:val="single" w:sz="8" w:space="0" w:color="auto"/>
            </w:tcBorders>
            <w:shd w:val="clear" w:color="auto" w:fill="auto"/>
            <w:noWrap/>
            <w:hideMark/>
          </w:tcPr>
          <w:p w14:paraId="46D2BE8C"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"Vidzemes slimnīca"</w:t>
            </w:r>
          </w:p>
        </w:tc>
        <w:tc>
          <w:tcPr>
            <w:tcW w:w="2121" w:type="dxa"/>
            <w:tcBorders>
              <w:top w:val="nil"/>
              <w:left w:val="nil"/>
              <w:bottom w:val="single" w:sz="8" w:space="0" w:color="auto"/>
              <w:right w:val="single" w:sz="8" w:space="0" w:color="auto"/>
            </w:tcBorders>
            <w:shd w:val="clear" w:color="auto" w:fill="auto"/>
            <w:noWrap/>
            <w:hideMark/>
          </w:tcPr>
          <w:p w14:paraId="1DE4D98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24 870 584</w:t>
            </w:r>
          </w:p>
        </w:tc>
        <w:tc>
          <w:tcPr>
            <w:tcW w:w="2121" w:type="dxa"/>
            <w:tcBorders>
              <w:top w:val="nil"/>
              <w:left w:val="nil"/>
              <w:bottom w:val="single" w:sz="8" w:space="0" w:color="auto"/>
              <w:right w:val="single" w:sz="8" w:space="0" w:color="auto"/>
            </w:tcBorders>
            <w:shd w:val="clear" w:color="auto" w:fill="auto"/>
            <w:noWrap/>
            <w:hideMark/>
          </w:tcPr>
          <w:p w14:paraId="6F78D8C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25 906 698</w:t>
            </w:r>
          </w:p>
        </w:tc>
        <w:tc>
          <w:tcPr>
            <w:tcW w:w="2177" w:type="dxa"/>
            <w:tcBorders>
              <w:top w:val="nil"/>
              <w:left w:val="nil"/>
              <w:bottom w:val="single" w:sz="8" w:space="0" w:color="auto"/>
              <w:right w:val="single" w:sz="8" w:space="0" w:color="auto"/>
            </w:tcBorders>
            <w:shd w:val="clear" w:color="auto" w:fill="auto"/>
            <w:noWrap/>
            <w:hideMark/>
          </w:tcPr>
          <w:p w14:paraId="0A20CC2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-1 036 114</w:t>
            </w:r>
          </w:p>
        </w:tc>
      </w:tr>
      <w:tr w:rsidR="005E41CA" w:rsidRPr="005E41CA" w14:paraId="2D005EA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9FE49C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79</w:t>
            </w:r>
          </w:p>
        </w:tc>
        <w:tc>
          <w:tcPr>
            <w:tcW w:w="6600" w:type="dxa"/>
            <w:tcBorders>
              <w:top w:val="nil"/>
              <w:left w:val="nil"/>
              <w:bottom w:val="single" w:sz="8" w:space="0" w:color="auto"/>
              <w:right w:val="single" w:sz="8" w:space="0" w:color="auto"/>
            </w:tcBorders>
            <w:shd w:val="clear" w:color="auto" w:fill="auto"/>
            <w:noWrap/>
            <w:hideMark/>
          </w:tcPr>
          <w:p w14:paraId="1B621C1C"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Ziemeļkurzemes</w:t>
            </w:r>
            <w:proofErr w:type="spellEnd"/>
            <w:r w:rsidRPr="005E41CA">
              <w:rPr>
                <w:rFonts w:eastAsia="Calibri" w:cs="Times New Roman"/>
                <w:sz w:val="18"/>
                <w:szCs w:val="18"/>
                <w:lang w:eastAsia="en-US"/>
              </w:rPr>
              <w:t xml:space="preserve"> reģionālā slimnīca"</w:t>
            </w:r>
          </w:p>
        </w:tc>
        <w:tc>
          <w:tcPr>
            <w:tcW w:w="2121" w:type="dxa"/>
            <w:tcBorders>
              <w:top w:val="nil"/>
              <w:left w:val="nil"/>
              <w:bottom w:val="single" w:sz="8" w:space="0" w:color="auto"/>
              <w:right w:val="single" w:sz="8" w:space="0" w:color="auto"/>
            </w:tcBorders>
            <w:shd w:val="clear" w:color="auto" w:fill="auto"/>
            <w:noWrap/>
            <w:hideMark/>
          </w:tcPr>
          <w:p w14:paraId="1DDD217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24 293 273</w:t>
            </w:r>
          </w:p>
        </w:tc>
        <w:tc>
          <w:tcPr>
            <w:tcW w:w="2121" w:type="dxa"/>
            <w:tcBorders>
              <w:top w:val="nil"/>
              <w:left w:val="nil"/>
              <w:bottom w:val="single" w:sz="8" w:space="0" w:color="auto"/>
              <w:right w:val="single" w:sz="8" w:space="0" w:color="auto"/>
            </w:tcBorders>
            <w:shd w:val="clear" w:color="auto" w:fill="auto"/>
            <w:noWrap/>
            <w:hideMark/>
          </w:tcPr>
          <w:p w14:paraId="475963B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24 161 428</w:t>
            </w:r>
          </w:p>
        </w:tc>
        <w:tc>
          <w:tcPr>
            <w:tcW w:w="2177" w:type="dxa"/>
            <w:tcBorders>
              <w:top w:val="nil"/>
              <w:left w:val="nil"/>
              <w:bottom w:val="single" w:sz="8" w:space="0" w:color="auto"/>
              <w:right w:val="single" w:sz="8" w:space="0" w:color="auto"/>
            </w:tcBorders>
            <w:shd w:val="clear" w:color="auto" w:fill="auto"/>
            <w:noWrap/>
            <w:hideMark/>
          </w:tcPr>
          <w:p w14:paraId="4B523D2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131 845</w:t>
            </w:r>
          </w:p>
        </w:tc>
      </w:tr>
      <w:tr w:rsidR="00AB78AC" w:rsidRPr="005E41CA" w14:paraId="2D1858F2" w14:textId="77777777" w:rsidTr="006909EC">
        <w:trPr>
          <w:trHeight w:val="468"/>
        </w:trPr>
        <w:tc>
          <w:tcPr>
            <w:tcW w:w="14206"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23B0415" w14:textId="1A6D512A" w:rsidR="00AB78AC" w:rsidRPr="005E41CA" w:rsidRDefault="00AB78AC" w:rsidP="00AB78AC">
            <w:pPr>
              <w:spacing w:after="0"/>
              <w:ind w:firstLine="0"/>
              <w:rPr>
                <w:rFonts w:eastAsia="Times New Roman" w:cs="Times New Roman"/>
                <w:color w:val="000000"/>
                <w:sz w:val="18"/>
                <w:szCs w:val="18"/>
              </w:rPr>
            </w:pPr>
            <w:r w:rsidRPr="005E41CA">
              <w:rPr>
                <w:rFonts w:eastAsia="Times New Roman" w:cs="Times New Roman"/>
                <w:color w:val="000000"/>
                <w:sz w:val="18"/>
                <w:szCs w:val="18"/>
              </w:rPr>
              <w:lastRenderedPageBreak/>
              <w:t xml:space="preserve">Tabulā ir norādīti vispārējās valdības </w:t>
            </w:r>
            <w:r>
              <w:rPr>
                <w:rFonts w:eastAsia="Times New Roman" w:cs="Times New Roman"/>
                <w:color w:val="000000"/>
                <w:sz w:val="18"/>
                <w:szCs w:val="18"/>
              </w:rPr>
              <w:t xml:space="preserve">sektorā klasificēto </w:t>
            </w:r>
            <w:r w:rsidRPr="005E41CA">
              <w:rPr>
                <w:rFonts w:eastAsia="Times New Roman" w:cs="Times New Roman"/>
                <w:color w:val="000000"/>
                <w:sz w:val="18"/>
                <w:szCs w:val="18"/>
              </w:rPr>
              <w:t xml:space="preserve">kapitālsabiedrību </w:t>
            </w:r>
            <w:r>
              <w:rPr>
                <w:rFonts w:eastAsia="Times New Roman" w:cs="Times New Roman"/>
                <w:color w:val="000000"/>
                <w:sz w:val="18"/>
                <w:szCs w:val="18"/>
              </w:rPr>
              <w:t xml:space="preserve">un nodibinājuma </w:t>
            </w:r>
            <w:r w:rsidRPr="005E41CA">
              <w:rPr>
                <w:rFonts w:eastAsia="Times New Roman" w:cs="Times New Roman"/>
                <w:color w:val="000000"/>
                <w:sz w:val="18"/>
                <w:szCs w:val="18"/>
              </w:rPr>
              <w:t>ieņēmumi, izdevumi un ietekme uz B.9 neto aizdevumiem (+)/neto aizņēmumiem (-)</w:t>
            </w:r>
            <w:r>
              <w:rPr>
                <w:rFonts w:eastAsia="Times New Roman" w:cs="Times New Roman"/>
                <w:color w:val="000000"/>
                <w:sz w:val="18"/>
                <w:szCs w:val="18"/>
              </w:rPr>
              <w:t xml:space="preserve"> </w:t>
            </w:r>
            <w:r w:rsidRPr="005E41CA">
              <w:rPr>
                <w:rFonts w:eastAsia="Times New Roman" w:cs="Times New Roman"/>
                <w:color w:val="000000"/>
                <w:sz w:val="18"/>
                <w:szCs w:val="18"/>
              </w:rPr>
              <w:t xml:space="preserve">atbilstoši </w:t>
            </w:r>
            <w:r>
              <w:rPr>
                <w:rFonts w:eastAsia="Times New Roman" w:cs="Times New Roman"/>
                <w:color w:val="000000"/>
                <w:sz w:val="18"/>
                <w:szCs w:val="18"/>
              </w:rPr>
              <w:t>to</w:t>
            </w:r>
            <w:r w:rsidRPr="005E41CA">
              <w:rPr>
                <w:rFonts w:eastAsia="Times New Roman" w:cs="Times New Roman"/>
                <w:color w:val="000000"/>
                <w:sz w:val="18"/>
                <w:szCs w:val="18"/>
              </w:rPr>
              <w:t xml:space="preserve"> </w:t>
            </w:r>
            <w:r>
              <w:rPr>
                <w:rFonts w:eastAsia="Times New Roman" w:cs="Times New Roman"/>
                <w:color w:val="000000"/>
                <w:sz w:val="18"/>
                <w:szCs w:val="18"/>
              </w:rPr>
              <w:t xml:space="preserve">iesniegtajām veidlapām FM organizētās aptaujas ietvaros 2023.gada jūlijā/augustā un Ministru kabineta pieņemtajiem lēmumiem par </w:t>
            </w:r>
            <w:r w:rsidRPr="005E41CA">
              <w:rPr>
                <w:rFonts w:eastAsia="Calibri" w:cs="Times New Roman"/>
                <w:sz w:val="18"/>
                <w:szCs w:val="18"/>
                <w:lang w:eastAsia="en-US"/>
              </w:rPr>
              <w:t>SIA "Enerģijas publiskais tirgotājs"</w:t>
            </w:r>
            <w:r>
              <w:rPr>
                <w:rFonts w:eastAsia="Calibri" w:cs="Times New Roman"/>
                <w:sz w:val="18"/>
                <w:szCs w:val="18"/>
                <w:lang w:eastAsia="en-US"/>
              </w:rPr>
              <w:t xml:space="preserve">, </w:t>
            </w:r>
            <w:r w:rsidRPr="005E41CA">
              <w:rPr>
                <w:rFonts w:eastAsia="Calibri" w:cs="Times New Roman"/>
                <w:sz w:val="18"/>
                <w:szCs w:val="18"/>
                <w:lang w:eastAsia="en-US"/>
              </w:rPr>
              <w:t>AS "Pasažieru vilciens"</w:t>
            </w:r>
            <w:r>
              <w:rPr>
                <w:rFonts w:eastAsia="Calibri" w:cs="Times New Roman"/>
                <w:sz w:val="18"/>
                <w:szCs w:val="18"/>
                <w:lang w:eastAsia="en-US"/>
              </w:rPr>
              <w:t xml:space="preserve"> un </w:t>
            </w:r>
            <w:r w:rsidRPr="005E41CA">
              <w:rPr>
                <w:rFonts w:eastAsia="Calibri" w:cs="Times New Roman"/>
                <w:sz w:val="18"/>
                <w:szCs w:val="18"/>
                <w:lang w:eastAsia="en-US"/>
              </w:rPr>
              <w:t>SIA "</w:t>
            </w:r>
            <w:r>
              <w:rPr>
                <w:rFonts w:eastAsia="Calibri" w:cs="Times New Roman"/>
                <w:sz w:val="18"/>
                <w:szCs w:val="18"/>
                <w:lang w:eastAsia="en-US"/>
              </w:rPr>
              <w:t>Rīgas</w:t>
            </w:r>
            <w:r w:rsidRPr="005E41CA">
              <w:rPr>
                <w:rFonts w:eastAsia="Calibri" w:cs="Times New Roman"/>
                <w:sz w:val="18"/>
                <w:szCs w:val="18"/>
                <w:lang w:eastAsia="en-US"/>
              </w:rPr>
              <w:t xml:space="preserve"> </w:t>
            </w:r>
            <w:r>
              <w:rPr>
                <w:rFonts w:eastAsia="Calibri" w:cs="Times New Roman"/>
                <w:sz w:val="18"/>
                <w:szCs w:val="18"/>
                <w:lang w:eastAsia="en-US"/>
              </w:rPr>
              <w:t>satiksme</w:t>
            </w:r>
            <w:r w:rsidRPr="005E41CA">
              <w:rPr>
                <w:rFonts w:eastAsia="Calibri" w:cs="Times New Roman"/>
                <w:sz w:val="18"/>
                <w:szCs w:val="18"/>
                <w:lang w:eastAsia="en-US"/>
              </w:rPr>
              <w:t>"</w:t>
            </w:r>
            <w:r>
              <w:rPr>
                <w:rFonts w:eastAsia="Calibri" w:cs="Times New Roman"/>
                <w:sz w:val="18"/>
                <w:szCs w:val="18"/>
                <w:lang w:eastAsia="en-US"/>
              </w:rPr>
              <w:t xml:space="preserve"> līdz 2023.gada 9.oktobrim.</w:t>
            </w:r>
          </w:p>
        </w:tc>
      </w:tr>
      <w:tr w:rsidR="00AB78AC" w:rsidRPr="005E41CA" w14:paraId="4C7077CD" w14:textId="77777777" w:rsidTr="006909EC">
        <w:trPr>
          <w:trHeight w:val="492"/>
        </w:trPr>
        <w:tc>
          <w:tcPr>
            <w:tcW w:w="14206" w:type="dxa"/>
            <w:gridSpan w:val="5"/>
            <w:tcBorders>
              <w:top w:val="nil"/>
              <w:left w:val="single" w:sz="8" w:space="0" w:color="auto"/>
              <w:bottom w:val="single" w:sz="8" w:space="0" w:color="auto"/>
              <w:right w:val="single" w:sz="8" w:space="0" w:color="000000"/>
            </w:tcBorders>
            <w:shd w:val="clear" w:color="auto" w:fill="auto"/>
            <w:noWrap/>
            <w:vAlign w:val="center"/>
            <w:hideMark/>
          </w:tcPr>
          <w:p w14:paraId="1A19020D" w14:textId="26287FB0" w:rsidR="00AB78AC" w:rsidRPr="005E41CA" w:rsidRDefault="00AB78AC" w:rsidP="00AB78AC">
            <w:pPr>
              <w:spacing w:after="0"/>
              <w:ind w:firstLine="0"/>
              <w:rPr>
                <w:rFonts w:eastAsia="Times New Roman" w:cs="Times New Roman"/>
                <w:color w:val="000000"/>
                <w:sz w:val="18"/>
                <w:szCs w:val="18"/>
              </w:rPr>
            </w:pPr>
            <w:r w:rsidRPr="005E41CA">
              <w:rPr>
                <w:rFonts w:eastAsia="Times New Roman" w:cs="Times New Roman"/>
                <w:color w:val="000000"/>
                <w:sz w:val="18"/>
                <w:szCs w:val="18"/>
              </w:rPr>
              <w:t xml:space="preserve">Vispārējās valdības </w:t>
            </w:r>
            <w:r>
              <w:rPr>
                <w:rFonts w:eastAsia="Times New Roman" w:cs="Times New Roman"/>
                <w:color w:val="000000"/>
                <w:sz w:val="18"/>
                <w:szCs w:val="18"/>
              </w:rPr>
              <w:t xml:space="preserve">sektorā klasificēto </w:t>
            </w:r>
            <w:r w:rsidRPr="005E41CA">
              <w:rPr>
                <w:rFonts w:eastAsia="Times New Roman" w:cs="Times New Roman"/>
                <w:color w:val="000000"/>
                <w:sz w:val="18"/>
                <w:szCs w:val="18"/>
              </w:rPr>
              <w:t xml:space="preserve">kapitālsabiedrību </w:t>
            </w:r>
            <w:r>
              <w:rPr>
                <w:rFonts w:eastAsia="Times New Roman" w:cs="Times New Roman"/>
                <w:color w:val="000000"/>
                <w:sz w:val="18"/>
                <w:szCs w:val="18"/>
              </w:rPr>
              <w:t xml:space="preserve">un nodibinājuma </w:t>
            </w:r>
            <w:r w:rsidRPr="005E41CA">
              <w:rPr>
                <w:rFonts w:eastAsia="Times New Roman" w:cs="Times New Roman"/>
                <w:color w:val="000000"/>
                <w:sz w:val="18"/>
                <w:szCs w:val="18"/>
              </w:rPr>
              <w:t>ietekme uz B.9 neto aizdevumiem (+)/neto aizņēmumiem (-), kas iekļauta vispārējās valdības budžeta prognozēs 2025. gadā</w:t>
            </w:r>
            <w:r>
              <w:rPr>
                <w:rFonts w:eastAsia="Times New Roman" w:cs="Times New Roman"/>
                <w:color w:val="000000"/>
                <w:sz w:val="18"/>
                <w:szCs w:val="18"/>
              </w:rPr>
              <w:t>,</w:t>
            </w:r>
            <w:r w:rsidRPr="005E41CA">
              <w:rPr>
                <w:rFonts w:eastAsia="Times New Roman" w:cs="Times New Roman"/>
                <w:color w:val="000000"/>
                <w:sz w:val="18"/>
                <w:szCs w:val="18"/>
              </w:rPr>
              <w:t xml:space="preserve"> ir -</w:t>
            </w:r>
            <w:r>
              <w:rPr>
                <w:rFonts w:eastAsia="Times New Roman" w:cs="Times New Roman"/>
                <w:color w:val="000000"/>
                <w:sz w:val="18"/>
                <w:szCs w:val="18"/>
              </w:rPr>
              <w:t>37 401 813</w:t>
            </w:r>
            <w:r w:rsidRPr="005E41CA">
              <w:rPr>
                <w:rFonts w:eastAsia="Times New Roman" w:cs="Times New Roman"/>
                <w:color w:val="000000"/>
                <w:sz w:val="18"/>
                <w:szCs w:val="18"/>
              </w:rPr>
              <w:t xml:space="preserve"> </w:t>
            </w:r>
            <w:proofErr w:type="spellStart"/>
            <w:r w:rsidRPr="005E41CA">
              <w:rPr>
                <w:rFonts w:eastAsia="Times New Roman" w:cs="Times New Roman"/>
                <w:i/>
                <w:iCs/>
                <w:color w:val="000000"/>
                <w:sz w:val="18"/>
                <w:szCs w:val="18"/>
              </w:rPr>
              <w:t>euro</w:t>
            </w:r>
            <w:proofErr w:type="spellEnd"/>
            <w:r w:rsidRPr="005E41CA">
              <w:rPr>
                <w:rFonts w:eastAsia="Times New Roman" w:cs="Times New Roman"/>
                <w:i/>
                <w:iCs/>
                <w:color w:val="000000"/>
                <w:sz w:val="18"/>
                <w:szCs w:val="18"/>
              </w:rPr>
              <w:t>.</w:t>
            </w:r>
          </w:p>
        </w:tc>
      </w:tr>
    </w:tbl>
    <w:p w14:paraId="11B0CD77" w14:textId="540A94FC" w:rsidR="005E41CA" w:rsidRDefault="005E41CA" w:rsidP="005E41CA">
      <w:pPr>
        <w:widowControl w:val="0"/>
        <w:ind w:firstLine="0"/>
        <w:jc w:val="left"/>
        <w:rPr>
          <w:rFonts w:eastAsia="Times New Roman" w:cs="Times New Roman"/>
          <w:b/>
          <w:sz w:val="18"/>
          <w:szCs w:val="18"/>
        </w:rPr>
      </w:pPr>
    </w:p>
    <w:p w14:paraId="46C7077A" w14:textId="366A8FA1" w:rsidR="005E41CA" w:rsidRPr="005E41CA" w:rsidRDefault="005E41CA" w:rsidP="005E41CA">
      <w:pPr>
        <w:spacing w:after="0"/>
        <w:ind w:firstLine="0"/>
        <w:jc w:val="left"/>
        <w:rPr>
          <w:rFonts w:eastAsia="Times New Roman" w:cs="Times New Roman"/>
          <w:b/>
          <w:sz w:val="18"/>
          <w:szCs w:val="18"/>
        </w:rPr>
      </w:pPr>
      <w:r>
        <w:rPr>
          <w:rFonts w:eastAsia="Times New Roman" w:cs="Times New Roman"/>
          <w:b/>
          <w:sz w:val="18"/>
          <w:szCs w:val="18"/>
        </w:rPr>
        <w:br w:type="page"/>
      </w:r>
    </w:p>
    <w:tbl>
      <w:tblPr>
        <w:tblW w:w="14206" w:type="dxa"/>
        <w:tblLook w:val="04A0" w:firstRow="1" w:lastRow="0" w:firstColumn="1" w:lastColumn="0" w:noHBand="0" w:noVBand="1"/>
      </w:tblPr>
      <w:tblGrid>
        <w:gridCol w:w="1187"/>
        <w:gridCol w:w="6600"/>
        <w:gridCol w:w="2121"/>
        <w:gridCol w:w="2121"/>
        <w:gridCol w:w="2177"/>
      </w:tblGrid>
      <w:tr w:rsidR="005E41CA" w:rsidRPr="005E41CA" w14:paraId="4E905E91" w14:textId="77777777" w:rsidTr="006261DB">
        <w:trPr>
          <w:trHeight w:val="283"/>
          <w:tblHeader/>
        </w:trPr>
        <w:tc>
          <w:tcPr>
            <w:tcW w:w="14206" w:type="dxa"/>
            <w:gridSpan w:val="5"/>
            <w:tcBorders>
              <w:top w:val="single" w:sz="8" w:space="0" w:color="auto"/>
              <w:left w:val="single" w:sz="8" w:space="0" w:color="auto"/>
              <w:bottom w:val="single" w:sz="8" w:space="0" w:color="auto"/>
              <w:right w:val="single" w:sz="8" w:space="0" w:color="000000"/>
            </w:tcBorders>
            <w:shd w:val="clear" w:color="000000" w:fill="9BC2E6"/>
            <w:noWrap/>
            <w:vAlign w:val="center"/>
            <w:hideMark/>
          </w:tcPr>
          <w:p w14:paraId="5C76A477" w14:textId="77777777" w:rsidR="005E41CA" w:rsidRPr="005E41CA" w:rsidRDefault="005E41CA" w:rsidP="005E41CA">
            <w:pPr>
              <w:spacing w:after="0"/>
              <w:ind w:firstLine="0"/>
              <w:jc w:val="center"/>
              <w:rPr>
                <w:rFonts w:eastAsia="Times New Roman" w:cs="Times New Roman"/>
                <w:b/>
                <w:bCs/>
                <w:color w:val="000000"/>
                <w:sz w:val="18"/>
                <w:szCs w:val="18"/>
              </w:rPr>
            </w:pPr>
            <w:r w:rsidRPr="005E41CA">
              <w:rPr>
                <w:rFonts w:eastAsia="Times New Roman" w:cs="Times New Roman"/>
                <w:b/>
                <w:bCs/>
                <w:color w:val="000000"/>
                <w:sz w:val="18"/>
                <w:szCs w:val="18"/>
              </w:rPr>
              <w:lastRenderedPageBreak/>
              <w:t>2026</w:t>
            </w:r>
          </w:p>
        </w:tc>
      </w:tr>
      <w:tr w:rsidR="005E41CA" w:rsidRPr="005E41CA" w14:paraId="34F705EF" w14:textId="77777777" w:rsidTr="006261DB">
        <w:trPr>
          <w:trHeight w:val="680"/>
          <w:tblHeader/>
        </w:trPr>
        <w:tc>
          <w:tcPr>
            <w:tcW w:w="1187" w:type="dxa"/>
            <w:tcBorders>
              <w:top w:val="nil"/>
              <w:left w:val="single" w:sz="8" w:space="0" w:color="auto"/>
              <w:bottom w:val="single" w:sz="8" w:space="0" w:color="auto"/>
              <w:right w:val="single" w:sz="8" w:space="0" w:color="auto"/>
            </w:tcBorders>
            <w:shd w:val="clear" w:color="000000" w:fill="BDD7EE"/>
            <w:noWrap/>
            <w:vAlign w:val="center"/>
            <w:hideMark/>
          </w:tcPr>
          <w:p w14:paraId="1388CBC0" w14:textId="77777777" w:rsidR="005E41CA" w:rsidRPr="005E41CA" w:rsidRDefault="005E41CA" w:rsidP="005E41CA">
            <w:pPr>
              <w:spacing w:after="0"/>
              <w:ind w:firstLine="0"/>
              <w:jc w:val="left"/>
              <w:rPr>
                <w:rFonts w:eastAsia="Times New Roman" w:cs="Times New Roman"/>
                <w:color w:val="000000"/>
                <w:sz w:val="18"/>
                <w:szCs w:val="18"/>
              </w:rPr>
            </w:pPr>
            <w:proofErr w:type="spellStart"/>
            <w:r w:rsidRPr="005E41CA">
              <w:rPr>
                <w:rFonts w:eastAsia="Times New Roman" w:cs="Times New Roman"/>
                <w:color w:val="000000"/>
                <w:sz w:val="18"/>
                <w:szCs w:val="18"/>
              </w:rPr>
              <w:t>N.p.k</w:t>
            </w:r>
            <w:proofErr w:type="spellEnd"/>
            <w:r w:rsidRPr="005E41CA">
              <w:rPr>
                <w:rFonts w:eastAsia="Times New Roman" w:cs="Times New Roman"/>
                <w:color w:val="000000"/>
                <w:sz w:val="18"/>
                <w:szCs w:val="18"/>
              </w:rPr>
              <w:t>.</w:t>
            </w:r>
          </w:p>
        </w:tc>
        <w:tc>
          <w:tcPr>
            <w:tcW w:w="6600" w:type="dxa"/>
            <w:tcBorders>
              <w:top w:val="nil"/>
              <w:left w:val="nil"/>
              <w:bottom w:val="single" w:sz="8" w:space="0" w:color="auto"/>
              <w:right w:val="single" w:sz="8" w:space="0" w:color="auto"/>
            </w:tcBorders>
            <w:shd w:val="clear" w:color="000000" w:fill="BDD7EE"/>
            <w:noWrap/>
            <w:vAlign w:val="center"/>
            <w:hideMark/>
          </w:tcPr>
          <w:p w14:paraId="01FD4DE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BDD7EE"/>
            <w:vAlign w:val="center"/>
            <w:hideMark/>
          </w:tcPr>
          <w:p w14:paraId="6DA1955D" w14:textId="77777777"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 xml:space="preserve">Ieņēmumi, </w:t>
            </w:r>
            <w:proofErr w:type="spellStart"/>
            <w:r w:rsidRPr="005E41CA">
              <w:rPr>
                <w:rFonts w:eastAsia="Times New Roman" w:cs="Times New Roman"/>
                <w:i/>
                <w:iCs/>
                <w:color w:val="000000"/>
                <w:sz w:val="18"/>
                <w:szCs w:val="18"/>
              </w:rPr>
              <w:t>euro</w:t>
            </w:r>
            <w:proofErr w:type="spellEnd"/>
          </w:p>
        </w:tc>
        <w:tc>
          <w:tcPr>
            <w:tcW w:w="2121" w:type="dxa"/>
            <w:tcBorders>
              <w:top w:val="nil"/>
              <w:left w:val="nil"/>
              <w:bottom w:val="single" w:sz="8" w:space="0" w:color="auto"/>
              <w:right w:val="single" w:sz="8" w:space="0" w:color="auto"/>
            </w:tcBorders>
            <w:shd w:val="clear" w:color="000000" w:fill="BDD7EE"/>
            <w:vAlign w:val="center"/>
            <w:hideMark/>
          </w:tcPr>
          <w:p w14:paraId="6AEC0ED1" w14:textId="77777777"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 xml:space="preserve">Izdevumi, </w:t>
            </w:r>
            <w:proofErr w:type="spellStart"/>
            <w:r w:rsidRPr="005E41CA">
              <w:rPr>
                <w:rFonts w:eastAsia="Times New Roman" w:cs="Times New Roman"/>
                <w:i/>
                <w:iCs/>
                <w:color w:val="000000"/>
                <w:sz w:val="18"/>
                <w:szCs w:val="18"/>
              </w:rPr>
              <w:t>euro</w:t>
            </w:r>
            <w:proofErr w:type="spellEnd"/>
          </w:p>
        </w:tc>
        <w:tc>
          <w:tcPr>
            <w:tcW w:w="2177" w:type="dxa"/>
            <w:tcBorders>
              <w:top w:val="nil"/>
              <w:left w:val="nil"/>
              <w:bottom w:val="single" w:sz="8" w:space="0" w:color="auto"/>
              <w:right w:val="single" w:sz="8" w:space="0" w:color="auto"/>
            </w:tcBorders>
            <w:shd w:val="clear" w:color="000000" w:fill="BDD7EE"/>
            <w:vAlign w:val="center"/>
            <w:hideMark/>
          </w:tcPr>
          <w:p w14:paraId="7D014668" w14:textId="05A7E5C1"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Ietekme uz B.9 neto aizdevumiem (+)/neto aizņēmumiem (-),</w:t>
            </w:r>
            <w:r>
              <w:rPr>
                <w:rFonts w:eastAsia="Times New Roman" w:cs="Times New Roman"/>
                <w:color w:val="000000"/>
                <w:sz w:val="18"/>
                <w:szCs w:val="18"/>
              </w:rPr>
              <w:t xml:space="preserve"> </w:t>
            </w:r>
            <w:proofErr w:type="spellStart"/>
            <w:r w:rsidRPr="005E41CA">
              <w:rPr>
                <w:rFonts w:eastAsia="Times New Roman" w:cs="Times New Roman"/>
                <w:i/>
                <w:iCs/>
                <w:color w:val="000000"/>
                <w:sz w:val="18"/>
                <w:szCs w:val="18"/>
              </w:rPr>
              <w:t>euro</w:t>
            </w:r>
            <w:proofErr w:type="spellEnd"/>
          </w:p>
        </w:tc>
      </w:tr>
      <w:tr w:rsidR="005E41CA" w:rsidRPr="005E41CA" w14:paraId="359CF2C7" w14:textId="77777777" w:rsidTr="006261DB">
        <w:trPr>
          <w:trHeight w:val="283"/>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03AB68E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S130130</w:t>
            </w:r>
          </w:p>
        </w:tc>
        <w:tc>
          <w:tcPr>
            <w:tcW w:w="6600" w:type="dxa"/>
            <w:tcBorders>
              <w:top w:val="nil"/>
              <w:left w:val="nil"/>
              <w:bottom w:val="single" w:sz="8" w:space="0" w:color="auto"/>
              <w:right w:val="single" w:sz="8" w:space="0" w:color="auto"/>
            </w:tcBorders>
            <w:shd w:val="clear" w:color="000000" w:fill="DDEBF7"/>
            <w:noWrap/>
            <w:vAlign w:val="center"/>
            <w:hideMark/>
          </w:tcPr>
          <w:p w14:paraId="61E55AC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Valsts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36D7BEA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0DBB233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5F43583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r>
      <w:tr w:rsidR="005E41CA" w:rsidRPr="005E41CA" w14:paraId="118AC79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11A953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w:t>
            </w:r>
          </w:p>
        </w:tc>
        <w:tc>
          <w:tcPr>
            <w:tcW w:w="6600" w:type="dxa"/>
            <w:tcBorders>
              <w:top w:val="nil"/>
              <w:left w:val="nil"/>
              <w:bottom w:val="single" w:sz="8" w:space="0" w:color="auto"/>
              <w:right w:val="single" w:sz="8" w:space="0" w:color="auto"/>
            </w:tcBorders>
            <w:shd w:val="clear" w:color="auto" w:fill="auto"/>
            <w:noWrap/>
            <w:hideMark/>
          </w:tcPr>
          <w:p w14:paraId="53DBE99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"Bērnu psihoneiroloģiskā slimnīca "Ainaži""</w:t>
            </w:r>
          </w:p>
        </w:tc>
        <w:tc>
          <w:tcPr>
            <w:tcW w:w="2121" w:type="dxa"/>
            <w:tcBorders>
              <w:top w:val="nil"/>
              <w:left w:val="nil"/>
              <w:bottom w:val="single" w:sz="8" w:space="0" w:color="auto"/>
              <w:right w:val="single" w:sz="8" w:space="0" w:color="auto"/>
            </w:tcBorders>
            <w:shd w:val="clear" w:color="auto" w:fill="auto"/>
            <w:noWrap/>
            <w:hideMark/>
          </w:tcPr>
          <w:p w14:paraId="369C90E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2 036 157</w:t>
            </w:r>
          </w:p>
        </w:tc>
        <w:tc>
          <w:tcPr>
            <w:tcW w:w="2121" w:type="dxa"/>
            <w:tcBorders>
              <w:top w:val="nil"/>
              <w:left w:val="nil"/>
              <w:bottom w:val="single" w:sz="8" w:space="0" w:color="auto"/>
              <w:right w:val="single" w:sz="8" w:space="0" w:color="auto"/>
            </w:tcBorders>
            <w:shd w:val="clear" w:color="auto" w:fill="auto"/>
            <w:noWrap/>
            <w:hideMark/>
          </w:tcPr>
          <w:p w14:paraId="2F6EF7D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2 056 137</w:t>
            </w:r>
          </w:p>
        </w:tc>
        <w:tc>
          <w:tcPr>
            <w:tcW w:w="2177" w:type="dxa"/>
            <w:tcBorders>
              <w:top w:val="nil"/>
              <w:left w:val="nil"/>
              <w:bottom w:val="single" w:sz="8" w:space="0" w:color="auto"/>
              <w:right w:val="single" w:sz="8" w:space="0" w:color="auto"/>
            </w:tcBorders>
            <w:shd w:val="clear" w:color="auto" w:fill="auto"/>
            <w:noWrap/>
            <w:hideMark/>
          </w:tcPr>
          <w:p w14:paraId="4F26760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-19 980</w:t>
            </w:r>
          </w:p>
        </w:tc>
      </w:tr>
      <w:tr w:rsidR="005E41CA" w:rsidRPr="005E41CA" w14:paraId="6D561C7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4184FB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w:t>
            </w:r>
          </w:p>
        </w:tc>
        <w:tc>
          <w:tcPr>
            <w:tcW w:w="6600" w:type="dxa"/>
            <w:tcBorders>
              <w:top w:val="nil"/>
              <w:left w:val="nil"/>
              <w:bottom w:val="single" w:sz="8" w:space="0" w:color="auto"/>
              <w:right w:val="single" w:sz="8" w:space="0" w:color="auto"/>
            </w:tcBorders>
            <w:shd w:val="clear" w:color="auto" w:fill="auto"/>
            <w:noWrap/>
            <w:hideMark/>
          </w:tcPr>
          <w:p w14:paraId="03B6E11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Nodibinājums "Akadēmiskās informācijas centrs"</w:t>
            </w:r>
          </w:p>
        </w:tc>
        <w:tc>
          <w:tcPr>
            <w:tcW w:w="2121" w:type="dxa"/>
            <w:tcBorders>
              <w:top w:val="nil"/>
              <w:left w:val="nil"/>
              <w:bottom w:val="single" w:sz="8" w:space="0" w:color="auto"/>
              <w:right w:val="single" w:sz="8" w:space="0" w:color="auto"/>
            </w:tcBorders>
            <w:shd w:val="clear" w:color="auto" w:fill="auto"/>
            <w:noWrap/>
            <w:hideMark/>
          </w:tcPr>
          <w:p w14:paraId="19E71A3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241 000</w:t>
            </w:r>
          </w:p>
        </w:tc>
        <w:tc>
          <w:tcPr>
            <w:tcW w:w="2121" w:type="dxa"/>
            <w:tcBorders>
              <w:top w:val="nil"/>
              <w:left w:val="nil"/>
              <w:bottom w:val="single" w:sz="8" w:space="0" w:color="auto"/>
              <w:right w:val="single" w:sz="8" w:space="0" w:color="auto"/>
            </w:tcBorders>
            <w:shd w:val="clear" w:color="auto" w:fill="auto"/>
            <w:noWrap/>
            <w:hideMark/>
          </w:tcPr>
          <w:p w14:paraId="51E63D9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1 921 201</w:t>
            </w:r>
          </w:p>
        </w:tc>
        <w:tc>
          <w:tcPr>
            <w:tcW w:w="2177" w:type="dxa"/>
            <w:tcBorders>
              <w:top w:val="nil"/>
              <w:left w:val="nil"/>
              <w:bottom w:val="single" w:sz="8" w:space="0" w:color="auto"/>
              <w:right w:val="single" w:sz="8" w:space="0" w:color="auto"/>
            </w:tcBorders>
            <w:shd w:val="clear" w:color="auto" w:fill="auto"/>
            <w:noWrap/>
            <w:hideMark/>
          </w:tcPr>
          <w:p w14:paraId="08D4F8B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-1 680 201</w:t>
            </w:r>
          </w:p>
        </w:tc>
      </w:tr>
      <w:tr w:rsidR="005E41CA" w:rsidRPr="005E41CA" w14:paraId="48DFEDD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B8E932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w:t>
            </w:r>
          </w:p>
        </w:tc>
        <w:tc>
          <w:tcPr>
            <w:tcW w:w="6600" w:type="dxa"/>
            <w:tcBorders>
              <w:top w:val="nil"/>
              <w:left w:val="nil"/>
              <w:bottom w:val="single" w:sz="8" w:space="0" w:color="auto"/>
              <w:right w:val="single" w:sz="8" w:space="0" w:color="auto"/>
            </w:tcBorders>
            <w:shd w:val="clear" w:color="auto" w:fill="auto"/>
            <w:noWrap/>
            <w:hideMark/>
          </w:tcPr>
          <w:p w14:paraId="47AF8F7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"Autotransporta direkcija"</w:t>
            </w:r>
          </w:p>
        </w:tc>
        <w:tc>
          <w:tcPr>
            <w:tcW w:w="2121" w:type="dxa"/>
            <w:tcBorders>
              <w:top w:val="nil"/>
              <w:left w:val="nil"/>
              <w:bottom w:val="single" w:sz="8" w:space="0" w:color="auto"/>
              <w:right w:val="single" w:sz="8" w:space="0" w:color="auto"/>
            </w:tcBorders>
            <w:shd w:val="clear" w:color="auto" w:fill="auto"/>
            <w:noWrap/>
            <w:hideMark/>
          </w:tcPr>
          <w:p w14:paraId="351EA0D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3 888 844</w:t>
            </w:r>
          </w:p>
        </w:tc>
        <w:tc>
          <w:tcPr>
            <w:tcW w:w="2121" w:type="dxa"/>
            <w:tcBorders>
              <w:top w:val="nil"/>
              <w:left w:val="nil"/>
              <w:bottom w:val="single" w:sz="8" w:space="0" w:color="auto"/>
              <w:right w:val="single" w:sz="8" w:space="0" w:color="auto"/>
            </w:tcBorders>
            <w:shd w:val="clear" w:color="auto" w:fill="auto"/>
            <w:noWrap/>
            <w:hideMark/>
          </w:tcPr>
          <w:p w14:paraId="730D3A2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3 968 328</w:t>
            </w:r>
          </w:p>
        </w:tc>
        <w:tc>
          <w:tcPr>
            <w:tcW w:w="2177" w:type="dxa"/>
            <w:tcBorders>
              <w:top w:val="nil"/>
              <w:left w:val="nil"/>
              <w:bottom w:val="single" w:sz="8" w:space="0" w:color="auto"/>
              <w:right w:val="single" w:sz="8" w:space="0" w:color="auto"/>
            </w:tcBorders>
            <w:shd w:val="clear" w:color="auto" w:fill="auto"/>
            <w:noWrap/>
            <w:hideMark/>
          </w:tcPr>
          <w:p w14:paraId="5D7E145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-79 484</w:t>
            </w:r>
          </w:p>
        </w:tc>
      </w:tr>
      <w:tr w:rsidR="005E41CA" w:rsidRPr="005E41CA" w14:paraId="0E881B62"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1B4BBA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w:t>
            </w:r>
          </w:p>
        </w:tc>
        <w:tc>
          <w:tcPr>
            <w:tcW w:w="6600" w:type="dxa"/>
            <w:tcBorders>
              <w:top w:val="nil"/>
              <w:left w:val="nil"/>
              <w:bottom w:val="single" w:sz="8" w:space="0" w:color="auto"/>
              <w:right w:val="single" w:sz="8" w:space="0" w:color="auto"/>
            </w:tcBorders>
            <w:shd w:val="clear" w:color="auto" w:fill="auto"/>
            <w:noWrap/>
            <w:hideMark/>
          </w:tcPr>
          <w:p w14:paraId="1D8EFDD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"Bērnu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11ADA9C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82 140 919</w:t>
            </w:r>
          </w:p>
        </w:tc>
        <w:tc>
          <w:tcPr>
            <w:tcW w:w="2121" w:type="dxa"/>
            <w:tcBorders>
              <w:top w:val="nil"/>
              <w:left w:val="nil"/>
              <w:bottom w:val="single" w:sz="8" w:space="0" w:color="auto"/>
              <w:right w:val="single" w:sz="8" w:space="0" w:color="auto"/>
            </w:tcBorders>
            <w:shd w:val="clear" w:color="auto" w:fill="auto"/>
            <w:noWrap/>
            <w:hideMark/>
          </w:tcPr>
          <w:p w14:paraId="4E5619D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81 390 775</w:t>
            </w:r>
          </w:p>
        </w:tc>
        <w:tc>
          <w:tcPr>
            <w:tcW w:w="2177" w:type="dxa"/>
            <w:tcBorders>
              <w:top w:val="nil"/>
              <w:left w:val="nil"/>
              <w:bottom w:val="single" w:sz="8" w:space="0" w:color="auto"/>
              <w:right w:val="single" w:sz="8" w:space="0" w:color="auto"/>
            </w:tcBorders>
            <w:shd w:val="clear" w:color="auto" w:fill="auto"/>
            <w:noWrap/>
            <w:hideMark/>
          </w:tcPr>
          <w:p w14:paraId="582B41C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750 144</w:t>
            </w:r>
          </w:p>
        </w:tc>
      </w:tr>
      <w:tr w:rsidR="005E41CA" w:rsidRPr="005E41CA" w14:paraId="2E90FDF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68F442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w:t>
            </w:r>
          </w:p>
        </w:tc>
        <w:tc>
          <w:tcPr>
            <w:tcW w:w="6600" w:type="dxa"/>
            <w:tcBorders>
              <w:top w:val="nil"/>
              <w:left w:val="nil"/>
              <w:bottom w:val="single" w:sz="8" w:space="0" w:color="auto"/>
              <w:right w:val="single" w:sz="8" w:space="0" w:color="auto"/>
            </w:tcBorders>
            <w:shd w:val="clear" w:color="auto" w:fill="auto"/>
            <w:noWrap/>
            <w:hideMark/>
          </w:tcPr>
          <w:p w14:paraId="1135BBC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"Veselības centrs "Biķernieki""</w:t>
            </w:r>
          </w:p>
        </w:tc>
        <w:tc>
          <w:tcPr>
            <w:tcW w:w="2121" w:type="dxa"/>
            <w:tcBorders>
              <w:top w:val="nil"/>
              <w:left w:val="nil"/>
              <w:bottom w:val="single" w:sz="8" w:space="0" w:color="auto"/>
              <w:right w:val="single" w:sz="8" w:space="0" w:color="auto"/>
            </w:tcBorders>
            <w:shd w:val="clear" w:color="auto" w:fill="auto"/>
            <w:noWrap/>
            <w:hideMark/>
          </w:tcPr>
          <w:p w14:paraId="5571523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3 210 948</w:t>
            </w:r>
          </w:p>
        </w:tc>
        <w:tc>
          <w:tcPr>
            <w:tcW w:w="2121" w:type="dxa"/>
            <w:tcBorders>
              <w:top w:val="nil"/>
              <w:left w:val="nil"/>
              <w:bottom w:val="single" w:sz="8" w:space="0" w:color="auto"/>
              <w:right w:val="single" w:sz="8" w:space="0" w:color="auto"/>
            </w:tcBorders>
            <w:shd w:val="clear" w:color="auto" w:fill="auto"/>
            <w:noWrap/>
            <w:hideMark/>
          </w:tcPr>
          <w:p w14:paraId="776C56D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3 172 920</w:t>
            </w:r>
          </w:p>
        </w:tc>
        <w:tc>
          <w:tcPr>
            <w:tcW w:w="2177" w:type="dxa"/>
            <w:tcBorders>
              <w:top w:val="nil"/>
              <w:left w:val="nil"/>
              <w:bottom w:val="single" w:sz="8" w:space="0" w:color="auto"/>
              <w:right w:val="single" w:sz="8" w:space="0" w:color="auto"/>
            </w:tcBorders>
            <w:shd w:val="clear" w:color="auto" w:fill="auto"/>
            <w:noWrap/>
            <w:hideMark/>
          </w:tcPr>
          <w:p w14:paraId="124CFCF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38 028</w:t>
            </w:r>
          </w:p>
        </w:tc>
      </w:tr>
      <w:tr w:rsidR="005E41CA" w:rsidRPr="005E41CA" w14:paraId="264119B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B6C116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6</w:t>
            </w:r>
          </w:p>
        </w:tc>
        <w:tc>
          <w:tcPr>
            <w:tcW w:w="6600" w:type="dxa"/>
            <w:tcBorders>
              <w:top w:val="nil"/>
              <w:left w:val="nil"/>
              <w:bottom w:val="single" w:sz="8" w:space="0" w:color="auto"/>
              <w:right w:val="single" w:sz="8" w:space="0" w:color="auto"/>
            </w:tcBorders>
            <w:shd w:val="clear" w:color="auto" w:fill="auto"/>
            <w:noWrap/>
            <w:hideMark/>
          </w:tcPr>
          <w:p w14:paraId="4BE53F84"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"Bulduru Dārzkopības vidusskola"</w:t>
            </w:r>
          </w:p>
        </w:tc>
        <w:tc>
          <w:tcPr>
            <w:tcW w:w="2121" w:type="dxa"/>
            <w:tcBorders>
              <w:top w:val="nil"/>
              <w:left w:val="nil"/>
              <w:bottom w:val="single" w:sz="8" w:space="0" w:color="auto"/>
              <w:right w:val="single" w:sz="8" w:space="0" w:color="auto"/>
            </w:tcBorders>
            <w:shd w:val="clear" w:color="auto" w:fill="auto"/>
            <w:noWrap/>
            <w:hideMark/>
          </w:tcPr>
          <w:p w14:paraId="34C2784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845 000</w:t>
            </w:r>
          </w:p>
        </w:tc>
        <w:tc>
          <w:tcPr>
            <w:tcW w:w="2121" w:type="dxa"/>
            <w:tcBorders>
              <w:top w:val="nil"/>
              <w:left w:val="nil"/>
              <w:bottom w:val="single" w:sz="8" w:space="0" w:color="auto"/>
              <w:right w:val="single" w:sz="8" w:space="0" w:color="auto"/>
            </w:tcBorders>
            <w:shd w:val="clear" w:color="auto" w:fill="auto"/>
            <w:noWrap/>
            <w:hideMark/>
          </w:tcPr>
          <w:p w14:paraId="238D270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957 950</w:t>
            </w:r>
          </w:p>
        </w:tc>
        <w:tc>
          <w:tcPr>
            <w:tcW w:w="2177" w:type="dxa"/>
            <w:tcBorders>
              <w:top w:val="nil"/>
              <w:left w:val="nil"/>
              <w:bottom w:val="single" w:sz="8" w:space="0" w:color="auto"/>
              <w:right w:val="single" w:sz="8" w:space="0" w:color="auto"/>
            </w:tcBorders>
            <w:shd w:val="clear" w:color="auto" w:fill="auto"/>
            <w:noWrap/>
            <w:hideMark/>
          </w:tcPr>
          <w:p w14:paraId="791E9B8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-112 950</w:t>
            </w:r>
          </w:p>
        </w:tc>
      </w:tr>
      <w:tr w:rsidR="005E41CA" w:rsidRPr="005E41CA" w14:paraId="53EE934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A83E6E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7</w:t>
            </w:r>
          </w:p>
        </w:tc>
        <w:tc>
          <w:tcPr>
            <w:tcW w:w="6600" w:type="dxa"/>
            <w:tcBorders>
              <w:top w:val="nil"/>
              <w:left w:val="nil"/>
              <w:bottom w:val="single" w:sz="8" w:space="0" w:color="auto"/>
              <w:right w:val="single" w:sz="8" w:space="0" w:color="auto"/>
            </w:tcBorders>
            <w:shd w:val="clear" w:color="auto" w:fill="auto"/>
            <w:noWrap/>
            <w:hideMark/>
          </w:tcPr>
          <w:p w14:paraId="213D336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VAS "Ceļu satiksmes drošības direkcija"</w:t>
            </w:r>
          </w:p>
        </w:tc>
        <w:tc>
          <w:tcPr>
            <w:tcW w:w="2121" w:type="dxa"/>
            <w:tcBorders>
              <w:top w:val="nil"/>
              <w:left w:val="nil"/>
              <w:bottom w:val="single" w:sz="8" w:space="0" w:color="auto"/>
              <w:right w:val="single" w:sz="8" w:space="0" w:color="auto"/>
            </w:tcBorders>
            <w:shd w:val="clear" w:color="auto" w:fill="auto"/>
            <w:noWrap/>
            <w:hideMark/>
          </w:tcPr>
          <w:p w14:paraId="43EB002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59 791 930</w:t>
            </w:r>
          </w:p>
        </w:tc>
        <w:tc>
          <w:tcPr>
            <w:tcW w:w="2121" w:type="dxa"/>
            <w:tcBorders>
              <w:top w:val="nil"/>
              <w:left w:val="nil"/>
              <w:bottom w:val="single" w:sz="8" w:space="0" w:color="auto"/>
              <w:right w:val="single" w:sz="8" w:space="0" w:color="auto"/>
            </w:tcBorders>
            <w:shd w:val="clear" w:color="auto" w:fill="auto"/>
            <w:noWrap/>
            <w:hideMark/>
          </w:tcPr>
          <w:p w14:paraId="2972391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57 318 231</w:t>
            </w:r>
          </w:p>
        </w:tc>
        <w:tc>
          <w:tcPr>
            <w:tcW w:w="2177" w:type="dxa"/>
            <w:tcBorders>
              <w:top w:val="nil"/>
              <w:left w:val="nil"/>
              <w:bottom w:val="single" w:sz="8" w:space="0" w:color="auto"/>
              <w:right w:val="single" w:sz="8" w:space="0" w:color="auto"/>
            </w:tcBorders>
            <w:shd w:val="clear" w:color="auto" w:fill="auto"/>
            <w:noWrap/>
            <w:hideMark/>
          </w:tcPr>
          <w:p w14:paraId="1E057F3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2 473 699</w:t>
            </w:r>
          </w:p>
        </w:tc>
      </w:tr>
      <w:tr w:rsidR="005E41CA" w:rsidRPr="005E41CA" w14:paraId="6226D99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296233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8</w:t>
            </w:r>
          </w:p>
        </w:tc>
        <w:tc>
          <w:tcPr>
            <w:tcW w:w="6600" w:type="dxa"/>
            <w:tcBorders>
              <w:top w:val="nil"/>
              <w:left w:val="nil"/>
              <w:bottom w:val="single" w:sz="8" w:space="0" w:color="auto"/>
              <w:right w:val="single" w:sz="8" w:space="0" w:color="auto"/>
            </w:tcBorders>
            <w:shd w:val="clear" w:color="auto" w:fill="auto"/>
            <w:noWrap/>
            <w:hideMark/>
          </w:tcPr>
          <w:p w14:paraId="54D246A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"Daugavpils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21EC712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24 777 480</w:t>
            </w:r>
          </w:p>
        </w:tc>
        <w:tc>
          <w:tcPr>
            <w:tcW w:w="2121" w:type="dxa"/>
            <w:tcBorders>
              <w:top w:val="nil"/>
              <w:left w:val="nil"/>
              <w:bottom w:val="single" w:sz="8" w:space="0" w:color="auto"/>
              <w:right w:val="single" w:sz="8" w:space="0" w:color="auto"/>
            </w:tcBorders>
            <w:shd w:val="clear" w:color="auto" w:fill="auto"/>
            <w:noWrap/>
            <w:hideMark/>
          </w:tcPr>
          <w:p w14:paraId="06BE77E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25 219 513</w:t>
            </w:r>
          </w:p>
        </w:tc>
        <w:tc>
          <w:tcPr>
            <w:tcW w:w="2177" w:type="dxa"/>
            <w:tcBorders>
              <w:top w:val="nil"/>
              <w:left w:val="nil"/>
              <w:bottom w:val="single" w:sz="8" w:space="0" w:color="auto"/>
              <w:right w:val="single" w:sz="8" w:space="0" w:color="auto"/>
            </w:tcBorders>
            <w:shd w:val="clear" w:color="auto" w:fill="auto"/>
            <w:noWrap/>
            <w:hideMark/>
          </w:tcPr>
          <w:p w14:paraId="540BC23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-442 033</w:t>
            </w:r>
          </w:p>
        </w:tc>
      </w:tr>
      <w:tr w:rsidR="005E41CA" w:rsidRPr="005E41CA" w14:paraId="265FCD82"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776BB1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9</w:t>
            </w:r>
          </w:p>
        </w:tc>
        <w:tc>
          <w:tcPr>
            <w:tcW w:w="6600" w:type="dxa"/>
            <w:tcBorders>
              <w:top w:val="nil"/>
              <w:left w:val="nil"/>
              <w:bottom w:val="single" w:sz="8" w:space="0" w:color="auto"/>
              <w:right w:val="single" w:sz="8" w:space="0" w:color="auto"/>
            </w:tcBorders>
            <w:shd w:val="clear" w:color="auto" w:fill="auto"/>
            <w:noWrap/>
            <w:hideMark/>
          </w:tcPr>
          <w:p w14:paraId="70F3580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"Daugavpils teātris"</w:t>
            </w:r>
          </w:p>
        </w:tc>
        <w:tc>
          <w:tcPr>
            <w:tcW w:w="2121" w:type="dxa"/>
            <w:tcBorders>
              <w:top w:val="nil"/>
              <w:left w:val="nil"/>
              <w:bottom w:val="single" w:sz="8" w:space="0" w:color="auto"/>
              <w:right w:val="single" w:sz="8" w:space="0" w:color="auto"/>
            </w:tcBorders>
            <w:shd w:val="clear" w:color="auto" w:fill="auto"/>
            <w:noWrap/>
            <w:hideMark/>
          </w:tcPr>
          <w:p w14:paraId="428446F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2 168 325</w:t>
            </w:r>
          </w:p>
        </w:tc>
        <w:tc>
          <w:tcPr>
            <w:tcW w:w="2121" w:type="dxa"/>
            <w:tcBorders>
              <w:top w:val="nil"/>
              <w:left w:val="nil"/>
              <w:bottom w:val="single" w:sz="8" w:space="0" w:color="auto"/>
              <w:right w:val="single" w:sz="8" w:space="0" w:color="auto"/>
            </w:tcBorders>
            <w:shd w:val="clear" w:color="auto" w:fill="auto"/>
            <w:noWrap/>
            <w:hideMark/>
          </w:tcPr>
          <w:p w14:paraId="67A2CCC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2 206 253</w:t>
            </w:r>
          </w:p>
        </w:tc>
        <w:tc>
          <w:tcPr>
            <w:tcW w:w="2177" w:type="dxa"/>
            <w:tcBorders>
              <w:top w:val="nil"/>
              <w:left w:val="nil"/>
              <w:bottom w:val="single" w:sz="8" w:space="0" w:color="auto"/>
              <w:right w:val="single" w:sz="8" w:space="0" w:color="auto"/>
            </w:tcBorders>
            <w:shd w:val="clear" w:color="auto" w:fill="auto"/>
            <w:noWrap/>
            <w:hideMark/>
          </w:tcPr>
          <w:p w14:paraId="6B974C8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-37 928</w:t>
            </w:r>
          </w:p>
        </w:tc>
      </w:tr>
      <w:tr w:rsidR="005E41CA" w:rsidRPr="005E41CA" w14:paraId="19A9EC3A"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45BAE7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10</w:t>
            </w:r>
          </w:p>
        </w:tc>
        <w:tc>
          <w:tcPr>
            <w:tcW w:w="6600" w:type="dxa"/>
            <w:tcBorders>
              <w:top w:val="nil"/>
              <w:left w:val="nil"/>
              <w:bottom w:val="single" w:sz="8" w:space="0" w:color="auto"/>
              <w:right w:val="single" w:sz="8" w:space="0" w:color="auto"/>
            </w:tcBorders>
            <w:shd w:val="clear" w:color="auto" w:fill="auto"/>
            <w:noWrap/>
            <w:hideMark/>
          </w:tcPr>
          <w:p w14:paraId="0C402A6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"Enerģijas publiskais tirgotājs"</w:t>
            </w:r>
          </w:p>
        </w:tc>
        <w:tc>
          <w:tcPr>
            <w:tcW w:w="2121" w:type="dxa"/>
            <w:tcBorders>
              <w:top w:val="nil"/>
              <w:left w:val="nil"/>
              <w:bottom w:val="single" w:sz="8" w:space="0" w:color="auto"/>
              <w:right w:val="single" w:sz="8" w:space="0" w:color="auto"/>
            </w:tcBorders>
            <w:shd w:val="clear" w:color="auto" w:fill="auto"/>
            <w:noWrap/>
            <w:hideMark/>
          </w:tcPr>
          <w:p w14:paraId="14A8575D" w14:textId="03C35F44" w:rsidR="005E41CA" w:rsidRPr="005E41CA" w:rsidRDefault="00425D2D" w:rsidP="005E41CA">
            <w:pPr>
              <w:spacing w:after="0"/>
              <w:ind w:firstLine="0"/>
              <w:jc w:val="right"/>
              <w:rPr>
                <w:rFonts w:eastAsia="Times New Roman" w:cs="Times New Roman"/>
                <w:color w:val="000000"/>
                <w:sz w:val="18"/>
                <w:szCs w:val="18"/>
              </w:rPr>
            </w:pPr>
            <w:r>
              <w:rPr>
                <w:rFonts w:eastAsia="Times New Roman" w:cs="Times New Roman"/>
                <w:color w:val="000000"/>
                <w:sz w:val="18"/>
                <w:szCs w:val="18"/>
              </w:rPr>
              <w:t>30 239 964</w:t>
            </w:r>
          </w:p>
        </w:tc>
        <w:tc>
          <w:tcPr>
            <w:tcW w:w="2121" w:type="dxa"/>
            <w:tcBorders>
              <w:top w:val="nil"/>
              <w:left w:val="nil"/>
              <w:bottom w:val="single" w:sz="8" w:space="0" w:color="auto"/>
              <w:right w:val="single" w:sz="8" w:space="0" w:color="auto"/>
            </w:tcBorders>
            <w:shd w:val="clear" w:color="auto" w:fill="auto"/>
            <w:noWrap/>
            <w:hideMark/>
          </w:tcPr>
          <w:p w14:paraId="192C545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71 609 610</w:t>
            </w:r>
          </w:p>
        </w:tc>
        <w:tc>
          <w:tcPr>
            <w:tcW w:w="2177" w:type="dxa"/>
            <w:tcBorders>
              <w:top w:val="nil"/>
              <w:left w:val="nil"/>
              <w:bottom w:val="single" w:sz="8" w:space="0" w:color="auto"/>
              <w:right w:val="single" w:sz="8" w:space="0" w:color="auto"/>
            </w:tcBorders>
            <w:shd w:val="clear" w:color="auto" w:fill="auto"/>
            <w:noWrap/>
            <w:hideMark/>
          </w:tcPr>
          <w:p w14:paraId="54AD5BDC" w14:textId="5EA02C82"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w:t>
            </w:r>
            <w:r w:rsidR="00425D2D">
              <w:rPr>
                <w:rFonts w:eastAsia="Calibri" w:cs="Times New Roman"/>
                <w:sz w:val="18"/>
                <w:szCs w:val="18"/>
                <w:lang w:eastAsia="en-US"/>
              </w:rPr>
              <w:t>41 369 645</w:t>
            </w:r>
          </w:p>
        </w:tc>
      </w:tr>
      <w:tr w:rsidR="005E41CA" w:rsidRPr="005E41CA" w14:paraId="6CBE42E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6D836B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11</w:t>
            </w:r>
          </w:p>
        </w:tc>
        <w:tc>
          <w:tcPr>
            <w:tcW w:w="6600" w:type="dxa"/>
            <w:tcBorders>
              <w:top w:val="nil"/>
              <w:left w:val="nil"/>
              <w:bottom w:val="single" w:sz="8" w:space="0" w:color="auto"/>
              <w:right w:val="single" w:sz="8" w:space="0" w:color="auto"/>
            </w:tcBorders>
            <w:shd w:val="clear" w:color="auto" w:fill="auto"/>
            <w:noWrap/>
            <w:hideMark/>
          </w:tcPr>
          <w:p w14:paraId="4FB8464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FeLM</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6B6BE66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2573FA5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6D583A3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060E8EA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A1A23C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12</w:t>
            </w:r>
          </w:p>
        </w:tc>
        <w:tc>
          <w:tcPr>
            <w:tcW w:w="6600" w:type="dxa"/>
            <w:tcBorders>
              <w:top w:val="nil"/>
              <w:left w:val="nil"/>
              <w:bottom w:val="single" w:sz="8" w:space="0" w:color="auto"/>
              <w:right w:val="single" w:sz="8" w:space="0" w:color="auto"/>
            </w:tcBorders>
            <w:shd w:val="clear" w:color="auto" w:fill="auto"/>
            <w:noWrap/>
            <w:hideMark/>
          </w:tcPr>
          <w:p w14:paraId="37DBBDF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"Slimnīca "</w:t>
            </w:r>
            <w:proofErr w:type="spellStart"/>
            <w:r w:rsidRPr="005E41CA">
              <w:rPr>
                <w:rFonts w:eastAsia="Calibri" w:cs="Times New Roman"/>
                <w:sz w:val="18"/>
                <w:szCs w:val="18"/>
                <w:lang w:eastAsia="en-US"/>
              </w:rPr>
              <w:t>Ģintermuiža</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0412C44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12 301 909</w:t>
            </w:r>
          </w:p>
        </w:tc>
        <w:tc>
          <w:tcPr>
            <w:tcW w:w="2121" w:type="dxa"/>
            <w:tcBorders>
              <w:top w:val="nil"/>
              <w:left w:val="nil"/>
              <w:bottom w:val="single" w:sz="8" w:space="0" w:color="auto"/>
              <w:right w:val="single" w:sz="8" w:space="0" w:color="auto"/>
            </w:tcBorders>
            <w:shd w:val="clear" w:color="auto" w:fill="auto"/>
            <w:noWrap/>
            <w:hideMark/>
          </w:tcPr>
          <w:p w14:paraId="5F00D00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12 445 492</w:t>
            </w:r>
          </w:p>
        </w:tc>
        <w:tc>
          <w:tcPr>
            <w:tcW w:w="2177" w:type="dxa"/>
            <w:tcBorders>
              <w:top w:val="nil"/>
              <w:left w:val="nil"/>
              <w:bottom w:val="single" w:sz="8" w:space="0" w:color="auto"/>
              <w:right w:val="single" w:sz="8" w:space="0" w:color="auto"/>
            </w:tcBorders>
            <w:shd w:val="clear" w:color="auto" w:fill="auto"/>
            <w:noWrap/>
            <w:hideMark/>
          </w:tcPr>
          <w:p w14:paraId="3D3A710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-143 583</w:t>
            </w:r>
          </w:p>
        </w:tc>
      </w:tr>
      <w:tr w:rsidR="005E41CA" w:rsidRPr="005E41CA" w14:paraId="494DED6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784761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13</w:t>
            </w:r>
          </w:p>
        </w:tc>
        <w:tc>
          <w:tcPr>
            <w:tcW w:w="6600" w:type="dxa"/>
            <w:tcBorders>
              <w:top w:val="nil"/>
              <w:left w:val="nil"/>
              <w:bottom w:val="single" w:sz="8" w:space="0" w:color="auto"/>
              <w:right w:val="single" w:sz="8" w:space="0" w:color="auto"/>
            </w:tcBorders>
            <w:shd w:val="clear" w:color="auto" w:fill="auto"/>
            <w:hideMark/>
          </w:tcPr>
          <w:p w14:paraId="2FB311C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w:t>
            </w:r>
            <w:proofErr w:type="spellStart"/>
            <w:r w:rsidRPr="005E41CA">
              <w:rPr>
                <w:rFonts w:eastAsia="Calibri" w:cs="Times New Roman"/>
                <w:sz w:val="18"/>
                <w:szCs w:val="18"/>
                <w:lang w:eastAsia="en-US"/>
              </w:rPr>
              <w:t>Iekšlietu</w:t>
            </w:r>
            <w:proofErr w:type="spellEnd"/>
            <w:r w:rsidRPr="005E41CA">
              <w:rPr>
                <w:rFonts w:eastAsia="Calibri" w:cs="Times New Roman"/>
                <w:sz w:val="18"/>
                <w:szCs w:val="18"/>
                <w:lang w:eastAsia="en-US"/>
              </w:rPr>
              <w:t xml:space="preserve"> ministrijas poliklīnika"</w:t>
            </w:r>
          </w:p>
        </w:tc>
        <w:tc>
          <w:tcPr>
            <w:tcW w:w="2121" w:type="dxa"/>
            <w:tcBorders>
              <w:top w:val="nil"/>
              <w:left w:val="nil"/>
              <w:bottom w:val="single" w:sz="8" w:space="0" w:color="auto"/>
              <w:right w:val="single" w:sz="8" w:space="0" w:color="auto"/>
            </w:tcBorders>
            <w:shd w:val="clear" w:color="auto" w:fill="auto"/>
            <w:noWrap/>
            <w:hideMark/>
          </w:tcPr>
          <w:p w14:paraId="03BD7C1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2 998 250</w:t>
            </w:r>
          </w:p>
        </w:tc>
        <w:tc>
          <w:tcPr>
            <w:tcW w:w="2121" w:type="dxa"/>
            <w:tcBorders>
              <w:top w:val="nil"/>
              <w:left w:val="nil"/>
              <w:bottom w:val="single" w:sz="8" w:space="0" w:color="auto"/>
              <w:right w:val="single" w:sz="8" w:space="0" w:color="auto"/>
            </w:tcBorders>
            <w:shd w:val="clear" w:color="auto" w:fill="auto"/>
            <w:noWrap/>
            <w:hideMark/>
          </w:tcPr>
          <w:p w14:paraId="174D9FA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2 969 250</w:t>
            </w:r>
          </w:p>
        </w:tc>
        <w:tc>
          <w:tcPr>
            <w:tcW w:w="2177" w:type="dxa"/>
            <w:tcBorders>
              <w:top w:val="nil"/>
              <w:left w:val="nil"/>
              <w:bottom w:val="single" w:sz="8" w:space="0" w:color="auto"/>
              <w:right w:val="single" w:sz="8" w:space="0" w:color="auto"/>
            </w:tcBorders>
            <w:shd w:val="clear" w:color="auto" w:fill="auto"/>
            <w:noWrap/>
            <w:hideMark/>
          </w:tcPr>
          <w:p w14:paraId="17F2665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29 000</w:t>
            </w:r>
          </w:p>
        </w:tc>
      </w:tr>
      <w:tr w:rsidR="005E41CA" w:rsidRPr="005E41CA" w14:paraId="025583D2"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D9A612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14</w:t>
            </w:r>
          </w:p>
        </w:tc>
        <w:tc>
          <w:tcPr>
            <w:tcW w:w="6600" w:type="dxa"/>
            <w:tcBorders>
              <w:top w:val="nil"/>
              <w:left w:val="nil"/>
              <w:bottom w:val="single" w:sz="8" w:space="0" w:color="auto"/>
              <w:right w:val="single" w:sz="8" w:space="0" w:color="auto"/>
            </w:tcBorders>
            <w:shd w:val="clear" w:color="auto" w:fill="auto"/>
            <w:hideMark/>
          </w:tcPr>
          <w:p w14:paraId="368E57A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w:t>
            </w:r>
            <w:proofErr w:type="spellStart"/>
            <w:r w:rsidRPr="005E41CA">
              <w:rPr>
                <w:rFonts w:eastAsia="Calibri" w:cs="Times New Roman"/>
                <w:sz w:val="18"/>
                <w:szCs w:val="18"/>
                <w:lang w:eastAsia="en-US"/>
              </w:rPr>
              <w:t>LatRailNet</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0DC69CB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1 551 000</w:t>
            </w:r>
          </w:p>
        </w:tc>
        <w:tc>
          <w:tcPr>
            <w:tcW w:w="2121" w:type="dxa"/>
            <w:tcBorders>
              <w:top w:val="nil"/>
              <w:left w:val="nil"/>
              <w:bottom w:val="single" w:sz="8" w:space="0" w:color="auto"/>
              <w:right w:val="single" w:sz="8" w:space="0" w:color="auto"/>
            </w:tcBorders>
            <w:shd w:val="clear" w:color="auto" w:fill="auto"/>
            <w:noWrap/>
            <w:hideMark/>
          </w:tcPr>
          <w:p w14:paraId="177788B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1 551 000</w:t>
            </w:r>
          </w:p>
        </w:tc>
        <w:tc>
          <w:tcPr>
            <w:tcW w:w="2177" w:type="dxa"/>
            <w:tcBorders>
              <w:top w:val="nil"/>
              <w:left w:val="nil"/>
              <w:bottom w:val="single" w:sz="8" w:space="0" w:color="auto"/>
              <w:right w:val="single" w:sz="8" w:space="0" w:color="auto"/>
            </w:tcBorders>
            <w:shd w:val="clear" w:color="auto" w:fill="auto"/>
            <w:noWrap/>
            <w:hideMark/>
          </w:tcPr>
          <w:p w14:paraId="5FC421E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2DA21C7D"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5AECE2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15</w:t>
            </w:r>
          </w:p>
        </w:tc>
        <w:tc>
          <w:tcPr>
            <w:tcW w:w="6600" w:type="dxa"/>
            <w:tcBorders>
              <w:top w:val="nil"/>
              <w:left w:val="nil"/>
              <w:bottom w:val="single" w:sz="8" w:space="0" w:color="auto"/>
              <w:right w:val="single" w:sz="8" w:space="0" w:color="auto"/>
            </w:tcBorders>
            <w:shd w:val="clear" w:color="auto" w:fill="auto"/>
            <w:noWrap/>
            <w:hideMark/>
          </w:tcPr>
          <w:p w14:paraId="3E27973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"Valsts Akadēmiskais koris "Latvija""</w:t>
            </w:r>
          </w:p>
        </w:tc>
        <w:tc>
          <w:tcPr>
            <w:tcW w:w="2121" w:type="dxa"/>
            <w:tcBorders>
              <w:top w:val="nil"/>
              <w:left w:val="nil"/>
              <w:bottom w:val="single" w:sz="8" w:space="0" w:color="auto"/>
              <w:right w:val="single" w:sz="8" w:space="0" w:color="auto"/>
            </w:tcBorders>
            <w:shd w:val="clear" w:color="auto" w:fill="auto"/>
            <w:noWrap/>
            <w:hideMark/>
          </w:tcPr>
          <w:p w14:paraId="0FE1232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137 500</w:t>
            </w:r>
          </w:p>
        </w:tc>
        <w:tc>
          <w:tcPr>
            <w:tcW w:w="2121" w:type="dxa"/>
            <w:tcBorders>
              <w:top w:val="nil"/>
              <w:left w:val="nil"/>
              <w:bottom w:val="single" w:sz="8" w:space="0" w:color="auto"/>
              <w:right w:val="single" w:sz="8" w:space="0" w:color="auto"/>
            </w:tcBorders>
            <w:shd w:val="clear" w:color="auto" w:fill="auto"/>
            <w:noWrap/>
            <w:hideMark/>
          </w:tcPr>
          <w:p w14:paraId="4B0E408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135 500</w:t>
            </w:r>
          </w:p>
        </w:tc>
        <w:tc>
          <w:tcPr>
            <w:tcW w:w="2177" w:type="dxa"/>
            <w:tcBorders>
              <w:top w:val="nil"/>
              <w:left w:val="nil"/>
              <w:bottom w:val="single" w:sz="8" w:space="0" w:color="auto"/>
              <w:right w:val="single" w:sz="8" w:space="0" w:color="auto"/>
            </w:tcBorders>
            <w:shd w:val="clear" w:color="auto" w:fill="auto"/>
            <w:noWrap/>
            <w:hideMark/>
          </w:tcPr>
          <w:p w14:paraId="7CCF093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2 000</w:t>
            </w:r>
          </w:p>
        </w:tc>
      </w:tr>
      <w:tr w:rsidR="005E41CA" w:rsidRPr="005E41CA" w14:paraId="6ED806C2"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F2BAB3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16</w:t>
            </w:r>
          </w:p>
        </w:tc>
        <w:tc>
          <w:tcPr>
            <w:tcW w:w="6600" w:type="dxa"/>
            <w:tcBorders>
              <w:top w:val="nil"/>
              <w:left w:val="nil"/>
              <w:bottom w:val="single" w:sz="8" w:space="0" w:color="auto"/>
              <w:right w:val="single" w:sz="8" w:space="0" w:color="auto"/>
            </w:tcBorders>
            <w:shd w:val="clear" w:color="auto" w:fill="auto"/>
            <w:noWrap/>
            <w:hideMark/>
          </w:tcPr>
          <w:p w14:paraId="09546BF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 xml:space="preserve">VAS "Latvijas Attīstības finanšu institūcija </w:t>
            </w:r>
            <w:proofErr w:type="spellStart"/>
            <w:r w:rsidRPr="005E41CA">
              <w:rPr>
                <w:rFonts w:eastAsia="Calibri" w:cs="Times New Roman"/>
                <w:sz w:val="18"/>
                <w:szCs w:val="18"/>
                <w:lang w:eastAsia="en-US"/>
              </w:rPr>
              <w:t>Altum</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06BDEC4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40 105 066</w:t>
            </w:r>
          </w:p>
        </w:tc>
        <w:tc>
          <w:tcPr>
            <w:tcW w:w="2121" w:type="dxa"/>
            <w:tcBorders>
              <w:top w:val="nil"/>
              <w:left w:val="nil"/>
              <w:bottom w:val="single" w:sz="8" w:space="0" w:color="auto"/>
              <w:right w:val="single" w:sz="8" w:space="0" w:color="auto"/>
            </w:tcBorders>
            <w:shd w:val="clear" w:color="auto" w:fill="auto"/>
            <w:noWrap/>
            <w:hideMark/>
          </w:tcPr>
          <w:p w14:paraId="3F1DE63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31 478 584</w:t>
            </w:r>
          </w:p>
        </w:tc>
        <w:tc>
          <w:tcPr>
            <w:tcW w:w="2177" w:type="dxa"/>
            <w:tcBorders>
              <w:top w:val="nil"/>
              <w:left w:val="nil"/>
              <w:bottom w:val="single" w:sz="8" w:space="0" w:color="auto"/>
              <w:right w:val="single" w:sz="8" w:space="0" w:color="auto"/>
            </w:tcBorders>
            <w:shd w:val="clear" w:color="auto" w:fill="auto"/>
            <w:noWrap/>
            <w:hideMark/>
          </w:tcPr>
          <w:p w14:paraId="79167D7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8 626 482</w:t>
            </w:r>
          </w:p>
        </w:tc>
      </w:tr>
      <w:tr w:rsidR="005E41CA" w:rsidRPr="005E41CA" w14:paraId="6609C5E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0883A1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17</w:t>
            </w:r>
          </w:p>
        </w:tc>
        <w:tc>
          <w:tcPr>
            <w:tcW w:w="6600" w:type="dxa"/>
            <w:tcBorders>
              <w:top w:val="nil"/>
              <w:left w:val="nil"/>
              <w:bottom w:val="single" w:sz="8" w:space="0" w:color="auto"/>
              <w:right w:val="single" w:sz="8" w:space="0" w:color="auto"/>
            </w:tcBorders>
            <w:shd w:val="clear" w:color="auto" w:fill="auto"/>
            <w:noWrap/>
            <w:hideMark/>
          </w:tcPr>
          <w:p w14:paraId="3529305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VAS "Latvijas autoceļu uzturētājs"</w:t>
            </w:r>
          </w:p>
        </w:tc>
        <w:tc>
          <w:tcPr>
            <w:tcW w:w="2121" w:type="dxa"/>
            <w:tcBorders>
              <w:top w:val="nil"/>
              <w:left w:val="nil"/>
              <w:bottom w:val="single" w:sz="8" w:space="0" w:color="auto"/>
              <w:right w:val="single" w:sz="8" w:space="0" w:color="auto"/>
            </w:tcBorders>
            <w:shd w:val="clear" w:color="auto" w:fill="auto"/>
            <w:noWrap/>
            <w:hideMark/>
          </w:tcPr>
          <w:p w14:paraId="0830451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89 178 090</w:t>
            </w:r>
          </w:p>
        </w:tc>
        <w:tc>
          <w:tcPr>
            <w:tcW w:w="2121" w:type="dxa"/>
            <w:tcBorders>
              <w:top w:val="nil"/>
              <w:left w:val="nil"/>
              <w:bottom w:val="single" w:sz="8" w:space="0" w:color="auto"/>
              <w:right w:val="single" w:sz="8" w:space="0" w:color="auto"/>
            </w:tcBorders>
            <w:shd w:val="clear" w:color="auto" w:fill="auto"/>
            <w:noWrap/>
            <w:hideMark/>
          </w:tcPr>
          <w:p w14:paraId="3ED626E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87 647 390</w:t>
            </w:r>
          </w:p>
        </w:tc>
        <w:tc>
          <w:tcPr>
            <w:tcW w:w="2177" w:type="dxa"/>
            <w:tcBorders>
              <w:top w:val="nil"/>
              <w:left w:val="nil"/>
              <w:bottom w:val="single" w:sz="8" w:space="0" w:color="auto"/>
              <w:right w:val="single" w:sz="8" w:space="0" w:color="auto"/>
            </w:tcBorders>
            <w:shd w:val="clear" w:color="auto" w:fill="auto"/>
            <w:noWrap/>
            <w:hideMark/>
          </w:tcPr>
          <w:p w14:paraId="389FD06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1 530 700</w:t>
            </w:r>
          </w:p>
        </w:tc>
      </w:tr>
      <w:tr w:rsidR="005E41CA" w:rsidRPr="005E41CA" w14:paraId="07CF681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FF9C5E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18</w:t>
            </w:r>
          </w:p>
        </w:tc>
        <w:tc>
          <w:tcPr>
            <w:tcW w:w="6600" w:type="dxa"/>
            <w:tcBorders>
              <w:top w:val="nil"/>
              <w:left w:val="nil"/>
              <w:bottom w:val="single" w:sz="8" w:space="0" w:color="auto"/>
              <w:right w:val="single" w:sz="8" w:space="0" w:color="auto"/>
            </w:tcBorders>
            <w:shd w:val="clear" w:color="auto" w:fill="auto"/>
            <w:noWrap/>
            <w:hideMark/>
          </w:tcPr>
          <w:p w14:paraId="4C2ABF8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Koncerti"</w:t>
            </w:r>
          </w:p>
        </w:tc>
        <w:tc>
          <w:tcPr>
            <w:tcW w:w="2121" w:type="dxa"/>
            <w:tcBorders>
              <w:top w:val="nil"/>
              <w:left w:val="nil"/>
              <w:bottom w:val="single" w:sz="8" w:space="0" w:color="auto"/>
              <w:right w:val="single" w:sz="8" w:space="0" w:color="auto"/>
            </w:tcBorders>
            <w:shd w:val="clear" w:color="auto" w:fill="auto"/>
            <w:noWrap/>
            <w:hideMark/>
          </w:tcPr>
          <w:p w14:paraId="1F01B0B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4 740 500</w:t>
            </w:r>
          </w:p>
        </w:tc>
        <w:tc>
          <w:tcPr>
            <w:tcW w:w="2121" w:type="dxa"/>
            <w:tcBorders>
              <w:top w:val="nil"/>
              <w:left w:val="nil"/>
              <w:bottom w:val="single" w:sz="8" w:space="0" w:color="auto"/>
              <w:right w:val="single" w:sz="8" w:space="0" w:color="auto"/>
            </w:tcBorders>
            <w:shd w:val="clear" w:color="auto" w:fill="auto"/>
            <w:noWrap/>
            <w:hideMark/>
          </w:tcPr>
          <w:p w14:paraId="1EE5828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4 714 000</w:t>
            </w:r>
          </w:p>
        </w:tc>
        <w:tc>
          <w:tcPr>
            <w:tcW w:w="2177" w:type="dxa"/>
            <w:tcBorders>
              <w:top w:val="nil"/>
              <w:left w:val="nil"/>
              <w:bottom w:val="single" w:sz="8" w:space="0" w:color="auto"/>
              <w:right w:val="single" w:sz="8" w:space="0" w:color="auto"/>
            </w:tcBorders>
            <w:shd w:val="clear" w:color="auto" w:fill="auto"/>
            <w:noWrap/>
            <w:hideMark/>
          </w:tcPr>
          <w:p w14:paraId="65CD15E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26 500</w:t>
            </w:r>
          </w:p>
        </w:tc>
      </w:tr>
      <w:tr w:rsidR="005E41CA" w:rsidRPr="005E41CA" w14:paraId="5B96067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AD7F96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19</w:t>
            </w:r>
          </w:p>
        </w:tc>
        <w:tc>
          <w:tcPr>
            <w:tcW w:w="6600" w:type="dxa"/>
            <w:tcBorders>
              <w:top w:val="nil"/>
              <w:left w:val="nil"/>
              <w:bottom w:val="single" w:sz="8" w:space="0" w:color="auto"/>
              <w:right w:val="single" w:sz="8" w:space="0" w:color="auto"/>
            </w:tcBorders>
            <w:shd w:val="clear" w:color="auto" w:fill="auto"/>
            <w:noWrap/>
            <w:hideMark/>
          </w:tcPr>
          <w:p w14:paraId="0A883BE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Leļļu teātris"</w:t>
            </w:r>
          </w:p>
        </w:tc>
        <w:tc>
          <w:tcPr>
            <w:tcW w:w="2121" w:type="dxa"/>
            <w:tcBorders>
              <w:top w:val="nil"/>
              <w:left w:val="nil"/>
              <w:bottom w:val="single" w:sz="8" w:space="0" w:color="auto"/>
              <w:right w:val="single" w:sz="8" w:space="0" w:color="auto"/>
            </w:tcBorders>
            <w:shd w:val="clear" w:color="auto" w:fill="auto"/>
            <w:noWrap/>
            <w:hideMark/>
          </w:tcPr>
          <w:p w14:paraId="276F42C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705 000</w:t>
            </w:r>
          </w:p>
        </w:tc>
        <w:tc>
          <w:tcPr>
            <w:tcW w:w="2121" w:type="dxa"/>
            <w:tcBorders>
              <w:top w:val="nil"/>
              <w:left w:val="nil"/>
              <w:bottom w:val="single" w:sz="8" w:space="0" w:color="auto"/>
              <w:right w:val="single" w:sz="8" w:space="0" w:color="auto"/>
            </w:tcBorders>
            <w:shd w:val="clear" w:color="auto" w:fill="auto"/>
            <w:noWrap/>
            <w:hideMark/>
          </w:tcPr>
          <w:p w14:paraId="7261535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700 200</w:t>
            </w:r>
          </w:p>
        </w:tc>
        <w:tc>
          <w:tcPr>
            <w:tcW w:w="2177" w:type="dxa"/>
            <w:tcBorders>
              <w:top w:val="nil"/>
              <w:left w:val="nil"/>
              <w:bottom w:val="single" w:sz="8" w:space="0" w:color="auto"/>
              <w:right w:val="single" w:sz="8" w:space="0" w:color="auto"/>
            </w:tcBorders>
            <w:shd w:val="clear" w:color="auto" w:fill="auto"/>
            <w:noWrap/>
            <w:hideMark/>
          </w:tcPr>
          <w:p w14:paraId="1AC6E6E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4 800</w:t>
            </w:r>
          </w:p>
        </w:tc>
      </w:tr>
      <w:tr w:rsidR="005E41CA" w:rsidRPr="005E41CA" w14:paraId="738BC95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582BA1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20</w:t>
            </w:r>
          </w:p>
        </w:tc>
        <w:tc>
          <w:tcPr>
            <w:tcW w:w="6600" w:type="dxa"/>
            <w:tcBorders>
              <w:top w:val="nil"/>
              <w:left w:val="nil"/>
              <w:bottom w:val="single" w:sz="8" w:space="0" w:color="auto"/>
              <w:right w:val="single" w:sz="8" w:space="0" w:color="auto"/>
            </w:tcBorders>
            <w:shd w:val="clear" w:color="auto" w:fill="auto"/>
            <w:noWrap/>
            <w:hideMark/>
          </w:tcPr>
          <w:p w14:paraId="2329699C"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Nacionālais simfoniskais orķestris"</w:t>
            </w:r>
          </w:p>
        </w:tc>
        <w:tc>
          <w:tcPr>
            <w:tcW w:w="2121" w:type="dxa"/>
            <w:tcBorders>
              <w:top w:val="nil"/>
              <w:left w:val="nil"/>
              <w:bottom w:val="single" w:sz="8" w:space="0" w:color="auto"/>
              <w:right w:val="single" w:sz="8" w:space="0" w:color="auto"/>
            </w:tcBorders>
            <w:shd w:val="clear" w:color="auto" w:fill="auto"/>
            <w:noWrap/>
            <w:hideMark/>
          </w:tcPr>
          <w:p w14:paraId="06C53F1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3 070 000</w:t>
            </w:r>
          </w:p>
        </w:tc>
        <w:tc>
          <w:tcPr>
            <w:tcW w:w="2121" w:type="dxa"/>
            <w:tcBorders>
              <w:top w:val="nil"/>
              <w:left w:val="nil"/>
              <w:bottom w:val="single" w:sz="8" w:space="0" w:color="auto"/>
              <w:right w:val="single" w:sz="8" w:space="0" w:color="auto"/>
            </w:tcBorders>
            <w:shd w:val="clear" w:color="auto" w:fill="auto"/>
            <w:noWrap/>
            <w:hideMark/>
          </w:tcPr>
          <w:p w14:paraId="58114E4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3 069 860</w:t>
            </w:r>
          </w:p>
        </w:tc>
        <w:tc>
          <w:tcPr>
            <w:tcW w:w="2177" w:type="dxa"/>
            <w:tcBorders>
              <w:top w:val="nil"/>
              <w:left w:val="nil"/>
              <w:bottom w:val="single" w:sz="8" w:space="0" w:color="auto"/>
              <w:right w:val="single" w:sz="8" w:space="0" w:color="auto"/>
            </w:tcBorders>
            <w:shd w:val="clear" w:color="auto" w:fill="auto"/>
            <w:noWrap/>
            <w:hideMark/>
          </w:tcPr>
          <w:p w14:paraId="2AF4271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140</w:t>
            </w:r>
          </w:p>
        </w:tc>
      </w:tr>
      <w:tr w:rsidR="005E41CA" w:rsidRPr="005E41CA" w14:paraId="7B91948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4B8B6D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21</w:t>
            </w:r>
          </w:p>
        </w:tc>
        <w:tc>
          <w:tcPr>
            <w:tcW w:w="6600" w:type="dxa"/>
            <w:tcBorders>
              <w:top w:val="nil"/>
              <w:left w:val="nil"/>
              <w:bottom w:val="single" w:sz="8" w:space="0" w:color="auto"/>
              <w:right w:val="single" w:sz="8" w:space="0" w:color="auto"/>
            </w:tcBorders>
            <w:shd w:val="clear" w:color="auto" w:fill="auto"/>
            <w:noWrap/>
            <w:hideMark/>
          </w:tcPr>
          <w:p w14:paraId="4D4C6AF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"Latvijas Nacionālais sporta centrs"</w:t>
            </w:r>
          </w:p>
        </w:tc>
        <w:tc>
          <w:tcPr>
            <w:tcW w:w="2121" w:type="dxa"/>
            <w:tcBorders>
              <w:top w:val="nil"/>
              <w:left w:val="nil"/>
              <w:bottom w:val="single" w:sz="8" w:space="0" w:color="auto"/>
              <w:right w:val="single" w:sz="8" w:space="0" w:color="auto"/>
            </w:tcBorders>
            <w:shd w:val="clear" w:color="auto" w:fill="auto"/>
            <w:noWrap/>
            <w:hideMark/>
          </w:tcPr>
          <w:p w14:paraId="07AF88E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4 949 534</w:t>
            </w:r>
          </w:p>
        </w:tc>
        <w:tc>
          <w:tcPr>
            <w:tcW w:w="2121" w:type="dxa"/>
            <w:tcBorders>
              <w:top w:val="nil"/>
              <w:left w:val="nil"/>
              <w:bottom w:val="single" w:sz="8" w:space="0" w:color="auto"/>
              <w:right w:val="single" w:sz="8" w:space="0" w:color="auto"/>
            </w:tcBorders>
            <w:shd w:val="clear" w:color="auto" w:fill="auto"/>
            <w:noWrap/>
            <w:hideMark/>
          </w:tcPr>
          <w:p w14:paraId="7423C83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5 263 809</w:t>
            </w:r>
          </w:p>
        </w:tc>
        <w:tc>
          <w:tcPr>
            <w:tcW w:w="2177" w:type="dxa"/>
            <w:tcBorders>
              <w:top w:val="nil"/>
              <w:left w:val="nil"/>
              <w:bottom w:val="single" w:sz="8" w:space="0" w:color="auto"/>
              <w:right w:val="single" w:sz="8" w:space="0" w:color="auto"/>
            </w:tcBorders>
            <w:shd w:val="clear" w:color="auto" w:fill="auto"/>
            <w:noWrap/>
            <w:hideMark/>
          </w:tcPr>
          <w:p w14:paraId="1BC54FC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-314 275</w:t>
            </w:r>
          </w:p>
        </w:tc>
      </w:tr>
      <w:tr w:rsidR="005E41CA" w:rsidRPr="005E41CA" w14:paraId="3127FFA7"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AFBCAB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22</w:t>
            </w:r>
          </w:p>
        </w:tc>
        <w:tc>
          <w:tcPr>
            <w:tcW w:w="6600" w:type="dxa"/>
            <w:tcBorders>
              <w:top w:val="nil"/>
              <w:left w:val="nil"/>
              <w:bottom w:val="single" w:sz="8" w:space="0" w:color="auto"/>
              <w:right w:val="single" w:sz="8" w:space="0" w:color="auto"/>
            </w:tcBorders>
            <w:shd w:val="clear" w:color="auto" w:fill="auto"/>
            <w:noWrap/>
            <w:hideMark/>
          </w:tcPr>
          <w:p w14:paraId="489CE05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Nacionālais teātris"</w:t>
            </w:r>
          </w:p>
        </w:tc>
        <w:tc>
          <w:tcPr>
            <w:tcW w:w="2121" w:type="dxa"/>
            <w:tcBorders>
              <w:top w:val="nil"/>
              <w:left w:val="nil"/>
              <w:bottom w:val="single" w:sz="8" w:space="0" w:color="auto"/>
              <w:right w:val="single" w:sz="8" w:space="0" w:color="auto"/>
            </w:tcBorders>
            <w:shd w:val="clear" w:color="auto" w:fill="auto"/>
            <w:noWrap/>
            <w:hideMark/>
          </w:tcPr>
          <w:p w14:paraId="455842B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5 777 000</w:t>
            </w:r>
          </w:p>
        </w:tc>
        <w:tc>
          <w:tcPr>
            <w:tcW w:w="2121" w:type="dxa"/>
            <w:tcBorders>
              <w:top w:val="nil"/>
              <w:left w:val="nil"/>
              <w:bottom w:val="single" w:sz="8" w:space="0" w:color="auto"/>
              <w:right w:val="single" w:sz="8" w:space="0" w:color="auto"/>
            </w:tcBorders>
            <w:shd w:val="clear" w:color="auto" w:fill="auto"/>
            <w:noWrap/>
            <w:hideMark/>
          </w:tcPr>
          <w:p w14:paraId="6604A57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5 764 000</w:t>
            </w:r>
          </w:p>
        </w:tc>
        <w:tc>
          <w:tcPr>
            <w:tcW w:w="2177" w:type="dxa"/>
            <w:tcBorders>
              <w:top w:val="nil"/>
              <w:left w:val="nil"/>
              <w:bottom w:val="single" w:sz="8" w:space="0" w:color="auto"/>
              <w:right w:val="single" w:sz="8" w:space="0" w:color="auto"/>
            </w:tcBorders>
            <w:shd w:val="clear" w:color="auto" w:fill="auto"/>
            <w:noWrap/>
            <w:hideMark/>
          </w:tcPr>
          <w:p w14:paraId="5B4CECD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13 000</w:t>
            </w:r>
          </w:p>
        </w:tc>
      </w:tr>
      <w:tr w:rsidR="005E41CA" w:rsidRPr="005E41CA" w14:paraId="71623B1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6877EE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23</w:t>
            </w:r>
          </w:p>
        </w:tc>
        <w:tc>
          <w:tcPr>
            <w:tcW w:w="6600" w:type="dxa"/>
            <w:tcBorders>
              <w:top w:val="nil"/>
              <w:left w:val="nil"/>
              <w:bottom w:val="single" w:sz="8" w:space="0" w:color="auto"/>
              <w:right w:val="single" w:sz="8" w:space="0" w:color="auto"/>
            </w:tcBorders>
            <w:shd w:val="clear" w:color="auto" w:fill="auto"/>
            <w:noWrap/>
            <w:hideMark/>
          </w:tcPr>
          <w:p w14:paraId="771D8BC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Nacionālā opera un balets"</w:t>
            </w:r>
          </w:p>
        </w:tc>
        <w:tc>
          <w:tcPr>
            <w:tcW w:w="2121" w:type="dxa"/>
            <w:tcBorders>
              <w:top w:val="nil"/>
              <w:left w:val="nil"/>
              <w:bottom w:val="single" w:sz="8" w:space="0" w:color="auto"/>
              <w:right w:val="single" w:sz="8" w:space="0" w:color="auto"/>
            </w:tcBorders>
            <w:shd w:val="clear" w:color="auto" w:fill="auto"/>
            <w:noWrap/>
            <w:hideMark/>
          </w:tcPr>
          <w:p w14:paraId="43888C9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3 777 000</w:t>
            </w:r>
          </w:p>
        </w:tc>
        <w:tc>
          <w:tcPr>
            <w:tcW w:w="2121" w:type="dxa"/>
            <w:tcBorders>
              <w:top w:val="nil"/>
              <w:left w:val="nil"/>
              <w:bottom w:val="single" w:sz="8" w:space="0" w:color="auto"/>
              <w:right w:val="single" w:sz="8" w:space="0" w:color="auto"/>
            </w:tcBorders>
            <w:shd w:val="clear" w:color="auto" w:fill="auto"/>
            <w:noWrap/>
            <w:hideMark/>
          </w:tcPr>
          <w:p w14:paraId="688740C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3 767 000</w:t>
            </w:r>
          </w:p>
        </w:tc>
        <w:tc>
          <w:tcPr>
            <w:tcW w:w="2177" w:type="dxa"/>
            <w:tcBorders>
              <w:top w:val="nil"/>
              <w:left w:val="nil"/>
              <w:bottom w:val="single" w:sz="8" w:space="0" w:color="auto"/>
              <w:right w:val="single" w:sz="8" w:space="0" w:color="auto"/>
            </w:tcBorders>
            <w:shd w:val="clear" w:color="auto" w:fill="auto"/>
            <w:noWrap/>
            <w:hideMark/>
          </w:tcPr>
          <w:p w14:paraId="27CCA85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10 000</w:t>
            </w:r>
          </w:p>
        </w:tc>
      </w:tr>
      <w:tr w:rsidR="005E41CA" w:rsidRPr="005E41CA" w14:paraId="0333BACA"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080B68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24</w:t>
            </w:r>
          </w:p>
        </w:tc>
        <w:tc>
          <w:tcPr>
            <w:tcW w:w="6600" w:type="dxa"/>
            <w:tcBorders>
              <w:top w:val="nil"/>
              <w:left w:val="nil"/>
              <w:bottom w:val="single" w:sz="8" w:space="0" w:color="auto"/>
              <w:right w:val="single" w:sz="8" w:space="0" w:color="auto"/>
            </w:tcBorders>
            <w:shd w:val="clear" w:color="auto" w:fill="auto"/>
            <w:noWrap/>
            <w:hideMark/>
          </w:tcPr>
          <w:p w14:paraId="44E6E0C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Proves birojs"</w:t>
            </w:r>
          </w:p>
        </w:tc>
        <w:tc>
          <w:tcPr>
            <w:tcW w:w="2121" w:type="dxa"/>
            <w:tcBorders>
              <w:top w:val="nil"/>
              <w:left w:val="nil"/>
              <w:bottom w:val="single" w:sz="8" w:space="0" w:color="auto"/>
              <w:right w:val="single" w:sz="8" w:space="0" w:color="auto"/>
            </w:tcBorders>
            <w:shd w:val="clear" w:color="auto" w:fill="auto"/>
            <w:noWrap/>
            <w:hideMark/>
          </w:tcPr>
          <w:p w14:paraId="6849678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640 000</w:t>
            </w:r>
          </w:p>
        </w:tc>
        <w:tc>
          <w:tcPr>
            <w:tcW w:w="2121" w:type="dxa"/>
            <w:tcBorders>
              <w:top w:val="nil"/>
              <w:left w:val="nil"/>
              <w:bottom w:val="single" w:sz="8" w:space="0" w:color="auto"/>
              <w:right w:val="single" w:sz="8" w:space="0" w:color="auto"/>
            </w:tcBorders>
            <w:shd w:val="clear" w:color="auto" w:fill="auto"/>
            <w:noWrap/>
            <w:hideMark/>
          </w:tcPr>
          <w:p w14:paraId="6315022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630 000</w:t>
            </w:r>
          </w:p>
        </w:tc>
        <w:tc>
          <w:tcPr>
            <w:tcW w:w="2177" w:type="dxa"/>
            <w:tcBorders>
              <w:top w:val="nil"/>
              <w:left w:val="nil"/>
              <w:bottom w:val="single" w:sz="8" w:space="0" w:color="auto"/>
              <w:right w:val="single" w:sz="8" w:space="0" w:color="auto"/>
            </w:tcBorders>
            <w:shd w:val="clear" w:color="auto" w:fill="auto"/>
            <w:noWrap/>
            <w:hideMark/>
          </w:tcPr>
          <w:p w14:paraId="38006BC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10 000</w:t>
            </w:r>
          </w:p>
        </w:tc>
      </w:tr>
      <w:tr w:rsidR="005E41CA" w:rsidRPr="005E41CA" w14:paraId="79A2CF0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29196C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25</w:t>
            </w:r>
          </w:p>
        </w:tc>
        <w:tc>
          <w:tcPr>
            <w:tcW w:w="6600" w:type="dxa"/>
            <w:tcBorders>
              <w:top w:val="nil"/>
              <w:left w:val="nil"/>
              <w:bottom w:val="single" w:sz="8" w:space="0" w:color="auto"/>
              <w:right w:val="single" w:sz="8" w:space="0" w:color="auto"/>
            </w:tcBorders>
            <w:shd w:val="clear" w:color="auto" w:fill="auto"/>
            <w:noWrap/>
            <w:hideMark/>
          </w:tcPr>
          <w:p w14:paraId="5651F70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Radio"</w:t>
            </w:r>
          </w:p>
        </w:tc>
        <w:tc>
          <w:tcPr>
            <w:tcW w:w="2121" w:type="dxa"/>
            <w:tcBorders>
              <w:top w:val="nil"/>
              <w:left w:val="nil"/>
              <w:bottom w:val="single" w:sz="8" w:space="0" w:color="auto"/>
              <w:right w:val="single" w:sz="8" w:space="0" w:color="auto"/>
            </w:tcBorders>
            <w:shd w:val="clear" w:color="auto" w:fill="auto"/>
            <w:noWrap/>
            <w:hideMark/>
          </w:tcPr>
          <w:p w14:paraId="217EDB3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13 106 900</w:t>
            </w:r>
          </w:p>
        </w:tc>
        <w:tc>
          <w:tcPr>
            <w:tcW w:w="2121" w:type="dxa"/>
            <w:tcBorders>
              <w:top w:val="nil"/>
              <w:left w:val="nil"/>
              <w:bottom w:val="single" w:sz="8" w:space="0" w:color="auto"/>
              <w:right w:val="single" w:sz="8" w:space="0" w:color="auto"/>
            </w:tcBorders>
            <w:shd w:val="clear" w:color="auto" w:fill="auto"/>
            <w:noWrap/>
            <w:hideMark/>
          </w:tcPr>
          <w:p w14:paraId="1AAD1A7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13 415 900</w:t>
            </w:r>
          </w:p>
        </w:tc>
        <w:tc>
          <w:tcPr>
            <w:tcW w:w="2177" w:type="dxa"/>
            <w:tcBorders>
              <w:top w:val="nil"/>
              <w:left w:val="nil"/>
              <w:bottom w:val="single" w:sz="8" w:space="0" w:color="auto"/>
              <w:right w:val="single" w:sz="8" w:space="0" w:color="auto"/>
            </w:tcBorders>
            <w:shd w:val="clear" w:color="auto" w:fill="auto"/>
            <w:noWrap/>
            <w:hideMark/>
          </w:tcPr>
          <w:p w14:paraId="7DDBF06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-309 000</w:t>
            </w:r>
          </w:p>
        </w:tc>
      </w:tr>
      <w:tr w:rsidR="005E41CA" w:rsidRPr="005E41CA" w14:paraId="3042D7D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5EDF69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26</w:t>
            </w:r>
          </w:p>
        </w:tc>
        <w:tc>
          <w:tcPr>
            <w:tcW w:w="6600" w:type="dxa"/>
            <w:tcBorders>
              <w:top w:val="nil"/>
              <w:left w:val="nil"/>
              <w:bottom w:val="single" w:sz="8" w:space="0" w:color="auto"/>
              <w:right w:val="single" w:sz="8" w:space="0" w:color="auto"/>
            </w:tcBorders>
            <w:shd w:val="clear" w:color="auto" w:fill="auto"/>
            <w:noWrap/>
            <w:hideMark/>
          </w:tcPr>
          <w:p w14:paraId="45191894"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"Latvijas standarts"</w:t>
            </w:r>
          </w:p>
        </w:tc>
        <w:tc>
          <w:tcPr>
            <w:tcW w:w="2121" w:type="dxa"/>
            <w:tcBorders>
              <w:top w:val="nil"/>
              <w:left w:val="nil"/>
              <w:bottom w:val="single" w:sz="8" w:space="0" w:color="auto"/>
              <w:right w:val="single" w:sz="8" w:space="0" w:color="auto"/>
            </w:tcBorders>
            <w:shd w:val="clear" w:color="auto" w:fill="auto"/>
            <w:noWrap/>
            <w:hideMark/>
          </w:tcPr>
          <w:p w14:paraId="6ED0C20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914 000</w:t>
            </w:r>
          </w:p>
        </w:tc>
        <w:tc>
          <w:tcPr>
            <w:tcW w:w="2121" w:type="dxa"/>
            <w:tcBorders>
              <w:top w:val="nil"/>
              <w:left w:val="nil"/>
              <w:bottom w:val="single" w:sz="8" w:space="0" w:color="auto"/>
              <w:right w:val="single" w:sz="8" w:space="0" w:color="auto"/>
            </w:tcBorders>
            <w:shd w:val="clear" w:color="auto" w:fill="auto"/>
            <w:noWrap/>
            <w:hideMark/>
          </w:tcPr>
          <w:p w14:paraId="59AF6AD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878 500</w:t>
            </w:r>
          </w:p>
        </w:tc>
        <w:tc>
          <w:tcPr>
            <w:tcW w:w="2177" w:type="dxa"/>
            <w:tcBorders>
              <w:top w:val="nil"/>
              <w:left w:val="nil"/>
              <w:bottom w:val="single" w:sz="8" w:space="0" w:color="auto"/>
              <w:right w:val="single" w:sz="8" w:space="0" w:color="auto"/>
            </w:tcBorders>
            <w:shd w:val="clear" w:color="auto" w:fill="auto"/>
            <w:noWrap/>
            <w:hideMark/>
          </w:tcPr>
          <w:p w14:paraId="39A2A93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35 500</w:t>
            </w:r>
          </w:p>
        </w:tc>
      </w:tr>
      <w:tr w:rsidR="005E41CA" w:rsidRPr="005E41CA" w14:paraId="2E983E7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F5FD8D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lastRenderedPageBreak/>
              <w:t>27</w:t>
            </w:r>
          </w:p>
        </w:tc>
        <w:tc>
          <w:tcPr>
            <w:tcW w:w="6600" w:type="dxa"/>
            <w:tcBorders>
              <w:top w:val="nil"/>
              <w:left w:val="nil"/>
              <w:bottom w:val="single" w:sz="8" w:space="0" w:color="auto"/>
              <w:right w:val="single" w:sz="8" w:space="0" w:color="auto"/>
            </w:tcBorders>
            <w:shd w:val="clear" w:color="auto" w:fill="auto"/>
            <w:noWrap/>
            <w:hideMark/>
          </w:tcPr>
          <w:p w14:paraId="6B0E28E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Televīzija"</w:t>
            </w:r>
          </w:p>
        </w:tc>
        <w:tc>
          <w:tcPr>
            <w:tcW w:w="2121" w:type="dxa"/>
            <w:tcBorders>
              <w:top w:val="nil"/>
              <w:left w:val="nil"/>
              <w:bottom w:val="single" w:sz="8" w:space="0" w:color="auto"/>
              <w:right w:val="single" w:sz="8" w:space="0" w:color="auto"/>
            </w:tcBorders>
            <w:shd w:val="clear" w:color="auto" w:fill="auto"/>
            <w:noWrap/>
            <w:hideMark/>
          </w:tcPr>
          <w:p w14:paraId="1944621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580 000</w:t>
            </w:r>
          </w:p>
        </w:tc>
        <w:tc>
          <w:tcPr>
            <w:tcW w:w="2121" w:type="dxa"/>
            <w:tcBorders>
              <w:top w:val="nil"/>
              <w:left w:val="nil"/>
              <w:bottom w:val="single" w:sz="8" w:space="0" w:color="auto"/>
              <w:right w:val="single" w:sz="8" w:space="0" w:color="auto"/>
            </w:tcBorders>
            <w:shd w:val="clear" w:color="auto" w:fill="auto"/>
            <w:noWrap/>
            <w:hideMark/>
          </w:tcPr>
          <w:p w14:paraId="6F72DD8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116 000</w:t>
            </w:r>
          </w:p>
        </w:tc>
        <w:tc>
          <w:tcPr>
            <w:tcW w:w="2177" w:type="dxa"/>
            <w:tcBorders>
              <w:top w:val="nil"/>
              <w:left w:val="nil"/>
              <w:bottom w:val="single" w:sz="8" w:space="0" w:color="auto"/>
              <w:right w:val="single" w:sz="8" w:space="0" w:color="auto"/>
            </w:tcBorders>
            <w:shd w:val="clear" w:color="auto" w:fill="auto"/>
            <w:noWrap/>
            <w:hideMark/>
          </w:tcPr>
          <w:p w14:paraId="24AA269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464 000</w:t>
            </w:r>
          </w:p>
        </w:tc>
      </w:tr>
      <w:tr w:rsidR="005E41CA" w:rsidRPr="005E41CA" w14:paraId="3A049C1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1A0FE2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28</w:t>
            </w:r>
          </w:p>
        </w:tc>
        <w:tc>
          <w:tcPr>
            <w:tcW w:w="6600" w:type="dxa"/>
            <w:tcBorders>
              <w:top w:val="nil"/>
              <w:left w:val="nil"/>
              <w:bottom w:val="single" w:sz="8" w:space="0" w:color="auto"/>
              <w:right w:val="single" w:sz="8" w:space="0" w:color="auto"/>
            </w:tcBorders>
            <w:shd w:val="clear" w:color="auto" w:fill="auto"/>
            <w:noWrap/>
            <w:hideMark/>
          </w:tcPr>
          <w:p w14:paraId="3842C40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"Latvijas Universitātes nekustamā īpašuma aģentūra"</w:t>
            </w:r>
          </w:p>
        </w:tc>
        <w:tc>
          <w:tcPr>
            <w:tcW w:w="2121" w:type="dxa"/>
            <w:tcBorders>
              <w:top w:val="nil"/>
              <w:left w:val="nil"/>
              <w:bottom w:val="single" w:sz="8" w:space="0" w:color="auto"/>
              <w:right w:val="single" w:sz="8" w:space="0" w:color="auto"/>
            </w:tcBorders>
            <w:shd w:val="clear" w:color="auto" w:fill="auto"/>
            <w:noWrap/>
            <w:hideMark/>
          </w:tcPr>
          <w:p w14:paraId="7466502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141DB05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520236F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36970C0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DE60FA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29</w:t>
            </w:r>
          </w:p>
        </w:tc>
        <w:tc>
          <w:tcPr>
            <w:tcW w:w="6600" w:type="dxa"/>
            <w:tcBorders>
              <w:top w:val="nil"/>
              <w:left w:val="nil"/>
              <w:bottom w:val="single" w:sz="8" w:space="0" w:color="auto"/>
              <w:right w:val="single" w:sz="8" w:space="0" w:color="auto"/>
            </w:tcBorders>
            <w:shd w:val="clear" w:color="auto" w:fill="auto"/>
            <w:noWrap/>
            <w:hideMark/>
          </w:tcPr>
          <w:p w14:paraId="5DF4457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Valsts ceļi"</w:t>
            </w:r>
          </w:p>
        </w:tc>
        <w:tc>
          <w:tcPr>
            <w:tcW w:w="2121" w:type="dxa"/>
            <w:tcBorders>
              <w:top w:val="nil"/>
              <w:left w:val="nil"/>
              <w:bottom w:val="single" w:sz="8" w:space="0" w:color="auto"/>
              <w:right w:val="single" w:sz="8" w:space="0" w:color="auto"/>
            </w:tcBorders>
            <w:shd w:val="clear" w:color="auto" w:fill="auto"/>
            <w:noWrap/>
            <w:hideMark/>
          </w:tcPr>
          <w:p w14:paraId="7F19324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18 418 300</w:t>
            </w:r>
          </w:p>
        </w:tc>
        <w:tc>
          <w:tcPr>
            <w:tcW w:w="2121" w:type="dxa"/>
            <w:tcBorders>
              <w:top w:val="nil"/>
              <w:left w:val="nil"/>
              <w:bottom w:val="single" w:sz="8" w:space="0" w:color="auto"/>
              <w:right w:val="single" w:sz="8" w:space="0" w:color="auto"/>
            </w:tcBorders>
            <w:shd w:val="clear" w:color="auto" w:fill="auto"/>
            <w:noWrap/>
            <w:hideMark/>
          </w:tcPr>
          <w:p w14:paraId="04ABB8E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18 318 300</w:t>
            </w:r>
          </w:p>
        </w:tc>
        <w:tc>
          <w:tcPr>
            <w:tcW w:w="2177" w:type="dxa"/>
            <w:tcBorders>
              <w:top w:val="nil"/>
              <w:left w:val="nil"/>
              <w:bottom w:val="single" w:sz="8" w:space="0" w:color="auto"/>
              <w:right w:val="single" w:sz="8" w:space="0" w:color="auto"/>
            </w:tcBorders>
            <w:shd w:val="clear" w:color="auto" w:fill="auto"/>
            <w:noWrap/>
            <w:hideMark/>
          </w:tcPr>
          <w:p w14:paraId="4AE10C0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100 000</w:t>
            </w:r>
          </w:p>
        </w:tc>
      </w:tr>
      <w:tr w:rsidR="005E41CA" w:rsidRPr="005E41CA" w14:paraId="6D20104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5BB6790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30</w:t>
            </w:r>
          </w:p>
        </w:tc>
        <w:tc>
          <w:tcPr>
            <w:tcW w:w="6600" w:type="dxa"/>
            <w:tcBorders>
              <w:top w:val="nil"/>
              <w:left w:val="nil"/>
              <w:bottom w:val="single" w:sz="8" w:space="0" w:color="auto"/>
              <w:right w:val="single" w:sz="8" w:space="0" w:color="auto"/>
            </w:tcBorders>
            <w:shd w:val="clear" w:color="auto" w:fill="auto"/>
            <w:noWrap/>
            <w:hideMark/>
          </w:tcPr>
          <w:p w14:paraId="024E231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"Latvijas Vides, ģeoloģijas un meteoroloģijas centrs"</w:t>
            </w:r>
          </w:p>
        </w:tc>
        <w:tc>
          <w:tcPr>
            <w:tcW w:w="2121" w:type="dxa"/>
            <w:tcBorders>
              <w:top w:val="nil"/>
              <w:left w:val="nil"/>
              <w:bottom w:val="single" w:sz="8" w:space="0" w:color="auto"/>
              <w:right w:val="single" w:sz="8" w:space="0" w:color="auto"/>
            </w:tcBorders>
            <w:shd w:val="clear" w:color="auto" w:fill="auto"/>
            <w:noWrap/>
            <w:hideMark/>
          </w:tcPr>
          <w:p w14:paraId="0AA4F48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2 755 229</w:t>
            </w:r>
          </w:p>
        </w:tc>
        <w:tc>
          <w:tcPr>
            <w:tcW w:w="2121" w:type="dxa"/>
            <w:tcBorders>
              <w:top w:val="nil"/>
              <w:left w:val="nil"/>
              <w:bottom w:val="single" w:sz="8" w:space="0" w:color="auto"/>
              <w:right w:val="single" w:sz="8" w:space="0" w:color="auto"/>
            </w:tcBorders>
            <w:shd w:val="clear" w:color="auto" w:fill="auto"/>
            <w:noWrap/>
            <w:hideMark/>
          </w:tcPr>
          <w:p w14:paraId="7545002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2 478 880</w:t>
            </w:r>
          </w:p>
        </w:tc>
        <w:tc>
          <w:tcPr>
            <w:tcW w:w="2177" w:type="dxa"/>
            <w:tcBorders>
              <w:top w:val="nil"/>
              <w:left w:val="nil"/>
              <w:bottom w:val="single" w:sz="8" w:space="0" w:color="auto"/>
              <w:right w:val="single" w:sz="8" w:space="0" w:color="auto"/>
            </w:tcBorders>
            <w:shd w:val="clear" w:color="auto" w:fill="auto"/>
            <w:noWrap/>
            <w:hideMark/>
          </w:tcPr>
          <w:p w14:paraId="7324FD8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276 349</w:t>
            </w:r>
          </w:p>
        </w:tc>
      </w:tr>
      <w:tr w:rsidR="005E41CA" w:rsidRPr="005E41CA" w14:paraId="30D83FA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21CFF4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31</w:t>
            </w:r>
          </w:p>
        </w:tc>
        <w:tc>
          <w:tcPr>
            <w:tcW w:w="6600" w:type="dxa"/>
            <w:tcBorders>
              <w:top w:val="nil"/>
              <w:left w:val="nil"/>
              <w:bottom w:val="single" w:sz="8" w:space="0" w:color="auto"/>
              <w:right w:val="single" w:sz="8" w:space="0" w:color="auto"/>
            </w:tcBorders>
            <w:shd w:val="clear" w:color="auto" w:fill="auto"/>
            <w:noWrap/>
            <w:hideMark/>
          </w:tcPr>
          <w:p w14:paraId="2D7958E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"Lielstraupes pils"</w:t>
            </w:r>
          </w:p>
        </w:tc>
        <w:tc>
          <w:tcPr>
            <w:tcW w:w="2121" w:type="dxa"/>
            <w:tcBorders>
              <w:top w:val="nil"/>
              <w:left w:val="nil"/>
              <w:bottom w:val="single" w:sz="8" w:space="0" w:color="auto"/>
              <w:right w:val="single" w:sz="8" w:space="0" w:color="auto"/>
            </w:tcBorders>
            <w:shd w:val="clear" w:color="auto" w:fill="auto"/>
            <w:noWrap/>
            <w:hideMark/>
          </w:tcPr>
          <w:p w14:paraId="2353515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4E631C9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4B4BAA7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2027BD53"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30E8CA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32</w:t>
            </w:r>
          </w:p>
        </w:tc>
        <w:tc>
          <w:tcPr>
            <w:tcW w:w="6600" w:type="dxa"/>
            <w:tcBorders>
              <w:top w:val="nil"/>
              <w:left w:val="nil"/>
              <w:bottom w:val="single" w:sz="8" w:space="0" w:color="auto"/>
              <w:right w:val="single" w:sz="8" w:space="0" w:color="auto"/>
            </w:tcBorders>
            <w:shd w:val="clear" w:color="auto" w:fill="auto"/>
            <w:noWrap/>
            <w:hideMark/>
          </w:tcPr>
          <w:p w14:paraId="1037029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"Liepājas simfoniskais orķestris"</w:t>
            </w:r>
          </w:p>
        </w:tc>
        <w:tc>
          <w:tcPr>
            <w:tcW w:w="2121" w:type="dxa"/>
            <w:tcBorders>
              <w:top w:val="nil"/>
              <w:left w:val="nil"/>
              <w:bottom w:val="single" w:sz="8" w:space="0" w:color="auto"/>
              <w:right w:val="single" w:sz="8" w:space="0" w:color="auto"/>
            </w:tcBorders>
            <w:shd w:val="clear" w:color="auto" w:fill="auto"/>
            <w:noWrap/>
            <w:hideMark/>
          </w:tcPr>
          <w:p w14:paraId="296A402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290 000</w:t>
            </w:r>
          </w:p>
        </w:tc>
        <w:tc>
          <w:tcPr>
            <w:tcW w:w="2121" w:type="dxa"/>
            <w:tcBorders>
              <w:top w:val="nil"/>
              <w:left w:val="nil"/>
              <w:bottom w:val="single" w:sz="8" w:space="0" w:color="auto"/>
              <w:right w:val="single" w:sz="8" w:space="0" w:color="auto"/>
            </w:tcBorders>
            <w:shd w:val="clear" w:color="auto" w:fill="auto"/>
            <w:noWrap/>
            <w:hideMark/>
          </w:tcPr>
          <w:p w14:paraId="6C2B087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280 635</w:t>
            </w:r>
          </w:p>
        </w:tc>
        <w:tc>
          <w:tcPr>
            <w:tcW w:w="2177" w:type="dxa"/>
            <w:tcBorders>
              <w:top w:val="nil"/>
              <w:left w:val="nil"/>
              <w:bottom w:val="single" w:sz="8" w:space="0" w:color="auto"/>
              <w:right w:val="single" w:sz="8" w:space="0" w:color="auto"/>
            </w:tcBorders>
            <w:shd w:val="clear" w:color="auto" w:fill="auto"/>
            <w:noWrap/>
            <w:hideMark/>
          </w:tcPr>
          <w:p w14:paraId="49F03B8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9 365</w:t>
            </w:r>
          </w:p>
        </w:tc>
      </w:tr>
      <w:tr w:rsidR="005E41CA" w:rsidRPr="005E41CA" w14:paraId="428C700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F96DD7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33</w:t>
            </w:r>
          </w:p>
        </w:tc>
        <w:tc>
          <w:tcPr>
            <w:tcW w:w="6600" w:type="dxa"/>
            <w:tcBorders>
              <w:top w:val="nil"/>
              <w:left w:val="nil"/>
              <w:bottom w:val="single" w:sz="8" w:space="0" w:color="auto"/>
              <w:right w:val="single" w:sz="8" w:space="0" w:color="auto"/>
            </w:tcBorders>
            <w:shd w:val="clear" w:color="auto" w:fill="auto"/>
            <w:noWrap/>
            <w:hideMark/>
          </w:tcPr>
          <w:p w14:paraId="49BBD11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"Ludzas medicīnas centrs"</w:t>
            </w:r>
          </w:p>
        </w:tc>
        <w:tc>
          <w:tcPr>
            <w:tcW w:w="2121" w:type="dxa"/>
            <w:tcBorders>
              <w:top w:val="nil"/>
              <w:left w:val="nil"/>
              <w:bottom w:val="single" w:sz="8" w:space="0" w:color="auto"/>
              <w:right w:val="single" w:sz="8" w:space="0" w:color="auto"/>
            </w:tcBorders>
            <w:shd w:val="clear" w:color="auto" w:fill="auto"/>
            <w:noWrap/>
            <w:hideMark/>
          </w:tcPr>
          <w:p w14:paraId="455025A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4 750 000</w:t>
            </w:r>
          </w:p>
        </w:tc>
        <w:tc>
          <w:tcPr>
            <w:tcW w:w="2121" w:type="dxa"/>
            <w:tcBorders>
              <w:top w:val="nil"/>
              <w:left w:val="nil"/>
              <w:bottom w:val="single" w:sz="8" w:space="0" w:color="auto"/>
              <w:right w:val="single" w:sz="8" w:space="0" w:color="auto"/>
            </w:tcBorders>
            <w:shd w:val="clear" w:color="auto" w:fill="auto"/>
            <w:noWrap/>
            <w:hideMark/>
          </w:tcPr>
          <w:p w14:paraId="2EC2805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4 580 000</w:t>
            </w:r>
          </w:p>
        </w:tc>
        <w:tc>
          <w:tcPr>
            <w:tcW w:w="2177" w:type="dxa"/>
            <w:tcBorders>
              <w:top w:val="nil"/>
              <w:left w:val="nil"/>
              <w:bottom w:val="single" w:sz="8" w:space="0" w:color="auto"/>
              <w:right w:val="single" w:sz="8" w:space="0" w:color="auto"/>
            </w:tcBorders>
            <w:shd w:val="clear" w:color="auto" w:fill="auto"/>
            <w:noWrap/>
            <w:hideMark/>
          </w:tcPr>
          <w:p w14:paraId="76C36F2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170 000</w:t>
            </w:r>
          </w:p>
        </w:tc>
      </w:tr>
      <w:tr w:rsidR="005E41CA" w:rsidRPr="005E41CA" w14:paraId="79C144E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0B1B6C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34</w:t>
            </w:r>
          </w:p>
        </w:tc>
        <w:tc>
          <w:tcPr>
            <w:tcW w:w="6600" w:type="dxa"/>
            <w:tcBorders>
              <w:top w:val="nil"/>
              <w:left w:val="nil"/>
              <w:bottom w:val="single" w:sz="8" w:space="0" w:color="auto"/>
              <w:right w:val="single" w:sz="8" w:space="0" w:color="auto"/>
            </w:tcBorders>
            <w:shd w:val="clear" w:color="auto" w:fill="auto"/>
            <w:noWrap/>
            <w:hideMark/>
          </w:tcPr>
          <w:p w14:paraId="5CBE812E"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"Mihaila Čehova Rīgas Krievu teātris"</w:t>
            </w:r>
          </w:p>
        </w:tc>
        <w:tc>
          <w:tcPr>
            <w:tcW w:w="2121" w:type="dxa"/>
            <w:tcBorders>
              <w:top w:val="nil"/>
              <w:left w:val="nil"/>
              <w:bottom w:val="single" w:sz="8" w:space="0" w:color="auto"/>
              <w:right w:val="single" w:sz="8" w:space="0" w:color="auto"/>
            </w:tcBorders>
            <w:shd w:val="clear" w:color="auto" w:fill="auto"/>
            <w:noWrap/>
            <w:hideMark/>
          </w:tcPr>
          <w:p w14:paraId="136EB01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2 145 000</w:t>
            </w:r>
          </w:p>
        </w:tc>
        <w:tc>
          <w:tcPr>
            <w:tcW w:w="2121" w:type="dxa"/>
            <w:tcBorders>
              <w:top w:val="nil"/>
              <w:left w:val="nil"/>
              <w:bottom w:val="single" w:sz="8" w:space="0" w:color="auto"/>
              <w:right w:val="single" w:sz="8" w:space="0" w:color="auto"/>
            </w:tcBorders>
            <w:shd w:val="clear" w:color="auto" w:fill="auto"/>
            <w:noWrap/>
            <w:hideMark/>
          </w:tcPr>
          <w:p w14:paraId="1865DE7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2 081 368</w:t>
            </w:r>
          </w:p>
        </w:tc>
        <w:tc>
          <w:tcPr>
            <w:tcW w:w="2177" w:type="dxa"/>
            <w:tcBorders>
              <w:top w:val="nil"/>
              <w:left w:val="nil"/>
              <w:bottom w:val="single" w:sz="8" w:space="0" w:color="auto"/>
              <w:right w:val="single" w:sz="8" w:space="0" w:color="auto"/>
            </w:tcBorders>
            <w:shd w:val="clear" w:color="auto" w:fill="auto"/>
            <w:noWrap/>
            <w:hideMark/>
          </w:tcPr>
          <w:p w14:paraId="17141DA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63 632</w:t>
            </w:r>
          </w:p>
        </w:tc>
      </w:tr>
      <w:tr w:rsidR="005E41CA" w:rsidRPr="005E41CA" w14:paraId="7D2CB227"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67D8AE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35</w:t>
            </w:r>
          </w:p>
        </w:tc>
        <w:tc>
          <w:tcPr>
            <w:tcW w:w="6600" w:type="dxa"/>
            <w:tcBorders>
              <w:top w:val="nil"/>
              <w:left w:val="nil"/>
              <w:bottom w:val="single" w:sz="8" w:space="0" w:color="auto"/>
              <w:right w:val="single" w:sz="8" w:space="0" w:color="auto"/>
            </w:tcBorders>
            <w:shd w:val="clear" w:color="auto" w:fill="auto"/>
            <w:noWrap/>
            <w:hideMark/>
          </w:tcPr>
          <w:p w14:paraId="19471EF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"Pasažieru vilciens"</w:t>
            </w:r>
          </w:p>
        </w:tc>
        <w:tc>
          <w:tcPr>
            <w:tcW w:w="2121" w:type="dxa"/>
            <w:tcBorders>
              <w:top w:val="nil"/>
              <w:left w:val="nil"/>
              <w:bottom w:val="single" w:sz="8" w:space="0" w:color="auto"/>
              <w:right w:val="single" w:sz="8" w:space="0" w:color="auto"/>
            </w:tcBorders>
            <w:shd w:val="clear" w:color="auto" w:fill="auto"/>
            <w:noWrap/>
            <w:hideMark/>
          </w:tcPr>
          <w:p w14:paraId="587C533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80 849 821</w:t>
            </w:r>
          </w:p>
        </w:tc>
        <w:tc>
          <w:tcPr>
            <w:tcW w:w="2121" w:type="dxa"/>
            <w:tcBorders>
              <w:top w:val="nil"/>
              <w:left w:val="nil"/>
              <w:bottom w:val="single" w:sz="8" w:space="0" w:color="auto"/>
              <w:right w:val="single" w:sz="8" w:space="0" w:color="auto"/>
            </w:tcBorders>
            <w:shd w:val="clear" w:color="auto" w:fill="auto"/>
            <w:noWrap/>
            <w:hideMark/>
          </w:tcPr>
          <w:p w14:paraId="3490F1C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76 246 064</w:t>
            </w:r>
          </w:p>
        </w:tc>
        <w:tc>
          <w:tcPr>
            <w:tcW w:w="2177" w:type="dxa"/>
            <w:tcBorders>
              <w:top w:val="nil"/>
              <w:left w:val="nil"/>
              <w:bottom w:val="single" w:sz="8" w:space="0" w:color="auto"/>
              <w:right w:val="single" w:sz="8" w:space="0" w:color="auto"/>
            </w:tcBorders>
            <w:shd w:val="clear" w:color="auto" w:fill="auto"/>
            <w:noWrap/>
            <w:hideMark/>
          </w:tcPr>
          <w:p w14:paraId="3798D4E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4 603 757</w:t>
            </w:r>
          </w:p>
        </w:tc>
      </w:tr>
      <w:tr w:rsidR="005E41CA" w:rsidRPr="005E41CA" w14:paraId="7A5E8E32"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6BB754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36</w:t>
            </w:r>
          </w:p>
        </w:tc>
        <w:tc>
          <w:tcPr>
            <w:tcW w:w="6600" w:type="dxa"/>
            <w:tcBorders>
              <w:top w:val="nil"/>
              <w:left w:val="nil"/>
              <w:bottom w:val="single" w:sz="8" w:space="0" w:color="auto"/>
              <w:right w:val="single" w:sz="8" w:space="0" w:color="auto"/>
            </w:tcBorders>
            <w:shd w:val="clear" w:color="auto" w:fill="auto"/>
            <w:noWrap/>
            <w:hideMark/>
          </w:tcPr>
          <w:p w14:paraId="508E3ED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"Paula Stradiņa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7C0CA99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217 736 706</w:t>
            </w:r>
          </w:p>
        </w:tc>
        <w:tc>
          <w:tcPr>
            <w:tcW w:w="2121" w:type="dxa"/>
            <w:tcBorders>
              <w:top w:val="nil"/>
              <w:left w:val="nil"/>
              <w:bottom w:val="single" w:sz="8" w:space="0" w:color="auto"/>
              <w:right w:val="single" w:sz="8" w:space="0" w:color="auto"/>
            </w:tcBorders>
            <w:shd w:val="clear" w:color="auto" w:fill="auto"/>
            <w:noWrap/>
            <w:hideMark/>
          </w:tcPr>
          <w:p w14:paraId="0CD32BF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213 036 424</w:t>
            </w:r>
          </w:p>
        </w:tc>
        <w:tc>
          <w:tcPr>
            <w:tcW w:w="2177" w:type="dxa"/>
            <w:tcBorders>
              <w:top w:val="nil"/>
              <w:left w:val="nil"/>
              <w:bottom w:val="single" w:sz="8" w:space="0" w:color="auto"/>
              <w:right w:val="single" w:sz="8" w:space="0" w:color="auto"/>
            </w:tcBorders>
            <w:shd w:val="clear" w:color="auto" w:fill="auto"/>
            <w:noWrap/>
            <w:hideMark/>
          </w:tcPr>
          <w:p w14:paraId="1C4ABDC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4 700 282</w:t>
            </w:r>
          </w:p>
        </w:tc>
      </w:tr>
      <w:tr w:rsidR="005E41CA" w:rsidRPr="005E41CA" w14:paraId="7163F5D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1882026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37</w:t>
            </w:r>
          </w:p>
        </w:tc>
        <w:tc>
          <w:tcPr>
            <w:tcW w:w="6600" w:type="dxa"/>
            <w:tcBorders>
              <w:top w:val="nil"/>
              <w:left w:val="nil"/>
              <w:bottom w:val="single" w:sz="8" w:space="0" w:color="auto"/>
              <w:right w:val="single" w:sz="8" w:space="0" w:color="auto"/>
            </w:tcBorders>
            <w:shd w:val="clear" w:color="auto" w:fill="auto"/>
            <w:noWrap/>
            <w:hideMark/>
          </w:tcPr>
          <w:p w14:paraId="4EA24AEF"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"Piejūras slimnīca"</w:t>
            </w:r>
          </w:p>
        </w:tc>
        <w:tc>
          <w:tcPr>
            <w:tcW w:w="2121" w:type="dxa"/>
            <w:tcBorders>
              <w:top w:val="nil"/>
              <w:left w:val="nil"/>
              <w:bottom w:val="single" w:sz="8" w:space="0" w:color="auto"/>
              <w:right w:val="single" w:sz="8" w:space="0" w:color="auto"/>
            </w:tcBorders>
            <w:shd w:val="clear" w:color="auto" w:fill="auto"/>
            <w:noWrap/>
            <w:hideMark/>
          </w:tcPr>
          <w:p w14:paraId="43218AC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5 508 100</w:t>
            </w:r>
          </w:p>
        </w:tc>
        <w:tc>
          <w:tcPr>
            <w:tcW w:w="2121" w:type="dxa"/>
            <w:tcBorders>
              <w:top w:val="nil"/>
              <w:left w:val="nil"/>
              <w:bottom w:val="single" w:sz="8" w:space="0" w:color="auto"/>
              <w:right w:val="single" w:sz="8" w:space="0" w:color="auto"/>
            </w:tcBorders>
            <w:shd w:val="clear" w:color="auto" w:fill="auto"/>
            <w:noWrap/>
            <w:hideMark/>
          </w:tcPr>
          <w:p w14:paraId="78D64AA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5 498 131</w:t>
            </w:r>
          </w:p>
        </w:tc>
        <w:tc>
          <w:tcPr>
            <w:tcW w:w="2177" w:type="dxa"/>
            <w:tcBorders>
              <w:top w:val="nil"/>
              <w:left w:val="nil"/>
              <w:bottom w:val="single" w:sz="8" w:space="0" w:color="auto"/>
              <w:right w:val="single" w:sz="8" w:space="0" w:color="auto"/>
            </w:tcBorders>
            <w:shd w:val="clear" w:color="auto" w:fill="auto"/>
            <w:noWrap/>
            <w:hideMark/>
          </w:tcPr>
          <w:p w14:paraId="4FFB291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9 969</w:t>
            </w:r>
          </w:p>
        </w:tc>
      </w:tr>
      <w:tr w:rsidR="005E41CA" w:rsidRPr="005E41CA" w14:paraId="529DAA8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2DB834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38</w:t>
            </w:r>
          </w:p>
        </w:tc>
        <w:tc>
          <w:tcPr>
            <w:tcW w:w="6600" w:type="dxa"/>
            <w:tcBorders>
              <w:top w:val="nil"/>
              <w:left w:val="nil"/>
              <w:bottom w:val="single" w:sz="8" w:space="0" w:color="auto"/>
              <w:right w:val="single" w:sz="8" w:space="0" w:color="auto"/>
            </w:tcBorders>
            <w:shd w:val="clear" w:color="auto" w:fill="auto"/>
            <w:noWrap/>
            <w:hideMark/>
          </w:tcPr>
          <w:p w14:paraId="5A477DE0"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 xml:space="preserve">SIA "Publisko aktīvu pārvaldītājs </w:t>
            </w:r>
            <w:proofErr w:type="spellStart"/>
            <w:r w:rsidRPr="005E41CA">
              <w:rPr>
                <w:rFonts w:eastAsia="Calibri" w:cs="Times New Roman"/>
                <w:sz w:val="18"/>
                <w:szCs w:val="18"/>
                <w:lang w:eastAsia="en-US"/>
              </w:rPr>
              <w:t>Possessor</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03B4E0B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2 254 007</w:t>
            </w:r>
          </w:p>
        </w:tc>
        <w:tc>
          <w:tcPr>
            <w:tcW w:w="2121" w:type="dxa"/>
            <w:tcBorders>
              <w:top w:val="nil"/>
              <w:left w:val="nil"/>
              <w:bottom w:val="single" w:sz="8" w:space="0" w:color="auto"/>
              <w:right w:val="single" w:sz="8" w:space="0" w:color="auto"/>
            </w:tcBorders>
            <w:shd w:val="clear" w:color="auto" w:fill="auto"/>
            <w:noWrap/>
            <w:hideMark/>
          </w:tcPr>
          <w:p w14:paraId="4D1E1E0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2 250 607</w:t>
            </w:r>
          </w:p>
        </w:tc>
        <w:tc>
          <w:tcPr>
            <w:tcW w:w="2177" w:type="dxa"/>
            <w:tcBorders>
              <w:top w:val="nil"/>
              <w:left w:val="nil"/>
              <w:bottom w:val="single" w:sz="8" w:space="0" w:color="auto"/>
              <w:right w:val="single" w:sz="8" w:space="0" w:color="auto"/>
            </w:tcBorders>
            <w:shd w:val="clear" w:color="auto" w:fill="auto"/>
            <w:noWrap/>
            <w:hideMark/>
          </w:tcPr>
          <w:p w14:paraId="1773DAC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3 400</w:t>
            </w:r>
          </w:p>
        </w:tc>
      </w:tr>
      <w:tr w:rsidR="005E41CA" w:rsidRPr="005E41CA" w14:paraId="4669FEED"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5A42F3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39</w:t>
            </w:r>
          </w:p>
        </w:tc>
        <w:tc>
          <w:tcPr>
            <w:tcW w:w="6600" w:type="dxa"/>
            <w:tcBorders>
              <w:top w:val="nil"/>
              <w:left w:val="nil"/>
              <w:bottom w:val="single" w:sz="8" w:space="0" w:color="auto"/>
              <w:right w:val="single" w:sz="8" w:space="0" w:color="auto"/>
            </w:tcBorders>
            <w:shd w:val="clear" w:color="auto" w:fill="auto"/>
            <w:noWrap/>
            <w:hideMark/>
          </w:tcPr>
          <w:p w14:paraId="06B4754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"REAP"</w:t>
            </w:r>
          </w:p>
        </w:tc>
        <w:tc>
          <w:tcPr>
            <w:tcW w:w="2121" w:type="dxa"/>
            <w:tcBorders>
              <w:top w:val="nil"/>
              <w:left w:val="nil"/>
              <w:bottom w:val="single" w:sz="8" w:space="0" w:color="auto"/>
              <w:right w:val="single" w:sz="8" w:space="0" w:color="auto"/>
            </w:tcBorders>
            <w:shd w:val="clear" w:color="auto" w:fill="auto"/>
            <w:noWrap/>
            <w:hideMark/>
          </w:tcPr>
          <w:p w14:paraId="5404CB6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56FC5D13"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195 200</w:t>
            </w:r>
          </w:p>
        </w:tc>
        <w:tc>
          <w:tcPr>
            <w:tcW w:w="2177" w:type="dxa"/>
            <w:tcBorders>
              <w:top w:val="nil"/>
              <w:left w:val="nil"/>
              <w:bottom w:val="single" w:sz="8" w:space="0" w:color="auto"/>
              <w:right w:val="single" w:sz="8" w:space="0" w:color="auto"/>
            </w:tcBorders>
            <w:shd w:val="clear" w:color="auto" w:fill="auto"/>
            <w:noWrap/>
            <w:hideMark/>
          </w:tcPr>
          <w:p w14:paraId="2A8B8B4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-195 200</w:t>
            </w:r>
          </w:p>
        </w:tc>
      </w:tr>
      <w:tr w:rsidR="005E41CA" w:rsidRPr="005E41CA" w14:paraId="648FD90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B659A6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40</w:t>
            </w:r>
          </w:p>
        </w:tc>
        <w:tc>
          <w:tcPr>
            <w:tcW w:w="6600" w:type="dxa"/>
            <w:tcBorders>
              <w:top w:val="nil"/>
              <w:left w:val="nil"/>
              <w:bottom w:val="single" w:sz="8" w:space="0" w:color="auto"/>
              <w:right w:val="single" w:sz="8" w:space="0" w:color="auto"/>
            </w:tcBorders>
            <w:shd w:val="clear" w:color="auto" w:fill="auto"/>
            <w:noWrap/>
            <w:hideMark/>
          </w:tcPr>
          <w:p w14:paraId="33E1F04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w:t>
            </w:r>
            <w:proofErr w:type="spellStart"/>
            <w:r w:rsidRPr="005E41CA">
              <w:rPr>
                <w:rFonts w:eastAsia="Calibri" w:cs="Times New Roman"/>
                <w:sz w:val="18"/>
                <w:szCs w:val="18"/>
                <w:lang w:eastAsia="en-US"/>
              </w:rPr>
              <w:t>Reverta</w:t>
            </w:r>
            <w:proofErr w:type="spellEnd"/>
            <w:r w:rsidRPr="005E41CA">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7DCBEC4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1334056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4DC047D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0</w:t>
            </w:r>
          </w:p>
        </w:tc>
      </w:tr>
      <w:tr w:rsidR="005E41CA" w:rsidRPr="005E41CA" w14:paraId="7CBF306D"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D85623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41</w:t>
            </w:r>
          </w:p>
        </w:tc>
        <w:tc>
          <w:tcPr>
            <w:tcW w:w="6600" w:type="dxa"/>
            <w:tcBorders>
              <w:top w:val="nil"/>
              <w:left w:val="nil"/>
              <w:bottom w:val="single" w:sz="8" w:space="0" w:color="auto"/>
              <w:right w:val="single" w:sz="8" w:space="0" w:color="auto"/>
            </w:tcBorders>
            <w:shd w:val="clear" w:color="auto" w:fill="auto"/>
            <w:noWrap/>
            <w:hideMark/>
          </w:tcPr>
          <w:p w14:paraId="0115CA2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"Rīgas Austrumu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3BF9CCE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242 919 173</w:t>
            </w:r>
          </w:p>
        </w:tc>
        <w:tc>
          <w:tcPr>
            <w:tcW w:w="2121" w:type="dxa"/>
            <w:tcBorders>
              <w:top w:val="nil"/>
              <w:left w:val="nil"/>
              <w:bottom w:val="single" w:sz="8" w:space="0" w:color="auto"/>
              <w:right w:val="single" w:sz="8" w:space="0" w:color="auto"/>
            </w:tcBorders>
            <w:shd w:val="clear" w:color="auto" w:fill="auto"/>
            <w:noWrap/>
            <w:hideMark/>
          </w:tcPr>
          <w:p w14:paraId="7937A33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237 274 984</w:t>
            </w:r>
          </w:p>
        </w:tc>
        <w:tc>
          <w:tcPr>
            <w:tcW w:w="2177" w:type="dxa"/>
            <w:tcBorders>
              <w:top w:val="nil"/>
              <w:left w:val="nil"/>
              <w:bottom w:val="single" w:sz="8" w:space="0" w:color="auto"/>
              <w:right w:val="single" w:sz="8" w:space="0" w:color="auto"/>
            </w:tcBorders>
            <w:shd w:val="clear" w:color="auto" w:fill="auto"/>
            <w:noWrap/>
            <w:hideMark/>
          </w:tcPr>
          <w:p w14:paraId="667DA21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5 644 189</w:t>
            </w:r>
          </w:p>
        </w:tc>
      </w:tr>
      <w:tr w:rsidR="005E41CA" w:rsidRPr="005E41CA" w14:paraId="3CFFF71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DB1C60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42</w:t>
            </w:r>
          </w:p>
        </w:tc>
        <w:tc>
          <w:tcPr>
            <w:tcW w:w="6600" w:type="dxa"/>
            <w:tcBorders>
              <w:top w:val="nil"/>
              <w:left w:val="nil"/>
              <w:bottom w:val="single" w:sz="8" w:space="0" w:color="auto"/>
              <w:right w:val="single" w:sz="8" w:space="0" w:color="auto"/>
            </w:tcBorders>
            <w:shd w:val="clear" w:color="auto" w:fill="auto"/>
            <w:noWrap/>
            <w:hideMark/>
          </w:tcPr>
          <w:p w14:paraId="3806BAE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"Rīgas Cirks"</w:t>
            </w:r>
          </w:p>
        </w:tc>
        <w:tc>
          <w:tcPr>
            <w:tcW w:w="2121" w:type="dxa"/>
            <w:tcBorders>
              <w:top w:val="nil"/>
              <w:left w:val="nil"/>
              <w:bottom w:val="single" w:sz="8" w:space="0" w:color="auto"/>
              <w:right w:val="single" w:sz="8" w:space="0" w:color="auto"/>
            </w:tcBorders>
            <w:shd w:val="clear" w:color="auto" w:fill="auto"/>
            <w:noWrap/>
            <w:hideMark/>
          </w:tcPr>
          <w:p w14:paraId="753D313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1 008 816</w:t>
            </w:r>
          </w:p>
        </w:tc>
        <w:tc>
          <w:tcPr>
            <w:tcW w:w="2121" w:type="dxa"/>
            <w:tcBorders>
              <w:top w:val="nil"/>
              <w:left w:val="nil"/>
              <w:bottom w:val="single" w:sz="8" w:space="0" w:color="auto"/>
              <w:right w:val="single" w:sz="8" w:space="0" w:color="auto"/>
            </w:tcBorders>
            <w:shd w:val="clear" w:color="auto" w:fill="auto"/>
            <w:noWrap/>
            <w:hideMark/>
          </w:tcPr>
          <w:p w14:paraId="479704F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767 846</w:t>
            </w:r>
          </w:p>
        </w:tc>
        <w:tc>
          <w:tcPr>
            <w:tcW w:w="2177" w:type="dxa"/>
            <w:tcBorders>
              <w:top w:val="nil"/>
              <w:left w:val="nil"/>
              <w:bottom w:val="single" w:sz="8" w:space="0" w:color="auto"/>
              <w:right w:val="single" w:sz="8" w:space="0" w:color="auto"/>
            </w:tcBorders>
            <w:shd w:val="clear" w:color="auto" w:fill="auto"/>
            <w:noWrap/>
            <w:hideMark/>
          </w:tcPr>
          <w:p w14:paraId="07A76CA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240 970</w:t>
            </w:r>
          </w:p>
        </w:tc>
      </w:tr>
      <w:tr w:rsidR="005E41CA" w:rsidRPr="005E41CA" w14:paraId="3616E3D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2B8196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43</w:t>
            </w:r>
          </w:p>
        </w:tc>
        <w:tc>
          <w:tcPr>
            <w:tcW w:w="6600" w:type="dxa"/>
            <w:tcBorders>
              <w:top w:val="nil"/>
              <w:left w:val="nil"/>
              <w:bottom w:val="single" w:sz="8" w:space="0" w:color="auto"/>
              <w:right w:val="single" w:sz="8" w:space="0" w:color="auto"/>
            </w:tcBorders>
            <w:shd w:val="clear" w:color="auto" w:fill="auto"/>
            <w:noWrap/>
            <w:hideMark/>
          </w:tcPr>
          <w:p w14:paraId="2BB4818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"Rīgas psihiatrijas un narkoloģijas centrs"</w:t>
            </w:r>
          </w:p>
        </w:tc>
        <w:tc>
          <w:tcPr>
            <w:tcW w:w="2121" w:type="dxa"/>
            <w:tcBorders>
              <w:top w:val="nil"/>
              <w:left w:val="nil"/>
              <w:bottom w:val="single" w:sz="8" w:space="0" w:color="auto"/>
              <w:right w:val="single" w:sz="8" w:space="0" w:color="auto"/>
            </w:tcBorders>
            <w:shd w:val="clear" w:color="auto" w:fill="auto"/>
            <w:noWrap/>
            <w:hideMark/>
          </w:tcPr>
          <w:p w14:paraId="46D904F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35 246 032</w:t>
            </w:r>
          </w:p>
        </w:tc>
        <w:tc>
          <w:tcPr>
            <w:tcW w:w="2121" w:type="dxa"/>
            <w:tcBorders>
              <w:top w:val="nil"/>
              <w:left w:val="nil"/>
              <w:bottom w:val="single" w:sz="8" w:space="0" w:color="auto"/>
              <w:right w:val="single" w:sz="8" w:space="0" w:color="auto"/>
            </w:tcBorders>
            <w:shd w:val="clear" w:color="auto" w:fill="auto"/>
            <w:noWrap/>
            <w:hideMark/>
          </w:tcPr>
          <w:p w14:paraId="0EA015B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35 740 032</w:t>
            </w:r>
          </w:p>
        </w:tc>
        <w:tc>
          <w:tcPr>
            <w:tcW w:w="2177" w:type="dxa"/>
            <w:tcBorders>
              <w:top w:val="nil"/>
              <w:left w:val="nil"/>
              <w:bottom w:val="single" w:sz="8" w:space="0" w:color="auto"/>
              <w:right w:val="single" w:sz="8" w:space="0" w:color="auto"/>
            </w:tcBorders>
            <w:shd w:val="clear" w:color="auto" w:fill="auto"/>
            <w:noWrap/>
            <w:hideMark/>
          </w:tcPr>
          <w:p w14:paraId="2E6D670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-494 000</w:t>
            </w:r>
          </w:p>
        </w:tc>
      </w:tr>
      <w:tr w:rsidR="005E41CA" w:rsidRPr="005E41CA" w14:paraId="658208DA"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730917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44</w:t>
            </w:r>
          </w:p>
        </w:tc>
        <w:tc>
          <w:tcPr>
            <w:tcW w:w="6600" w:type="dxa"/>
            <w:tcBorders>
              <w:top w:val="nil"/>
              <w:left w:val="nil"/>
              <w:bottom w:val="single" w:sz="8" w:space="0" w:color="auto"/>
              <w:right w:val="single" w:sz="8" w:space="0" w:color="auto"/>
            </w:tcBorders>
            <w:shd w:val="clear" w:color="auto" w:fill="auto"/>
            <w:noWrap/>
            <w:hideMark/>
          </w:tcPr>
          <w:p w14:paraId="0D48751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"Rīgas Tūrisma un radošās industrijas tehnikums"</w:t>
            </w:r>
          </w:p>
        </w:tc>
        <w:tc>
          <w:tcPr>
            <w:tcW w:w="2121" w:type="dxa"/>
            <w:tcBorders>
              <w:top w:val="nil"/>
              <w:left w:val="nil"/>
              <w:bottom w:val="single" w:sz="8" w:space="0" w:color="auto"/>
              <w:right w:val="single" w:sz="8" w:space="0" w:color="auto"/>
            </w:tcBorders>
            <w:shd w:val="clear" w:color="auto" w:fill="auto"/>
            <w:noWrap/>
            <w:hideMark/>
          </w:tcPr>
          <w:p w14:paraId="2FBFDEE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7 524 000</w:t>
            </w:r>
          </w:p>
        </w:tc>
        <w:tc>
          <w:tcPr>
            <w:tcW w:w="2121" w:type="dxa"/>
            <w:tcBorders>
              <w:top w:val="nil"/>
              <w:left w:val="nil"/>
              <w:bottom w:val="single" w:sz="8" w:space="0" w:color="auto"/>
              <w:right w:val="single" w:sz="8" w:space="0" w:color="auto"/>
            </w:tcBorders>
            <w:shd w:val="clear" w:color="auto" w:fill="auto"/>
            <w:noWrap/>
            <w:hideMark/>
          </w:tcPr>
          <w:p w14:paraId="6ED7E41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7 523 066</w:t>
            </w:r>
          </w:p>
        </w:tc>
        <w:tc>
          <w:tcPr>
            <w:tcW w:w="2177" w:type="dxa"/>
            <w:tcBorders>
              <w:top w:val="nil"/>
              <w:left w:val="nil"/>
              <w:bottom w:val="single" w:sz="8" w:space="0" w:color="auto"/>
              <w:right w:val="single" w:sz="8" w:space="0" w:color="auto"/>
            </w:tcBorders>
            <w:shd w:val="clear" w:color="auto" w:fill="auto"/>
            <w:noWrap/>
            <w:hideMark/>
          </w:tcPr>
          <w:p w14:paraId="6B5636D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934</w:t>
            </w:r>
          </w:p>
        </w:tc>
      </w:tr>
      <w:tr w:rsidR="005E41CA" w:rsidRPr="005E41CA" w14:paraId="15328B1D"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89A890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45</w:t>
            </w:r>
          </w:p>
        </w:tc>
        <w:tc>
          <w:tcPr>
            <w:tcW w:w="6600" w:type="dxa"/>
            <w:tcBorders>
              <w:top w:val="nil"/>
              <w:left w:val="nil"/>
              <w:bottom w:val="single" w:sz="8" w:space="0" w:color="auto"/>
              <w:right w:val="single" w:sz="8" w:space="0" w:color="auto"/>
            </w:tcBorders>
            <w:shd w:val="clear" w:color="auto" w:fill="auto"/>
            <w:noWrap/>
            <w:hideMark/>
          </w:tcPr>
          <w:p w14:paraId="6B88D392"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"RTU Starptautiskā zinātņu un tehnoloģiju skola"</w:t>
            </w:r>
          </w:p>
        </w:tc>
        <w:tc>
          <w:tcPr>
            <w:tcW w:w="2121" w:type="dxa"/>
            <w:tcBorders>
              <w:top w:val="nil"/>
              <w:left w:val="nil"/>
              <w:bottom w:val="single" w:sz="8" w:space="0" w:color="auto"/>
              <w:right w:val="single" w:sz="8" w:space="0" w:color="auto"/>
            </w:tcBorders>
            <w:shd w:val="clear" w:color="auto" w:fill="auto"/>
            <w:noWrap/>
            <w:hideMark/>
          </w:tcPr>
          <w:p w14:paraId="7B29810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540 000</w:t>
            </w:r>
          </w:p>
        </w:tc>
        <w:tc>
          <w:tcPr>
            <w:tcW w:w="2121" w:type="dxa"/>
            <w:tcBorders>
              <w:top w:val="nil"/>
              <w:left w:val="nil"/>
              <w:bottom w:val="single" w:sz="8" w:space="0" w:color="auto"/>
              <w:right w:val="single" w:sz="8" w:space="0" w:color="auto"/>
            </w:tcBorders>
            <w:shd w:val="clear" w:color="auto" w:fill="auto"/>
            <w:noWrap/>
            <w:hideMark/>
          </w:tcPr>
          <w:p w14:paraId="024890B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522 500</w:t>
            </w:r>
          </w:p>
        </w:tc>
        <w:tc>
          <w:tcPr>
            <w:tcW w:w="2177" w:type="dxa"/>
            <w:tcBorders>
              <w:top w:val="nil"/>
              <w:left w:val="nil"/>
              <w:bottom w:val="single" w:sz="8" w:space="0" w:color="auto"/>
              <w:right w:val="single" w:sz="8" w:space="0" w:color="auto"/>
            </w:tcBorders>
            <w:shd w:val="clear" w:color="auto" w:fill="auto"/>
            <w:noWrap/>
            <w:hideMark/>
          </w:tcPr>
          <w:p w14:paraId="34E375F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17 500</w:t>
            </w:r>
          </w:p>
        </w:tc>
      </w:tr>
      <w:tr w:rsidR="005E41CA" w:rsidRPr="005E41CA" w14:paraId="1516CC5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F0F88F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46</w:t>
            </w:r>
          </w:p>
        </w:tc>
        <w:tc>
          <w:tcPr>
            <w:tcW w:w="6600" w:type="dxa"/>
            <w:tcBorders>
              <w:top w:val="nil"/>
              <w:left w:val="nil"/>
              <w:bottom w:val="single" w:sz="8" w:space="0" w:color="auto"/>
              <w:right w:val="single" w:sz="8" w:space="0" w:color="auto"/>
            </w:tcBorders>
            <w:shd w:val="clear" w:color="auto" w:fill="auto"/>
            <w:noWrap/>
            <w:hideMark/>
          </w:tcPr>
          <w:p w14:paraId="2207274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Starptautiskā Rakstnieku un tulkotāju māja"</w:t>
            </w:r>
          </w:p>
        </w:tc>
        <w:tc>
          <w:tcPr>
            <w:tcW w:w="2121" w:type="dxa"/>
            <w:tcBorders>
              <w:top w:val="nil"/>
              <w:left w:val="nil"/>
              <w:bottom w:val="single" w:sz="8" w:space="0" w:color="auto"/>
              <w:right w:val="single" w:sz="8" w:space="0" w:color="auto"/>
            </w:tcBorders>
            <w:shd w:val="clear" w:color="auto" w:fill="auto"/>
            <w:noWrap/>
            <w:hideMark/>
          </w:tcPr>
          <w:p w14:paraId="0779BE2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910 000</w:t>
            </w:r>
          </w:p>
        </w:tc>
        <w:tc>
          <w:tcPr>
            <w:tcW w:w="2121" w:type="dxa"/>
            <w:tcBorders>
              <w:top w:val="nil"/>
              <w:left w:val="nil"/>
              <w:bottom w:val="single" w:sz="8" w:space="0" w:color="auto"/>
              <w:right w:val="single" w:sz="8" w:space="0" w:color="auto"/>
            </w:tcBorders>
            <w:shd w:val="clear" w:color="auto" w:fill="auto"/>
            <w:noWrap/>
            <w:hideMark/>
          </w:tcPr>
          <w:p w14:paraId="6481D52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913 010</w:t>
            </w:r>
          </w:p>
        </w:tc>
        <w:tc>
          <w:tcPr>
            <w:tcW w:w="2177" w:type="dxa"/>
            <w:tcBorders>
              <w:top w:val="nil"/>
              <w:left w:val="nil"/>
              <w:bottom w:val="single" w:sz="8" w:space="0" w:color="auto"/>
              <w:right w:val="single" w:sz="8" w:space="0" w:color="auto"/>
            </w:tcBorders>
            <w:shd w:val="clear" w:color="auto" w:fill="auto"/>
            <w:noWrap/>
            <w:hideMark/>
          </w:tcPr>
          <w:p w14:paraId="63DC4A2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-3 010</w:t>
            </w:r>
          </w:p>
        </w:tc>
      </w:tr>
      <w:tr w:rsidR="005E41CA" w:rsidRPr="005E41CA" w14:paraId="2A12A038"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6A8C75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47</w:t>
            </w:r>
          </w:p>
        </w:tc>
        <w:tc>
          <w:tcPr>
            <w:tcW w:w="6600" w:type="dxa"/>
            <w:tcBorders>
              <w:top w:val="nil"/>
              <w:left w:val="nil"/>
              <w:bottom w:val="single" w:sz="8" w:space="0" w:color="auto"/>
              <w:right w:val="single" w:sz="8" w:space="0" w:color="auto"/>
            </w:tcBorders>
            <w:shd w:val="clear" w:color="auto" w:fill="auto"/>
            <w:noWrap/>
            <w:hideMark/>
          </w:tcPr>
          <w:p w14:paraId="33F544B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"Strenču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635A7CC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10 054 766</w:t>
            </w:r>
          </w:p>
        </w:tc>
        <w:tc>
          <w:tcPr>
            <w:tcW w:w="2121" w:type="dxa"/>
            <w:tcBorders>
              <w:top w:val="nil"/>
              <w:left w:val="nil"/>
              <w:bottom w:val="single" w:sz="8" w:space="0" w:color="auto"/>
              <w:right w:val="single" w:sz="8" w:space="0" w:color="auto"/>
            </w:tcBorders>
            <w:shd w:val="clear" w:color="auto" w:fill="auto"/>
            <w:noWrap/>
            <w:hideMark/>
          </w:tcPr>
          <w:p w14:paraId="21716C4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10 998 542</w:t>
            </w:r>
          </w:p>
        </w:tc>
        <w:tc>
          <w:tcPr>
            <w:tcW w:w="2177" w:type="dxa"/>
            <w:tcBorders>
              <w:top w:val="nil"/>
              <w:left w:val="nil"/>
              <w:bottom w:val="single" w:sz="8" w:space="0" w:color="auto"/>
              <w:right w:val="single" w:sz="8" w:space="0" w:color="auto"/>
            </w:tcBorders>
            <w:shd w:val="clear" w:color="auto" w:fill="auto"/>
            <w:noWrap/>
            <w:hideMark/>
          </w:tcPr>
          <w:p w14:paraId="1754C4E7"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-943 776</w:t>
            </w:r>
          </w:p>
        </w:tc>
      </w:tr>
      <w:tr w:rsidR="005E41CA" w:rsidRPr="005E41CA" w14:paraId="3C84B647"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799571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48</w:t>
            </w:r>
          </w:p>
        </w:tc>
        <w:tc>
          <w:tcPr>
            <w:tcW w:w="6600" w:type="dxa"/>
            <w:tcBorders>
              <w:top w:val="nil"/>
              <w:left w:val="nil"/>
              <w:bottom w:val="single" w:sz="8" w:space="0" w:color="auto"/>
              <w:right w:val="single" w:sz="8" w:space="0" w:color="auto"/>
            </w:tcBorders>
            <w:shd w:val="clear" w:color="auto" w:fill="auto"/>
            <w:noWrap/>
            <w:hideMark/>
          </w:tcPr>
          <w:p w14:paraId="40ADEF08"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"Šampētera nams"</w:t>
            </w:r>
          </w:p>
        </w:tc>
        <w:tc>
          <w:tcPr>
            <w:tcW w:w="2121" w:type="dxa"/>
            <w:tcBorders>
              <w:top w:val="nil"/>
              <w:left w:val="nil"/>
              <w:bottom w:val="single" w:sz="8" w:space="0" w:color="auto"/>
              <w:right w:val="single" w:sz="8" w:space="0" w:color="auto"/>
            </w:tcBorders>
            <w:shd w:val="clear" w:color="auto" w:fill="auto"/>
            <w:noWrap/>
            <w:hideMark/>
          </w:tcPr>
          <w:p w14:paraId="6BB7E72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2 795 660</w:t>
            </w:r>
          </w:p>
        </w:tc>
        <w:tc>
          <w:tcPr>
            <w:tcW w:w="2121" w:type="dxa"/>
            <w:tcBorders>
              <w:top w:val="nil"/>
              <w:left w:val="nil"/>
              <w:bottom w:val="single" w:sz="8" w:space="0" w:color="auto"/>
              <w:right w:val="single" w:sz="8" w:space="0" w:color="auto"/>
            </w:tcBorders>
            <w:shd w:val="clear" w:color="auto" w:fill="auto"/>
            <w:noWrap/>
            <w:hideMark/>
          </w:tcPr>
          <w:p w14:paraId="092C074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2 810 617</w:t>
            </w:r>
          </w:p>
        </w:tc>
        <w:tc>
          <w:tcPr>
            <w:tcW w:w="2177" w:type="dxa"/>
            <w:tcBorders>
              <w:top w:val="nil"/>
              <w:left w:val="nil"/>
              <w:bottom w:val="single" w:sz="8" w:space="0" w:color="auto"/>
              <w:right w:val="single" w:sz="8" w:space="0" w:color="auto"/>
            </w:tcBorders>
            <w:shd w:val="clear" w:color="auto" w:fill="auto"/>
            <w:noWrap/>
            <w:hideMark/>
          </w:tcPr>
          <w:p w14:paraId="791F3016"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-14 957</w:t>
            </w:r>
          </w:p>
        </w:tc>
      </w:tr>
      <w:tr w:rsidR="005E41CA" w:rsidRPr="005E41CA" w14:paraId="1044BCE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A51860D"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49</w:t>
            </w:r>
          </w:p>
        </w:tc>
        <w:tc>
          <w:tcPr>
            <w:tcW w:w="6600" w:type="dxa"/>
            <w:tcBorders>
              <w:top w:val="nil"/>
              <w:left w:val="nil"/>
              <w:bottom w:val="single" w:sz="8" w:space="0" w:color="auto"/>
              <w:right w:val="single" w:sz="8" w:space="0" w:color="auto"/>
            </w:tcBorders>
            <w:shd w:val="clear" w:color="auto" w:fill="auto"/>
            <w:noWrap/>
            <w:hideMark/>
          </w:tcPr>
          <w:p w14:paraId="34908CC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"Tiesu namu aģentūra"</w:t>
            </w:r>
          </w:p>
        </w:tc>
        <w:tc>
          <w:tcPr>
            <w:tcW w:w="2121" w:type="dxa"/>
            <w:tcBorders>
              <w:top w:val="nil"/>
              <w:left w:val="nil"/>
              <w:bottom w:val="single" w:sz="8" w:space="0" w:color="auto"/>
              <w:right w:val="single" w:sz="8" w:space="0" w:color="auto"/>
            </w:tcBorders>
            <w:shd w:val="clear" w:color="auto" w:fill="auto"/>
            <w:noWrap/>
            <w:hideMark/>
          </w:tcPr>
          <w:p w14:paraId="2875388F"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9 250 000</w:t>
            </w:r>
          </w:p>
        </w:tc>
        <w:tc>
          <w:tcPr>
            <w:tcW w:w="2121" w:type="dxa"/>
            <w:tcBorders>
              <w:top w:val="nil"/>
              <w:left w:val="nil"/>
              <w:bottom w:val="single" w:sz="8" w:space="0" w:color="auto"/>
              <w:right w:val="single" w:sz="8" w:space="0" w:color="auto"/>
            </w:tcBorders>
            <w:shd w:val="clear" w:color="auto" w:fill="auto"/>
            <w:noWrap/>
            <w:hideMark/>
          </w:tcPr>
          <w:p w14:paraId="34079B5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7 538 000</w:t>
            </w:r>
          </w:p>
        </w:tc>
        <w:tc>
          <w:tcPr>
            <w:tcW w:w="2177" w:type="dxa"/>
            <w:tcBorders>
              <w:top w:val="nil"/>
              <w:left w:val="nil"/>
              <w:bottom w:val="single" w:sz="8" w:space="0" w:color="auto"/>
              <w:right w:val="single" w:sz="8" w:space="0" w:color="auto"/>
            </w:tcBorders>
            <w:shd w:val="clear" w:color="auto" w:fill="auto"/>
            <w:noWrap/>
            <w:hideMark/>
          </w:tcPr>
          <w:p w14:paraId="22E041B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1 712 000</w:t>
            </w:r>
          </w:p>
        </w:tc>
      </w:tr>
      <w:tr w:rsidR="005E41CA" w:rsidRPr="005E41CA" w14:paraId="69C02648"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810AE9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50</w:t>
            </w:r>
          </w:p>
        </w:tc>
        <w:tc>
          <w:tcPr>
            <w:tcW w:w="6600" w:type="dxa"/>
            <w:tcBorders>
              <w:top w:val="nil"/>
              <w:left w:val="nil"/>
              <w:bottom w:val="single" w:sz="8" w:space="0" w:color="auto"/>
              <w:right w:val="single" w:sz="8" w:space="0" w:color="auto"/>
            </w:tcBorders>
            <w:shd w:val="clear" w:color="auto" w:fill="auto"/>
            <w:noWrap/>
            <w:hideMark/>
          </w:tcPr>
          <w:p w14:paraId="730665D7"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"Traumatoloģijas un ortopēdijas slimnīca"</w:t>
            </w:r>
          </w:p>
        </w:tc>
        <w:tc>
          <w:tcPr>
            <w:tcW w:w="2121" w:type="dxa"/>
            <w:tcBorders>
              <w:top w:val="nil"/>
              <w:left w:val="nil"/>
              <w:bottom w:val="single" w:sz="8" w:space="0" w:color="auto"/>
              <w:right w:val="single" w:sz="8" w:space="0" w:color="auto"/>
            </w:tcBorders>
            <w:shd w:val="clear" w:color="auto" w:fill="auto"/>
            <w:noWrap/>
            <w:hideMark/>
          </w:tcPr>
          <w:p w14:paraId="577DCF8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28 411 000</w:t>
            </w:r>
          </w:p>
        </w:tc>
        <w:tc>
          <w:tcPr>
            <w:tcW w:w="2121" w:type="dxa"/>
            <w:tcBorders>
              <w:top w:val="nil"/>
              <w:left w:val="nil"/>
              <w:bottom w:val="single" w:sz="8" w:space="0" w:color="auto"/>
              <w:right w:val="single" w:sz="8" w:space="0" w:color="auto"/>
            </w:tcBorders>
            <w:shd w:val="clear" w:color="auto" w:fill="auto"/>
            <w:noWrap/>
            <w:hideMark/>
          </w:tcPr>
          <w:p w14:paraId="108F79F0"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28 408 760</w:t>
            </w:r>
          </w:p>
        </w:tc>
        <w:tc>
          <w:tcPr>
            <w:tcW w:w="2177" w:type="dxa"/>
            <w:tcBorders>
              <w:top w:val="nil"/>
              <w:left w:val="nil"/>
              <w:bottom w:val="single" w:sz="8" w:space="0" w:color="auto"/>
              <w:right w:val="single" w:sz="8" w:space="0" w:color="auto"/>
            </w:tcBorders>
            <w:shd w:val="clear" w:color="auto" w:fill="auto"/>
            <w:noWrap/>
            <w:hideMark/>
          </w:tcPr>
          <w:p w14:paraId="6B45A46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2 240</w:t>
            </w:r>
          </w:p>
        </w:tc>
      </w:tr>
      <w:tr w:rsidR="005E41CA" w:rsidRPr="005E41CA" w14:paraId="732D98E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B897A8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51</w:t>
            </w:r>
          </w:p>
        </w:tc>
        <w:tc>
          <w:tcPr>
            <w:tcW w:w="6600" w:type="dxa"/>
            <w:tcBorders>
              <w:top w:val="nil"/>
              <w:left w:val="nil"/>
              <w:bottom w:val="single" w:sz="8" w:space="0" w:color="auto"/>
              <w:right w:val="single" w:sz="8" w:space="0" w:color="auto"/>
            </w:tcBorders>
            <w:shd w:val="clear" w:color="auto" w:fill="auto"/>
            <w:noWrap/>
            <w:hideMark/>
          </w:tcPr>
          <w:p w14:paraId="342EC691"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"Nacionālais rehabilitācijas centrs "Vaivari""</w:t>
            </w:r>
          </w:p>
        </w:tc>
        <w:tc>
          <w:tcPr>
            <w:tcW w:w="2121" w:type="dxa"/>
            <w:tcBorders>
              <w:top w:val="nil"/>
              <w:left w:val="nil"/>
              <w:bottom w:val="single" w:sz="8" w:space="0" w:color="auto"/>
              <w:right w:val="single" w:sz="8" w:space="0" w:color="auto"/>
            </w:tcBorders>
            <w:shd w:val="clear" w:color="auto" w:fill="auto"/>
            <w:noWrap/>
            <w:hideMark/>
          </w:tcPr>
          <w:p w14:paraId="018478A1"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20 450 555</w:t>
            </w:r>
          </w:p>
        </w:tc>
        <w:tc>
          <w:tcPr>
            <w:tcW w:w="2121" w:type="dxa"/>
            <w:tcBorders>
              <w:top w:val="nil"/>
              <w:left w:val="nil"/>
              <w:bottom w:val="single" w:sz="8" w:space="0" w:color="auto"/>
              <w:right w:val="single" w:sz="8" w:space="0" w:color="auto"/>
            </w:tcBorders>
            <w:shd w:val="clear" w:color="auto" w:fill="auto"/>
            <w:noWrap/>
            <w:hideMark/>
          </w:tcPr>
          <w:p w14:paraId="521464B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20 445 555</w:t>
            </w:r>
          </w:p>
        </w:tc>
        <w:tc>
          <w:tcPr>
            <w:tcW w:w="2177" w:type="dxa"/>
            <w:tcBorders>
              <w:top w:val="nil"/>
              <w:left w:val="nil"/>
              <w:bottom w:val="single" w:sz="8" w:space="0" w:color="auto"/>
              <w:right w:val="single" w:sz="8" w:space="0" w:color="auto"/>
            </w:tcBorders>
            <w:shd w:val="clear" w:color="auto" w:fill="auto"/>
            <w:noWrap/>
            <w:hideMark/>
          </w:tcPr>
          <w:p w14:paraId="7367E0F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5 000</w:t>
            </w:r>
          </w:p>
        </w:tc>
      </w:tr>
      <w:tr w:rsidR="005E41CA" w:rsidRPr="005E41CA" w14:paraId="5D14F26E"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374EB80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52</w:t>
            </w:r>
          </w:p>
        </w:tc>
        <w:tc>
          <w:tcPr>
            <w:tcW w:w="6600" w:type="dxa"/>
            <w:tcBorders>
              <w:top w:val="nil"/>
              <w:left w:val="nil"/>
              <w:bottom w:val="single" w:sz="8" w:space="0" w:color="auto"/>
              <w:right w:val="single" w:sz="8" w:space="0" w:color="auto"/>
            </w:tcBorders>
            <w:shd w:val="clear" w:color="auto" w:fill="auto"/>
            <w:noWrap/>
            <w:hideMark/>
          </w:tcPr>
          <w:p w14:paraId="61F762C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"Valmieras drāmas teātris"</w:t>
            </w:r>
          </w:p>
        </w:tc>
        <w:tc>
          <w:tcPr>
            <w:tcW w:w="2121" w:type="dxa"/>
            <w:tcBorders>
              <w:top w:val="nil"/>
              <w:left w:val="nil"/>
              <w:bottom w:val="single" w:sz="8" w:space="0" w:color="auto"/>
              <w:right w:val="single" w:sz="8" w:space="0" w:color="auto"/>
            </w:tcBorders>
            <w:shd w:val="clear" w:color="auto" w:fill="auto"/>
            <w:noWrap/>
            <w:hideMark/>
          </w:tcPr>
          <w:p w14:paraId="6A952B8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849 512</w:t>
            </w:r>
          </w:p>
        </w:tc>
        <w:tc>
          <w:tcPr>
            <w:tcW w:w="2121" w:type="dxa"/>
            <w:tcBorders>
              <w:top w:val="nil"/>
              <w:left w:val="nil"/>
              <w:bottom w:val="single" w:sz="8" w:space="0" w:color="auto"/>
              <w:right w:val="single" w:sz="8" w:space="0" w:color="auto"/>
            </w:tcBorders>
            <w:shd w:val="clear" w:color="auto" w:fill="auto"/>
            <w:noWrap/>
            <w:hideMark/>
          </w:tcPr>
          <w:p w14:paraId="77B3E5E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860 768</w:t>
            </w:r>
          </w:p>
        </w:tc>
        <w:tc>
          <w:tcPr>
            <w:tcW w:w="2177" w:type="dxa"/>
            <w:tcBorders>
              <w:top w:val="nil"/>
              <w:left w:val="nil"/>
              <w:bottom w:val="single" w:sz="8" w:space="0" w:color="auto"/>
              <w:right w:val="single" w:sz="8" w:space="0" w:color="auto"/>
            </w:tcBorders>
            <w:shd w:val="clear" w:color="auto" w:fill="auto"/>
            <w:noWrap/>
            <w:hideMark/>
          </w:tcPr>
          <w:p w14:paraId="4B88E06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-11 256</w:t>
            </w:r>
          </w:p>
        </w:tc>
      </w:tr>
      <w:tr w:rsidR="005E41CA" w:rsidRPr="005E41CA" w14:paraId="45F8B6D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7A55635"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53</w:t>
            </w:r>
          </w:p>
        </w:tc>
        <w:tc>
          <w:tcPr>
            <w:tcW w:w="6600" w:type="dxa"/>
            <w:tcBorders>
              <w:top w:val="nil"/>
              <w:left w:val="nil"/>
              <w:bottom w:val="single" w:sz="8" w:space="0" w:color="auto"/>
              <w:right w:val="single" w:sz="8" w:space="0" w:color="auto"/>
            </w:tcBorders>
            <w:shd w:val="clear" w:color="auto" w:fill="auto"/>
            <w:noWrap/>
            <w:hideMark/>
          </w:tcPr>
          <w:p w14:paraId="6CE8E679"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AS "Valsts nekustamie īpašumi"</w:t>
            </w:r>
          </w:p>
        </w:tc>
        <w:tc>
          <w:tcPr>
            <w:tcW w:w="2121" w:type="dxa"/>
            <w:tcBorders>
              <w:top w:val="nil"/>
              <w:left w:val="nil"/>
              <w:bottom w:val="single" w:sz="8" w:space="0" w:color="auto"/>
              <w:right w:val="single" w:sz="8" w:space="0" w:color="auto"/>
            </w:tcBorders>
            <w:shd w:val="clear" w:color="auto" w:fill="auto"/>
            <w:noWrap/>
            <w:hideMark/>
          </w:tcPr>
          <w:p w14:paraId="3DDEAB2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45 066 745</w:t>
            </w:r>
          </w:p>
        </w:tc>
        <w:tc>
          <w:tcPr>
            <w:tcW w:w="2121" w:type="dxa"/>
            <w:tcBorders>
              <w:top w:val="nil"/>
              <w:left w:val="nil"/>
              <w:bottom w:val="single" w:sz="8" w:space="0" w:color="auto"/>
              <w:right w:val="single" w:sz="8" w:space="0" w:color="auto"/>
            </w:tcBorders>
            <w:shd w:val="clear" w:color="auto" w:fill="auto"/>
            <w:noWrap/>
            <w:hideMark/>
          </w:tcPr>
          <w:p w14:paraId="22584F3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49 965 677</w:t>
            </w:r>
          </w:p>
        </w:tc>
        <w:tc>
          <w:tcPr>
            <w:tcW w:w="2177" w:type="dxa"/>
            <w:tcBorders>
              <w:top w:val="nil"/>
              <w:left w:val="nil"/>
              <w:bottom w:val="single" w:sz="8" w:space="0" w:color="auto"/>
              <w:right w:val="single" w:sz="8" w:space="0" w:color="auto"/>
            </w:tcBorders>
            <w:shd w:val="clear" w:color="auto" w:fill="auto"/>
            <w:noWrap/>
            <w:hideMark/>
          </w:tcPr>
          <w:p w14:paraId="30E46B6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-4 898 932</w:t>
            </w:r>
          </w:p>
        </w:tc>
      </w:tr>
      <w:tr w:rsidR="005E41CA" w:rsidRPr="005E41CA" w14:paraId="0EBB7D0D"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18A417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lastRenderedPageBreak/>
              <w:t>54</w:t>
            </w:r>
          </w:p>
        </w:tc>
        <w:tc>
          <w:tcPr>
            <w:tcW w:w="6600" w:type="dxa"/>
            <w:tcBorders>
              <w:top w:val="nil"/>
              <w:left w:val="nil"/>
              <w:bottom w:val="single" w:sz="8" w:space="0" w:color="auto"/>
              <w:right w:val="single" w:sz="8" w:space="0" w:color="auto"/>
            </w:tcBorders>
            <w:shd w:val="clear" w:color="auto" w:fill="auto"/>
            <w:noWrap/>
            <w:hideMark/>
          </w:tcPr>
          <w:p w14:paraId="5FFDA43B"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SIA "Vides investīciju fonds"</w:t>
            </w:r>
          </w:p>
        </w:tc>
        <w:tc>
          <w:tcPr>
            <w:tcW w:w="2121" w:type="dxa"/>
            <w:tcBorders>
              <w:top w:val="nil"/>
              <w:left w:val="nil"/>
              <w:bottom w:val="single" w:sz="8" w:space="0" w:color="auto"/>
              <w:right w:val="single" w:sz="8" w:space="0" w:color="auto"/>
            </w:tcBorders>
            <w:shd w:val="clear" w:color="auto" w:fill="auto"/>
            <w:noWrap/>
            <w:hideMark/>
          </w:tcPr>
          <w:p w14:paraId="209241FA"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888 656</w:t>
            </w:r>
          </w:p>
        </w:tc>
        <w:tc>
          <w:tcPr>
            <w:tcW w:w="2121" w:type="dxa"/>
            <w:tcBorders>
              <w:top w:val="nil"/>
              <w:left w:val="nil"/>
              <w:bottom w:val="single" w:sz="8" w:space="0" w:color="auto"/>
              <w:right w:val="single" w:sz="8" w:space="0" w:color="auto"/>
            </w:tcBorders>
            <w:shd w:val="clear" w:color="auto" w:fill="auto"/>
            <w:noWrap/>
            <w:hideMark/>
          </w:tcPr>
          <w:p w14:paraId="25F9E5CB"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881 972</w:t>
            </w:r>
          </w:p>
        </w:tc>
        <w:tc>
          <w:tcPr>
            <w:tcW w:w="2177" w:type="dxa"/>
            <w:tcBorders>
              <w:top w:val="nil"/>
              <w:left w:val="nil"/>
              <w:bottom w:val="single" w:sz="8" w:space="0" w:color="auto"/>
              <w:right w:val="single" w:sz="8" w:space="0" w:color="auto"/>
            </w:tcBorders>
            <w:shd w:val="clear" w:color="auto" w:fill="auto"/>
            <w:noWrap/>
            <w:hideMark/>
          </w:tcPr>
          <w:p w14:paraId="7EF16BA4"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6 684</w:t>
            </w:r>
          </w:p>
        </w:tc>
      </w:tr>
      <w:tr w:rsidR="005E41CA" w:rsidRPr="005E41CA" w14:paraId="496692F0"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9B9029C"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55</w:t>
            </w:r>
          </w:p>
        </w:tc>
        <w:tc>
          <w:tcPr>
            <w:tcW w:w="6600" w:type="dxa"/>
            <w:tcBorders>
              <w:top w:val="nil"/>
              <w:left w:val="nil"/>
              <w:bottom w:val="single" w:sz="8" w:space="0" w:color="auto"/>
              <w:right w:val="single" w:sz="8" w:space="0" w:color="auto"/>
            </w:tcBorders>
            <w:shd w:val="clear" w:color="auto" w:fill="auto"/>
            <w:noWrap/>
            <w:hideMark/>
          </w:tcPr>
          <w:p w14:paraId="59A5FEED"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Calibri" w:cs="Times New Roman"/>
                <w:sz w:val="18"/>
                <w:szCs w:val="18"/>
                <w:lang w:eastAsia="en-US"/>
              </w:rPr>
              <w:t>VSIA "Zemkopības ministrijas nekustamie īpašumi"</w:t>
            </w:r>
          </w:p>
        </w:tc>
        <w:tc>
          <w:tcPr>
            <w:tcW w:w="2121" w:type="dxa"/>
            <w:tcBorders>
              <w:top w:val="nil"/>
              <w:left w:val="nil"/>
              <w:bottom w:val="single" w:sz="8" w:space="0" w:color="auto"/>
              <w:right w:val="single" w:sz="8" w:space="0" w:color="auto"/>
            </w:tcBorders>
            <w:shd w:val="clear" w:color="auto" w:fill="auto"/>
            <w:noWrap/>
            <w:hideMark/>
          </w:tcPr>
          <w:p w14:paraId="5031A54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2 897 587</w:t>
            </w:r>
          </w:p>
        </w:tc>
        <w:tc>
          <w:tcPr>
            <w:tcW w:w="2121" w:type="dxa"/>
            <w:tcBorders>
              <w:top w:val="nil"/>
              <w:left w:val="nil"/>
              <w:bottom w:val="single" w:sz="8" w:space="0" w:color="auto"/>
              <w:right w:val="single" w:sz="8" w:space="0" w:color="auto"/>
            </w:tcBorders>
            <w:shd w:val="clear" w:color="auto" w:fill="auto"/>
            <w:noWrap/>
            <w:hideMark/>
          </w:tcPr>
          <w:p w14:paraId="1B9EBD89"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2 867 761</w:t>
            </w:r>
          </w:p>
        </w:tc>
        <w:tc>
          <w:tcPr>
            <w:tcW w:w="2177" w:type="dxa"/>
            <w:tcBorders>
              <w:top w:val="nil"/>
              <w:left w:val="nil"/>
              <w:bottom w:val="single" w:sz="8" w:space="0" w:color="auto"/>
              <w:right w:val="single" w:sz="8" w:space="0" w:color="auto"/>
            </w:tcBorders>
            <w:shd w:val="clear" w:color="auto" w:fill="auto"/>
            <w:noWrap/>
            <w:hideMark/>
          </w:tcPr>
          <w:p w14:paraId="33D9E658"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29 826</w:t>
            </w:r>
          </w:p>
        </w:tc>
      </w:tr>
      <w:tr w:rsidR="005E41CA" w:rsidRPr="005E41CA" w14:paraId="4476417F" w14:textId="77777777" w:rsidTr="006261DB">
        <w:trPr>
          <w:trHeight w:val="283"/>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7F1FDA46" w14:textId="77777777" w:rsidR="005E41CA" w:rsidRPr="005E41CA" w:rsidRDefault="005E41CA" w:rsidP="005E41CA">
            <w:pPr>
              <w:spacing w:after="0"/>
              <w:ind w:firstLine="0"/>
              <w:jc w:val="center"/>
              <w:rPr>
                <w:rFonts w:eastAsia="Times New Roman" w:cs="Times New Roman"/>
                <w:color w:val="000000"/>
                <w:sz w:val="18"/>
                <w:szCs w:val="18"/>
              </w:rPr>
            </w:pPr>
            <w:r w:rsidRPr="005E41CA">
              <w:rPr>
                <w:rFonts w:eastAsia="Times New Roman" w:cs="Times New Roman"/>
                <w:color w:val="000000"/>
                <w:sz w:val="18"/>
                <w:szCs w:val="18"/>
              </w:rPr>
              <w:t>S130330</w:t>
            </w:r>
          </w:p>
        </w:tc>
        <w:tc>
          <w:tcPr>
            <w:tcW w:w="6600" w:type="dxa"/>
            <w:tcBorders>
              <w:top w:val="nil"/>
              <w:left w:val="nil"/>
              <w:bottom w:val="single" w:sz="8" w:space="0" w:color="auto"/>
              <w:right w:val="single" w:sz="8" w:space="0" w:color="auto"/>
            </w:tcBorders>
            <w:shd w:val="clear" w:color="000000" w:fill="DDEBF7"/>
            <w:noWrap/>
            <w:vAlign w:val="center"/>
            <w:hideMark/>
          </w:tcPr>
          <w:p w14:paraId="0405AE83"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Pašvaldības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69048D76"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6EB3D8B5"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048D86BA" w14:textId="77777777" w:rsidR="005E41CA" w:rsidRPr="005E41CA" w:rsidRDefault="005E41CA" w:rsidP="005E41CA">
            <w:pPr>
              <w:spacing w:after="0"/>
              <w:ind w:firstLine="0"/>
              <w:jc w:val="left"/>
              <w:rPr>
                <w:rFonts w:eastAsia="Times New Roman" w:cs="Times New Roman"/>
                <w:color w:val="000000"/>
                <w:sz w:val="18"/>
                <w:szCs w:val="18"/>
              </w:rPr>
            </w:pPr>
            <w:r w:rsidRPr="005E41CA">
              <w:rPr>
                <w:rFonts w:eastAsia="Times New Roman" w:cs="Times New Roman"/>
                <w:color w:val="000000"/>
                <w:sz w:val="18"/>
                <w:szCs w:val="18"/>
              </w:rPr>
              <w:t> </w:t>
            </w:r>
          </w:p>
        </w:tc>
      </w:tr>
      <w:tr w:rsidR="005E41CA" w:rsidRPr="005E41CA" w14:paraId="2DF1A358"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07BB7A42"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Times New Roman" w:cs="Times New Roman"/>
                <w:color w:val="000000"/>
                <w:sz w:val="18"/>
                <w:szCs w:val="18"/>
              </w:rPr>
              <w:t>56</w:t>
            </w:r>
          </w:p>
        </w:tc>
        <w:tc>
          <w:tcPr>
            <w:tcW w:w="6600" w:type="dxa"/>
            <w:tcBorders>
              <w:top w:val="nil"/>
              <w:left w:val="nil"/>
              <w:bottom w:val="single" w:sz="8" w:space="0" w:color="auto"/>
              <w:right w:val="single" w:sz="8" w:space="0" w:color="auto"/>
            </w:tcBorders>
            <w:shd w:val="clear" w:color="auto" w:fill="auto"/>
            <w:noWrap/>
            <w:hideMark/>
          </w:tcPr>
          <w:p w14:paraId="3E4DF6A4"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Aviasabiedrība</w:t>
            </w:r>
            <w:proofErr w:type="spellEnd"/>
            <w:r w:rsidRPr="005E41CA">
              <w:rPr>
                <w:rFonts w:eastAsia="Calibri" w:cs="Times New Roman"/>
                <w:sz w:val="18"/>
                <w:szCs w:val="18"/>
                <w:lang w:eastAsia="en-US"/>
              </w:rPr>
              <w:t xml:space="preserve"> "Liepāja""</w:t>
            </w:r>
          </w:p>
        </w:tc>
        <w:tc>
          <w:tcPr>
            <w:tcW w:w="2121" w:type="dxa"/>
            <w:tcBorders>
              <w:top w:val="nil"/>
              <w:left w:val="nil"/>
              <w:bottom w:val="single" w:sz="8" w:space="0" w:color="auto"/>
              <w:right w:val="single" w:sz="8" w:space="0" w:color="auto"/>
            </w:tcBorders>
            <w:shd w:val="clear" w:color="auto" w:fill="auto"/>
            <w:noWrap/>
            <w:hideMark/>
          </w:tcPr>
          <w:p w14:paraId="4FFBC20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2 218 338</w:t>
            </w:r>
          </w:p>
        </w:tc>
        <w:tc>
          <w:tcPr>
            <w:tcW w:w="2121" w:type="dxa"/>
            <w:tcBorders>
              <w:top w:val="nil"/>
              <w:left w:val="nil"/>
              <w:bottom w:val="single" w:sz="8" w:space="0" w:color="auto"/>
              <w:right w:val="single" w:sz="8" w:space="0" w:color="auto"/>
            </w:tcBorders>
            <w:shd w:val="clear" w:color="auto" w:fill="auto"/>
            <w:noWrap/>
            <w:hideMark/>
          </w:tcPr>
          <w:p w14:paraId="085049B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1 932 983</w:t>
            </w:r>
          </w:p>
        </w:tc>
        <w:tc>
          <w:tcPr>
            <w:tcW w:w="2177" w:type="dxa"/>
            <w:tcBorders>
              <w:top w:val="nil"/>
              <w:left w:val="nil"/>
              <w:bottom w:val="single" w:sz="8" w:space="0" w:color="auto"/>
              <w:right w:val="single" w:sz="8" w:space="0" w:color="auto"/>
            </w:tcBorders>
            <w:shd w:val="clear" w:color="auto" w:fill="auto"/>
            <w:noWrap/>
            <w:hideMark/>
          </w:tcPr>
          <w:p w14:paraId="0B288E8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285 355</w:t>
            </w:r>
          </w:p>
        </w:tc>
      </w:tr>
      <w:tr w:rsidR="005E41CA" w:rsidRPr="005E41CA" w14:paraId="5B5E587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A1444EE" w14:textId="77777777" w:rsidR="005E41CA" w:rsidRPr="005E41CA" w:rsidRDefault="005E41CA" w:rsidP="005E41CA">
            <w:pPr>
              <w:spacing w:after="0"/>
              <w:ind w:firstLine="0"/>
              <w:jc w:val="right"/>
              <w:rPr>
                <w:rFonts w:eastAsia="Times New Roman" w:cs="Times New Roman"/>
                <w:color w:val="000000"/>
                <w:sz w:val="18"/>
                <w:szCs w:val="18"/>
              </w:rPr>
            </w:pPr>
            <w:r w:rsidRPr="005E41CA">
              <w:rPr>
                <w:rFonts w:eastAsia="Calibri" w:cs="Times New Roman"/>
                <w:sz w:val="18"/>
                <w:szCs w:val="18"/>
                <w:lang w:eastAsia="en-US"/>
              </w:rPr>
              <w:t>57</w:t>
            </w:r>
          </w:p>
        </w:tc>
        <w:tc>
          <w:tcPr>
            <w:tcW w:w="6600" w:type="dxa"/>
            <w:tcBorders>
              <w:top w:val="nil"/>
              <w:left w:val="nil"/>
              <w:bottom w:val="single" w:sz="8" w:space="0" w:color="auto"/>
              <w:right w:val="single" w:sz="8" w:space="0" w:color="auto"/>
            </w:tcBorders>
            <w:shd w:val="clear" w:color="auto" w:fill="auto"/>
            <w:noWrap/>
            <w:hideMark/>
          </w:tcPr>
          <w:p w14:paraId="66A52FC2"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Cēsu</w:t>
            </w:r>
            <w:proofErr w:type="spellEnd"/>
            <w:r w:rsidRPr="005E41CA">
              <w:rPr>
                <w:rFonts w:eastAsia="Calibri" w:cs="Times New Roman"/>
                <w:sz w:val="18"/>
                <w:szCs w:val="18"/>
                <w:lang w:eastAsia="en-US"/>
              </w:rPr>
              <w:t xml:space="preserve"> klīnika"</w:t>
            </w:r>
          </w:p>
        </w:tc>
        <w:tc>
          <w:tcPr>
            <w:tcW w:w="2121" w:type="dxa"/>
            <w:tcBorders>
              <w:top w:val="nil"/>
              <w:left w:val="nil"/>
              <w:bottom w:val="single" w:sz="8" w:space="0" w:color="auto"/>
              <w:right w:val="single" w:sz="8" w:space="0" w:color="auto"/>
            </w:tcBorders>
            <w:shd w:val="clear" w:color="auto" w:fill="auto"/>
            <w:noWrap/>
            <w:hideMark/>
          </w:tcPr>
          <w:p w14:paraId="6A26026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11 000 000</w:t>
            </w:r>
          </w:p>
        </w:tc>
        <w:tc>
          <w:tcPr>
            <w:tcW w:w="2121" w:type="dxa"/>
            <w:tcBorders>
              <w:top w:val="nil"/>
              <w:left w:val="nil"/>
              <w:bottom w:val="single" w:sz="8" w:space="0" w:color="auto"/>
              <w:right w:val="single" w:sz="8" w:space="0" w:color="auto"/>
            </w:tcBorders>
            <w:shd w:val="clear" w:color="auto" w:fill="auto"/>
            <w:noWrap/>
            <w:hideMark/>
          </w:tcPr>
          <w:p w14:paraId="4F3672C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11 805 500</w:t>
            </w:r>
          </w:p>
        </w:tc>
        <w:tc>
          <w:tcPr>
            <w:tcW w:w="2177" w:type="dxa"/>
            <w:tcBorders>
              <w:top w:val="nil"/>
              <w:left w:val="nil"/>
              <w:bottom w:val="single" w:sz="8" w:space="0" w:color="auto"/>
              <w:right w:val="single" w:sz="8" w:space="0" w:color="auto"/>
            </w:tcBorders>
            <w:shd w:val="clear" w:color="auto" w:fill="auto"/>
            <w:noWrap/>
            <w:hideMark/>
          </w:tcPr>
          <w:p w14:paraId="76DEC5FC"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-805 500</w:t>
            </w:r>
          </w:p>
        </w:tc>
      </w:tr>
      <w:tr w:rsidR="005E41CA" w:rsidRPr="005E41CA" w14:paraId="171919B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4D75D50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58</w:t>
            </w:r>
          </w:p>
        </w:tc>
        <w:tc>
          <w:tcPr>
            <w:tcW w:w="6600" w:type="dxa"/>
            <w:tcBorders>
              <w:top w:val="nil"/>
              <w:left w:val="nil"/>
              <w:bottom w:val="single" w:sz="8" w:space="0" w:color="auto"/>
              <w:right w:val="single" w:sz="8" w:space="0" w:color="auto"/>
            </w:tcBorders>
            <w:shd w:val="clear" w:color="auto" w:fill="auto"/>
            <w:noWrap/>
            <w:hideMark/>
          </w:tcPr>
          <w:p w14:paraId="3C7A6607"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"Daugavpils bērnu veselības centrs"</w:t>
            </w:r>
          </w:p>
        </w:tc>
        <w:tc>
          <w:tcPr>
            <w:tcW w:w="2121" w:type="dxa"/>
            <w:tcBorders>
              <w:top w:val="nil"/>
              <w:left w:val="nil"/>
              <w:bottom w:val="single" w:sz="8" w:space="0" w:color="auto"/>
              <w:right w:val="single" w:sz="8" w:space="0" w:color="auto"/>
            </w:tcBorders>
            <w:shd w:val="clear" w:color="auto" w:fill="auto"/>
            <w:noWrap/>
            <w:hideMark/>
          </w:tcPr>
          <w:p w14:paraId="3EA8F76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2 599 400</w:t>
            </w:r>
          </w:p>
        </w:tc>
        <w:tc>
          <w:tcPr>
            <w:tcW w:w="2121" w:type="dxa"/>
            <w:tcBorders>
              <w:top w:val="nil"/>
              <w:left w:val="nil"/>
              <w:bottom w:val="single" w:sz="8" w:space="0" w:color="auto"/>
              <w:right w:val="single" w:sz="8" w:space="0" w:color="auto"/>
            </w:tcBorders>
            <w:shd w:val="clear" w:color="auto" w:fill="auto"/>
            <w:noWrap/>
            <w:hideMark/>
          </w:tcPr>
          <w:p w14:paraId="7327201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2 561 675</w:t>
            </w:r>
          </w:p>
        </w:tc>
        <w:tc>
          <w:tcPr>
            <w:tcW w:w="2177" w:type="dxa"/>
            <w:tcBorders>
              <w:top w:val="nil"/>
              <w:left w:val="nil"/>
              <w:bottom w:val="single" w:sz="8" w:space="0" w:color="auto"/>
              <w:right w:val="single" w:sz="8" w:space="0" w:color="auto"/>
            </w:tcBorders>
            <w:shd w:val="clear" w:color="auto" w:fill="auto"/>
            <w:noWrap/>
            <w:hideMark/>
          </w:tcPr>
          <w:p w14:paraId="3F07537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37 725</w:t>
            </w:r>
          </w:p>
        </w:tc>
      </w:tr>
      <w:tr w:rsidR="005E41CA" w:rsidRPr="005E41CA" w14:paraId="48DA8BB3"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38FBC75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59</w:t>
            </w:r>
          </w:p>
        </w:tc>
        <w:tc>
          <w:tcPr>
            <w:tcW w:w="6600" w:type="dxa"/>
            <w:tcBorders>
              <w:top w:val="nil"/>
              <w:left w:val="nil"/>
              <w:bottom w:val="single" w:sz="8" w:space="0" w:color="auto"/>
              <w:right w:val="single" w:sz="8" w:space="0" w:color="auto"/>
            </w:tcBorders>
            <w:shd w:val="clear" w:color="auto" w:fill="auto"/>
            <w:noWrap/>
            <w:hideMark/>
          </w:tcPr>
          <w:p w14:paraId="2E1B09E2"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"Daugavpils reģionālā slimnīca"</w:t>
            </w:r>
          </w:p>
        </w:tc>
        <w:tc>
          <w:tcPr>
            <w:tcW w:w="2121" w:type="dxa"/>
            <w:tcBorders>
              <w:top w:val="nil"/>
              <w:left w:val="nil"/>
              <w:bottom w:val="single" w:sz="8" w:space="0" w:color="auto"/>
              <w:right w:val="single" w:sz="8" w:space="0" w:color="auto"/>
            </w:tcBorders>
            <w:shd w:val="clear" w:color="auto" w:fill="auto"/>
            <w:noWrap/>
            <w:hideMark/>
          </w:tcPr>
          <w:p w14:paraId="5E56DC3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63 350 400</w:t>
            </w:r>
          </w:p>
        </w:tc>
        <w:tc>
          <w:tcPr>
            <w:tcW w:w="2121" w:type="dxa"/>
            <w:tcBorders>
              <w:top w:val="nil"/>
              <w:left w:val="nil"/>
              <w:bottom w:val="single" w:sz="8" w:space="0" w:color="auto"/>
              <w:right w:val="single" w:sz="8" w:space="0" w:color="auto"/>
            </w:tcBorders>
            <w:shd w:val="clear" w:color="auto" w:fill="auto"/>
            <w:noWrap/>
            <w:hideMark/>
          </w:tcPr>
          <w:p w14:paraId="454A53B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62 741 926</w:t>
            </w:r>
          </w:p>
        </w:tc>
        <w:tc>
          <w:tcPr>
            <w:tcW w:w="2177" w:type="dxa"/>
            <w:tcBorders>
              <w:top w:val="nil"/>
              <w:left w:val="nil"/>
              <w:bottom w:val="single" w:sz="8" w:space="0" w:color="auto"/>
              <w:right w:val="single" w:sz="8" w:space="0" w:color="auto"/>
            </w:tcBorders>
            <w:shd w:val="clear" w:color="auto" w:fill="auto"/>
            <w:noWrap/>
            <w:hideMark/>
          </w:tcPr>
          <w:p w14:paraId="4F7B50E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608 474</w:t>
            </w:r>
          </w:p>
        </w:tc>
      </w:tr>
      <w:tr w:rsidR="005E41CA" w:rsidRPr="005E41CA" w14:paraId="291EDF08"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032E223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60</w:t>
            </w:r>
          </w:p>
        </w:tc>
        <w:tc>
          <w:tcPr>
            <w:tcW w:w="6600" w:type="dxa"/>
            <w:tcBorders>
              <w:top w:val="nil"/>
              <w:left w:val="nil"/>
              <w:bottom w:val="single" w:sz="8" w:space="0" w:color="auto"/>
              <w:right w:val="single" w:sz="8" w:space="0" w:color="auto"/>
            </w:tcBorders>
            <w:shd w:val="clear" w:color="auto" w:fill="auto"/>
            <w:noWrap/>
            <w:hideMark/>
          </w:tcPr>
          <w:p w14:paraId="1BE2E601"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AS "Daugavpils satiksme"</w:t>
            </w:r>
          </w:p>
        </w:tc>
        <w:tc>
          <w:tcPr>
            <w:tcW w:w="2121" w:type="dxa"/>
            <w:tcBorders>
              <w:top w:val="nil"/>
              <w:left w:val="nil"/>
              <w:bottom w:val="single" w:sz="8" w:space="0" w:color="auto"/>
              <w:right w:val="single" w:sz="8" w:space="0" w:color="auto"/>
            </w:tcBorders>
            <w:shd w:val="clear" w:color="auto" w:fill="auto"/>
            <w:noWrap/>
            <w:hideMark/>
          </w:tcPr>
          <w:p w14:paraId="6A9E884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13 079 785</w:t>
            </w:r>
          </w:p>
        </w:tc>
        <w:tc>
          <w:tcPr>
            <w:tcW w:w="2121" w:type="dxa"/>
            <w:tcBorders>
              <w:top w:val="nil"/>
              <w:left w:val="nil"/>
              <w:bottom w:val="single" w:sz="8" w:space="0" w:color="auto"/>
              <w:right w:val="single" w:sz="8" w:space="0" w:color="auto"/>
            </w:tcBorders>
            <w:shd w:val="clear" w:color="auto" w:fill="auto"/>
            <w:noWrap/>
            <w:hideMark/>
          </w:tcPr>
          <w:p w14:paraId="5EDF33C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12 511 274</w:t>
            </w:r>
          </w:p>
        </w:tc>
        <w:tc>
          <w:tcPr>
            <w:tcW w:w="2177" w:type="dxa"/>
            <w:tcBorders>
              <w:top w:val="nil"/>
              <w:left w:val="nil"/>
              <w:bottom w:val="single" w:sz="8" w:space="0" w:color="auto"/>
              <w:right w:val="single" w:sz="8" w:space="0" w:color="auto"/>
            </w:tcBorders>
            <w:shd w:val="clear" w:color="auto" w:fill="auto"/>
            <w:noWrap/>
            <w:hideMark/>
          </w:tcPr>
          <w:p w14:paraId="33D262A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568 511</w:t>
            </w:r>
          </w:p>
        </w:tc>
      </w:tr>
      <w:tr w:rsidR="005E41CA" w:rsidRPr="005E41CA" w14:paraId="4E0E8855"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05F0B4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61</w:t>
            </w:r>
          </w:p>
        </w:tc>
        <w:tc>
          <w:tcPr>
            <w:tcW w:w="6600" w:type="dxa"/>
            <w:tcBorders>
              <w:top w:val="nil"/>
              <w:left w:val="nil"/>
              <w:bottom w:val="single" w:sz="8" w:space="0" w:color="auto"/>
              <w:right w:val="single" w:sz="8" w:space="0" w:color="auto"/>
            </w:tcBorders>
            <w:shd w:val="clear" w:color="auto" w:fill="auto"/>
            <w:noWrap/>
            <w:hideMark/>
          </w:tcPr>
          <w:p w14:paraId="793F6BD1"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"Dobeles un apkārtnes slimnīca"</w:t>
            </w:r>
          </w:p>
        </w:tc>
        <w:tc>
          <w:tcPr>
            <w:tcW w:w="2121" w:type="dxa"/>
            <w:tcBorders>
              <w:top w:val="nil"/>
              <w:left w:val="nil"/>
              <w:bottom w:val="single" w:sz="8" w:space="0" w:color="auto"/>
              <w:right w:val="single" w:sz="8" w:space="0" w:color="auto"/>
            </w:tcBorders>
            <w:shd w:val="clear" w:color="auto" w:fill="auto"/>
            <w:noWrap/>
            <w:hideMark/>
          </w:tcPr>
          <w:p w14:paraId="11181B6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7 599 445</w:t>
            </w:r>
          </w:p>
        </w:tc>
        <w:tc>
          <w:tcPr>
            <w:tcW w:w="2121" w:type="dxa"/>
            <w:tcBorders>
              <w:top w:val="nil"/>
              <w:left w:val="nil"/>
              <w:bottom w:val="single" w:sz="8" w:space="0" w:color="auto"/>
              <w:right w:val="single" w:sz="8" w:space="0" w:color="auto"/>
            </w:tcBorders>
            <w:shd w:val="clear" w:color="auto" w:fill="auto"/>
            <w:noWrap/>
            <w:hideMark/>
          </w:tcPr>
          <w:p w14:paraId="64DFF63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7 554 091</w:t>
            </w:r>
          </w:p>
        </w:tc>
        <w:tc>
          <w:tcPr>
            <w:tcW w:w="2177" w:type="dxa"/>
            <w:tcBorders>
              <w:top w:val="nil"/>
              <w:left w:val="nil"/>
              <w:bottom w:val="single" w:sz="8" w:space="0" w:color="auto"/>
              <w:right w:val="single" w:sz="8" w:space="0" w:color="auto"/>
            </w:tcBorders>
            <w:shd w:val="clear" w:color="auto" w:fill="auto"/>
            <w:noWrap/>
            <w:hideMark/>
          </w:tcPr>
          <w:p w14:paraId="7EF6685C"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45 354</w:t>
            </w:r>
          </w:p>
        </w:tc>
      </w:tr>
      <w:tr w:rsidR="005E41CA" w:rsidRPr="005E41CA" w14:paraId="740A709F"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1E9108E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62</w:t>
            </w:r>
          </w:p>
        </w:tc>
        <w:tc>
          <w:tcPr>
            <w:tcW w:w="6600" w:type="dxa"/>
            <w:tcBorders>
              <w:top w:val="nil"/>
              <w:left w:val="nil"/>
              <w:bottom w:val="single" w:sz="8" w:space="0" w:color="auto"/>
              <w:right w:val="single" w:sz="8" w:space="0" w:color="auto"/>
            </w:tcBorders>
            <w:shd w:val="clear" w:color="auto" w:fill="auto"/>
            <w:noWrap/>
            <w:hideMark/>
          </w:tcPr>
          <w:p w14:paraId="3D0F98EE"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"Jelgavas pilsētas slimnīca"</w:t>
            </w:r>
          </w:p>
        </w:tc>
        <w:tc>
          <w:tcPr>
            <w:tcW w:w="2121" w:type="dxa"/>
            <w:tcBorders>
              <w:top w:val="nil"/>
              <w:left w:val="nil"/>
              <w:bottom w:val="single" w:sz="8" w:space="0" w:color="auto"/>
              <w:right w:val="single" w:sz="8" w:space="0" w:color="auto"/>
            </w:tcBorders>
            <w:shd w:val="clear" w:color="auto" w:fill="auto"/>
            <w:noWrap/>
            <w:hideMark/>
          </w:tcPr>
          <w:p w14:paraId="1A6AA47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17 426 327</w:t>
            </w:r>
          </w:p>
        </w:tc>
        <w:tc>
          <w:tcPr>
            <w:tcW w:w="2121" w:type="dxa"/>
            <w:tcBorders>
              <w:top w:val="nil"/>
              <w:left w:val="nil"/>
              <w:bottom w:val="single" w:sz="8" w:space="0" w:color="auto"/>
              <w:right w:val="single" w:sz="8" w:space="0" w:color="auto"/>
            </w:tcBorders>
            <w:shd w:val="clear" w:color="auto" w:fill="auto"/>
            <w:noWrap/>
            <w:hideMark/>
          </w:tcPr>
          <w:p w14:paraId="083490C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16 379 185</w:t>
            </w:r>
          </w:p>
        </w:tc>
        <w:tc>
          <w:tcPr>
            <w:tcW w:w="2177" w:type="dxa"/>
            <w:tcBorders>
              <w:top w:val="nil"/>
              <w:left w:val="nil"/>
              <w:bottom w:val="single" w:sz="8" w:space="0" w:color="auto"/>
              <w:right w:val="single" w:sz="8" w:space="0" w:color="auto"/>
            </w:tcBorders>
            <w:shd w:val="clear" w:color="auto" w:fill="auto"/>
            <w:noWrap/>
            <w:hideMark/>
          </w:tcPr>
          <w:p w14:paraId="63A2B51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1 047 142</w:t>
            </w:r>
          </w:p>
        </w:tc>
      </w:tr>
      <w:tr w:rsidR="005E41CA" w:rsidRPr="005E41CA" w14:paraId="65B1D67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4F8F7D3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63</w:t>
            </w:r>
          </w:p>
        </w:tc>
        <w:tc>
          <w:tcPr>
            <w:tcW w:w="6600" w:type="dxa"/>
            <w:tcBorders>
              <w:top w:val="nil"/>
              <w:left w:val="nil"/>
              <w:bottom w:val="single" w:sz="8" w:space="0" w:color="auto"/>
              <w:right w:val="single" w:sz="8" w:space="0" w:color="auto"/>
            </w:tcBorders>
            <w:shd w:val="clear" w:color="auto" w:fill="auto"/>
            <w:noWrap/>
            <w:hideMark/>
          </w:tcPr>
          <w:p w14:paraId="4EC3B81E"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"Jēkabpils reģionālā slimnīca"</w:t>
            </w:r>
          </w:p>
        </w:tc>
        <w:tc>
          <w:tcPr>
            <w:tcW w:w="2121" w:type="dxa"/>
            <w:tcBorders>
              <w:top w:val="nil"/>
              <w:left w:val="nil"/>
              <w:bottom w:val="single" w:sz="8" w:space="0" w:color="auto"/>
              <w:right w:val="single" w:sz="8" w:space="0" w:color="auto"/>
            </w:tcBorders>
            <w:shd w:val="clear" w:color="auto" w:fill="auto"/>
            <w:noWrap/>
            <w:hideMark/>
          </w:tcPr>
          <w:p w14:paraId="457B2A8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20 310 000</w:t>
            </w:r>
          </w:p>
        </w:tc>
        <w:tc>
          <w:tcPr>
            <w:tcW w:w="2121" w:type="dxa"/>
            <w:tcBorders>
              <w:top w:val="nil"/>
              <w:left w:val="nil"/>
              <w:bottom w:val="single" w:sz="8" w:space="0" w:color="auto"/>
              <w:right w:val="single" w:sz="8" w:space="0" w:color="auto"/>
            </w:tcBorders>
            <w:shd w:val="clear" w:color="auto" w:fill="auto"/>
            <w:noWrap/>
            <w:hideMark/>
          </w:tcPr>
          <w:p w14:paraId="211AFF1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20 281 000</w:t>
            </w:r>
          </w:p>
        </w:tc>
        <w:tc>
          <w:tcPr>
            <w:tcW w:w="2177" w:type="dxa"/>
            <w:tcBorders>
              <w:top w:val="nil"/>
              <w:left w:val="nil"/>
              <w:bottom w:val="single" w:sz="8" w:space="0" w:color="auto"/>
              <w:right w:val="single" w:sz="8" w:space="0" w:color="auto"/>
            </w:tcBorders>
            <w:shd w:val="clear" w:color="auto" w:fill="auto"/>
            <w:noWrap/>
            <w:hideMark/>
          </w:tcPr>
          <w:p w14:paraId="23B8055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29 000</w:t>
            </w:r>
          </w:p>
        </w:tc>
      </w:tr>
      <w:tr w:rsidR="005E41CA" w:rsidRPr="005E41CA" w14:paraId="5E1D5DB4"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727D505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64</w:t>
            </w:r>
          </w:p>
        </w:tc>
        <w:tc>
          <w:tcPr>
            <w:tcW w:w="6600" w:type="dxa"/>
            <w:tcBorders>
              <w:top w:val="nil"/>
              <w:left w:val="nil"/>
              <w:bottom w:val="single" w:sz="8" w:space="0" w:color="auto"/>
              <w:right w:val="single" w:sz="8" w:space="0" w:color="auto"/>
            </w:tcBorders>
            <w:shd w:val="clear" w:color="auto" w:fill="auto"/>
            <w:noWrap/>
            <w:hideMark/>
          </w:tcPr>
          <w:p w14:paraId="4C812EBE"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"Jūrmalas slimnīca"</w:t>
            </w:r>
          </w:p>
        </w:tc>
        <w:tc>
          <w:tcPr>
            <w:tcW w:w="2121" w:type="dxa"/>
            <w:tcBorders>
              <w:top w:val="nil"/>
              <w:left w:val="nil"/>
              <w:bottom w:val="single" w:sz="8" w:space="0" w:color="auto"/>
              <w:right w:val="single" w:sz="8" w:space="0" w:color="auto"/>
            </w:tcBorders>
            <w:shd w:val="clear" w:color="auto" w:fill="auto"/>
            <w:noWrap/>
            <w:hideMark/>
          </w:tcPr>
          <w:p w14:paraId="12EB0DF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12 315 044</w:t>
            </w:r>
          </w:p>
        </w:tc>
        <w:tc>
          <w:tcPr>
            <w:tcW w:w="2121" w:type="dxa"/>
            <w:tcBorders>
              <w:top w:val="nil"/>
              <w:left w:val="nil"/>
              <w:bottom w:val="single" w:sz="8" w:space="0" w:color="auto"/>
              <w:right w:val="single" w:sz="8" w:space="0" w:color="auto"/>
            </w:tcBorders>
            <w:shd w:val="clear" w:color="auto" w:fill="auto"/>
            <w:noWrap/>
            <w:hideMark/>
          </w:tcPr>
          <w:p w14:paraId="5E834F2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12 708 997</w:t>
            </w:r>
          </w:p>
        </w:tc>
        <w:tc>
          <w:tcPr>
            <w:tcW w:w="2177" w:type="dxa"/>
            <w:tcBorders>
              <w:top w:val="nil"/>
              <w:left w:val="nil"/>
              <w:bottom w:val="single" w:sz="8" w:space="0" w:color="auto"/>
              <w:right w:val="single" w:sz="8" w:space="0" w:color="auto"/>
            </w:tcBorders>
            <w:shd w:val="clear" w:color="auto" w:fill="auto"/>
            <w:noWrap/>
            <w:hideMark/>
          </w:tcPr>
          <w:p w14:paraId="6E80CBF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-393 953</w:t>
            </w:r>
          </w:p>
        </w:tc>
      </w:tr>
      <w:tr w:rsidR="005E41CA" w:rsidRPr="005E41CA" w14:paraId="3AC630EA"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7A0AB3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65</w:t>
            </w:r>
          </w:p>
        </w:tc>
        <w:tc>
          <w:tcPr>
            <w:tcW w:w="6600" w:type="dxa"/>
            <w:tcBorders>
              <w:top w:val="nil"/>
              <w:left w:val="nil"/>
              <w:bottom w:val="single" w:sz="8" w:space="0" w:color="auto"/>
              <w:right w:val="single" w:sz="8" w:space="0" w:color="auto"/>
            </w:tcBorders>
            <w:shd w:val="clear" w:color="auto" w:fill="auto"/>
            <w:noWrap/>
            <w:hideMark/>
          </w:tcPr>
          <w:p w14:paraId="59D53B3D"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"Kuldīgas slimnīca"</w:t>
            </w:r>
          </w:p>
        </w:tc>
        <w:tc>
          <w:tcPr>
            <w:tcW w:w="2121" w:type="dxa"/>
            <w:tcBorders>
              <w:top w:val="nil"/>
              <w:left w:val="nil"/>
              <w:bottom w:val="single" w:sz="8" w:space="0" w:color="auto"/>
              <w:right w:val="single" w:sz="8" w:space="0" w:color="auto"/>
            </w:tcBorders>
            <w:shd w:val="clear" w:color="auto" w:fill="auto"/>
            <w:noWrap/>
            <w:hideMark/>
          </w:tcPr>
          <w:p w14:paraId="644E8054"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14 000 700</w:t>
            </w:r>
          </w:p>
        </w:tc>
        <w:tc>
          <w:tcPr>
            <w:tcW w:w="2121" w:type="dxa"/>
            <w:tcBorders>
              <w:top w:val="nil"/>
              <w:left w:val="nil"/>
              <w:bottom w:val="single" w:sz="8" w:space="0" w:color="auto"/>
              <w:right w:val="single" w:sz="8" w:space="0" w:color="auto"/>
            </w:tcBorders>
            <w:shd w:val="clear" w:color="auto" w:fill="auto"/>
            <w:noWrap/>
            <w:hideMark/>
          </w:tcPr>
          <w:p w14:paraId="329E094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13 993 100</w:t>
            </w:r>
          </w:p>
        </w:tc>
        <w:tc>
          <w:tcPr>
            <w:tcW w:w="2177" w:type="dxa"/>
            <w:tcBorders>
              <w:top w:val="nil"/>
              <w:left w:val="nil"/>
              <w:bottom w:val="single" w:sz="8" w:space="0" w:color="auto"/>
              <w:right w:val="single" w:sz="8" w:space="0" w:color="auto"/>
            </w:tcBorders>
            <w:shd w:val="clear" w:color="auto" w:fill="auto"/>
            <w:noWrap/>
            <w:hideMark/>
          </w:tcPr>
          <w:p w14:paraId="73D7D9A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7 600</w:t>
            </w:r>
          </w:p>
        </w:tc>
      </w:tr>
      <w:tr w:rsidR="005E41CA" w:rsidRPr="005E41CA" w14:paraId="5C722638"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604F590C"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66</w:t>
            </w:r>
          </w:p>
        </w:tc>
        <w:tc>
          <w:tcPr>
            <w:tcW w:w="6600" w:type="dxa"/>
            <w:tcBorders>
              <w:top w:val="nil"/>
              <w:left w:val="nil"/>
              <w:bottom w:val="single" w:sz="8" w:space="0" w:color="auto"/>
              <w:right w:val="single" w:sz="8" w:space="0" w:color="auto"/>
            </w:tcBorders>
            <w:shd w:val="clear" w:color="auto" w:fill="auto"/>
            <w:noWrap/>
            <w:hideMark/>
          </w:tcPr>
          <w:p w14:paraId="5F180B9B"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"Liepājas reģionālā slimnīca"</w:t>
            </w:r>
          </w:p>
        </w:tc>
        <w:tc>
          <w:tcPr>
            <w:tcW w:w="2121" w:type="dxa"/>
            <w:tcBorders>
              <w:top w:val="nil"/>
              <w:left w:val="nil"/>
              <w:bottom w:val="single" w:sz="8" w:space="0" w:color="auto"/>
              <w:right w:val="single" w:sz="8" w:space="0" w:color="auto"/>
            </w:tcBorders>
            <w:shd w:val="clear" w:color="auto" w:fill="auto"/>
            <w:noWrap/>
            <w:hideMark/>
          </w:tcPr>
          <w:p w14:paraId="388228E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32 390 684</w:t>
            </w:r>
          </w:p>
        </w:tc>
        <w:tc>
          <w:tcPr>
            <w:tcW w:w="2121" w:type="dxa"/>
            <w:tcBorders>
              <w:top w:val="nil"/>
              <w:left w:val="nil"/>
              <w:bottom w:val="single" w:sz="8" w:space="0" w:color="auto"/>
              <w:right w:val="single" w:sz="8" w:space="0" w:color="auto"/>
            </w:tcBorders>
            <w:shd w:val="clear" w:color="auto" w:fill="auto"/>
            <w:noWrap/>
            <w:hideMark/>
          </w:tcPr>
          <w:p w14:paraId="746704F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30 336 077</w:t>
            </w:r>
          </w:p>
        </w:tc>
        <w:tc>
          <w:tcPr>
            <w:tcW w:w="2177" w:type="dxa"/>
            <w:tcBorders>
              <w:top w:val="nil"/>
              <w:left w:val="nil"/>
              <w:bottom w:val="single" w:sz="8" w:space="0" w:color="auto"/>
              <w:right w:val="single" w:sz="8" w:space="0" w:color="auto"/>
            </w:tcBorders>
            <w:shd w:val="clear" w:color="auto" w:fill="auto"/>
            <w:noWrap/>
            <w:hideMark/>
          </w:tcPr>
          <w:p w14:paraId="2F36980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2 054 607</w:t>
            </w:r>
          </w:p>
        </w:tc>
      </w:tr>
      <w:tr w:rsidR="005E41CA" w:rsidRPr="005E41CA" w14:paraId="4034A04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231139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67</w:t>
            </w:r>
          </w:p>
        </w:tc>
        <w:tc>
          <w:tcPr>
            <w:tcW w:w="6600" w:type="dxa"/>
            <w:tcBorders>
              <w:top w:val="nil"/>
              <w:left w:val="nil"/>
              <w:bottom w:val="single" w:sz="8" w:space="0" w:color="auto"/>
              <w:right w:val="single" w:sz="8" w:space="0" w:color="auto"/>
            </w:tcBorders>
            <w:shd w:val="clear" w:color="auto" w:fill="auto"/>
            <w:noWrap/>
            <w:hideMark/>
          </w:tcPr>
          <w:p w14:paraId="4FC9CBF1"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"Liepājas tramvajs"</w:t>
            </w:r>
          </w:p>
        </w:tc>
        <w:tc>
          <w:tcPr>
            <w:tcW w:w="2121" w:type="dxa"/>
            <w:tcBorders>
              <w:top w:val="nil"/>
              <w:left w:val="nil"/>
              <w:bottom w:val="single" w:sz="8" w:space="0" w:color="auto"/>
              <w:right w:val="single" w:sz="8" w:space="0" w:color="auto"/>
            </w:tcBorders>
            <w:shd w:val="clear" w:color="auto" w:fill="auto"/>
            <w:noWrap/>
            <w:hideMark/>
          </w:tcPr>
          <w:p w14:paraId="0BA1C3F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3 092 394</w:t>
            </w:r>
          </w:p>
        </w:tc>
        <w:tc>
          <w:tcPr>
            <w:tcW w:w="2121" w:type="dxa"/>
            <w:tcBorders>
              <w:top w:val="nil"/>
              <w:left w:val="nil"/>
              <w:bottom w:val="single" w:sz="8" w:space="0" w:color="auto"/>
              <w:right w:val="single" w:sz="8" w:space="0" w:color="auto"/>
            </w:tcBorders>
            <w:shd w:val="clear" w:color="auto" w:fill="auto"/>
            <w:noWrap/>
            <w:hideMark/>
          </w:tcPr>
          <w:p w14:paraId="57E7349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3 209 243</w:t>
            </w:r>
          </w:p>
        </w:tc>
        <w:tc>
          <w:tcPr>
            <w:tcW w:w="2177" w:type="dxa"/>
            <w:tcBorders>
              <w:top w:val="nil"/>
              <w:left w:val="nil"/>
              <w:bottom w:val="single" w:sz="8" w:space="0" w:color="auto"/>
              <w:right w:val="single" w:sz="8" w:space="0" w:color="auto"/>
            </w:tcBorders>
            <w:shd w:val="clear" w:color="auto" w:fill="auto"/>
            <w:noWrap/>
            <w:hideMark/>
          </w:tcPr>
          <w:p w14:paraId="5BD9739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-116 849</w:t>
            </w:r>
          </w:p>
        </w:tc>
      </w:tr>
      <w:tr w:rsidR="005E41CA" w:rsidRPr="005E41CA" w14:paraId="7CA0297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3DF4B82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68</w:t>
            </w:r>
          </w:p>
        </w:tc>
        <w:tc>
          <w:tcPr>
            <w:tcW w:w="6600" w:type="dxa"/>
            <w:tcBorders>
              <w:top w:val="nil"/>
              <w:left w:val="nil"/>
              <w:bottom w:val="single" w:sz="8" w:space="0" w:color="auto"/>
              <w:right w:val="single" w:sz="8" w:space="0" w:color="auto"/>
            </w:tcBorders>
            <w:shd w:val="clear" w:color="auto" w:fill="auto"/>
            <w:noWrap/>
            <w:hideMark/>
          </w:tcPr>
          <w:p w14:paraId="70488DA5"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"Madonas slimnīca"</w:t>
            </w:r>
          </w:p>
        </w:tc>
        <w:tc>
          <w:tcPr>
            <w:tcW w:w="2121" w:type="dxa"/>
            <w:tcBorders>
              <w:top w:val="nil"/>
              <w:left w:val="nil"/>
              <w:bottom w:val="single" w:sz="8" w:space="0" w:color="auto"/>
              <w:right w:val="single" w:sz="8" w:space="0" w:color="auto"/>
            </w:tcBorders>
            <w:shd w:val="clear" w:color="auto" w:fill="auto"/>
            <w:noWrap/>
            <w:hideMark/>
          </w:tcPr>
          <w:p w14:paraId="2A6EF3F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15 400 000</w:t>
            </w:r>
          </w:p>
        </w:tc>
        <w:tc>
          <w:tcPr>
            <w:tcW w:w="2121" w:type="dxa"/>
            <w:tcBorders>
              <w:top w:val="nil"/>
              <w:left w:val="nil"/>
              <w:bottom w:val="single" w:sz="8" w:space="0" w:color="auto"/>
              <w:right w:val="single" w:sz="8" w:space="0" w:color="auto"/>
            </w:tcBorders>
            <w:shd w:val="clear" w:color="auto" w:fill="auto"/>
            <w:noWrap/>
            <w:hideMark/>
          </w:tcPr>
          <w:p w14:paraId="7D9242D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14 936 000</w:t>
            </w:r>
          </w:p>
        </w:tc>
        <w:tc>
          <w:tcPr>
            <w:tcW w:w="2177" w:type="dxa"/>
            <w:tcBorders>
              <w:top w:val="nil"/>
              <w:left w:val="nil"/>
              <w:bottom w:val="single" w:sz="8" w:space="0" w:color="auto"/>
              <w:right w:val="single" w:sz="8" w:space="0" w:color="auto"/>
            </w:tcBorders>
            <w:shd w:val="clear" w:color="auto" w:fill="auto"/>
            <w:noWrap/>
            <w:hideMark/>
          </w:tcPr>
          <w:p w14:paraId="6F1B127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464 000</w:t>
            </w:r>
          </w:p>
        </w:tc>
      </w:tr>
      <w:tr w:rsidR="005E41CA" w:rsidRPr="005E41CA" w14:paraId="525C3527"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2764543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69</w:t>
            </w:r>
          </w:p>
        </w:tc>
        <w:tc>
          <w:tcPr>
            <w:tcW w:w="6600" w:type="dxa"/>
            <w:tcBorders>
              <w:top w:val="nil"/>
              <w:left w:val="nil"/>
              <w:bottom w:val="single" w:sz="8" w:space="0" w:color="auto"/>
              <w:right w:val="single" w:sz="8" w:space="0" w:color="auto"/>
            </w:tcBorders>
            <w:shd w:val="clear" w:color="auto" w:fill="auto"/>
            <w:noWrap/>
            <w:hideMark/>
          </w:tcPr>
          <w:p w14:paraId="4EFE7CB2"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"Ogres rajona slimnīca"</w:t>
            </w:r>
          </w:p>
        </w:tc>
        <w:tc>
          <w:tcPr>
            <w:tcW w:w="2121" w:type="dxa"/>
            <w:tcBorders>
              <w:top w:val="nil"/>
              <w:left w:val="nil"/>
              <w:bottom w:val="single" w:sz="8" w:space="0" w:color="auto"/>
              <w:right w:val="single" w:sz="8" w:space="0" w:color="auto"/>
            </w:tcBorders>
            <w:shd w:val="clear" w:color="auto" w:fill="auto"/>
            <w:noWrap/>
            <w:hideMark/>
          </w:tcPr>
          <w:p w14:paraId="1402888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17 402 189</w:t>
            </w:r>
          </w:p>
        </w:tc>
        <w:tc>
          <w:tcPr>
            <w:tcW w:w="2121" w:type="dxa"/>
            <w:tcBorders>
              <w:top w:val="nil"/>
              <w:left w:val="nil"/>
              <w:bottom w:val="single" w:sz="8" w:space="0" w:color="auto"/>
              <w:right w:val="single" w:sz="8" w:space="0" w:color="auto"/>
            </w:tcBorders>
            <w:shd w:val="clear" w:color="auto" w:fill="auto"/>
            <w:noWrap/>
            <w:hideMark/>
          </w:tcPr>
          <w:p w14:paraId="403CE1BC"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17 723 189</w:t>
            </w:r>
          </w:p>
        </w:tc>
        <w:tc>
          <w:tcPr>
            <w:tcW w:w="2177" w:type="dxa"/>
            <w:tcBorders>
              <w:top w:val="nil"/>
              <w:left w:val="nil"/>
              <w:bottom w:val="single" w:sz="8" w:space="0" w:color="auto"/>
              <w:right w:val="single" w:sz="8" w:space="0" w:color="auto"/>
            </w:tcBorders>
            <w:shd w:val="clear" w:color="auto" w:fill="auto"/>
            <w:noWrap/>
            <w:hideMark/>
          </w:tcPr>
          <w:p w14:paraId="7AACCDB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-321 000</w:t>
            </w:r>
          </w:p>
        </w:tc>
      </w:tr>
      <w:tr w:rsidR="005E41CA" w:rsidRPr="005E41CA" w14:paraId="7522E73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366FED0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70</w:t>
            </w:r>
          </w:p>
        </w:tc>
        <w:tc>
          <w:tcPr>
            <w:tcW w:w="6600" w:type="dxa"/>
            <w:tcBorders>
              <w:top w:val="nil"/>
              <w:left w:val="nil"/>
              <w:bottom w:val="single" w:sz="8" w:space="0" w:color="auto"/>
              <w:right w:val="single" w:sz="8" w:space="0" w:color="auto"/>
            </w:tcBorders>
            <w:shd w:val="clear" w:color="auto" w:fill="auto"/>
            <w:noWrap/>
            <w:hideMark/>
          </w:tcPr>
          <w:p w14:paraId="7EE46FBE"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"Rēzeknes Satiksme"</w:t>
            </w:r>
          </w:p>
        </w:tc>
        <w:tc>
          <w:tcPr>
            <w:tcW w:w="2121" w:type="dxa"/>
            <w:tcBorders>
              <w:top w:val="nil"/>
              <w:left w:val="nil"/>
              <w:bottom w:val="single" w:sz="8" w:space="0" w:color="auto"/>
              <w:right w:val="single" w:sz="8" w:space="0" w:color="auto"/>
            </w:tcBorders>
            <w:shd w:val="clear" w:color="auto" w:fill="auto"/>
            <w:noWrap/>
            <w:hideMark/>
          </w:tcPr>
          <w:p w14:paraId="1C9FBC3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2 818 640</w:t>
            </w:r>
          </w:p>
        </w:tc>
        <w:tc>
          <w:tcPr>
            <w:tcW w:w="2121" w:type="dxa"/>
            <w:tcBorders>
              <w:top w:val="nil"/>
              <w:left w:val="nil"/>
              <w:bottom w:val="single" w:sz="8" w:space="0" w:color="auto"/>
              <w:right w:val="single" w:sz="8" w:space="0" w:color="auto"/>
            </w:tcBorders>
            <w:shd w:val="clear" w:color="auto" w:fill="auto"/>
            <w:noWrap/>
            <w:hideMark/>
          </w:tcPr>
          <w:p w14:paraId="37037A7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2 432 074</w:t>
            </w:r>
          </w:p>
        </w:tc>
        <w:tc>
          <w:tcPr>
            <w:tcW w:w="2177" w:type="dxa"/>
            <w:tcBorders>
              <w:top w:val="nil"/>
              <w:left w:val="nil"/>
              <w:bottom w:val="single" w:sz="8" w:space="0" w:color="auto"/>
              <w:right w:val="single" w:sz="8" w:space="0" w:color="auto"/>
            </w:tcBorders>
            <w:shd w:val="clear" w:color="auto" w:fill="auto"/>
            <w:noWrap/>
            <w:hideMark/>
          </w:tcPr>
          <w:p w14:paraId="1B7F13A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386 566</w:t>
            </w:r>
          </w:p>
        </w:tc>
      </w:tr>
      <w:tr w:rsidR="005E41CA" w:rsidRPr="005E41CA" w14:paraId="114723CD"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570DA74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71</w:t>
            </w:r>
          </w:p>
        </w:tc>
        <w:tc>
          <w:tcPr>
            <w:tcW w:w="6600" w:type="dxa"/>
            <w:tcBorders>
              <w:top w:val="nil"/>
              <w:left w:val="nil"/>
              <w:bottom w:val="single" w:sz="8" w:space="0" w:color="auto"/>
              <w:right w:val="single" w:sz="8" w:space="0" w:color="auto"/>
            </w:tcBorders>
            <w:shd w:val="clear" w:color="auto" w:fill="auto"/>
            <w:noWrap/>
            <w:hideMark/>
          </w:tcPr>
          <w:p w14:paraId="41D7883E"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"Rēzeknes slimnīca"</w:t>
            </w:r>
          </w:p>
        </w:tc>
        <w:tc>
          <w:tcPr>
            <w:tcW w:w="2121" w:type="dxa"/>
            <w:tcBorders>
              <w:top w:val="nil"/>
              <w:left w:val="nil"/>
              <w:bottom w:val="single" w:sz="8" w:space="0" w:color="auto"/>
              <w:right w:val="single" w:sz="8" w:space="0" w:color="auto"/>
            </w:tcBorders>
            <w:shd w:val="clear" w:color="auto" w:fill="auto"/>
            <w:noWrap/>
            <w:hideMark/>
          </w:tcPr>
          <w:p w14:paraId="04927B8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28 100 000</w:t>
            </w:r>
          </w:p>
        </w:tc>
        <w:tc>
          <w:tcPr>
            <w:tcW w:w="2121" w:type="dxa"/>
            <w:tcBorders>
              <w:top w:val="nil"/>
              <w:left w:val="nil"/>
              <w:bottom w:val="single" w:sz="8" w:space="0" w:color="auto"/>
              <w:right w:val="single" w:sz="8" w:space="0" w:color="auto"/>
            </w:tcBorders>
            <w:shd w:val="clear" w:color="auto" w:fill="auto"/>
            <w:noWrap/>
            <w:hideMark/>
          </w:tcPr>
          <w:p w14:paraId="0298DA8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28 264 420</w:t>
            </w:r>
          </w:p>
        </w:tc>
        <w:tc>
          <w:tcPr>
            <w:tcW w:w="2177" w:type="dxa"/>
            <w:tcBorders>
              <w:top w:val="nil"/>
              <w:left w:val="nil"/>
              <w:bottom w:val="single" w:sz="8" w:space="0" w:color="auto"/>
              <w:right w:val="single" w:sz="8" w:space="0" w:color="auto"/>
            </w:tcBorders>
            <w:shd w:val="clear" w:color="auto" w:fill="auto"/>
            <w:noWrap/>
            <w:hideMark/>
          </w:tcPr>
          <w:p w14:paraId="3D05597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-164 420</w:t>
            </w:r>
          </w:p>
        </w:tc>
      </w:tr>
      <w:tr w:rsidR="005E41CA" w:rsidRPr="005E41CA" w14:paraId="3E369B66"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71351E9A"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72</w:t>
            </w:r>
          </w:p>
        </w:tc>
        <w:tc>
          <w:tcPr>
            <w:tcW w:w="6600" w:type="dxa"/>
            <w:tcBorders>
              <w:top w:val="nil"/>
              <w:left w:val="nil"/>
              <w:bottom w:val="single" w:sz="8" w:space="0" w:color="auto"/>
              <w:right w:val="single" w:sz="8" w:space="0" w:color="auto"/>
            </w:tcBorders>
            <w:shd w:val="clear" w:color="auto" w:fill="auto"/>
            <w:noWrap/>
            <w:hideMark/>
          </w:tcPr>
          <w:p w14:paraId="1DE3DD74"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1.slimnīca"</w:t>
            </w:r>
          </w:p>
        </w:tc>
        <w:tc>
          <w:tcPr>
            <w:tcW w:w="2121" w:type="dxa"/>
            <w:tcBorders>
              <w:top w:val="nil"/>
              <w:left w:val="nil"/>
              <w:bottom w:val="single" w:sz="8" w:space="0" w:color="auto"/>
              <w:right w:val="single" w:sz="8" w:space="0" w:color="auto"/>
            </w:tcBorders>
            <w:shd w:val="clear" w:color="auto" w:fill="auto"/>
            <w:noWrap/>
            <w:hideMark/>
          </w:tcPr>
          <w:p w14:paraId="49B3670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26 867 834</w:t>
            </w:r>
          </w:p>
        </w:tc>
        <w:tc>
          <w:tcPr>
            <w:tcW w:w="2121" w:type="dxa"/>
            <w:tcBorders>
              <w:top w:val="nil"/>
              <w:left w:val="nil"/>
              <w:bottom w:val="single" w:sz="8" w:space="0" w:color="auto"/>
              <w:right w:val="single" w:sz="8" w:space="0" w:color="auto"/>
            </w:tcBorders>
            <w:shd w:val="clear" w:color="auto" w:fill="auto"/>
            <w:noWrap/>
            <w:hideMark/>
          </w:tcPr>
          <w:p w14:paraId="0283969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27 218 825</w:t>
            </w:r>
          </w:p>
        </w:tc>
        <w:tc>
          <w:tcPr>
            <w:tcW w:w="2177" w:type="dxa"/>
            <w:tcBorders>
              <w:top w:val="nil"/>
              <w:left w:val="nil"/>
              <w:bottom w:val="single" w:sz="8" w:space="0" w:color="auto"/>
              <w:right w:val="single" w:sz="8" w:space="0" w:color="auto"/>
            </w:tcBorders>
            <w:shd w:val="clear" w:color="auto" w:fill="auto"/>
            <w:noWrap/>
            <w:hideMark/>
          </w:tcPr>
          <w:p w14:paraId="0D34D0B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-350 991</w:t>
            </w:r>
          </w:p>
        </w:tc>
      </w:tr>
      <w:tr w:rsidR="005E41CA" w:rsidRPr="005E41CA" w14:paraId="176DF039"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4FF4700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73</w:t>
            </w:r>
          </w:p>
        </w:tc>
        <w:tc>
          <w:tcPr>
            <w:tcW w:w="6600" w:type="dxa"/>
            <w:tcBorders>
              <w:top w:val="nil"/>
              <w:left w:val="nil"/>
              <w:bottom w:val="single" w:sz="8" w:space="0" w:color="auto"/>
              <w:right w:val="single" w:sz="8" w:space="0" w:color="auto"/>
            </w:tcBorders>
            <w:shd w:val="clear" w:color="auto" w:fill="auto"/>
            <w:noWrap/>
            <w:hideMark/>
          </w:tcPr>
          <w:p w14:paraId="6F79F715"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2.slimnīca"</w:t>
            </w:r>
          </w:p>
        </w:tc>
        <w:tc>
          <w:tcPr>
            <w:tcW w:w="2121" w:type="dxa"/>
            <w:tcBorders>
              <w:top w:val="nil"/>
              <w:left w:val="nil"/>
              <w:bottom w:val="single" w:sz="8" w:space="0" w:color="auto"/>
              <w:right w:val="single" w:sz="8" w:space="0" w:color="auto"/>
            </w:tcBorders>
            <w:shd w:val="clear" w:color="auto" w:fill="auto"/>
            <w:noWrap/>
            <w:hideMark/>
          </w:tcPr>
          <w:p w14:paraId="3508D239"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10 780 000</w:t>
            </w:r>
          </w:p>
        </w:tc>
        <w:tc>
          <w:tcPr>
            <w:tcW w:w="2121" w:type="dxa"/>
            <w:tcBorders>
              <w:top w:val="nil"/>
              <w:left w:val="nil"/>
              <w:bottom w:val="single" w:sz="8" w:space="0" w:color="auto"/>
              <w:right w:val="single" w:sz="8" w:space="0" w:color="auto"/>
            </w:tcBorders>
            <w:shd w:val="clear" w:color="auto" w:fill="auto"/>
            <w:noWrap/>
            <w:hideMark/>
          </w:tcPr>
          <w:p w14:paraId="2E75964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10 944 375</w:t>
            </w:r>
          </w:p>
        </w:tc>
        <w:tc>
          <w:tcPr>
            <w:tcW w:w="2177" w:type="dxa"/>
            <w:tcBorders>
              <w:top w:val="nil"/>
              <w:left w:val="nil"/>
              <w:bottom w:val="single" w:sz="8" w:space="0" w:color="auto"/>
              <w:right w:val="single" w:sz="8" w:space="0" w:color="auto"/>
            </w:tcBorders>
            <w:shd w:val="clear" w:color="auto" w:fill="auto"/>
            <w:noWrap/>
            <w:hideMark/>
          </w:tcPr>
          <w:p w14:paraId="7012AC6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-164 375</w:t>
            </w:r>
          </w:p>
        </w:tc>
      </w:tr>
      <w:tr w:rsidR="005E41CA" w:rsidRPr="005E41CA" w14:paraId="06D316E3"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6FA582B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74</w:t>
            </w:r>
          </w:p>
        </w:tc>
        <w:tc>
          <w:tcPr>
            <w:tcW w:w="6600" w:type="dxa"/>
            <w:tcBorders>
              <w:top w:val="nil"/>
              <w:left w:val="nil"/>
              <w:bottom w:val="single" w:sz="8" w:space="0" w:color="auto"/>
              <w:right w:val="single" w:sz="8" w:space="0" w:color="auto"/>
            </w:tcBorders>
            <w:shd w:val="clear" w:color="auto" w:fill="auto"/>
            <w:noWrap/>
            <w:hideMark/>
          </w:tcPr>
          <w:p w14:paraId="3B946F50"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Dzemdību nams"</w:t>
            </w:r>
          </w:p>
        </w:tc>
        <w:tc>
          <w:tcPr>
            <w:tcW w:w="2121" w:type="dxa"/>
            <w:tcBorders>
              <w:top w:val="nil"/>
              <w:left w:val="nil"/>
              <w:bottom w:val="single" w:sz="8" w:space="0" w:color="auto"/>
              <w:right w:val="single" w:sz="8" w:space="0" w:color="auto"/>
            </w:tcBorders>
            <w:shd w:val="clear" w:color="auto" w:fill="auto"/>
            <w:noWrap/>
            <w:hideMark/>
          </w:tcPr>
          <w:p w14:paraId="487F18D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14 778 414</w:t>
            </w:r>
          </w:p>
        </w:tc>
        <w:tc>
          <w:tcPr>
            <w:tcW w:w="2121" w:type="dxa"/>
            <w:tcBorders>
              <w:top w:val="nil"/>
              <w:left w:val="nil"/>
              <w:bottom w:val="single" w:sz="8" w:space="0" w:color="auto"/>
              <w:right w:val="single" w:sz="8" w:space="0" w:color="auto"/>
            </w:tcBorders>
            <w:shd w:val="clear" w:color="auto" w:fill="auto"/>
            <w:noWrap/>
            <w:hideMark/>
          </w:tcPr>
          <w:p w14:paraId="4EE7F21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14 784 040</w:t>
            </w:r>
          </w:p>
        </w:tc>
        <w:tc>
          <w:tcPr>
            <w:tcW w:w="2177" w:type="dxa"/>
            <w:tcBorders>
              <w:top w:val="nil"/>
              <w:left w:val="nil"/>
              <w:bottom w:val="single" w:sz="8" w:space="0" w:color="auto"/>
              <w:right w:val="single" w:sz="8" w:space="0" w:color="auto"/>
            </w:tcBorders>
            <w:shd w:val="clear" w:color="auto" w:fill="auto"/>
            <w:noWrap/>
            <w:hideMark/>
          </w:tcPr>
          <w:p w14:paraId="333EAF2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-5 626</w:t>
            </w:r>
          </w:p>
        </w:tc>
      </w:tr>
      <w:tr w:rsidR="005E41CA" w:rsidRPr="005E41CA" w14:paraId="551A767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6B21A528"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75</w:t>
            </w:r>
          </w:p>
        </w:tc>
        <w:tc>
          <w:tcPr>
            <w:tcW w:w="6600" w:type="dxa"/>
            <w:tcBorders>
              <w:top w:val="nil"/>
              <w:left w:val="nil"/>
              <w:bottom w:val="single" w:sz="8" w:space="0" w:color="auto"/>
              <w:right w:val="single" w:sz="8" w:space="0" w:color="auto"/>
            </w:tcBorders>
            <w:shd w:val="clear" w:color="auto" w:fill="auto"/>
            <w:noWrap/>
            <w:hideMark/>
          </w:tcPr>
          <w:p w14:paraId="04C9CD32"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satiksme"</w:t>
            </w:r>
          </w:p>
        </w:tc>
        <w:tc>
          <w:tcPr>
            <w:tcW w:w="2121" w:type="dxa"/>
            <w:tcBorders>
              <w:top w:val="nil"/>
              <w:left w:val="nil"/>
              <w:bottom w:val="single" w:sz="8" w:space="0" w:color="auto"/>
              <w:right w:val="single" w:sz="8" w:space="0" w:color="auto"/>
            </w:tcBorders>
            <w:shd w:val="clear" w:color="auto" w:fill="auto"/>
            <w:noWrap/>
            <w:hideMark/>
          </w:tcPr>
          <w:p w14:paraId="4CD1ACB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225 818 846</w:t>
            </w:r>
          </w:p>
        </w:tc>
        <w:tc>
          <w:tcPr>
            <w:tcW w:w="2121" w:type="dxa"/>
            <w:tcBorders>
              <w:top w:val="nil"/>
              <w:left w:val="nil"/>
              <w:bottom w:val="single" w:sz="8" w:space="0" w:color="auto"/>
              <w:right w:val="single" w:sz="8" w:space="0" w:color="auto"/>
            </w:tcBorders>
            <w:shd w:val="clear" w:color="auto" w:fill="auto"/>
            <w:noWrap/>
            <w:hideMark/>
          </w:tcPr>
          <w:p w14:paraId="22DCA3A2"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230 786 068</w:t>
            </w:r>
          </w:p>
        </w:tc>
        <w:tc>
          <w:tcPr>
            <w:tcW w:w="2177" w:type="dxa"/>
            <w:tcBorders>
              <w:top w:val="nil"/>
              <w:left w:val="nil"/>
              <w:bottom w:val="single" w:sz="8" w:space="0" w:color="auto"/>
              <w:right w:val="single" w:sz="8" w:space="0" w:color="auto"/>
            </w:tcBorders>
            <w:shd w:val="clear" w:color="auto" w:fill="auto"/>
            <w:noWrap/>
            <w:hideMark/>
          </w:tcPr>
          <w:p w14:paraId="057E309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-4 967 222</w:t>
            </w:r>
          </w:p>
        </w:tc>
      </w:tr>
      <w:tr w:rsidR="005E41CA" w:rsidRPr="005E41CA" w14:paraId="62C56E5C"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734028E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76</w:t>
            </w:r>
          </w:p>
        </w:tc>
        <w:tc>
          <w:tcPr>
            <w:tcW w:w="6600" w:type="dxa"/>
            <w:tcBorders>
              <w:top w:val="nil"/>
              <w:left w:val="nil"/>
              <w:bottom w:val="single" w:sz="8" w:space="0" w:color="auto"/>
              <w:right w:val="single" w:sz="8" w:space="0" w:color="auto"/>
            </w:tcBorders>
            <w:shd w:val="clear" w:color="auto" w:fill="auto"/>
            <w:noWrap/>
            <w:hideMark/>
          </w:tcPr>
          <w:p w14:paraId="7F6EB036"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"Rīgas veselības centrs"</w:t>
            </w:r>
          </w:p>
        </w:tc>
        <w:tc>
          <w:tcPr>
            <w:tcW w:w="2121" w:type="dxa"/>
            <w:tcBorders>
              <w:top w:val="nil"/>
              <w:left w:val="nil"/>
              <w:bottom w:val="single" w:sz="8" w:space="0" w:color="auto"/>
              <w:right w:val="single" w:sz="8" w:space="0" w:color="auto"/>
            </w:tcBorders>
            <w:shd w:val="clear" w:color="auto" w:fill="auto"/>
            <w:noWrap/>
            <w:hideMark/>
          </w:tcPr>
          <w:p w14:paraId="546AF6BC"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11 786 073</w:t>
            </w:r>
          </w:p>
        </w:tc>
        <w:tc>
          <w:tcPr>
            <w:tcW w:w="2121" w:type="dxa"/>
            <w:tcBorders>
              <w:top w:val="nil"/>
              <w:left w:val="nil"/>
              <w:bottom w:val="single" w:sz="8" w:space="0" w:color="auto"/>
              <w:right w:val="single" w:sz="8" w:space="0" w:color="auto"/>
            </w:tcBorders>
            <w:shd w:val="clear" w:color="auto" w:fill="auto"/>
            <w:noWrap/>
            <w:hideMark/>
          </w:tcPr>
          <w:p w14:paraId="26887286"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11 793 538</w:t>
            </w:r>
          </w:p>
        </w:tc>
        <w:tc>
          <w:tcPr>
            <w:tcW w:w="2177" w:type="dxa"/>
            <w:tcBorders>
              <w:top w:val="nil"/>
              <w:left w:val="nil"/>
              <w:bottom w:val="single" w:sz="8" w:space="0" w:color="auto"/>
              <w:right w:val="single" w:sz="8" w:space="0" w:color="auto"/>
            </w:tcBorders>
            <w:shd w:val="clear" w:color="auto" w:fill="auto"/>
            <w:noWrap/>
            <w:hideMark/>
          </w:tcPr>
          <w:p w14:paraId="5B9E4B8E"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-7 465</w:t>
            </w:r>
          </w:p>
        </w:tc>
      </w:tr>
      <w:tr w:rsidR="005E41CA" w:rsidRPr="005E41CA" w14:paraId="11297F91"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4B27AF3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77</w:t>
            </w:r>
          </w:p>
        </w:tc>
        <w:tc>
          <w:tcPr>
            <w:tcW w:w="6600" w:type="dxa"/>
            <w:tcBorders>
              <w:top w:val="nil"/>
              <w:left w:val="nil"/>
              <w:bottom w:val="single" w:sz="8" w:space="0" w:color="auto"/>
              <w:right w:val="single" w:sz="8" w:space="0" w:color="auto"/>
            </w:tcBorders>
            <w:shd w:val="clear" w:color="auto" w:fill="auto"/>
            <w:noWrap/>
            <w:hideMark/>
          </w:tcPr>
          <w:p w14:paraId="4C79AB1E"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"Olimpiskais centrs "Ventspils""</w:t>
            </w:r>
          </w:p>
        </w:tc>
        <w:tc>
          <w:tcPr>
            <w:tcW w:w="2121" w:type="dxa"/>
            <w:tcBorders>
              <w:top w:val="nil"/>
              <w:left w:val="nil"/>
              <w:bottom w:val="single" w:sz="8" w:space="0" w:color="auto"/>
              <w:right w:val="single" w:sz="8" w:space="0" w:color="auto"/>
            </w:tcBorders>
            <w:shd w:val="clear" w:color="auto" w:fill="auto"/>
            <w:noWrap/>
            <w:hideMark/>
          </w:tcPr>
          <w:p w14:paraId="72A68B7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4 750 133</w:t>
            </w:r>
          </w:p>
        </w:tc>
        <w:tc>
          <w:tcPr>
            <w:tcW w:w="2121" w:type="dxa"/>
            <w:tcBorders>
              <w:top w:val="nil"/>
              <w:left w:val="nil"/>
              <w:bottom w:val="single" w:sz="8" w:space="0" w:color="auto"/>
              <w:right w:val="single" w:sz="8" w:space="0" w:color="auto"/>
            </w:tcBorders>
            <w:shd w:val="clear" w:color="auto" w:fill="auto"/>
            <w:noWrap/>
            <w:hideMark/>
          </w:tcPr>
          <w:p w14:paraId="7A405D51"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4 710 316</w:t>
            </w:r>
          </w:p>
        </w:tc>
        <w:tc>
          <w:tcPr>
            <w:tcW w:w="2177" w:type="dxa"/>
            <w:tcBorders>
              <w:top w:val="nil"/>
              <w:left w:val="nil"/>
              <w:bottom w:val="single" w:sz="8" w:space="0" w:color="auto"/>
              <w:right w:val="single" w:sz="8" w:space="0" w:color="auto"/>
            </w:tcBorders>
            <w:shd w:val="clear" w:color="auto" w:fill="auto"/>
            <w:noWrap/>
            <w:hideMark/>
          </w:tcPr>
          <w:p w14:paraId="1248E297"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39 817</w:t>
            </w:r>
          </w:p>
        </w:tc>
      </w:tr>
      <w:tr w:rsidR="005E41CA" w:rsidRPr="005E41CA" w14:paraId="67F07DD2"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000FA6CF"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78</w:t>
            </w:r>
          </w:p>
        </w:tc>
        <w:tc>
          <w:tcPr>
            <w:tcW w:w="6600" w:type="dxa"/>
            <w:tcBorders>
              <w:top w:val="nil"/>
              <w:left w:val="nil"/>
              <w:bottom w:val="single" w:sz="8" w:space="0" w:color="auto"/>
              <w:right w:val="single" w:sz="8" w:space="0" w:color="auto"/>
            </w:tcBorders>
            <w:shd w:val="clear" w:color="auto" w:fill="auto"/>
            <w:noWrap/>
            <w:hideMark/>
          </w:tcPr>
          <w:p w14:paraId="737F1176"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"Vidzemes slimnīca"</w:t>
            </w:r>
          </w:p>
        </w:tc>
        <w:tc>
          <w:tcPr>
            <w:tcW w:w="2121" w:type="dxa"/>
            <w:tcBorders>
              <w:top w:val="nil"/>
              <w:left w:val="nil"/>
              <w:bottom w:val="single" w:sz="8" w:space="0" w:color="auto"/>
              <w:right w:val="single" w:sz="8" w:space="0" w:color="auto"/>
            </w:tcBorders>
            <w:shd w:val="clear" w:color="auto" w:fill="auto"/>
            <w:noWrap/>
            <w:hideMark/>
          </w:tcPr>
          <w:p w14:paraId="6CCDD9E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24 870 584</w:t>
            </w:r>
          </w:p>
        </w:tc>
        <w:tc>
          <w:tcPr>
            <w:tcW w:w="2121" w:type="dxa"/>
            <w:tcBorders>
              <w:top w:val="nil"/>
              <w:left w:val="nil"/>
              <w:bottom w:val="single" w:sz="8" w:space="0" w:color="auto"/>
              <w:right w:val="single" w:sz="8" w:space="0" w:color="auto"/>
            </w:tcBorders>
            <w:shd w:val="clear" w:color="auto" w:fill="auto"/>
            <w:noWrap/>
            <w:hideMark/>
          </w:tcPr>
          <w:p w14:paraId="302D21C0"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25 904 699</w:t>
            </w:r>
          </w:p>
        </w:tc>
        <w:tc>
          <w:tcPr>
            <w:tcW w:w="2177" w:type="dxa"/>
            <w:tcBorders>
              <w:top w:val="nil"/>
              <w:left w:val="nil"/>
              <w:bottom w:val="single" w:sz="8" w:space="0" w:color="auto"/>
              <w:right w:val="single" w:sz="8" w:space="0" w:color="auto"/>
            </w:tcBorders>
            <w:shd w:val="clear" w:color="auto" w:fill="auto"/>
            <w:noWrap/>
            <w:hideMark/>
          </w:tcPr>
          <w:p w14:paraId="4E748A7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-1 034 115</w:t>
            </w:r>
          </w:p>
        </w:tc>
      </w:tr>
      <w:tr w:rsidR="005E41CA" w:rsidRPr="005E41CA" w14:paraId="39C8914B" w14:textId="77777777" w:rsidTr="006261DB">
        <w:trPr>
          <w:trHeight w:val="283"/>
        </w:trPr>
        <w:tc>
          <w:tcPr>
            <w:tcW w:w="1187" w:type="dxa"/>
            <w:tcBorders>
              <w:top w:val="nil"/>
              <w:left w:val="single" w:sz="8" w:space="0" w:color="auto"/>
              <w:bottom w:val="single" w:sz="8" w:space="0" w:color="auto"/>
              <w:right w:val="single" w:sz="8" w:space="0" w:color="auto"/>
            </w:tcBorders>
            <w:shd w:val="clear" w:color="auto" w:fill="auto"/>
            <w:noWrap/>
            <w:hideMark/>
          </w:tcPr>
          <w:p w14:paraId="1017E0E5"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79</w:t>
            </w:r>
          </w:p>
        </w:tc>
        <w:tc>
          <w:tcPr>
            <w:tcW w:w="6600" w:type="dxa"/>
            <w:tcBorders>
              <w:top w:val="nil"/>
              <w:left w:val="nil"/>
              <w:bottom w:val="single" w:sz="8" w:space="0" w:color="auto"/>
              <w:right w:val="single" w:sz="8" w:space="0" w:color="auto"/>
            </w:tcBorders>
            <w:shd w:val="clear" w:color="auto" w:fill="auto"/>
            <w:noWrap/>
            <w:hideMark/>
          </w:tcPr>
          <w:p w14:paraId="7F1B717A" w14:textId="77777777" w:rsidR="005E41CA" w:rsidRPr="005E41CA" w:rsidRDefault="005E41CA" w:rsidP="005E41CA">
            <w:pPr>
              <w:spacing w:after="0"/>
              <w:ind w:firstLine="0"/>
              <w:jc w:val="left"/>
              <w:rPr>
                <w:rFonts w:eastAsia="Times New Roman" w:cs="Times New Roman"/>
                <w:color w:val="000000"/>
                <w:sz w:val="18"/>
                <w:szCs w:val="18"/>
                <w:highlight w:val="yellow"/>
              </w:rPr>
            </w:pPr>
            <w:r w:rsidRPr="005E41CA">
              <w:rPr>
                <w:rFonts w:eastAsia="Calibri" w:cs="Times New Roman"/>
                <w:sz w:val="18"/>
                <w:szCs w:val="18"/>
                <w:lang w:eastAsia="en-US"/>
              </w:rPr>
              <w:t>SIA "</w:t>
            </w:r>
            <w:proofErr w:type="spellStart"/>
            <w:r w:rsidRPr="005E41CA">
              <w:rPr>
                <w:rFonts w:eastAsia="Calibri" w:cs="Times New Roman"/>
                <w:sz w:val="18"/>
                <w:szCs w:val="18"/>
                <w:lang w:eastAsia="en-US"/>
              </w:rPr>
              <w:t>Ziemeļkurzemes</w:t>
            </w:r>
            <w:proofErr w:type="spellEnd"/>
            <w:r w:rsidRPr="005E41CA">
              <w:rPr>
                <w:rFonts w:eastAsia="Calibri" w:cs="Times New Roman"/>
                <w:sz w:val="18"/>
                <w:szCs w:val="18"/>
                <w:lang w:eastAsia="en-US"/>
              </w:rPr>
              <w:t xml:space="preserve"> reģionālā slimnīca"</w:t>
            </w:r>
          </w:p>
        </w:tc>
        <w:tc>
          <w:tcPr>
            <w:tcW w:w="2121" w:type="dxa"/>
            <w:tcBorders>
              <w:top w:val="nil"/>
              <w:left w:val="nil"/>
              <w:bottom w:val="single" w:sz="8" w:space="0" w:color="auto"/>
              <w:right w:val="single" w:sz="8" w:space="0" w:color="auto"/>
            </w:tcBorders>
            <w:shd w:val="clear" w:color="auto" w:fill="auto"/>
            <w:noWrap/>
            <w:hideMark/>
          </w:tcPr>
          <w:p w14:paraId="5ADD4FAD"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23 763 744</w:t>
            </w:r>
          </w:p>
        </w:tc>
        <w:tc>
          <w:tcPr>
            <w:tcW w:w="2121" w:type="dxa"/>
            <w:tcBorders>
              <w:top w:val="nil"/>
              <w:left w:val="nil"/>
              <w:bottom w:val="single" w:sz="8" w:space="0" w:color="auto"/>
              <w:right w:val="single" w:sz="8" w:space="0" w:color="auto"/>
            </w:tcBorders>
            <w:shd w:val="clear" w:color="auto" w:fill="auto"/>
            <w:noWrap/>
            <w:hideMark/>
          </w:tcPr>
          <w:p w14:paraId="77469183"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23 631 899</w:t>
            </w:r>
          </w:p>
        </w:tc>
        <w:tc>
          <w:tcPr>
            <w:tcW w:w="2177" w:type="dxa"/>
            <w:tcBorders>
              <w:top w:val="nil"/>
              <w:left w:val="nil"/>
              <w:bottom w:val="single" w:sz="8" w:space="0" w:color="auto"/>
              <w:right w:val="single" w:sz="8" w:space="0" w:color="auto"/>
            </w:tcBorders>
            <w:shd w:val="clear" w:color="auto" w:fill="auto"/>
            <w:noWrap/>
            <w:hideMark/>
          </w:tcPr>
          <w:p w14:paraId="69493D7B" w14:textId="77777777" w:rsidR="005E41CA" w:rsidRPr="005E41CA" w:rsidRDefault="005E41CA" w:rsidP="005E41CA">
            <w:pPr>
              <w:spacing w:after="0"/>
              <w:ind w:firstLine="0"/>
              <w:jc w:val="right"/>
              <w:rPr>
                <w:rFonts w:eastAsia="Times New Roman" w:cs="Times New Roman"/>
                <w:color w:val="000000"/>
                <w:sz w:val="18"/>
                <w:szCs w:val="18"/>
                <w:highlight w:val="yellow"/>
              </w:rPr>
            </w:pPr>
            <w:r w:rsidRPr="005E41CA">
              <w:rPr>
                <w:rFonts w:eastAsia="Calibri" w:cs="Times New Roman"/>
                <w:sz w:val="18"/>
                <w:szCs w:val="18"/>
                <w:lang w:eastAsia="en-US"/>
              </w:rPr>
              <w:t>131 845</w:t>
            </w:r>
          </w:p>
        </w:tc>
      </w:tr>
      <w:tr w:rsidR="00AB78AC" w:rsidRPr="005E41CA" w14:paraId="259EFEBA" w14:textId="77777777" w:rsidTr="006909EC">
        <w:trPr>
          <w:trHeight w:val="468"/>
        </w:trPr>
        <w:tc>
          <w:tcPr>
            <w:tcW w:w="14206"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E7ABC84" w14:textId="6FF61B4B" w:rsidR="00AB78AC" w:rsidRPr="005E41CA" w:rsidRDefault="00AB78AC" w:rsidP="00AB78AC">
            <w:pPr>
              <w:spacing w:after="0"/>
              <w:ind w:firstLine="0"/>
              <w:rPr>
                <w:rFonts w:eastAsia="Times New Roman" w:cs="Times New Roman"/>
                <w:color w:val="000000"/>
                <w:sz w:val="18"/>
                <w:szCs w:val="18"/>
              </w:rPr>
            </w:pPr>
            <w:r w:rsidRPr="005E41CA">
              <w:rPr>
                <w:rFonts w:eastAsia="Times New Roman" w:cs="Times New Roman"/>
                <w:color w:val="000000"/>
                <w:sz w:val="18"/>
                <w:szCs w:val="18"/>
              </w:rPr>
              <w:lastRenderedPageBreak/>
              <w:t xml:space="preserve">Tabulā ir norādīti vispārējās valdības </w:t>
            </w:r>
            <w:r>
              <w:rPr>
                <w:rFonts w:eastAsia="Times New Roman" w:cs="Times New Roman"/>
                <w:color w:val="000000"/>
                <w:sz w:val="18"/>
                <w:szCs w:val="18"/>
              </w:rPr>
              <w:t xml:space="preserve">sektorā klasificēto </w:t>
            </w:r>
            <w:r w:rsidRPr="005E41CA">
              <w:rPr>
                <w:rFonts w:eastAsia="Times New Roman" w:cs="Times New Roman"/>
                <w:color w:val="000000"/>
                <w:sz w:val="18"/>
                <w:szCs w:val="18"/>
              </w:rPr>
              <w:t xml:space="preserve">kapitālsabiedrību </w:t>
            </w:r>
            <w:r>
              <w:rPr>
                <w:rFonts w:eastAsia="Times New Roman" w:cs="Times New Roman"/>
                <w:color w:val="000000"/>
                <w:sz w:val="18"/>
                <w:szCs w:val="18"/>
              </w:rPr>
              <w:t xml:space="preserve">un nodibinājuma </w:t>
            </w:r>
            <w:r w:rsidRPr="005E41CA">
              <w:rPr>
                <w:rFonts w:eastAsia="Times New Roman" w:cs="Times New Roman"/>
                <w:color w:val="000000"/>
                <w:sz w:val="18"/>
                <w:szCs w:val="18"/>
              </w:rPr>
              <w:t>ieņēmumi, izdevumi un ietekme uz B.9 neto aizdevumiem (+)/neto aizņēmumiem (-)</w:t>
            </w:r>
            <w:r>
              <w:rPr>
                <w:rFonts w:eastAsia="Times New Roman" w:cs="Times New Roman"/>
                <w:color w:val="000000"/>
                <w:sz w:val="18"/>
                <w:szCs w:val="18"/>
              </w:rPr>
              <w:t xml:space="preserve"> </w:t>
            </w:r>
            <w:r w:rsidRPr="005E41CA">
              <w:rPr>
                <w:rFonts w:eastAsia="Times New Roman" w:cs="Times New Roman"/>
                <w:color w:val="000000"/>
                <w:sz w:val="18"/>
                <w:szCs w:val="18"/>
              </w:rPr>
              <w:t xml:space="preserve">atbilstoši </w:t>
            </w:r>
            <w:r>
              <w:rPr>
                <w:rFonts w:eastAsia="Times New Roman" w:cs="Times New Roman"/>
                <w:color w:val="000000"/>
                <w:sz w:val="18"/>
                <w:szCs w:val="18"/>
              </w:rPr>
              <w:t>to</w:t>
            </w:r>
            <w:r w:rsidRPr="005E41CA">
              <w:rPr>
                <w:rFonts w:eastAsia="Times New Roman" w:cs="Times New Roman"/>
                <w:color w:val="000000"/>
                <w:sz w:val="18"/>
                <w:szCs w:val="18"/>
              </w:rPr>
              <w:t xml:space="preserve"> </w:t>
            </w:r>
            <w:r>
              <w:rPr>
                <w:rFonts w:eastAsia="Times New Roman" w:cs="Times New Roman"/>
                <w:color w:val="000000"/>
                <w:sz w:val="18"/>
                <w:szCs w:val="18"/>
              </w:rPr>
              <w:t xml:space="preserve">iesniegtajām veidlapām FM organizētās aptaujas ietvaros 2023.gada jūlijā/augustā un Ministru kabineta pieņemtajiem lēmumiem par </w:t>
            </w:r>
            <w:r w:rsidRPr="005E41CA">
              <w:rPr>
                <w:rFonts w:eastAsia="Calibri" w:cs="Times New Roman"/>
                <w:sz w:val="18"/>
                <w:szCs w:val="18"/>
                <w:lang w:eastAsia="en-US"/>
              </w:rPr>
              <w:t>SIA "Enerģijas publiskais tirgotājs"</w:t>
            </w:r>
            <w:r>
              <w:rPr>
                <w:rFonts w:eastAsia="Calibri" w:cs="Times New Roman"/>
                <w:sz w:val="18"/>
                <w:szCs w:val="18"/>
                <w:lang w:eastAsia="en-US"/>
              </w:rPr>
              <w:t xml:space="preserve">, </w:t>
            </w:r>
            <w:r w:rsidRPr="005E41CA">
              <w:rPr>
                <w:rFonts w:eastAsia="Calibri" w:cs="Times New Roman"/>
                <w:sz w:val="18"/>
                <w:szCs w:val="18"/>
                <w:lang w:eastAsia="en-US"/>
              </w:rPr>
              <w:t>AS "Pasažieru vilciens"</w:t>
            </w:r>
            <w:r>
              <w:rPr>
                <w:rFonts w:eastAsia="Calibri" w:cs="Times New Roman"/>
                <w:sz w:val="18"/>
                <w:szCs w:val="18"/>
                <w:lang w:eastAsia="en-US"/>
              </w:rPr>
              <w:t xml:space="preserve"> un </w:t>
            </w:r>
            <w:r w:rsidRPr="005E41CA">
              <w:rPr>
                <w:rFonts w:eastAsia="Calibri" w:cs="Times New Roman"/>
                <w:sz w:val="18"/>
                <w:szCs w:val="18"/>
                <w:lang w:eastAsia="en-US"/>
              </w:rPr>
              <w:t>SIA "</w:t>
            </w:r>
            <w:r>
              <w:rPr>
                <w:rFonts w:eastAsia="Calibri" w:cs="Times New Roman"/>
                <w:sz w:val="18"/>
                <w:szCs w:val="18"/>
                <w:lang w:eastAsia="en-US"/>
              </w:rPr>
              <w:t>Rīgas</w:t>
            </w:r>
            <w:r w:rsidRPr="005E41CA">
              <w:rPr>
                <w:rFonts w:eastAsia="Calibri" w:cs="Times New Roman"/>
                <w:sz w:val="18"/>
                <w:szCs w:val="18"/>
                <w:lang w:eastAsia="en-US"/>
              </w:rPr>
              <w:t xml:space="preserve"> </w:t>
            </w:r>
            <w:r>
              <w:rPr>
                <w:rFonts w:eastAsia="Calibri" w:cs="Times New Roman"/>
                <w:sz w:val="18"/>
                <w:szCs w:val="18"/>
                <w:lang w:eastAsia="en-US"/>
              </w:rPr>
              <w:t>satiksme</w:t>
            </w:r>
            <w:r w:rsidRPr="005E41CA">
              <w:rPr>
                <w:rFonts w:eastAsia="Calibri" w:cs="Times New Roman"/>
                <w:sz w:val="18"/>
                <w:szCs w:val="18"/>
                <w:lang w:eastAsia="en-US"/>
              </w:rPr>
              <w:t>"</w:t>
            </w:r>
            <w:r>
              <w:rPr>
                <w:rFonts w:eastAsia="Calibri" w:cs="Times New Roman"/>
                <w:sz w:val="18"/>
                <w:szCs w:val="18"/>
                <w:lang w:eastAsia="en-US"/>
              </w:rPr>
              <w:t xml:space="preserve"> līdz 2023.gada 9.oktobrim.</w:t>
            </w:r>
          </w:p>
        </w:tc>
      </w:tr>
      <w:tr w:rsidR="00AB78AC" w:rsidRPr="005E41CA" w14:paraId="70CA9B8C" w14:textId="77777777" w:rsidTr="006909EC">
        <w:trPr>
          <w:trHeight w:val="492"/>
        </w:trPr>
        <w:tc>
          <w:tcPr>
            <w:tcW w:w="14206" w:type="dxa"/>
            <w:gridSpan w:val="5"/>
            <w:tcBorders>
              <w:top w:val="nil"/>
              <w:left w:val="single" w:sz="8" w:space="0" w:color="auto"/>
              <w:bottom w:val="single" w:sz="8" w:space="0" w:color="auto"/>
              <w:right w:val="single" w:sz="8" w:space="0" w:color="000000"/>
            </w:tcBorders>
            <w:shd w:val="clear" w:color="auto" w:fill="auto"/>
            <w:noWrap/>
            <w:vAlign w:val="center"/>
            <w:hideMark/>
          </w:tcPr>
          <w:p w14:paraId="5F9EF930" w14:textId="4AE52C5E" w:rsidR="00AB78AC" w:rsidRPr="005E41CA" w:rsidRDefault="00AB78AC" w:rsidP="00AB78AC">
            <w:pPr>
              <w:spacing w:after="0"/>
              <w:ind w:firstLine="0"/>
              <w:rPr>
                <w:rFonts w:eastAsia="Times New Roman" w:cs="Times New Roman"/>
                <w:color w:val="000000"/>
                <w:sz w:val="18"/>
                <w:szCs w:val="18"/>
              </w:rPr>
            </w:pPr>
            <w:r w:rsidRPr="005E41CA">
              <w:rPr>
                <w:rFonts w:eastAsia="Times New Roman" w:cs="Times New Roman"/>
                <w:color w:val="000000"/>
                <w:sz w:val="18"/>
                <w:szCs w:val="18"/>
              </w:rPr>
              <w:t xml:space="preserve">Vispārējās valdības </w:t>
            </w:r>
            <w:r>
              <w:rPr>
                <w:rFonts w:eastAsia="Times New Roman" w:cs="Times New Roman"/>
                <w:color w:val="000000"/>
                <w:sz w:val="18"/>
                <w:szCs w:val="18"/>
              </w:rPr>
              <w:t xml:space="preserve">sektorā klasificēto </w:t>
            </w:r>
            <w:r w:rsidRPr="005E41CA">
              <w:rPr>
                <w:rFonts w:eastAsia="Times New Roman" w:cs="Times New Roman"/>
                <w:color w:val="000000"/>
                <w:sz w:val="18"/>
                <w:szCs w:val="18"/>
              </w:rPr>
              <w:t xml:space="preserve">kapitālsabiedrību </w:t>
            </w:r>
            <w:r>
              <w:rPr>
                <w:rFonts w:eastAsia="Times New Roman" w:cs="Times New Roman"/>
                <w:color w:val="000000"/>
                <w:sz w:val="18"/>
                <w:szCs w:val="18"/>
              </w:rPr>
              <w:t xml:space="preserve">un nodibinājuma </w:t>
            </w:r>
            <w:r w:rsidRPr="005E41CA">
              <w:rPr>
                <w:rFonts w:eastAsia="Times New Roman" w:cs="Times New Roman"/>
                <w:color w:val="000000"/>
                <w:sz w:val="18"/>
                <w:szCs w:val="18"/>
              </w:rPr>
              <w:t>ietekme uz B.9 neto aizdevumiem (+)/neto aizņēmumiem (-), kas iekļauta vispārējās valdības budžeta prognozēs 2026. gadā</w:t>
            </w:r>
            <w:r>
              <w:rPr>
                <w:rFonts w:eastAsia="Times New Roman" w:cs="Times New Roman"/>
                <w:color w:val="000000"/>
                <w:sz w:val="18"/>
                <w:szCs w:val="18"/>
              </w:rPr>
              <w:t>,</w:t>
            </w:r>
            <w:r w:rsidRPr="005E41CA">
              <w:rPr>
                <w:rFonts w:eastAsia="Times New Roman" w:cs="Times New Roman"/>
                <w:color w:val="000000"/>
                <w:sz w:val="18"/>
                <w:szCs w:val="18"/>
              </w:rPr>
              <w:t xml:space="preserve"> ir -</w:t>
            </w:r>
            <w:r>
              <w:rPr>
                <w:rFonts w:eastAsia="Times New Roman" w:cs="Times New Roman"/>
                <w:color w:val="000000"/>
                <w:sz w:val="18"/>
                <w:szCs w:val="18"/>
              </w:rPr>
              <w:t>22 085 639</w:t>
            </w:r>
            <w:r w:rsidRPr="005E41CA">
              <w:rPr>
                <w:rFonts w:eastAsia="Times New Roman" w:cs="Times New Roman"/>
                <w:color w:val="000000"/>
                <w:sz w:val="18"/>
                <w:szCs w:val="18"/>
              </w:rPr>
              <w:t xml:space="preserve"> </w:t>
            </w:r>
            <w:proofErr w:type="spellStart"/>
            <w:r w:rsidRPr="005E41CA">
              <w:rPr>
                <w:rFonts w:eastAsia="Times New Roman" w:cs="Times New Roman"/>
                <w:i/>
                <w:iCs/>
                <w:color w:val="000000"/>
                <w:sz w:val="18"/>
                <w:szCs w:val="18"/>
              </w:rPr>
              <w:t>euro</w:t>
            </w:r>
            <w:proofErr w:type="spellEnd"/>
            <w:r w:rsidRPr="005E41CA">
              <w:rPr>
                <w:rFonts w:eastAsia="Times New Roman" w:cs="Times New Roman"/>
                <w:i/>
                <w:iCs/>
                <w:color w:val="000000"/>
                <w:sz w:val="18"/>
                <w:szCs w:val="18"/>
              </w:rPr>
              <w:t>.</w:t>
            </w:r>
          </w:p>
        </w:tc>
      </w:tr>
    </w:tbl>
    <w:p w14:paraId="37487C6E" w14:textId="70E9B823" w:rsidR="003B4DAE" w:rsidRPr="005E41CA" w:rsidRDefault="00E862CD" w:rsidP="00357E15">
      <w:pPr>
        <w:widowControl w:val="0"/>
        <w:spacing w:before="120"/>
        <w:ind w:firstLine="0"/>
        <w:rPr>
          <w:i/>
          <w:sz w:val="20"/>
          <w:szCs w:val="24"/>
        </w:rPr>
      </w:pPr>
      <w:r w:rsidRPr="005E41CA">
        <w:rPr>
          <w:i/>
          <w:sz w:val="20"/>
          <w:szCs w:val="24"/>
        </w:rPr>
        <w:t xml:space="preserve">Datu avots: </w:t>
      </w:r>
      <w:r w:rsidR="006836ED">
        <w:rPr>
          <w:i/>
          <w:sz w:val="20"/>
          <w:szCs w:val="24"/>
        </w:rPr>
        <w:t>FM</w:t>
      </w:r>
    </w:p>
    <w:p w14:paraId="067C2940" w14:textId="2FC78706" w:rsidR="00407269" w:rsidRPr="0038459F" w:rsidRDefault="000C5890" w:rsidP="000C5890">
      <w:pPr>
        <w:spacing w:after="0"/>
        <w:ind w:firstLine="0"/>
        <w:jc w:val="left"/>
        <w:rPr>
          <w:i/>
          <w:sz w:val="20"/>
          <w:szCs w:val="24"/>
          <w:highlight w:val="lightGray"/>
        </w:rPr>
      </w:pPr>
      <w:r w:rsidRPr="0038459F">
        <w:rPr>
          <w:i/>
          <w:sz w:val="20"/>
          <w:szCs w:val="24"/>
          <w:highlight w:val="lightGray"/>
        </w:rPr>
        <w:br w:type="page"/>
      </w:r>
    </w:p>
    <w:p w14:paraId="3A3419D1" w14:textId="24F92E91" w:rsidR="009D05C2" w:rsidRPr="009613CE" w:rsidRDefault="00095088" w:rsidP="00401A5B">
      <w:pPr>
        <w:widowControl w:val="0"/>
        <w:jc w:val="right"/>
        <w:rPr>
          <w:rFonts w:eastAsia="Times New Roman" w:cs="Times New Roman"/>
          <w:color w:val="000000"/>
        </w:rPr>
      </w:pPr>
      <w:r w:rsidRPr="009613CE">
        <w:rPr>
          <w:rFonts w:eastAsia="Times New Roman" w:cs="Times New Roman"/>
          <w:color w:val="000000"/>
        </w:rPr>
        <w:lastRenderedPageBreak/>
        <w:t>3</w:t>
      </w:r>
      <w:r w:rsidR="009D05C2" w:rsidRPr="009613CE">
        <w:rPr>
          <w:rFonts w:eastAsia="Times New Roman" w:cs="Times New Roman"/>
          <w:color w:val="000000"/>
        </w:rPr>
        <w:t>.</w:t>
      </w:r>
      <w:r w:rsidRPr="009613CE">
        <w:rPr>
          <w:rFonts w:eastAsia="Times New Roman" w:cs="Times New Roman"/>
          <w:color w:val="000000"/>
        </w:rPr>
        <w:t xml:space="preserve"> </w:t>
      </w:r>
      <w:r w:rsidR="009D05C2" w:rsidRPr="009613CE">
        <w:rPr>
          <w:rFonts w:eastAsia="Times New Roman" w:cs="Times New Roman"/>
          <w:color w:val="000000"/>
        </w:rPr>
        <w:t>pielikums</w:t>
      </w:r>
    </w:p>
    <w:p w14:paraId="7F8896F4" w14:textId="77777777" w:rsidR="009613CE" w:rsidRPr="009613CE" w:rsidRDefault="009613CE" w:rsidP="009613CE">
      <w:pPr>
        <w:widowControl w:val="0"/>
        <w:ind w:left="675"/>
        <w:contextualSpacing/>
        <w:jc w:val="right"/>
        <w:rPr>
          <w:b/>
          <w:szCs w:val="24"/>
        </w:rPr>
      </w:pPr>
      <w:r w:rsidRPr="009613CE">
        <w:rPr>
          <w:b/>
          <w:szCs w:val="24"/>
        </w:rPr>
        <w:t>Vispārējās valdības sektorā iekļauto kapitālsabiedrību prognozētā ietekme uz vispārējās valdības parādu 2024., 2025. un 2026. gadā*</w:t>
      </w:r>
    </w:p>
    <w:tbl>
      <w:tblPr>
        <w:tblW w:w="14121" w:type="dxa"/>
        <w:tblLook w:val="04A0" w:firstRow="1" w:lastRow="0" w:firstColumn="1" w:lastColumn="0" w:noHBand="0" w:noVBand="1"/>
      </w:tblPr>
      <w:tblGrid>
        <w:gridCol w:w="1283"/>
        <w:gridCol w:w="8212"/>
        <w:gridCol w:w="1792"/>
        <w:gridCol w:w="1417"/>
        <w:gridCol w:w="1417"/>
      </w:tblGrid>
      <w:tr w:rsidR="009613CE" w:rsidRPr="009613CE" w14:paraId="3FD31C83" w14:textId="77777777" w:rsidTr="00CD399E">
        <w:trPr>
          <w:trHeight w:val="373"/>
        </w:trPr>
        <w:tc>
          <w:tcPr>
            <w:tcW w:w="1283" w:type="dxa"/>
            <w:tcBorders>
              <w:top w:val="nil"/>
              <w:left w:val="nil"/>
              <w:bottom w:val="nil"/>
              <w:right w:val="nil"/>
            </w:tcBorders>
            <w:shd w:val="clear" w:color="auto" w:fill="auto"/>
            <w:noWrap/>
            <w:vAlign w:val="bottom"/>
            <w:hideMark/>
          </w:tcPr>
          <w:p w14:paraId="3613FD63" w14:textId="77777777" w:rsidR="009613CE" w:rsidRPr="009613CE" w:rsidRDefault="009613CE" w:rsidP="009613CE">
            <w:pPr>
              <w:spacing w:after="0"/>
              <w:ind w:firstLine="0"/>
              <w:jc w:val="left"/>
              <w:rPr>
                <w:rFonts w:eastAsia="Times New Roman" w:cs="Times New Roman"/>
                <w:sz w:val="20"/>
                <w:szCs w:val="24"/>
              </w:rPr>
            </w:pPr>
          </w:p>
        </w:tc>
        <w:tc>
          <w:tcPr>
            <w:tcW w:w="8212" w:type="dxa"/>
            <w:tcBorders>
              <w:top w:val="nil"/>
              <w:left w:val="nil"/>
              <w:bottom w:val="nil"/>
              <w:right w:val="nil"/>
            </w:tcBorders>
            <w:shd w:val="clear" w:color="auto" w:fill="auto"/>
            <w:noWrap/>
            <w:vAlign w:val="bottom"/>
            <w:hideMark/>
          </w:tcPr>
          <w:p w14:paraId="37EC846D" w14:textId="77777777" w:rsidR="009613CE" w:rsidRPr="009613CE" w:rsidRDefault="009613CE" w:rsidP="009613CE">
            <w:pPr>
              <w:spacing w:after="0"/>
              <w:ind w:firstLine="0"/>
              <w:jc w:val="center"/>
              <w:rPr>
                <w:rFonts w:eastAsia="Times New Roman" w:cs="Times New Roman"/>
                <w:sz w:val="20"/>
                <w:szCs w:val="20"/>
              </w:rPr>
            </w:pPr>
          </w:p>
        </w:tc>
        <w:tc>
          <w:tcPr>
            <w:tcW w:w="1792" w:type="dxa"/>
            <w:tcBorders>
              <w:top w:val="nil"/>
              <w:left w:val="nil"/>
              <w:bottom w:val="nil"/>
              <w:right w:val="nil"/>
            </w:tcBorders>
            <w:shd w:val="clear" w:color="auto" w:fill="auto"/>
            <w:noWrap/>
            <w:vAlign w:val="bottom"/>
            <w:hideMark/>
          </w:tcPr>
          <w:p w14:paraId="07A10BB0" w14:textId="77777777" w:rsidR="009613CE" w:rsidRPr="009613CE" w:rsidRDefault="009613CE" w:rsidP="009613CE">
            <w:pPr>
              <w:spacing w:after="0"/>
              <w:ind w:firstLine="0"/>
              <w:jc w:val="right"/>
              <w:rPr>
                <w:rFonts w:eastAsia="Times New Roman" w:cs="Times New Roman"/>
                <w:sz w:val="20"/>
                <w:szCs w:val="20"/>
              </w:rPr>
            </w:pPr>
          </w:p>
        </w:tc>
        <w:tc>
          <w:tcPr>
            <w:tcW w:w="1417" w:type="dxa"/>
            <w:tcBorders>
              <w:top w:val="nil"/>
              <w:left w:val="nil"/>
              <w:bottom w:val="nil"/>
              <w:right w:val="nil"/>
            </w:tcBorders>
            <w:shd w:val="clear" w:color="auto" w:fill="auto"/>
            <w:noWrap/>
            <w:vAlign w:val="bottom"/>
            <w:hideMark/>
          </w:tcPr>
          <w:p w14:paraId="484A1A5B" w14:textId="77777777" w:rsidR="009613CE" w:rsidRPr="009613CE" w:rsidRDefault="009613CE" w:rsidP="009613CE">
            <w:pPr>
              <w:spacing w:after="0"/>
              <w:ind w:firstLine="0"/>
              <w:jc w:val="left"/>
              <w:rPr>
                <w:rFonts w:eastAsia="Times New Roman" w:cs="Times New Roman"/>
                <w:sz w:val="20"/>
                <w:szCs w:val="20"/>
              </w:rPr>
            </w:pPr>
          </w:p>
        </w:tc>
        <w:tc>
          <w:tcPr>
            <w:tcW w:w="1417" w:type="dxa"/>
            <w:tcBorders>
              <w:top w:val="nil"/>
              <w:left w:val="nil"/>
              <w:bottom w:val="nil"/>
              <w:right w:val="nil"/>
            </w:tcBorders>
            <w:shd w:val="clear" w:color="auto" w:fill="auto"/>
            <w:noWrap/>
            <w:vAlign w:val="bottom"/>
            <w:hideMark/>
          </w:tcPr>
          <w:p w14:paraId="5DE1F078" w14:textId="77777777" w:rsidR="009613CE" w:rsidRPr="009613CE" w:rsidRDefault="009613CE" w:rsidP="009613CE">
            <w:pPr>
              <w:spacing w:after="0"/>
              <w:ind w:firstLine="0"/>
              <w:jc w:val="right"/>
              <w:rPr>
                <w:rFonts w:eastAsia="Times New Roman" w:cs="Times New Roman"/>
                <w:i/>
                <w:iCs/>
                <w:color w:val="000000"/>
                <w:sz w:val="18"/>
                <w:szCs w:val="18"/>
              </w:rPr>
            </w:pPr>
            <w:r w:rsidRPr="009613CE">
              <w:rPr>
                <w:rFonts w:eastAsia="Times New Roman" w:cs="Times New Roman"/>
                <w:i/>
                <w:iCs/>
                <w:color w:val="000000"/>
                <w:sz w:val="18"/>
                <w:szCs w:val="18"/>
              </w:rPr>
              <w:t xml:space="preserve">milj. </w:t>
            </w:r>
            <w:proofErr w:type="spellStart"/>
            <w:r w:rsidRPr="009613CE">
              <w:rPr>
                <w:rFonts w:eastAsia="Times New Roman" w:cs="Times New Roman"/>
                <w:i/>
                <w:iCs/>
                <w:color w:val="000000"/>
                <w:sz w:val="18"/>
                <w:szCs w:val="18"/>
              </w:rPr>
              <w:t>euro</w:t>
            </w:r>
            <w:proofErr w:type="spellEnd"/>
          </w:p>
        </w:tc>
      </w:tr>
      <w:tr w:rsidR="009613CE" w:rsidRPr="009613CE" w14:paraId="377AEFA9" w14:textId="77777777" w:rsidTr="00CD399E">
        <w:trPr>
          <w:trHeight w:val="107"/>
        </w:trPr>
        <w:tc>
          <w:tcPr>
            <w:tcW w:w="1283"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bottom"/>
            <w:hideMark/>
          </w:tcPr>
          <w:p w14:paraId="20F99D2A" w14:textId="77777777" w:rsidR="009613CE" w:rsidRPr="009613CE" w:rsidRDefault="009613CE" w:rsidP="009613CE">
            <w:pPr>
              <w:spacing w:after="0"/>
              <w:ind w:firstLine="0"/>
              <w:jc w:val="center"/>
              <w:rPr>
                <w:rFonts w:eastAsia="Times New Roman" w:cs="Times New Roman"/>
                <w:color w:val="000000"/>
                <w:sz w:val="18"/>
                <w:szCs w:val="18"/>
              </w:rPr>
            </w:pPr>
            <w:r w:rsidRPr="009613CE">
              <w:rPr>
                <w:rFonts w:eastAsia="Times New Roman" w:cs="Times New Roman"/>
                <w:color w:val="000000"/>
                <w:sz w:val="18"/>
                <w:szCs w:val="18"/>
              </w:rPr>
              <w:t> </w:t>
            </w:r>
          </w:p>
        </w:tc>
        <w:tc>
          <w:tcPr>
            <w:tcW w:w="8212"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230F2A5A"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eastAsia="Times New Roman" w:cs="Times New Roman"/>
                <w:color w:val="000000"/>
                <w:sz w:val="18"/>
                <w:szCs w:val="18"/>
              </w:rPr>
              <w:t> </w:t>
            </w:r>
          </w:p>
        </w:tc>
        <w:tc>
          <w:tcPr>
            <w:tcW w:w="1792"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17D88D39" w14:textId="77777777" w:rsidR="009613CE" w:rsidRPr="009613CE" w:rsidRDefault="009613CE" w:rsidP="009613CE">
            <w:pPr>
              <w:spacing w:after="0"/>
              <w:ind w:firstLine="0"/>
              <w:jc w:val="right"/>
              <w:rPr>
                <w:rFonts w:eastAsia="Times New Roman" w:cs="Times New Roman"/>
                <w:b/>
                <w:bCs/>
                <w:color w:val="000000"/>
                <w:sz w:val="18"/>
                <w:szCs w:val="18"/>
              </w:rPr>
            </w:pPr>
            <w:r w:rsidRPr="009613CE">
              <w:rPr>
                <w:rFonts w:eastAsia="Times New Roman" w:cs="Times New Roman"/>
                <w:b/>
                <w:bCs/>
                <w:color w:val="000000"/>
                <w:sz w:val="18"/>
                <w:szCs w:val="18"/>
              </w:rPr>
              <w:t>2024</w:t>
            </w:r>
          </w:p>
        </w:tc>
        <w:tc>
          <w:tcPr>
            <w:tcW w:w="1417"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69AE84F8" w14:textId="77777777" w:rsidR="009613CE" w:rsidRPr="009613CE" w:rsidRDefault="009613CE" w:rsidP="009613CE">
            <w:pPr>
              <w:spacing w:after="0"/>
              <w:ind w:firstLine="0"/>
              <w:jc w:val="right"/>
              <w:rPr>
                <w:rFonts w:eastAsia="Times New Roman" w:cs="Times New Roman"/>
                <w:b/>
                <w:color w:val="000000"/>
                <w:sz w:val="18"/>
                <w:szCs w:val="18"/>
              </w:rPr>
            </w:pPr>
            <w:r w:rsidRPr="009613CE">
              <w:rPr>
                <w:rFonts w:eastAsia="Times New Roman" w:cs="Times New Roman"/>
                <w:b/>
                <w:color w:val="000000"/>
                <w:sz w:val="18"/>
                <w:szCs w:val="18"/>
              </w:rPr>
              <w:t>2025</w:t>
            </w:r>
          </w:p>
        </w:tc>
        <w:tc>
          <w:tcPr>
            <w:tcW w:w="1417"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672FFFF3" w14:textId="77777777" w:rsidR="009613CE" w:rsidRPr="009613CE" w:rsidRDefault="009613CE" w:rsidP="009613CE">
            <w:pPr>
              <w:spacing w:after="0"/>
              <w:ind w:firstLine="0"/>
              <w:jc w:val="right"/>
              <w:rPr>
                <w:rFonts w:eastAsia="Times New Roman" w:cs="Times New Roman"/>
                <w:b/>
                <w:color w:val="000000"/>
                <w:sz w:val="18"/>
                <w:szCs w:val="18"/>
              </w:rPr>
            </w:pPr>
            <w:r w:rsidRPr="009613CE">
              <w:rPr>
                <w:rFonts w:eastAsia="Times New Roman" w:cs="Times New Roman"/>
                <w:b/>
                <w:color w:val="000000"/>
                <w:sz w:val="18"/>
                <w:szCs w:val="18"/>
              </w:rPr>
              <w:t>2025</w:t>
            </w:r>
          </w:p>
        </w:tc>
      </w:tr>
      <w:tr w:rsidR="009613CE" w:rsidRPr="009613CE" w14:paraId="7AE08837" w14:textId="77777777" w:rsidTr="005E41CA">
        <w:trPr>
          <w:trHeight w:val="231"/>
        </w:trPr>
        <w:tc>
          <w:tcPr>
            <w:tcW w:w="1283" w:type="dxa"/>
            <w:tcBorders>
              <w:top w:val="nil"/>
              <w:left w:val="single" w:sz="4" w:space="0" w:color="auto"/>
              <w:bottom w:val="single" w:sz="4" w:space="0" w:color="auto"/>
              <w:right w:val="single" w:sz="4" w:space="0" w:color="auto"/>
            </w:tcBorders>
            <w:shd w:val="clear" w:color="auto" w:fill="BDD6EE" w:themeFill="accent1" w:themeFillTint="66"/>
            <w:noWrap/>
            <w:vAlign w:val="bottom"/>
            <w:hideMark/>
          </w:tcPr>
          <w:p w14:paraId="0248ECD5" w14:textId="77777777" w:rsidR="009613CE" w:rsidRPr="009613CE" w:rsidRDefault="009613CE" w:rsidP="009613CE">
            <w:pPr>
              <w:spacing w:after="0"/>
              <w:ind w:firstLine="0"/>
              <w:jc w:val="center"/>
              <w:rPr>
                <w:rFonts w:eastAsia="Times New Roman" w:cs="Times New Roman"/>
                <w:color w:val="000000"/>
                <w:sz w:val="18"/>
                <w:szCs w:val="18"/>
              </w:rPr>
            </w:pPr>
            <w:r w:rsidRPr="009613CE">
              <w:rPr>
                <w:rFonts w:eastAsia="Times New Roman" w:cs="Times New Roman"/>
                <w:color w:val="000000"/>
                <w:sz w:val="18"/>
                <w:szCs w:val="18"/>
              </w:rPr>
              <w:t>Klasifikācijas kods</w:t>
            </w:r>
          </w:p>
        </w:tc>
        <w:tc>
          <w:tcPr>
            <w:tcW w:w="8212" w:type="dxa"/>
            <w:tcBorders>
              <w:top w:val="nil"/>
              <w:left w:val="nil"/>
              <w:bottom w:val="single" w:sz="4" w:space="0" w:color="auto"/>
              <w:right w:val="single" w:sz="4" w:space="0" w:color="auto"/>
            </w:tcBorders>
            <w:shd w:val="clear" w:color="auto" w:fill="BDD6EE" w:themeFill="accent1" w:themeFillTint="66"/>
            <w:vAlign w:val="center"/>
            <w:hideMark/>
          </w:tcPr>
          <w:p w14:paraId="42B250F7" w14:textId="77777777" w:rsidR="009613CE" w:rsidRPr="009613CE" w:rsidRDefault="009613CE" w:rsidP="009613CE">
            <w:pPr>
              <w:spacing w:after="0"/>
              <w:ind w:firstLine="0"/>
              <w:jc w:val="left"/>
              <w:rPr>
                <w:rFonts w:eastAsia="Times New Roman" w:cs="Times New Roman"/>
                <w:b/>
                <w:bCs/>
                <w:color w:val="000000"/>
                <w:sz w:val="18"/>
                <w:szCs w:val="18"/>
              </w:rPr>
            </w:pPr>
            <w:r w:rsidRPr="009613CE">
              <w:rPr>
                <w:rFonts w:eastAsia="Times New Roman" w:cs="Times New Roman"/>
                <w:b/>
                <w:bCs/>
                <w:color w:val="000000"/>
                <w:sz w:val="18"/>
                <w:szCs w:val="18"/>
              </w:rPr>
              <w:t>Ietekme uz vispārējās valdības parādu, kopā:</w:t>
            </w:r>
          </w:p>
        </w:tc>
        <w:tc>
          <w:tcPr>
            <w:tcW w:w="1792" w:type="dxa"/>
            <w:tcBorders>
              <w:top w:val="nil"/>
              <w:left w:val="nil"/>
              <w:bottom w:val="single" w:sz="4" w:space="0" w:color="auto"/>
              <w:right w:val="single" w:sz="4" w:space="0" w:color="auto"/>
            </w:tcBorders>
            <w:shd w:val="clear" w:color="auto" w:fill="BDD6EE" w:themeFill="accent1" w:themeFillTint="66"/>
            <w:hideMark/>
          </w:tcPr>
          <w:p w14:paraId="4DD8E64E" w14:textId="77777777" w:rsidR="009613CE" w:rsidRPr="009613CE" w:rsidRDefault="009613CE" w:rsidP="009613CE">
            <w:pPr>
              <w:spacing w:before="60" w:after="60"/>
              <w:ind w:firstLine="0"/>
              <w:jc w:val="right"/>
              <w:rPr>
                <w:rFonts w:eastAsia="Times New Roman" w:cs="Times New Roman"/>
                <w:b/>
                <w:bCs/>
                <w:color w:val="000000"/>
                <w:sz w:val="18"/>
                <w:szCs w:val="18"/>
              </w:rPr>
            </w:pPr>
            <w:r w:rsidRPr="009613CE">
              <w:rPr>
                <w:rFonts w:eastAsia="Times New Roman" w:cs="Times New Roman"/>
                <w:b/>
                <w:bCs/>
                <w:color w:val="000000"/>
                <w:sz w:val="18"/>
                <w:szCs w:val="18"/>
              </w:rPr>
              <w:t>511</w:t>
            </w:r>
            <w:r w:rsidRPr="009613CE">
              <w:rPr>
                <w:b/>
                <w:bCs/>
                <w:sz w:val="18"/>
                <w:szCs w:val="18"/>
              </w:rPr>
              <w:t>,6</w:t>
            </w:r>
          </w:p>
        </w:tc>
        <w:tc>
          <w:tcPr>
            <w:tcW w:w="1417" w:type="dxa"/>
            <w:tcBorders>
              <w:top w:val="nil"/>
              <w:left w:val="nil"/>
              <w:bottom w:val="single" w:sz="4" w:space="0" w:color="auto"/>
              <w:right w:val="single" w:sz="4" w:space="0" w:color="auto"/>
            </w:tcBorders>
            <w:shd w:val="clear" w:color="auto" w:fill="BDD6EE" w:themeFill="accent1" w:themeFillTint="66"/>
          </w:tcPr>
          <w:p w14:paraId="15080F43" w14:textId="77777777" w:rsidR="009613CE" w:rsidRPr="009613CE" w:rsidRDefault="009613CE" w:rsidP="009613CE">
            <w:pPr>
              <w:spacing w:before="60" w:after="60"/>
              <w:ind w:firstLine="0"/>
              <w:jc w:val="right"/>
              <w:rPr>
                <w:rFonts w:eastAsia="Times New Roman" w:cs="Times New Roman"/>
                <w:b/>
                <w:bCs/>
                <w:color w:val="000000"/>
                <w:sz w:val="18"/>
                <w:szCs w:val="18"/>
              </w:rPr>
            </w:pPr>
            <w:r w:rsidRPr="009613CE">
              <w:rPr>
                <w:b/>
                <w:bCs/>
                <w:sz w:val="18"/>
                <w:szCs w:val="18"/>
              </w:rPr>
              <w:t>517,9</w:t>
            </w:r>
          </w:p>
        </w:tc>
        <w:tc>
          <w:tcPr>
            <w:tcW w:w="1417" w:type="dxa"/>
            <w:tcBorders>
              <w:top w:val="nil"/>
              <w:left w:val="nil"/>
              <w:bottom w:val="single" w:sz="4" w:space="0" w:color="auto"/>
              <w:right w:val="single" w:sz="4" w:space="0" w:color="auto"/>
            </w:tcBorders>
            <w:shd w:val="clear" w:color="auto" w:fill="BDD6EE" w:themeFill="accent1" w:themeFillTint="66"/>
          </w:tcPr>
          <w:p w14:paraId="713E3768" w14:textId="77777777" w:rsidR="009613CE" w:rsidRPr="009613CE" w:rsidRDefault="009613CE" w:rsidP="009613CE">
            <w:pPr>
              <w:spacing w:before="60" w:after="60"/>
              <w:ind w:firstLine="0"/>
              <w:jc w:val="right"/>
              <w:rPr>
                <w:rFonts w:eastAsia="Times New Roman" w:cs="Times New Roman"/>
                <w:b/>
                <w:bCs/>
                <w:color w:val="000000"/>
                <w:sz w:val="18"/>
                <w:szCs w:val="18"/>
              </w:rPr>
            </w:pPr>
            <w:r w:rsidRPr="009613CE">
              <w:rPr>
                <w:b/>
                <w:bCs/>
                <w:sz w:val="18"/>
                <w:szCs w:val="18"/>
              </w:rPr>
              <w:t>519,4</w:t>
            </w:r>
          </w:p>
        </w:tc>
      </w:tr>
      <w:tr w:rsidR="009613CE" w:rsidRPr="009613CE" w14:paraId="1B6B7BF8" w14:textId="77777777" w:rsidTr="005E41CA">
        <w:trPr>
          <w:trHeight w:val="97"/>
        </w:trPr>
        <w:tc>
          <w:tcPr>
            <w:tcW w:w="1283" w:type="dxa"/>
            <w:tcBorders>
              <w:top w:val="nil"/>
              <w:left w:val="single" w:sz="4" w:space="0" w:color="auto"/>
              <w:bottom w:val="single" w:sz="4" w:space="0" w:color="auto"/>
              <w:right w:val="single" w:sz="4" w:space="0" w:color="auto"/>
            </w:tcBorders>
            <w:shd w:val="clear" w:color="auto" w:fill="DEEAF6" w:themeFill="accent1" w:themeFillTint="33"/>
            <w:noWrap/>
            <w:vAlign w:val="bottom"/>
            <w:hideMark/>
          </w:tcPr>
          <w:p w14:paraId="12D69481" w14:textId="77777777" w:rsidR="009613CE" w:rsidRPr="005E41CA" w:rsidRDefault="009613CE" w:rsidP="009613CE">
            <w:pPr>
              <w:spacing w:after="0"/>
              <w:ind w:firstLine="0"/>
              <w:jc w:val="center"/>
              <w:rPr>
                <w:rFonts w:eastAsia="Times New Roman" w:cs="Times New Roman"/>
                <w:i/>
                <w:iCs/>
                <w:color w:val="000000"/>
                <w:sz w:val="18"/>
                <w:szCs w:val="18"/>
              </w:rPr>
            </w:pPr>
            <w:r w:rsidRPr="005E41CA">
              <w:rPr>
                <w:rFonts w:eastAsia="Times New Roman" w:cs="Times New Roman"/>
                <w:i/>
                <w:iCs/>
                <w:color w:val="000000"/>
                <w:sz w:val="18"/>
                <w:szCs w:val="18"/>
              </w:rPr>
              <w:t>S130100</w:t>
            </w:r>
          </w:p>
        </w:tc>
        <w:tc>
          <w:tcPr>
            <w:tcW w:w="8212" w:type="dxa"/>
            <w:tcBorders>
              <w:top w:val="nil"/>
              <w:left w:val="nil"/>
              <w:bottom w:val="single" w:sz="4" w:space="0" w:color="auto"/>
              <w:right w:val="single" w:sz="4" w:space="0" w:color="auto"/>
            </w:tcBorders>
            <w:shd w:val="clear" w:color="auto" w:fill="DEEAF6" w:themeFill="accent1" w:themeFillTint="33"/>
            <w:noWrap/>
            <w:vAlign w:val="bottom"/>
            <w:hideMark/>
          </w:tcPr>
          <w:p w14:paraId="4D0BC957" w14:textId="0817C8FC" w:rsidR="009613CE" w:rsidRPr="005E41CA" w:rsidRDefault="009613CE" w:rsidP="009613CE">
            <w:pPr>
              <w:spacing w:after="0"/>
              <w:ind w:firstLine="0"/>
              <w:jc w:val="left"/>
              <w:rPr>
                <w:rFonts w:eastAsia="Times New Roman" w:cs="Times New Roman"/>
                <w:i/>
                <w:iCs/>
                <w:color w:val="000000"/>
                <w:sz w:val="18"/>
                <w:szCs w:val="18"/>
              </w:rPr>
            </w:pPr>
            <w:r w:rsidRPr="005E41CA">
              <w:rPr>
                <w:rFonts w:eastAsia="Times New Roman" w:cs="Times New Roman"/>
                <w:i/>
                <w:iCs/>
                <w:color w:val="000000"/>
                <w:sz w:val="18"/>
                <w:szCs w:val="18"/>
              </w:rPr>
              <w:t> </w:t>
            </w:r>
            <w:r w:rsidR="005E41CA" w:rsidRPr="005E41CA">
              <w:rPr>
                <w:rFonts w:eastAsia="Times New Roman" w:cs="Times New Roman"/>
                <w:i/>
                <w:iCs/>
                <w:color w:val="000000"/>
                <w:sz w:val="18"/>
                <w:szCs w:val="18"/>
              </w:rPr>
              <w:t>Valsts struktūr</w:t>
            </w:r>
            <w:r w:rsidR="004F0A40">
              <w:rPr>
                <w:rFonts w:eastAsia="Times New Roman" w:cs="Times New Roman"/>
                <w:i/>
                <w:iCs/>
                <w:color w:val="000000"/>
                <w:sz w:val="18"/>
                <w:szCs w:val="18"/>
              </w:rPr>
              <w:t>as</w:t>
            </w:r>
          </w:p>
        </w:tc>
        <w:tc>
          <w:tcPr>
            <w:tcW w:w="1792" w:type="dxa"/>
            <w:tcBorders>
              <w:top w:val="nil"/>
              <w:left w:val="nil"/>
              <w:bottom w:val="single" w:sz="4" w:space="0" w:color="auto"/>
              <w:right w:val="single" w:sz="4" w:space="0" w:color="auto"/>
            </w:tcBorders>
            <w:shd w:val="clear" w:color="auto" w:fill="DEEAF6" w:themeFill="accent1" w:themeFillTint="33"/>
            <w:noWrap/>
            <w:vAlign w:val="bottom"/>
            <w:hideMark/>
          </w:tcPr>
          <w:p w14:paraId="5837FC73"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eastAsia="Times New Roman" w:cs="Times New Roman"/>
                <w:color w:val="000000"/>
                <w:sz w:val="18"/>
                <w:szCs w:val="18"/>
              </w:rPr>
              <w:t> </w:t>
            </w:r>
          </w:p>
        </w:tc>
        <w:tc>
          <w:tcPr>
            <w:tcW w:w="1417" w:type="dxa"/>
            <w:tcBorders>
              <w:top w:val="nil"/>
              <w:left w:val="nil"/>
              <w:bottom w:val="single" w:sz="4" w:space="0" w:color="auto"/>
              <w:right w:val="single" w:sz="4" w:space="0" w:color="auto"/>
            </w:tcBorders>
            <w:shd w:val="clear" w:color="auto" w:fill="DEEAF6" w:themeFill="accent1" w:themeFillTint="33"/>
            <w:noWrap/>
            <w:vAlign w:val="bottom"/>
            <w:hideMark/>
          </w:tcPr>
          <w:p w14:paraId="76DCAC8E"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eastAsia="Times New Roman" w:cs="Times New Roman"/>
                <w:color w:val="000000"/>
                <w:sz w:val="18"/>
                <w:szCs w:val="18"/>
              </w:rPr>
              <w:t> </w:t>
            </w:r>
          </w:p>
        </w:tc>
        <w:tc>
          <w:tcPr>
            <w:tcW w:w="1417" w:type="dxa"/>
            <w:tcBorders>
              <w:top w:val="nil"/>
              <w:left w:val="nil"/>
              <w:bottom w:val="single" w:sz="4" w:space="0" w:color="auto"/>
              <w:right w:val="single" w:sz="4" w:space="0" w:color="auto"/>
            </w:tcBorders>
            <w:shd w:val="clear" w:color="auto" w:fill="DEEAF6" w:themeFill="accent1" w:themeFillTint="33"/>
            <w:noWrap/>
            <w:vAlign w:val="bottom"/>
            <w:hideMark/>
          </w:tcPr>
          <w:p w14:paraId="0AD4A931"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eastAsia="Times New Roman" w:cs="Times New Roman"/>
                <w:color w:val="000000"/>
                <w:sz w:val="18"/>
                <w:szCs w:val="18"/>
              </w:rPr>
              <w:t> </w:t>
            </w:r>
          </w:p>
        </w:tc>
      </w:tr>
      <w:tr w:rsidR="009613CE" w:rsidRPr="009613CE" w14:paraId="0E12C747" w14:textId="77777777" w:rsidTr="00CD399E">
        <w:trPr>
          <w:trHeight w:val="170"/>
        </w:trPr>
        <w:tc>
          <w:tcPr>
            <w:tcW w:w="1283" w:type="dxa"/>
            <w:tcBorders>
              <w:top w:val="nil"/>
              <w:left w:val="single" w:sz="4" w:space="0" w:color="auto"/>
              <w:bottom w:val="single" w:sz="4" w:space="0" w:color="auto"/>
              <w:right w:val="single" w:sz="4" w:space="0" w:color="auto"/>
            </w:tcBorders>
            <w:shd w:val="clear" w:color="auto" w:fill="auto"/>
            <w:noWrap/>
          </w:tcPr>
          <w:p w14:paraId="057F914B"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w:t>
            </w:r>
          </w:p>
        </w:tc>
        <w:tc>
          <w:tcPr>
            <w:tcW w:w="8212" w:type="dxa"/>
            <w:tcBorders>
              <w:top w:val="nil"/>
              <w:left w:val="nil"/>
              <w:bottom w:val="single" w:sz="4" w:space="0" w:color="auto"/>
              <w:right w:val="single" w:sz="4" w:space="0" w:color="auto"/>
            </w:tcBorders>
            <w:shd w:val="clear" w:color="auto" w:fill="auto"/>
            <w:noWrap/>
          </w:tcPr>
          <w:p w14:paraId="09F5A691"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 xml:space="preserve">AS "Attīstības finanšu institūcija </w:t>
            </w:r>
            <w:proofErr w:type="spellStart"/>
            <w:r w:rsidRPr="009613CE">
              <w:rPr>
                <w:rFonts w:cs="Times New Roman"/>
                <w:sz w:val="18"/>
                <w:szCs w:val="18"/>
              </w:rPr>
              <w:t>Altum</w:t>
            </w:r>
            <w:proofErr w:type="spellEnd"/>
            <w:r w:rsidRPr="009613CE">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3003C49F"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102,5</w:t>
            </w:r>
          </w:p>
        </w:tc>
        <w:tc>
          <w:tcPr>
            <w:tcW w:w="1417" w:type="dxa"/>
            <w:tcBorders>
              <w:top w:val="nil"/>
              <w:left w:val="nil"/>
              <w:bottom w:val="single" w:sz="4" w:space="0" w:color="auto"/>
              <w:right w:val="single" w:sz="4" w:space="0" w:color="auto"/>
            </w:tcBorders>
            <w:shd w:val="clear" w:color="auto" w:fill="auto"/>
            <w:noWrap/>
          </w:tcPr>
          <w:p w14:paraId="1B9AC73B"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110,0</w:t>
            </w:r>
          </w:p>
        </w:tc>
        <w:tc>
          <w:tcPr>
            <w:tcW w:w="1417" w:type="dxa"/>
            <w:tcBorders>
              <w:top w:val="nil"/>
              <w:left w:val="nil"/>
              <w:bottom w:val="single" w:sz="4" w:space="0" w:color="auto"/>
              <w:right w:val="single" w:sz="4" w:space="0" w:color="auto"/>
            </w:tcBorders>
            <w:shd w:val="clear" w:color="auto" w:fill="auto"/>
            <w:noWrap/>
          </w:tcPr>
          <w:p w14:paraId="1BD9D024"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120,0</w:t>
            </w:r>
          </w:p>
        </w:tc>
      </w:tr>
      <w:tr w:rsidR="009613CE" w:rsidRPr="009613CE" w14:paraId="75AFE6B5" w14:textId="77777777" w:rsidTr="00CD399E">
        <w:trPr>
          <w:trHeight w:val="170"/>
        </w:trPr>
        <w:tc>
          <w:tcPr>
            <w:tcW w:w="1283" w:type="dxa"/>
            <w:tcBorders>
              <w:top w:val="nil"/>
              <w:left w:val="single" w:sz="4" w:space="0" w:color="auto"/>
              <w:bottom w:val="single" w:sz="4" w:space="0" w:color="auto"/>
              <w:right w:val="single" w:sz="4" w:space="0" w:color="auto"/>
            </w:tcBorders>
            <w:shd w:val="clear" w:color="auto" w:fill="auto"/>
            <w:noWrap/>
          </w:tcPr>
          <w:p w14:paraId="0173AC3D"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2</w:t>
            </w:r>
          </w:p>
        </w:tc>
        <w:tc>
          <w:tcPr>
            <w:tcW w:w="8212" w:type="dxa"/>
            <w:tcBorders>
              <w:top w:val="nil"/>
              <w:left w:val="nil"/>
              <w:bottom w:val="single" w:sz="4" w:space="0" w:color="auto"/>
              <w:right w:val="single" w:sz="4" w:space="0" w:color="auto"/>
            </w:tcBorders>
            <w:shd w:val="clear" w:color="auto" w:fill="auto"/>
            <w:noWrap/>
          </w:tcPr>
          <w:p w14:paraId="4DA3518A"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VAS "Valsts nekustamie īpašumi"</w:t>
            </w:r>
          </w:p>
        </w:tc>
        <w:tc>
          <w:tcPr>
            <w:tcW w:w="1792" w:type="dxa"/>
            <w:tcBorders>
              <w:top w:val="nil"/>
              <w:left w:val="nil"/>
              <w:bottom w:val="single" w:sz="4" w:space="0" w:color="auto"/>
              <w:right w:val="single" w:sz="4" w:space="0" w:color="auto"/>
            </w:tcBorders>
            <w:shd w:val="clear" w:color="auto" w:fill="auto"/>
            <w:noWrap/>
          </w:tcPr>
          <w:p w14:paraId="0D7BE983"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65,5</w:t>
            </w:r>
          </w:p>
        </w:tc>
        <w:tc>
          <w:tcPr>
            <w:tcW w:w="1417" w:type="dxa"/>
            <w:tcBorders>
              <w:top w:val="nil"/>
              <w:left w:val="nil"/>
              <w:bottom w:val="single" w:sz="4" w:space="0" w:color="auto"/>
              <w:right w:val="single" w:sz="4" w:space="0" w:color="auto"/>
            </w:tcBorders>
            <w:shd w:val="clear" w:color="auto" w:fill="auto"/>
            <w:noWrap/>
          </w:tcPr>
          <w:p w14:paraId="65BA0561"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59,5</w:t>
            </w:r>
          </w:p>
        </w:tc>
        <w:tc>
          <w:tcPr>
            <w:tcW w:w="1417" w:type="dxa"/>
            <w:tcBorders>
              <w:top w:val="nil"/>
              <w:left w:val="nil"/>
              <w:bottom w:val="single" w:sz="4" w:space="0" w:color="auto"/>
              <w:right w:val="single" w:sz="4" w:space="0" w:color="auto"/>
            </w:tcBorders>
            <w:shd w:val="clear" w:color="auto" w:fill="auto"/>
            <w:noWrap/>
          </w:tcPr>
          <w:p w14:paraId="2C6D3C52"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60,1</w:t>
            </w:r>
          </w:p>
        </w:tc>
      </w:tr>
      <w:tr w:rsidR="009613CE" w:rsidRPr="009613CE" w14:paraId="3AA11429" w14:textId="77777777" w:rsidTr="00CD399E">
        <w:trPr>
          <w:trHeight w:val="170"/>
        </w:trPr>
        <w:tc>
          <w:tcPr>
            <w:tcW w:w="1283" w:type="dxa"/>
            <w:tcBorders>
              <w:top w:val="nil"/>
              <w:left w:val="single" w:sz="4" w:space="0" w:color="auto"/>
              <w:bottom w:val="single" w:sz="4" w:space="0" w:color="auto"/>
              <w:right w:val="single" w:sz="4" w:space="0" w:color="auto"/>
            </w:tcBorders>
            <w:shd w:val="clear" w:color="auto" w:fill="auto"/>
            <w:noWrap/>
            <w:hideMark/>
          </w:tcPr>
          <w:p w14:paraId="7832B48C"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3</w:t>
            </w:r>
          </w:p>
        </w:tc>
        <w:tc>
          <w:tcPr>
            <w:tcW w:w="8212" w:type="dxa"/>
            <w:tcBorders>
              <w:top w:val="nil"/>
              <w:left w:val="nil"/>
              <w:bottom w:val="single" w:sz="4" w:space="0" w:color="auto"/>
              <w:right w:val="single" w:sz="4" w:space="0" w:color="auto"/>
            </w:tcBorders>
            <w:shd w:val="clear" w:color="auto" w:fill="auto"/>
            <w:noWrap/>
            <w:hideMark/>
          </w:tcPr>
          <w:p w14:paraId="4C45565F"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VAS "Tiesu namu aģentūra"</w:t>
            </w:r>
          </w:p>
        </w:tc>
        <w:tc>
          <w:tcPr>
            <w:tcW w:w="1792" w:type="dxa"/>
            <w:tcBorders>
              <w:top w:val="nil"/>
              <w:left w:val="nil"/>
              <w:bottom w:val="single" w:sz="4" w:space="0" w:color="auto"/>
              <w:right w:val="single" w:sz="4" w:space="0" w:color="auto"/>
            </w:tcBorders>
            <w:shd w:val="clear" w:color="auto" w:fill="auto"/>
            <w:noWrap/>
            <w:hideMark/>
          </w:tcPr>
          <w:p w14:paraId="1B0F4990"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21,8</w:t>
            </w:r>
          </w:p>
        </w:tc>
        <w:tc>
          <w:tcPr>
            <w:tcW w:w="1417" w:type="dxa"/>
            <w:tcBorders>
              <w:top w:val="nil"/>
              <w:left w:val="nil"/>
              <w:bottom w:val="single" w:sz="4" w:space="0" w:color="auto"/>
              <w:right w:val="single" w:sz="4" w:space="0" w:color="auto"/>
            </w:tcBorders>
            <w:shd w:val="clear" w:color="auto" w:fill="auto"/>
            <w:noWrap/>
          </w:tcPr>
          <w:p w14:paraId="3485E4FE"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24,6</w:t>
            </w:r>
          </w:p>
        </w:tc>
        <w:tc>
          <w:tcPr>
            <w:tcW w:w="1417" w:type="dxa"/>
            <w:tcBorders>
              <w:top w:val="nil"/>
              <w:left w:val="nil"/>
              <w:bottom w:val="single" w:sz="4" w:space="0" w:color="auto"/>
              <w:right w:val="single" w:sz="4" w:space="0" w:color="auto"/>
            </w:tcBorders>
            <w:shd w:val="clear" w:color="auto" w:fill="auto"/>
            <w:noWrap/>
          </w:tcPr>
          <w:p w14:paraId="0FAEA949"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23,0</w:t>
            </w:r>
          </w:p>
        </w:tc>
      </w:tr>
      <w:tr w:rsidR="009613CE" w:rsidRPr="009613CE" w14:paraId="406AF02A" w14:textId="77777777" w:rsidTr="00CD399E">
        <w:trPr>
          <w:trHeight w:val="87"/>
        </w:trPr>
        <w:tc>
          <w:tcPr>
            <w:tcW w:w="1283" w:type="dxa"/>
            <w:tcBorders>
              <w:top w:val="nil"/>
              <w:left w:val="single" w:sz="4" w:space="0" w:color="auto"/>
              <w:bottom w:val="single" w:sz="4" w:space="0" w:color="auto"/>
              <w:right w:val="single" w:sz="4" w:space="0" w:color="auto"/>
            </w:tcBorders>
            <w:shd w:val="clear" w:color="auto" w:fill="auto"/>
            <w:noWrap/>
            <w:hideMark/>
          </w:tcPr>
          <w:p w14:paraId="508F3D0A"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4</w:t>
            </w:r>
          </w:p>
        </w:tc>
        <w:tc>
          <w:tcPr>
            <w:tcW w:w="8212" w:type="dxa"/>
            <w:tcBorders>
              <w:top w:val="nil"/>
              <w:left w:val="nil"/>
              <w:bottom w:val="single" w:sz="4" w:space="0" w:color="auto"/>
              <w:right w:val="single" w:sz="4" w:space="0" w:color="auto"/>
            </w:tcBorders>
            <w:shd w:val="clear" w:color="auto" w:fill="auto"/>
            <w:noWrap/>
            <w:hideMark/>
          </w:tcPr>
          <w:p w14:paraId="222581CD"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VAS "Latvijas autoceļu uzturētājs"</w:t>
            </w:r>
          </w:p>
        </w:tc>
        <w:tc>
          <w:tcPr>
            <w:tcW w:w="1792" w:type="dxa"/>
            <w:tcBorders>
              <w:top w:val="nil"/>
              <w:left w:val="nil"/>
              <w:bottom w:val="single" w:sz="4" w:space="0" w:color="auto"/>
              <w:right w:val="single" w:sz="4" w:space="0" w:color="auto"/>
            </w:tcBorders>
            <w:shd w:val="clear" w:color="auto" w:fill="auto"/>
            <w:noWrap/>
          </w:tcPr>
          <w:p w14:paraId="13F14ECC"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17,9</w:t>
            </w:r>
          </w:p>
        </w:tc>
        <w:tc>
          <w:tcPr>
            <w:tcW w:w="1417" w:type="dxa"/>
            <w:tcBorders>
              <w:top w:val="nil"/>
              <w:left w:val="nil"/>
              <w:bottom w:val="single" w:sz="4" w:space="0" w:color="auto"/>
              <w:right w:val="single" w:sz="4" w:space="0" w:color="auto"/>
            </w:tcBorders>
            <w:shd w:val="clear" w:color="auto" w:fill="auto"/>
            <w:noWrap/>
          </w:tcPr>
          <w:p w14:paraId="2B6899DD"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18,9</w:t>
            </w:r>
          </w:p>
        </w:tc>
        <w:tc>
          <w:tcPr>
            <w:tcW w:w="1417" w:type="dxa"/>
            <w:tcBorders>
              <w:top w:val="nil"/>
              <w:left w:val="nil"/>
              <w:bottom w:val="single" w:sz="4" w:space="0" w:color="auto"/>
              <w:right w:val="single" w:sz="4" w:space="0" w:color="auto"/>
            </w:tcBorders>
            <w:shd w:val="clear" w:color="auto" w:fill="auto"/>
            <w:noWrap/>
          </w:tcPr>
          <w:p w14:paraId="66E37E23"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r>
      <w:tr w:rsidR="009613CE" w:rsidRPr="009613CE" w14:paraId="0EE8886A"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618C40DD"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5</w:t>
            </w:r>
          </w:p>
        </w:tc>
        <w:tc>
          <w:tcPr>
            <w:tcW w:w="8212" w:type="dxa"/>
            <w:tcBorders>
              <w:top w:val="nil"/>
              <w:left w:val="nil"/>
              <w:bottom w:val="single" w:sz="4" w:space="0" w:color="auto"/>
              <w:right w:val="single" w:sz="4" w:space="0" w:color="auto"/>
            </w:tcBorders>
            <w:shd w:val="clear" w:color="auto" w:fill="auto"/>
            <w:noWrap/>
          </w:tcPr>
          <w:p w14:paraId="5CA154AC"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AS "Pasažieru vilciens"</w:t>
            </w:r>
          </w:p>
        </w:tc>
        <w:tc>
          <w:tcPr>
            <w:tcW w:w="1792" w:type="dxa"/>
            <w:tcBorders>
              <w:top w:val="nil"/>
              <w:left w:val="nil"/>
              <w:bottom w:val="single" w:sz="4" w:space="0" w:color="auto"/>
              <w:right w:val="single" w:sz="4" w:space="0" w:color="auto"/>
            </w:tcBorders>
            <w:shd w:val="clear" w:color="auto" w:fill="auto"/>
            <w:noWrap/>
          </w:tcPr>
          <w:p w14:paraId="343A2406"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5,4</w:t>
            </w:r>
          </w:p>
        </w:tc>
        <w:tc>
          <w:tcPr>
            <w:tcW w:w="1417" w:type="dxa"/>
            <w:tcBorders>
              <w:top w:val="nil"/>
              <w:left w:val="nil"/>
              <w:bottom w:val="single" w:sz="4" w:space="0" w:color="auto"/>
              <w:right w:val="single" w:sz="4" w:space="0" w:color="auto"/>
            </w:tcBorders>
            <w:shd w:val="clear" w:color="auto" w:fill="auto"/>
            <w:noWrap/>
          </w:tcPr>
          <w:p w14:paraId="3584D658"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4,7</w:t>
            </w:r>
          </w:p>
        </w:tc>
        <w:tc>
          <w:tcPr>
            <w:tcW w:w="1417" w:type="dxa"/>
            <w:tcBorders>
              <w:top w:val="nil"/>
              <w:left w:val="nil"/>
              <w:bottom w:val="single" w:sz="4" w:space="0" w:color="auto"/>
              <w:right w:val="single" w:sz="4" w:space="0" w:color="auto"/>
            </w:tcBorders>
            <w:shd w:val="clear" w:color="auto" w:fill="auto"/>
            <w:noWrap/>
          </w:tcPr>
          <w:p w14:paraId="441FB17B"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4,0</w:t>
            </w:r>
          </w:p>
        </w:tc>
      </w:tr>
      <w:tr w:rsidR="009613CE" w:rsidRPr="009613CE" w14:paraId="6D75274D"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09C5FDFD"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6</w:t>
            </w:r>
          </w:p>
        </w:tc>
        <w:tc>
          <w:tcPr>
            <w:tcW w:w="8212" w:type="dxa"/>
            <w:tcBorders>
              <w:top w:val="nil"/>
              <w:left w:val="nil"/>
              <w:bottom w:val="single" w:sz="4" w:space="0" w:color="auto"/>
              <w:right w:val="single" w:sz="4" w:space="0" w:color="auto"/>
            </w:tcBorders>
            <w:shd w:val="clear" w:color="auto" w:fill="auto"/>
            <w:noWrap/>
            <w:hideMark/>
          </w:tcPr>
          <w:p w14:paraId="0BAD7E39"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VSIA "Latvijas Vides, ģeoloģijas un meteoroloģijas centrs"</w:t>
            </w:r>
          </w:p>
        </w:tc>
        <w:tc>
          <w:tcPr>
            <w:tcW w:w="1792" w:type="dxa"/>
            <w:tcBorders>
              <w:top w:val="nil"/>
              <w:left w:val="nil"/>
              <w:bottom w:val="single" w:sz="4" w:space="0" w:color="auto"/>
              <w:right w:val="single" w:sz="4" w:space="0" w:color="auto"/>
            </w:tcBorders>
            <w:shd w:val="clear" w:color="auto" w:fill="auto"/>
            <w:noWrap/>
          </w:tcPr>
          <w:p w14:paraId="19D003BC"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2,4</w:t>
            </w:r>
          </w:p>
        </w:tc>
        <w:tc>
          <w:tcPr>
            <w:tcW w:w="1417" w:type="dxa"/>
            <w:tcBorders>
              <w:top w:val="nil"/>
              <w:left w:val="nil"/>
              <w:bottom w:val="single" w:sz="4" w:space="0" w:color="auto"/>
              <w:right w:val="single" w:sz="4" w:space="0" w:color="auto"/>
            </w:tcBorders>
            <w:shd w:val="clear" w:color="auto" w:fill="auto"/>
            <w:noWrap/>
          </w:tcPr>
          <w:p w14:paraId="5C2C1185"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2,2</w:t>
            </w:r>
          </w:p>
        </w:tc>
        <w:tc>
          <w:tcPr>
            <w:tcW w:w="1417" w:type="dxa"/>
            <w:tcBorders>
              <w:top w:val="nil"/>
              <w:left w:val="nil"/>
              <w:bottom w:val="single" w:sz="4" w:space="0" w:color="auto"/>
              <w:right w:val="single" w:sz="4" w:space="0" w:color="auto"/>
            </w:tcBorders>
            <w:shd w:val="clear" w:color="auto" w:fill="auto"/>
            <w:noWrap/>
          </w:tcPr>
          <w:p w14:paraId="21A90D6F"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2,0</w:t>
            </w:r>
          </w:p>
        </w:tc>
      </w:tr>
      <w:tr w:rsidR="009613CE" w:rsidRPr="009613CE" w14:paraId="42EE3416"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427195DB"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7</w:t>
            </w:r>
          </w:p>
        </w:tc>
        <w:tc>
          <w:tcPr>
            <w:tcW w:w="8212" w:type="dxa"/>
            <w:tcBorders>
              <w:top w:val="nil"/>
              <w:left w:val="nil"/>
              <w:bottom w:val="single" w:sz="4" w:space="0" w:color="auto"/>
              <w:right w:val="single" w:sz="4" w:space="0" w:color="auto"/>
            </w:tcBorders>
            <w:shd w:val="clear" w:color="auto" w:fill="auto"/>
            <w:noWrap/>
            <w:hideMark/>
          </w:tcPr>
          <w:p w14:paraId="1A8EC728"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SIA "Enerģijas publiskais tirgotājs"</w:t>
            </w:r>
          </w:p>
        </w:tc>
        <w:tc>
          <w:tcPr>
            <w:tcW w:w="1792" w:type="dxa"/>
            <w:tcBorders>
              <w:top w:val="nil"/>
              <w:left w:val="nil"/>
              <w:bottom w:val="single" w:sz="4" w:space="0" w:color="auto"/>
              <w:right w:val="single" w:sz="4" w:space="0" w:color="auto"/>
            </w:tcBorders>
            <w:shd w:val="clear" w:color="auto" w:fill="auto"/>
            <w:noWrap/>
          </w:tcPr>
          <w:p w14:paraId="727AFFC7"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4,0</w:t>
            </w:r>
          </w:p>
        </w:tc>
        <w:tc>
          <w:tcPr>
            <w:tcW w:w="1417" w:type="dxa"/>
            <w:tcBorders>
              <w:top w:val="nil"/>
              <w:left w:val="nil"/>
              <w:bottom w:val="single" w:sz="4" w:space="0" w:color="auto"/>
              <w:right w:val="single" w:sz="4" w:space="0" w:color="auto"/>
            </w:tcBorders>
            <w:shd w:val="clear" w:color="auto" w:fill="auto"/>
            <w:noWrap/>
          </w:tcPr>
          <w:p w14:paraId="73B3629C"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4,2</w:t>
            </w:r>
          </w:p>
        </w:tc>
        <w:tc>
          <w:tcPr>
            <w:tcW w:w="1417" w:type="dxa"/>
            <w:tcBorders>
              <w:top w:val="nil"/>
              <w:left w:val="nil"/>
              <w:bottom w:val="single" w:sz="4" w:space="0" w:color="auto"/>
              <w:right w:val="single" w:sz="4" w:space="0" w:color="auto"/>
            </w:tcBorders>
            <w:shd w:val="clear" w:color="auto" w:fill="auto"/>
            <w:noWrap/>
          </w:tcPr>
          <w:p w14:paraId="43DAFB79"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4,2</w:t>
            </w:r>
          </w:p>
        </w:tc>
      </w:tr>
      <w:tr w:rsidR="009613CE" w:rsidRPr="009613CE" w14:paraId="21E40953"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475115BF"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8</w:t>
            </w:r>
          </w:p>
        </w:tc>
        <w:tc>
          <w:tcPr>
            <w:tcW w:w="8212" w:type="dxa"/>
            <w:tcBorders>
              <w:top w:val="nil"/>
              <w:left w:val="nil"/>
              <w:bottom w:val="single" w:sz="4" w:space="0" w:color="auto"/>
              <w:right w:val="single" w:sz="4" w:space="0" w:color="auto"/>
            </w:tcBorders>
            <w:shd w:val="clear" w:color="auto" w:fill="auto"/>
            <w:noWrap/>
            <w:hideMark/>
          </w:tcPr>
          <w:p w14:paraId="0CBC0D7E"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VSIA Nacionālais rehabilitācijas centrs "Vaivari"</w:t>
            </w:r>
          </w:p>
        </w:tc>
        <w:tc>
          <w:tcPr>
            <w:tcW w:w="1792" w:type="dxa"/>
            <w:tcBorders>
              <w:top w:val="nil"/>
              <w:left w:val="nil"/>
              <w:bottom w:val="single" w:sz="4" w:space="0" w:color="auto"/>
              <w:right w:val="single" w:sz="4" w:space="0" w:color="auto"/>
            </w:tcBorders>
            <w:shd w:val="clear" w:color="auto" w:fill="auto"/>
            <w:noWrap/>
          </w:tcPr>
          <w:p w14:paraId="255E4ABB"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0,3</w:t>
            </w:r>
          </w:p>
        </w:tc>
        <w:tc>
          <w:tcPr>
            <w:tcW w:w="1417" w:type="dxa"/>
            <w:tcBorders>
              <w:top w:val="nil"/>
              <w:left w:val="nil"/>
              <w:bottom w:val="single" w:sz="4" w:space="0" w:color="auto"/>
              <w:right w:val="single" w:sz="4" w:space="0" w:color="auto"/>
            </w:tcBorders>
            <w:shd w:val="clear" w:color="auto" w:fill="auto"/>
            <w:noWrap/>
          </w:tcPr>
          <w:p w14:paraId="2D65A500"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0,2</w:t>
            </w:r>
          </w:p>
        </w:tc>
        <w:tc>
          <w:tcPr>
            <w:tcW w:w="1417" w:type="dxa"/>
            <w:tcBorders>
              <w:top w:val="nil"/>
              <w:left w:val="nil"/>
              <w:bottom w:val="single" w:sz="4" w:space="0" w:color="auto"/>
              <w:right w:val="single" w:sz="4" w:space="0" w:color="auto"/>
            </w:tcBorders>
            <w:shd w:val="clear" w:color="auto" w:fill="auto"/>
            <w:noWrap/>
          </w:tcPr>
          <w:p w14:paraId="2F77CC44"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0,1</w:t>
            </w:r>
          </w:p>
        </w:tc>
      </w:tr>
      <w:tr w:rsidR="009613CE" w:rsidRPr="009613CE" w14:paraId="23060D38"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4446669B"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9</w:t>
            </w:r>
          </w:p>
        </w:tc>
        <w:tc>
          <w:tcPr>
            <w:tcW w:w="8212" w:type="dxa"/>
            <w:tcBorders>
              <w:top w:val="nil"/>
              <w:left w:val="nil"/>
              <w:bottom w:val="single" w:sz="4" w:space="0" w:color="auto"/>
              <w:right w:val="single" w:sz="4" w:space="0" w:color="auto"/>
            </w:tcBorders>
            <w:shd w:val="clear" w:color="auto" w:fill="auto"/>
            <w:noWrap/>
            <w:hideMark/>
          </w:tcPr>
          <w:p w14:paraId="5BDB1DA7"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VSIA "Slimnīca "</w:t>
            </w:r>
            <w:proofErr w:type="spellStart"/>
            <w:r w:rsidRPr="009613CE">
              <w:rPr>
                <w:rFonts w:cs="Times New Roman"/>
                <w:sz w:val="18"/>
                <w:szCs w:val="18"/>
              </w:rPr>
              <w:t>Ģintermuiža</w:t>
            </w:r>
            <w:proofErr w:type="spellEnd"/>
            <w:r w:rsidRPr="009613CE">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000D653E"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0,1</w:t>
            </w:r>
          </w:p>
        </w:tc>
        <w:tc>
          <w:tcPr>
            <w:tcW w:w="1417" w:type="dxa"/>
            <w:tcBorders>
              <w:top w:val="nil"/>
              <w:left w:val="nil"/>
              <w:bottom w:val="single" w:sz="4" w:space="0" w:color="auto"/>
              <w:right w:val="single" w:sz="4" w:space="0" w:color="auto"/>
            </w:tcBorders>
            <w:shd w:val="clear" w:color="auto" w:fill="auto"/>
            <w:noWrap/>
          </w:tcPr>
          <w:p w14:paraId="1CF19946"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0,1</w:t>
            </w:r>
          </w:p>
        </w:tc>
        <w:tc>
          <w:tcPr>
            <w:tcW w:w="1417" w:type="dxa"/>
            <w:tcBorders>
              <w:top w:val="nil"/>
              <w:left w:val="nil"/>
              <w:bottom w:val="single" w:sz="4" w:space="0" w:color="auto"/>
              <w:right w:val="single" w:sz="4" w:space="0" w:color="auto"/>
            </w:tcBorders>
            <w:shd w:val="clear" w:color="auto" w:fill="auto"/>
            <w:noWrap/>
          </w:tcPr>
          <w:p w14:paraId="7B91CA2D"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0,1</w:t>
            </w:r>
          </w:p>
        </w:tc>
      </w:tr>
      <w:tr w:rsidR="009613CE" w:rsidRPr="009613CE" w14:paraId="149C6113"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3A35F456"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10</w:t>
            </w:r>
          </w:p>
        </w:tc>
        <w:tc>
          <w:tcPr>
            <w:tcW w:w="8212" w:type="dxa"/>
            <w:tcBorders>
              <w:top w:val="nil"/>
              <w:left w:val="nil"/>
              <w:bottom w:val="single" w:sz="4" w:space="0" w:color="auto"/>
              <w:right w:val="single" w:sz="4" w:space="0" w:color="auto"/>
            </w:tcBorders>
            <w:shd w:val="clear" w:color="auto" w:fill="auto"/>
            <w:noWrap/>
            <w:hideMark/>
          </w:tcPr>
          <w:p w14:paraId="42EB5CA9"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VSIA "Traumatoloģijas un ortopēdijas slimnīca"</w:t>
            </w:r>
          </w:p>
        </w:tc>
        <w:tc>
          <w:tcPr>
            <w:tcW w:w="1792" w:type="dxa"/>
            <w:tcBorders>
              <w:top w:val="nil"/>
              <w:left w:val="nil"/>
              <w:bottom w:val="single" w:sz="4" w:space="0" w:color="auto"/>
              <w:right w:val="single" w:sz="4" w:space="0" w:color="auto"/>
            </w:tcBorders>
            <w:shd w:val="clear" w:color="auto" w:fill="auto"/>
            <w:noWrap/>
          </w:tcPr>
          <w:p w14:paraId="5A4E9BEE"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0,1</w:t>
            </w:r>
          </w:p>
        </w:tc>
        <w:tc>
          <w:tcPr>
            <w:tcW w:w="1417" w:type="dxa"/>
            <w:tcBorders>
              <w:top w:val="nil"/>
              <w:left w:val="nil"/>
              <w:bottom w:val="single" w:sz="4" w:space="0" w:color="auto"/>
              <w:right w:val="single" w:sz="4" w:space="0" w:color="auto"/>
            </w:tcBorders>
            <w:shd w:val="clear" w:color="auto" w:fill="auto"/>
            <w:noWrap/>
          </w:tcPr>
          <w:p w14:paraId="14C0DFD1"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0,1</w:t>
            </w:r>
          </w:p>
        </w:tc>
        <w:tc>
          <w:tcPr>
            <w:tcW w:w="1417" w:type="dxa"/>
            <w:tcBorders>
              <w:top w:val="nil"/>
              <w:left w:val="nil"/>
              <w:bottom w:val="single" w:sz="4" w:space="0" w:color="auto"/>
              <w:right w:val="single" w:sz="4" w:space="0" w:color="auto"/>
            </w:tcBorders>
            <w:shd w:val="clear" w:color="auto" w:fill="auto"/>
            <w:noWrap/>
          </w:tcPr>
          <w:p w14:paraId="46570D0C"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r>
      <w:tr w:rsidR="009613CE" w:rsidRPr="009613CE" w14:paraId="5AF78816"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4E44D5F7"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11</w:t>
            </w:r>
          </w:p>
        </w:tc>
        <w:tc>
          <w:tcPr>
            <w:tcW w:w="8212" w:type="dxa"/>
            <w:tcBorders>
              <w:top w:val="nil"/>
              <w:left w:val="nil"/>
              <w:bottom w:val="single" w:sz="4" w:space="0" w:color="auto"/>
              <w:right w:val="single" w:sz="4" w:space="0" w:color="auto"/>
            </w:tcBorders>
            <w:shd w:val="clear" w:color="auto" w:fill="auto"/>
            <w:noWrap/>
            <w:hideMark/>
          </w:tcPr>
          <w:p w14:paraId="41D14A2F"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SIA "Latvijas Universitātes nekustamā īpašuma aģentūra"</w:t>
            </w:r>
          </w:p>
        </w:tc>
        <w:tc>
          <w:tcPr>
            <w:tcW w:w="1792" w:type="dxa"/>
            <w:tcBorders>
              <w:top w:val="nil"/>
              <w:left w:val="nil"/>
              <w:bottom w:val="single" w:sz="4" w:space="0" w:color="auto"/>
              <w:right w:val="single" w:sz="4" w:space="0" w:color="auto"/>
            </w:tcBorders>
            <w:shd w:val="clear" w:color="auto" w:fill="auto"/>
            <w:noWrap/>
          </w:tcPr>
          <w:p w14:paraId="1517C4AB"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c>
          <w:tcPr>
            <w:tcW w:w="1417" w:type="dxa"/>
            <w:tcBorders>
              <w:top w:val="nil"/>
              <w:left w:val="nil"/>
              <w:bottom w:val="single" w:sz="4" w:space="0" w:color="auto"/>
              <w:right w:val="single" w:sz="4" w:space="0" w:color="auto"/>
            </w:tcBorders>
            <w:shd w:val="clear" w:color="auto" w:fill="auto"/>
            <w:noWrap/>
          </w:tcPr>
          <w:p w14:paraId="4BE0948F"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c>
          <w:tcPr>
            <w:tcW w:w="1417" w:type="dxa"/>
            <w:tcBorders>
              <w:top w:val="nil"/>
              <w:left w:val="nil"/>
              <w:bottom w:val="single" w:sz="4" w:space="0" w:color="auto"/>
              <w:right w:val="single" w:sz="4" w:space="0" w:color="auto"/>
            </w:tcBorders>
            <w:shd w:val="clear" w:color="auto" w:fill="auto"/>
            <w:noWrap/>
          </w:tcPr>
          <w:p w14:paraId="01B013E2"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r>
      <w:tr w:rsidR="009613CE" w:rsidRPr="009613CE" w14:paraId="0A13689C"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652C9CAB"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12</w:t>
            </w:r>
          </w:p>
        </w:tc>
        <w:tc>
          <w:tcPr>
            <w:tcW w:w="8212" w:type="dxa"/>
            <w:tcBorders>
              <w:top w:val="nil"/>
              <w:left w:val="nil"/>
              <w:bottom w:val="single" w:sz="4" w:space="0" w:color="auto"/>
              <w:right w:val="single" w:sz="4" w:space="0" w:color="auto"/>
            </w:tcBorders>
            <w:shd w:val="clear" w:color="auto" w:fill="auto"/>
            <w:noWrap/>
            <w:hideMark/>
          </w:tcPr>
          <w:p w14:paraId="7B833372"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VSIA "Rīgas cirks"</w:t>
            </w:r>
          </w:p>
        </w:tc>
        <w:tc>
          <w:tcPr>
            <w:tcW w:w="1792" w:type="dxa"/>
            <w:tcBorders>
              <w:top w:val="nil"/>
              <w:left w:val="nil"/>
              <w:bottom w:val="single" w:sz="4" w:space="0" w:color="auto"/>
              <w:right w:val="single" w:sz="4" w:space="0" w:color="auto"/>
            </w:tcBorders>
            <w:shd w:val="clear" w:color="auto" w:fill="auto"/>
            <w:noWrap/>
          </w:tcPr>
          <w:p w14:paraId="735988C2"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c>
          <w:tcPr>
            <w:tcW w:w="1417" w:type="dxa"/>
            <w:tcBorders>
              <w:top w:val="nil"/>
              <w:left w:val="nil"/>
              <w:bottom w:val="single" w:sz="4" w:space="0" w:color="auto"/>
              <w:right w:val="single" w:sz="4" w:space="0" w:color="auto"/>
            </w:tcBorders>
            <w:shd w:val="clear" w:color="auto" w:fill="auto"/>
            <w:noWrap/>
          </w:tcPr>
          <w:p w14:paraId="4CE06D7E"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c>
          <w:tcPr>
            <w:tcW w:w="1417" w:type="dxa"/>
            <w:tcBorders>
              <w:top w:val="nil"/>
              <w:left w:val="nil"/>
              <w:bottom w:val="single" w:sz="4" w:space="0" w:color="auto"/>
              <w:right w:val="single" w:sz="4" w:space="0" w:color="auto"/>
            </w:tcBorders>
            <w:shd w:val="clear" w:color="auto" w:fill="auto"/>
            <w:noWrap/>
          </w:tcPr>
          <w:p w14:paraId="58D54DB8"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r>
      <w:tr w:rsidR="009613CE" w:rsidRPr="009613CE" w14:paraId="726A6C5B"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25A0D734"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13</w:t>
            </w:r>
          </w:p>
        </w:tc>
        <w:tc>
          <w:tcPr>
            <w:tcW w:w="8212" w:type="dxa"/>
            <w:tcBorders>
              <w:top w:val="nil"/>
              <w:left w:val="nil"/>
              <w:bottom w:val="single" w:sz="4" w:space="0" w:color="auto"/>
              <w:right w:val="single" w:sz="4" w:space="0" w:color="auto"/>
            </w:tcBorders>
            <w:shd w:val="clear" w:color="auto" w:fill="auto"/>
            <w:noWrap/>
          </w:tcPr>
          <w:p w14:paraId="266CB804" w14:textId="77777777" w:rsidR="009613CE" w:rsidRPr="009613CE" w:rsidRDefault="009613CE" w:rsidP="009613CE">
            <w:pPr>
              <w:spacing w:after="0"/>
              <w:ind w:firstLine="0"/>
              <w:jc w:val="left"/>
              <w:rPr>
                <w:rFonts w:eastAsia="Times New Roman" w:cs="Times New Roman"/>
                <w:color w:val="000000"/>
                <w:sz w:val="18"/>
                <w:szCs w:val="18"/>
              </w:rPr>
            </w:pPr>
            <w:r w:rsidRPr="009613CE">
              <w:rPr>
                <w:rFonts w:cs="Times New Roman"/>
                <w:sz w:val="18"/>
                <w:szCs w:val="18"/>
              </w:rPr>
              <w:t>VSIA "Latvijas koncerti"</w:t>
            </w:r>
          </w:p>
        </w:tc>
        <w:tc>
          <w:tcPr>
            <w:tcW w:w="1792" w:type="dxa"/>
            <w:tcBorders>
              <w:top w:val="nil"/>
              <w:left w:val="nil"/>
              <w:bottom w:val="single" w:sz="4" w:space="0" w:color="auto"/>
              <w:right w:val="single" w:sz="4" w:space="0" w:color="auto"/>
            </w:tcBorders>
            <w:shd w:val="clear" w:color="auto" w:fill="auto"/>
            <w:noWrap/>
          </w:tcPr>
          <w:p w14:paraId="33DC27ED"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c>
          <w:tcPr>
            <w:tcW w:w="1417" w:type="dxa"/>
            <w:tcBorders>
              <w:top w:val="nil"/>
              <w:left w:val="nil"/>
              <w:bottom w:val="single" w:sz="4" w:space="0" w:color="auto"/>
              <w:right w:val="single" w:sz="4" w:space="0" w:color="auto"/>
            </w:tcBorders>
            <w:shd w:val="clear" w:color="auto" w:fill="auto"/>
            <w:noWrap/>
          </w:tcPr>
          <w:p w14:paraId="1FF48AF6"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c>
          <w:tcPr>
            <w:tcW w:w="1417" w:type="dxa"/>
            <w:tcBorders>
              <w:top w:val="nil"/>
              <w:left w:val="nil"/>
              <w:bottom w:val="single" w:sz="4" w:space="0" w:color="auto"/>
              <w:right w:val="single" w:sz="4" w:space="0" w:color="auto"/>
            </w:tcBorders>
            <w:shd w:val="clear" w:color="auto" w:fill="auto"/>
            <w:noWrap/>
          </w:tcPr>
          <w:p w14:paraId="0383CD5F" w14:textId="77777777" w:rsidR="009613CE" w:rsidRPr="009613CE" w:rsidRDefault="009613CE" w:rsidP="009613CE">
            <w:pPr>
              <w:spacing w:after="0"/>
              <w:ind w:firstLine="0"/>
              <w:jc w:val="right"/>
              <w:rPr>
                <w:rFonts w:eastAsia="Times New Roman" w:cs="Times New Roman"/>
                <w:color w:val="000000"/>
                <w:sz w:val="18"/>
                <w:szCs w:val="18"/>
              </w:rPr>
            </w:pPr>
            <w:r w:rsidRPr="009613CE">
              <w:rPr>
                <w:rFonts w:cs="Times New Roman"/>
                <w:sz w:val="18"/>
                <w:szCs w:val="18"/>
              </w:rPr>
              <w:t>0,0</w:t>
            </w:r>
          </w:p>
        </w:tc>
      </w:tr>
      <w:tr w:rsidR="009613CE" w:rsidRPr="009613CE" w14:paraId="2188C77A" w14:textId="77777777" w:rsidTr="005E41CA">
        <w:trPr>
          <w:trHeight w:val="69"/>
        </w:trPr>
        <w:tc>
          <w:tcPr>
            <w:tcW w:w="1283" w:type="dxa"/>
            <w:tcBorders>
              <w:top w:val="nil"/>
              <w:left w:val="single" w:sz="4" w:space="0" w:color="auto"/>
              <w:bottom w:val="single" w:sz="4" w:space="0" w:color="auto"/>
              <w:right w:val="single" w:sz="4" w:space="0" w:color="auto"/>
            </w:tcBorders>
            <w:shd w:val="clear" w:color="auto" w:fill="DEEAF6" w:themeFill="accent1" w:themeFillTint="33"/>
            <w:noWrap/>
            <w:vAlign w:val="bottom"/>
            <w:hideMark/>
          </w:tcPr>
          <w:p w14:paraId="77CBDDC2" w14:textId="77777777" w:rsidR="009613CE" w:rsidRPr="005E41CA" w:rsidRDefault="009613CE" w:rsidP="009613CE">
            <w:pPr>
              <w:spacing w:after="0"/>
              <w:ind w:firstLine="0"/>
              <w:jc w:val="center"/>
              <w:rPr>
                <w:rFonts w:eastAsia="Times New Roman" w:cs="Times New Roman"/>
                <w:i/>
                <w:iCs/>
                <w:color w:val="000000"/>
                <w:sz w:val="18"/>
                <w:szCs w:val="18"/>
              </w:rPr>
            </w:pPr>
            <w:r w:rsidRPr="005E41CA">
              <w:rPr>
                <w:rFonts w:eastAsia="Times New Roman" w:cs="Times New Roman"/>
                <w:i/>
                <w:iCs/>
                <w:color w:val="000000"/>
                <w:sz w:val="18"/>
                <w:szCs w:val="18"/>
              </w:rPr>
              <w:t>S130300</w:t>
            </w:r>
          </w:p>
        </w:tc>
        <w:tc>
          <w:tcPr>
            <w:tcW w:w="8212" w:type="dxa"/>
            <w:tcBorders>
              <w:top w:val="nil"/>
              <w:left w:val="nil"/>
              <w:bottom w:val="single" w:sz="4" w:space="0" w:color="auto"/>
              <w:right w:val="single" w:sz="4" w:space="0" w:color="auto"/>
            </w:tcBorders>
            <w:shd w:val="clear" w:color="auto" w:fill="DEEAF6" w:themeFill="accent1" w:themeFillTint="33"/>
            <w:noWrap/>
            <w:vAlign w:val="bottom"/>
            <w:hideMark/>
          </w:tcPr>
          <w:p w14:paraId="630761AC" w14:textId="1CA40CD8" w:rsidR="009613CE" w:rsidRPr="005E41CA" w:rsidRDefault="005E41CA" w:rsidP="009613CE">
            <w:pPr>
              <w:spacing w:after="0"/>
              <w:ind w:firstLine="0"/>
              <w:jc w:val="left"/>
              <w:rPr>
                <w:rFonts w:eastAsia="Times New Roman" w:cs="Times New Roman"/>
                <w:i/>
                <w:iCs/>
                <w:color w:val="000000"/>
                <w:sz w:val="18"/>
                <w:szCs w:val="18"/>
              </w:rPr>
            </w:pPr>
            <w:r w:rsidRPr="005E41CA">
              <w:rPr>
                <w:rFonts w:eastAsia="Times New Roman" w:cs="Times New Roman"/>
                <w:i/>
                <w:iCs/>
                <w:color w:val="000000"/>
                <w:sz w:val="18"/>
                <w:szCs w:val="18"/>
              </w:rPr>
              <w:t>Pašvaldīb</w:t>
            </w:r>
            <w:r w:rsidR="004F0A40">
              <w:rPr>
                <w:rFonts w:eastAsia="Times New Roman" w:cs="Times New Roman"/>
                <w:i/>
                <w:iCs/>
                <w:color w:val="000000"/>
                <w:sz w:val="18"/>
                <w:szCs w:val="18"/>
              </w:rPr>
              <w:t>u</w:t>
            </w:r>
            <w:r w:rsidRPr="005E41CA">
              <w:rPr>
                <w:rFonts w:eastAsia="Times New Roman" w:cs="Times New Roman"/>
                <w:i/>
                <w:iCs/>
                <w:color w:val="000000"/>
                <w:sz w:val="18"/>
                <w:szCs w:val="18"/>
              </w:rPr>
              <w:t xml:space="preserve"> struktūr</w:t>
            </w:r>
            <w:r w:rsidR="004F0A40">
              <w:rPr>
                <w:rFonts w:eastAsia="Times New Roman" w:cs="Times New Roman"/>
                <w:i/>
                <w:iCs/>
                <w:color w:val="000000"/>
                <w:sz w:val="18"/>
                <w:szCs w:val="18"/>
              </w:rPr>
              <w:t>as</w:t>
            </w:r>
          </w:p>
        </w:tc>
        <w:tc>
          <w:tcPr>
            <w:tcW w:w="1792" w:type="dxa"/>
            <w:tcBorders>
              <w:top w:val="nil"/>
              <w:left w:val="nil"/>
              <w:bottom w:val="single" w:sz="4" w:space="0" w:color="auto"/>
              <w:right w:val="single" w:sz="4" w:space="0" w:color="auto"/>
            </w:tcBorders>
            <w:shd w:val="clear" w:color="auto" w:fill="DEEAF6" w:themeFill="accent1" w:themeFillTint="33"/>
            <w:noWrap/>
            <w:vAlign w:val="bottom"/>
          </w:tcPr>
          <w:p w14:paraId="2D3AE99D" w14:textId="77777777" w:rsidR="009613CE" w:rsidRPr="009613CE" w:rsidRDefault="009613CE" w:rsidP="009613CE">
            <w:pPr>
              <w:spacing w:after="0"/>
              <w:ind w:firstLine="0"/>
              <w:jc w:val="left"/>
              <w:rPr>
                <w:rFonts w:eastAsia="Times New Roman" w:cs="Times New Roman"/>
                <w:color w:val="000000"/>
                <w:sz w:val="18"/>
                <w:szCs w:val="18"/>
              </w:rPr>
            </w:pPr>
          </w:p>
        </w:tc>
        <w:tc>
          <w:tcPr>
            <w:tcW w:w="1417" w:type="dxa"/>
            <w:tcBorders>
              <w:top w:val="nil"/>
              <w:left w:val="nil"/>
              <w:bottom w:val="single" w:sz="4" w:space="0" w:color="auto"/>
              <w:right w:val="single" w:sz="4" w:space="0" w:color="auto"/>
            </w:tcBorders>
            <w:shd w:val="clear" w:color="auto" w:fill="DEEAF6" w:themeFill="accent1" w:themeFillTint="33"/>
            <w:noWrap/>
            <w:vAlign w:val="bottom"/>
          </w:tcPr>
          <w:p w14:paraId="4820F59D" w14:textId="77777777" w:rsidR="009613CE" w:rsidRPr="009613CE" w:rsidRDefault="009613CE" w:rsidP="009613CE">
            <w:pPr>
              <w:spacing w:after="0"/>
              <w:ind w:firstLine="0"/>
              <w:jc w:val="left"/>
              <w:rPr>
                <w:rFonts w:eastAsia="Times New Roman" w:cs="Times New Roman"/>
                <w:color w:val="000000"/>
                <w:sz w:val="18"/>
                <w:szCs w:val="18"/>
              </w:rPr>
            </w:pPr>
          </w:p>
        </w:tc>
        <w:tc>
          <w:tcPr>
            <w:tcW w:w="1417" w:type="dxa"/>
            <w:tcBorders>
              <w:top w:val="nil"/>
              <w:left w:val="nil"/>
              <w:bottom w:val="single" w:sz="4" w:space="0" w:color="auto"/>
              <w:right w:val="single" w:sz="4" w:space="0" w:color="auto"/>
            </w:tcBorders>
            <w:shd w:val="clear" w:color="auto" w:fill="DEEAF6" w:themeFill="accent1" w:themeFillTint="33"/>
            <w:noWrap/>
            <w:vAlign w:val="bottom"/>
          </w:tcPr>
          <w:p w14:paraId="337B701D" w14:textId="77777777" w:rsidR="009613CE" w:rsidRPr="009613CE" w:rsidRDefault="009613CE" w:rsidP="009613CE">
            <w:pPr>
              <w:spacing w:after="0"/>
              <w:ind w:firstLine="0"/>
              <w:jc w:val="left"/>
              <w:rPr>
                <w:rFonts w:eastAsia="Times New Roman" w:cs="Times New Roman"/>
                <w:color w:val="000000"/>
                <w:sz w:val="18"/>
                <w:szCs w:val="18"/>
              </w:rPr>
            </w:pPr>
          </w:p>
        </w:tc>
      </w:tr>
      <w:tr w:rsidR="009613CE" w:rsidRPr="009613CE" w14:paraId="2BE5AC2C"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17595CFA"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1</w:t>
            </w:r>
          </w:p>
        </w:tc>
        <w:tc>
          <w:tcPr>
            <w:tcW w:w="8212" w:type="dxa"/>
            <w:tcBorders>
              <w:top w:val="nil"/>
              <w:left w:val="nil"/>
              <w:bottom w:val="single" w:sz="4" w:space="0" w:color="auto"/>
              <w:right w:val="single" w:sz="4" w:space="0" w:color="auto"/>
            </w:tcBorders>
            <w:shd w:val="clear" w:color="auto" w:fill="auto"/>
            <w:noWrap/>
            <w:hideMark/>
          </w:tcPr>
          <w:p w14:paraId="5A50AB80" w14:textId="43600F3D" w:rsidR="009613CE" w:rsidRPr="009613CE" w:rsidRDefault="009613CE" w:rsidP="009613CE">
            <w:pPr>
              <w:spacing w:after="0"/>
              <w:ind w:firstLine="0"/>
              <w:jc w:val="left"/>
              <w:rPr>
                <w:rFonts w:eastAsia="Times New Roman" w:cs="Times New Roman"/>
                <w:color w:val="000000"/>
                <w:sz w:val="18"/>
                <w:szCs w:val="18"/>
              </w:rPr>
            </w:pPr>
            <w:r w:rsidRPr="009613CE">
              <w:rPr>
                <w:sz w:val="18"/>
                <w:szCs w:val="18"/>
              </w:rPr>
              <w:t xml:space="preserve">SIA </w:t>
            </w:r>
            <w:r w:rsidRPr="009613CE">
              <w:rPr>
                <w:rFonts w:cs="Times New Roman"/>
                <w:sz w:val="18"/>
                <w:szCs w:val="18"/>
              </w:rPr>
              <w:t>"</w:t>
            </w:r>
            <w:r w:rsidRPr="009613CE">
              <w:rPr>
                <w:sz w:val="18"/>
                <w:szCs w:val="18"/>
              </w:rPr>
              <w:t>Rīgas Satiksme</w:t>
            </w:r>
            <w:r w:rsidRPr="009613CE">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63D02EAE"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288,2</w:t>
            </w:r>
          </w:p>
        </w:tc>
        <w:tc>
          <w:tcPr>
            <w:tcW w:w="1417" w:type="dxa"/>
            <w:tcBorders>
              <w:top w:val="nil"/>
              <w:left w:val="nil"/>
              <w:bottom w:val="single" w:sz="4" w:space="0" w:color="auto"/>
              <w:right w:val="single" w:sz="4" w:space="0" w:color="auto"/>
            </w:tcBorders>
            <w:shd w:val="clear" w:color="auto" w:fill="auto"/>
            <w:noWrap/>
          </w:tcPr>
          <w:p w14:paraId="449BB99A"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291,2</w:t>
            </w:r>
          </w:p>
        </w:tc>
        <w:tc>
          <w:tcPr>
            <w:tcW w:w="1417" w:type="dxa"/>
            <w:tcBorders>
              <w:top w:val="nil"/>
              <w:left w:val="nil"/>
              <w:bottom w:val="single" w:sz="4" w:space="0" w:color="auto"/>
              <w:right w:val="single" w:sz="4" w:space="0" w:color="auto"/>
            </w:tcBorders>
            <w:shd w:val="clear" w:color="auto" w:fill="auto"/>
            <w:noWrap/>
          </w:tcPr>
          <w:p w14:paraId="252C3478"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304,2</w:t>
            </w:r>
          </w:p>
        </w:tc>
      </w:tr>
      <w:tr w:rsidR="009613CE" w:rsidRPr="009613CE" w14:paraId="4D44387D"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250ADFE4"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2</w:t>
            </w:r>
          </w:p>
        </w:tc>
        <w:tc>
          <w:tcPr>
            <w:tcW w:w="8212" w:type="dxa"/>
            <w:tcBorders>
              <w:top w:val="nil"/>
              <w:left w:val="nil"/>
              <w:bottom w:val="single" w:sz="4" w:space="0" w:color="auto"/>
              <w:right w:val="single" w:sz="4" w:space="0" w:color="auto"/>
            </w:tcBorders>
            <w:shd w:val="clear" w:color="auto" w:fill="auto"/>
            <w:noWrap/>
            <w:hideMark/>
          </w:tcPr>
          <w:p w14:paraId="2D3BE161" w14:textId="77777777" w:rsidR="009613CE" w:rsidRPr="009613CE" w:rsidRDefault="009613CE" w:rsidP="009613CE">
            <w:pPr>
              <w:spacing w:after="0"/>
              <w:ind w:firstLine="0"/>
              <w:jc w:val="left"/>
              <w:rPr>
                <w:rFonts w:eastAsia="Times New Roman" w:cs="Times New Roman"/>
                <w:color w:val="000000"/>
                <w:sz w:val="18"/>
                <w:szCs w:val="18"/>
              </w:rPr>
            </w:pPr>
            <w:r w:rsidRPr="009613CE">
              <w:rPr>
                <w:sz w:val="18"/>
                <w:szCs w:val="18"/>
              </w:rPr>
              <w:t xml:space="preserve">SIA </w:t>
            </w:r>
            <w:r w:rsidRPr="009613CE">
              <w:rPr>
                <w:rFonts w:cs="Times New Roman"/>
                <w:sz w:val="18"/>
                <w:szCs w:val="18"/>
              </w:rPr>
              <w:t>"</w:t>
            </w:r>
            <w:proofErr w:type="spellStart"/>
            <w:r w:rsidRPr="009613CE">
              <w:rPr>
                <w:sz w:val="18"/>
                <w:szCs w:val="18"/>
              </w:rPr>
              <w:t>Cēsu</w:t>
            </w:r>
            <w:proofErr w:type="spellEnd"/>
            <w:r w:rsidRPr="009613CE">
              <w:rPr>
                <w:sz w:val="18"/>
                <w:szCs w:val="18"/>
              </w:rPr>
              <w:t xml:space="preserve"> klīnika</w:t>
            </w:r>
            <w:r w:rsidRPr="009613CE">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6D421EE0"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1,7</w:t>
            </w:r>
          </w:p>
        </w:tc>
        <w:tc>
          <w:tcPr>
            <w:tcW w:w="1417" w:type="dxa"/>
            <w:tcBorders>
              <w:top w:val="nil"/>
              <w:left w:val="nil"/>
              <w:bottom w:val="single" w:sz="4" w:space="0" w:color="auto"/>
              <w:right w:val="single" w:sz="4" w:space="0" w:color="auto"/>
            </w:tcBorders>
            <w:shd w:val="clear" w:color="auto" w:fill="auto"/>
            <w:noWrap/>
          </w:tcPr>
          <w:p w14:paraId="1CA77302"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c>
          <w:tcPr>
            <w:tcW w:w="1417" w:type="dxa"/>
            <w:tcBorders>
              <w:top w:val="nil"/>
              <w:left w:val="nil"/>
              <w:bottom w:val="single" w:sz="4" w:space="0" w:color="auto"/>
              <w:right w:val="single" w:sz="4" w:space="0" w:color="auto"/>
            </w:tcBorders>
            <w:shd w:val="clear" w:color="auto" w:fill="auto"/>
            <w:noWrap/>
          </w:tcPr>
          <w:p w14:paraId="5EF3E27A"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r>
      <w:tr w:rsidR="009613CE" w:rsidRPr="009613CE" w14:paraId="74F8DA92"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4D37E8E7"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3</w:t>
            </w:r>
          </w:p>
        </w:tc>
        <w:tc>
          <w:tcPr>
            <w:tcW w:w="8212" w:type="dxa"/>
            <w:tcBorders>
              <w:top w:val="nil"/>
              <w:left w:val="nil"/>
              <w:bottom w:val="single" w:sz="4" w:space="0" w:color="auto"/>
              <w:right w:val="single" w:sz="4" w:space="0" w:color="auto"/>
            </w:tcBorders>
            <w:shd w:val="clear" w:color="auto" w:fill="auto"/>
            <w:noWrap/>
            <w:hideMark/>
          </w:tcPr>
          <w:p w14:paraId="74EEC96B" w14:textId="77777777" w:rsidR="009613CE" w:rsidRPr="009613CE" w:rsidRDefault="009613CE" w:rsidP="009613CE">
            <w:pPr>
              <w:spacing w:after="0"/>
              <w:ind w:firstLine="0"/>
              <w:jc w:val="left"/>
              <w:rPr>
                <w:rFonts w:eastAsia="Times New Roman" w:cs="Times New Roman"/>
                <w:color w:val="000000"/>
                <w:sz w:val="18"/>
                <w:szCs w:val="18"/>
              </w:rPr>
            </w:pPr>
            <w:r w:rsidRPr="009613CE">
              <w:rPr>
                <w:sz w:val="18"/>
                <w:szCs w:val="18"/>
              </w:rPr>
              <w:t xml:space="preserve">SIA </w:t>
            </w:r>
            <w:r w:rsidRPr="009613CE">
              <w:rPr>
                <w:rFonts w:cs="Times New Roman"/>
                <w:sz w:val="18"/>
                <w:szCs w:val="18"/>
              </w:rPr>
              <w:t>"</w:t>
            </w:r>
            <w:r w:rsidRPr="009613CE">
              <w:rPr>
                <w:sz w:val="18"/>
                <w:szCs w:val="18"/>
              </w:rPr>
              <w:t>Rēzeknes satiksme</w:t>
            </w:r>
            <w:r w:rsidRPr="009613CE">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07B21678"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0,8</w:t>
            </w:r>
          </w:p>
        </w:tc>
        <w:tc>
          <w:tcPr>
            <w:tcW w:w="1417" w:type="dxa"/>
            <w:tcBorders>
              <w:top w:val="nil"/>
              <w:left w:val="nil"/>
              <w:bottom w:val="single" w:sz="4" w:space="0" w:color="auto"/>
              <w:right w:val="single" w:sz="4" w:space="0" w:color="auto"/>
            </w:tcBorders>
            <w:shd w:val="clear" w:color="auto" w:fill="auto"/>
            <w:noWrap/>
          </w:tcPr>
          <w:p w14:paraId="5614B22A"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0,3</w:t>
            </w:r>
          </w:p>
        </w:tc>
        <w:tc>
          <w:tcPr>
            <w:tcW w:w="1417" w:type="dxa"/>
            <w:tcBorders>
              <w:top w:val="nil"/>
              <w:left w:val="nil"/>
              <w:bottom w:val="single" w:sz="4" w:space="0" w:color="auto"/>
              <w:right w:val="single" w:sz="4" w:space="0" w:color="auto"/>
            </w:tcBorders>
            <w:shd w:val="clear" w:color="auto" w:fill="auto"/>
            <w:noWrap/>
          </w:tcPr>
          <w:p w14:paraId="7303D46A"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r>
      <w:tr w:rsidR="009613CE" w:rsidRPr="009613CE" w14:paraId="2408F146"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09E5FAD2"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4</w:t>
            </w:r>
          </w:p>
        </w:tc>
        <w:tc>
          <w:tcPr>
            <w:tcW w:w="8212" w:type="dxa"/>
            <w:tcBorders>
              <w:top w:val="nil"/>
              <w:left w:val="nil"/>
              <w:bottom w:val="single" w:sz="4" w:space="0" w:color="auto"/>
              <w:right w:val="single" w:sz="4" w:space="0" w:color="auto"/>
            </w:tcBorders>
            <w:shd w:val="clear" w:color="auto" w:fill="auto"/>
            <w:noWrap/>
            <w:hideMark/>
          </w:tcPr>
          <w:p w14:paraId="56D3ED6E" w14:textId="77777777" w:rsidR="009613CE" w:rsidRPr="009613CE" w:rsidRDefault="009613CE" w:rsidP="009613CE">
            <w:pPr>
              <w:spacing w:after="0"/>
              <w:ind w:firstLine="0"/>
              <w:jc w:val="left"/>
              <w:rPr>
                <w:rFonts w:eastAsia="Times New Roman" w:cs="Times New Roman"/>
                <w:color w:val="000000"/>
                <w:sz w:val="18"/>
                <w:szCs w:val="18"/>
              </w:rPr>
            </w:pPr>
            <w:r w:rsidRPr="009613CE">
              <w:rPr>
                <w:sz w:val="18"/>
                <w:szCs w:val="18"/>
              </w:rPr>
              <w:t xml:space="preserve">AS </w:t>
            </w:r>
            <w:r w:rsidRPr="009613CE">
              <w:rPr>
                <w:rFonts w:cs="Times New Roman"/>
                <w:sz w:val="18"/>
                <w:szCs w:val="18"/>
              </w:rPr>
              <w:t>"</w:t>
            </w:r>
            <w:r w:rsidRPr="009613CE">
              <w:rPr>
                <w:sz w:val="18"/>
                <w:szCs w:val="18"/>
              </w:rPr>
              <w:t>Daugavpils satiksme</w:t>
            </w:r>
            <w:r w:rsidRPr="009613CE">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1B487612"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0,4</w:t>
            </w:r>
          </w:p>
        </w:tc>
        <w:tc>
          <w:tcPr>
            <w:tcW w:w="1417" w:type="dxa"/>
            <w:tcBorders>
              <w:top w:val="nil"/>
              <w:left w:val="nil"/>
              <w:bottom w:val="single" w:sz="4" w:space="0" w:color="auto"/>
              <w:right w:val="single" w:sz="4" w:space="0" w:color="auto"/>
            </w:tcBorders>
            <w:shd w:val="clear" w:color="auto" w:fill="auto"/>
            <w:noWrap/>
          </w:tcPr>
          <w:p w14:paraId="45E6539A"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0,3</w:t>
            </w:r>
          </w:p>
        </w:tc>
        <w:tc>
          <w:tcPr>
            <w:tcW w:w="1417" w:type="dxa"/>
            <w:tcBorders>
              <w:top w:val="nil"/>
              <w:left w:val="nil"/>
              <w:bottom w:val="single" w:sz="4" w:space="0" w:color="auto"/>
              <w:right w:val="single" w:sz="4" w:space="0" w:color="auto"/>
            </w:tcBorders>
            <w:shd w:val="clear" w:color="auto" w:fill="auto"/>
            <w:noWrap/>
          </w:tcPr>
          <w:p w14:paraId="3022043A"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0,2</w:t>
            </w:r>
          </w:p>
        </w:tc>
      </w:tr>
      <w:tr w:rsidR="009613CE" w:rsidRPr="009613CE" w14:paraId="1A1DA0E4"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061CD9DC"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5</w:t>
            </w:r>
          </w:p>
        </w:tc>
        <w:tc>
          <w:tcPr>
            <w:tcW w:w="8212" w:type="dxa"/>
            <w:tcBorders>
              <w:top w:val="nil"/>
              <w:left w:val="nil"/>
              <w:bottom w:val="single" w:sz="4" w:space="0" w:color="auto"/>
              <w:right w:val="single" w:sz="4" w:space="0" w:color="auto"/>
            </w:tcBorders>
            <w:shd w:val="clear" w:color="auto" w:fill="auto"/>
            <w:noWrap/>
            <w:hideMark/>
          </w:tcPr>
          <w:p w14:paraId="1BDE6EB8" w14:textId="77777777" w:rsidR="009613CE" w:rsidRPr="009613CE" w:rsidRDefault="009613CE" w:rsidP="009613CE">
            <w:pPr>
              <w:spacing w:after="0"/>
              <w:ind w:firstLine="0"/>
              <w:jc w:val="left"/>
              <w:rPr>
                <w:rFonts w:eastAsia="Times New Roman" w:cs="Times New Roman"/>
                <w:color w:val="000000"/>
                <w:sz w:val="18"/>
                <w:szCs w:val="18"/>
              </w:rPr>
            </w:pPr>
            <w:r w:rsidRPr="009613CE">
              <w:rPr>
                <w:sz w:val="18"/>
                <w:szCs w:val="18"/>
              </w:rPr>
              <w:t xml:space="preserve">SIA </w:t>
            </w:r>
            <w:r w:rsidRPr="009613CE">
              <w:rPr>
                <w:rFonts w:cs="Times New Roman"/>
                <w:sz w:val="18"/>
                <w:szCs w:val="18"/>
              </w:rPr>
              <w:t>"</w:t>
            </w:r>
            <w:r w:rsidRPr="009613CE">
              <w:rPr>
                <w:sz w:val="18"/>
                <w:szCs w:val="18"/>
              </w:rPr>
              <w:t>Kuldīgas slimnīca</w:t>
            </w:r>
            <w:r w:rsidRPr="009613CE">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3F4A393F"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0,3</w:t>
            </w:r>
          </w:p>
        </w:tc>
        <w:tc>
          <w:tcPr>
            <w:tcW w:w="1417" w:type="dxa"/>
            <w:tcBorders>
              <w:top w:val="nil"/>
              <w:left w:val="nil"/>
              <w:bottom w:val="single" w:sz="4" w:space="0" w:color="auto"/>
              <w:right w:val="single" w:sz="4" w:space="0" w:color="auto"/>
            </w:tcBorders>
            <w:shd w:val="clear" w:color="auto" w:fill="auto"/>
            <w:noWrap/>
          </w:tcPr>
          <w:p w14:paraId="1D830CC4"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0,2</w:t>
            </w:r>
          </w:p>
        </w:tc>
        <w:tc>
          <w:tcPr>
            <w:tcW w:w="1417" w:type="dxa"/>
            <w:tcBorders>
              <w:top w:val="nil"/>
              <w:left w:val="nil"/>
              <w:bottom w:val="single" w:sz="4" w:space="0" w:color="auto"/>
              <w:right w:val="single" w:sz="4" w:space="0" w:color="auto"/>
            </w:tcBorders>
            <w:shd w:val="clear" w:color="auto" w:fill="auto"/>
            <w:noWrap/>
          </w:tcPr>
          <w:p w14:paraId="478D7DBD"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0,2</w:t>
            </w:r>
          </w:p>
        </w:tc>
      </w:tr>
      <w:tr w:rsidR="009613CE" w:rsidRPr="009613CE" w14:paraId="054D096E"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7DB20D83"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6</w:t>
            </w:r>
          </w:p>
        </w:tc>
        <w:tc>
          <w:tcPr>
            <w:tcW w:w="8212" w:type="dxa"/>
            <w:tcBorders>
              <w:top w:val="nil"/>
              <w:left w:val="nil"/>
              <w:bottom w:val="single" w:sz="4" w:space="0" w:color="auto"/>
              <w:right w:val="single" w:sz="4" w:space="0" w:color="auto"/>
            </w:tcBorders>
            <w:shd w:val="clear" w:color="auto" w:fill="auto"/>
            <w:noWrap/>
            <w:hideMark/>
          </w:tcPr>
          <w:p w14:paraId="32BD4DC1" w14:textId="77777777" w:rsidR="009613CE" w:rsidRPr="009613CE" w:rsidRDefault="009613CE" w:rsidP="009613CE">
            <w:pPr>
              <w:spacing w:after="0"/>
              <w:ind w:firstLine="0"/>
              <w:jc w:val="left"/>
              <w:rPr>
                <w:rFonts w:eastAsia="Times New Roman" w:cs="Times New Roman"/>
                <w:color w:val="000000"/>
                <w:sz w:val="18"/>
                <w:szCs w:val="18"/>
              </w:rPr>
            </w:pPr>
            <w:r w:rsidRPr="009613CE">
              <w:rPr>
                <w:sz w:val="18"/>
                <w:szCs w:val="18"/>
              </w:rPr>
              <w:t>SIA "Jūrmalas slimnīca"</w:t>
            </w:r>
          </w:p>
        </w:tc>
        <w:tc>
          <w:tcPr>
            <w:tcW w:w="1792" w:type="dxa"/>
            <w:tcBorders>
              <w:top w:val="nil"/>
              <w:left w:val="nil"/>
              <w:bottom w:val="single" w:sz="4" w:space="0" w:color="auto"/>
              <w:right w:val="single" w:sz="4" w:space="0" w:color="auto"/>
            </w:tcBorders>
            <w:shd w:val="clear" w:color="auto" w:fill="auto"/>
            <w:noWrap/>
          </w:tcPr>
          <w:p w14:paraId="235CC5FF"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0,2</w:t>
            </w:r>
          </w:p>
        </w:tc>
        <w:tc>
          <w:tcPr>
            <w:tcW w:w="1417" w:type="dxa"/>
            <w:tcBorders>
              <w:top w:val="nil"/>
              <w:left w:val="nil"/>
              <w:bottom w:val="single" w:sz="4" w:space="0" w:color="auto"/>
              <w:right w:val="single" w:sz="4" w:space="0" w:color="auto"/>
            </w:tcBorders>
            <w:shd w:val="clear" w:color="auto" w:fill="auto"/>
            <w:noWrap/>
          </w:tcPr>
          <w:p w14:paraId="39249C28"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1,2</w:t>
            </w:r>
          </w:p>
        </w:tc>
        <w:tc>
          <w:tcPr>
            <w:tcW w:w="1417" w:type="dxa"/>
            <w:tcBorders>
              <w:top w:val="nil"/>
              <w:left w:val="nil"/>
              <w:bottom w:val="single" w:sz="4" w:space="0" w:color="auto"/>
              <w:right w:val="single" w:sz="4" w:space="0" w:color="auto"/>
            </w:tcBorders>
            <w:shd w:val="clear" w:color="auto" w:fill="auto"/>
            <w:noWrap/>
          </w:tcPr>
          <w:p w14:paraId="4C87802D"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1,1</w:t>
            </w:r>
          </w:p>
        </w:tc>
      </w:tr>
      <w:tr w:rsidR="009613CE" w:rsidRPr="009613CE" w14:paraId="6DF98694"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776F7495"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7</w:t>
            </w:r>
          </w:p>
        </w:tc>
        <w:tc>
          <w:tcPr>
            <w:tcW w:w="8212" w:type="dxa"/>
            <w:tcBorders>
              <w:top w:val="nil"/>
              <w:left w:val="nil"/>
              <w:bottom w:val="single" w:sz="4" w:space="0" w:color="auto"/>
              <w:right w:val="single" w:sz="4" w:space="0" w:color="auto"/>
            </w:tcBorders>
            <w:shd w:val="clear" w:color="auto" w:fill="auto"/>
            <w:noWrap/>
            <w:hideMark/>
          </w:tcPr>
          <w:p w14:paraId="09D87E1B" w14:textId="77777777" w:rsidR="009613CE" w:rsidRPr="009613CE" w:rsidRDefault="009613CE" w:rsidP="009613CE">
            <w:pPr>
              <w:spacing w:after="0"/>
              <w:ind w:firstLine="0"/>
              <w:jc w:val="left"/>
              <w:rPr>
                <w:rFonts w:eastAsia="Times New Roman" w:cs="Times New Roman"/>
                <w:color w:val="000000"/>
                <w:sz w:val="18"/>
                <w:szCs w:val="18"/>
              </w:rPr>
            </w:pPr>
            <w:r w:rsidRPr="009613CE">
              <w:rPr>
                <w:sz w:val="18"/>
                <w:szCs w:val="18"/>
              </w:rPr>
              <w:t xml:space="preserve">SIA </w:t>
            </w:r>
            <w:r w:rsidRPr="009613CE">
              <w:rPr>
                <w:rFonts w:cs="Times New Roman"/>
                <w:sz w:val="18"/>
                <w:szCs w:val="18"/>
              </w:rPr>
              <w:t>"</w:t>
            </w:r>
            <w:r w:rsidRPr="009613CE">
              <w:rPr>
                <w:sz w:val="18"/>
                <w:szCs w:val="18"/>
              </w:rPr>
              <w:t>Jēkabpils reģionālā slimnīca</w:t>
            </w:r>
            <w:r w:rsidRPr="009613CE">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516A7C98"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c>
          <w:tcPr>
            <w:tcW w:w="1417" w:type="dxa"/>
            <w:tcBorders>
              <w:top w:val="nil"/>
              <w:left w:val="nil"/>
              <w:bottom w:val="single" w:sz="4" w:space="0" w:color="auto"/>
              <w:right w:val="single" w:sz="4" w:space="0" w:color="auto"/>
            </w:tcBorders>
            <w:shd w:val="clear" w:color="auto" w:fill="auto"/>
            <w:noWrap/>
          </w:tcPr>
          <w:p w14:paraId="7D3AA231"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c>
          <w:tcPr>
            <w:tcW w:w="1417" w:type="dxa"/>
            <w:tcBorders>
              <w:top w:val="nil"/>
              <w:left w:val="nil"/>
              <w:bottom w:val="single" w:sz="4" w:space="0" w:color="auto"/>
              <w:right w:val="single" w:sz="4" w:space="0" w:color="auto"/>
            </w:tcBorders>
            <w:shd w:val="clear" w:color="auto" w:fill="auto"/>
            <w:noWrap/>
          </w:tcPr>
          <w:p w14:paraId="4D6D1CDF"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r>
      <w:tr w:rsidR="009613CE" w:rsidRPr="009613CE" w14:paraId="5BA3DA53"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18ACC75E"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8</w:t>
            </w:r>
          </w:p>
        </w:tc>
        <w:tc>
          <w:tcPr>
            <w:tcW w:w="8212" w:type="dxa"/>
            <w:tcBorders>
              <w:top w:val="nil"/>
              <w:left w:val="nil"/>
              <w:bottom w:val="single" w:sz="4" w:space="0" w:color="auto"/>
              <w:right w:val="single" w:sz="4" w:space="0" w:color="auto"/>
            </w:tcBorders>
            <w:shd w:val="clear" w:color="auto" w:fill="auto"/>
            <w:noWrap/>
            <w:hideMark/>
          </w:tcPr>
          <w:p w14:paraId="37690E55" w14:textId="77777777" w:rsidR="009613CE" w:rsidRPr="009613CE" w:rsidRDefault="009613CE" w:rsidP="009613CE">
            <w:pPr>
              <w:spacing w:after="0"/>
              <w:ind w:firstLine="0"/>
              <w:jc w:val="left"/>
              <w:rPr>
                <w:rFonts w:eastAsia="Times New Roman" w:cs="Times New Roman"/>
                <w:color w:val="000000"/>
                <w:sz w:val="18"/>
                <w:szCs w:val="18"/>
              </w:rPr>
            </w:pPr>
            <w:r w:rsidRPr="009613CE">
              <w:rPr>
                <w:sz w:val="18"/>
                <w:szCs w:val="18"/>
              </w:rPr>
              <w:t xml:space="preserve">SIA </w:t>
            </w:r>
            <w:r w:rsidRPr="009613CE">
              <w:rPr>
                <w:rFonts w:cs="Times New Roman"/>
                <w:sz w:val="18"/>
                <w:szCs w:val="18"/>
              </w:rPr>
              <w:t>"</w:t>
            </w:r>
            <w:r w:rsidRPr="009613CE">
              <w:rPr>
                <w:sz w:val="18"/>
                <w:szCs w:val="18"/>
              </w:rPr>
              <w:t xml:space="preserve">Olimpiskais centrs </w:t>
            </w:r>
            <w:r w:rsidRPr="009613CE">
              <w:rPr>
                <w:rFonts w:cs="Times New Roman"/>
                <w:sz w:val="18"/>
                <w:szCs w:val="18"/>
              </w:rPr>
              <w:t>"</w:t>
            </w:r>
            <w:r w:rsidRPr="009613CE">
              <w:rPr>
                <w:sz w:val="18"/>
                <w:szCs w:val="18"/>
              </w:rPr>
              <w:t>Ventspils</w:t>
            </w:r>
            <w:r w:rsidRPr="009613CE">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54579AA9"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c>
          <w:tcPr>
            <w:tcW w:w="1417" w:type="dxa"/>
            <w:tcBorders>
              <w:top w:val="nil"/>
              <w:left w:val="nil"/>
              <w:bottom w:val="single" w:sz="4" w:space="0" w:color="auto"/>
              <w:right w:val="single" w:sz="4" w:space="0" w:color="auto"/>
            </w:tcBorders>
            <w:shd w:val="clear" w:color="auto" w:fill="auto"/>
            <w:noWrap/>
          </w:tcPr>
          <w:p w14:paraId="3FD51FAF"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c>
          <w:tcPr>
            <w:tcW w:w="1417" w:type="dxa"/>
            <w:tcBorders>
              <w:top w:val="nil"/>
              <w:left w:val="nil"/>
              <w:bottom w:val="single" w:sz="4" w:space="0" w:color="auto"/>
              <w:right w:val="single" w:sz="4" w:space="0" w:color="auto"/>
            </w:tcBorders>
            <w:shd w:val="clear" w:color="auto" w:fill="auto"/>
            <w:noWrap/>
          </w:tcPr>
          <w:p w14:paraId="6E2D51B1"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r>
      <w:tr w:rsidR="009613CE" w:rsidRPr="009613CE" w14:paraId="5FDDAEDA" w14:textId="77777777" w:rsidTr="00CD399E">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37FB9910"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9</w:t>
            </w:r>
          </w:p>
        </w:tc>
        <w:tc>
          <w:tcPr>
            <w:tcW w:w="8212" w:type="dxa"/>
            <w:tcBorders>
              <w:top w:val="nil"/>
              <w:left w:val="nil"/>
              <w:bottom w:val="single" w:sz="4" w:space="0" w:color="auto"/>
              <w:right w:val="single" w:sz="4" w:space="0" w:color="auto"/>
            </w:tcBorders>
            <w:shd w:val="clear" w:color="auto" w:fill="auto"/>
            <w:noWrap/>
            <w:hideMark/>
          </w:tcPr>
          <w:p w14:paraId="4A2BDEC4" w14:textId="77777777" w:rsidR="009613CE" w:rsidRPr="009613CE" w:rsidRDefault="009613CE" w:rsidP="009613CE">
            <w:pPr>
              <w:spacing w:after="0"/>
              <w:ind w:firstLine="0"/>
              <w:jc w:val="left"/>
              <w:rPr>
                <w:rFonts w:eastAsia="Times New Roman" w:cs="Times New Roman"/>
                <w:color w:val="000000"/>
                <w:sz w:val="18"/>
                <w:szCs w:val="18"/>
              </w:rPr>
            </w:pPr>
            <w:r w:rsidRPr="009613CE">
              <w:rPr>
                <w:sz w:val="18"/>
                <w:szCs w:val="18"/>
              </w:rPr>
              <w:t>SIA "Daugavpils reģionālā slimnīca"</w:t>
            </w:r>
          </w:p>
        </w:tc>
        <w:tc>
          <w:tcPr>
            <w:tcW w:w="1792" w:type="dxa"/>
            <w:tcBorders>
              <w:top w:val="nil"/>
              <w:left w:val="nil"/>
              <w:bottom w:val="single" w:sz="4" w:space="0" w:color="auto"/>
              <w:right w:val="single" w:sz="4" w:space="0" w:color="auto"/>
            </w:tcBorders>
            <w:shd w:val="clear" w:color="auto" w:fill="auto"/>
            <w:noWrap/>
          </w:tcPr>
          <w:p w14:paraId="100DEAE2"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c>
          <w:tcPr>
            <w:tcW w:w="1417" w:type="dxa"/>
            <w:tcBorders>
              <w:top w:val="nil"/>
              <w:left w:val="nil"/>
              <w:bottom w:val="single" w:sz="4" w:space="0" w:color="auto"/>
              <w:right w:val="single" w:sz="4" w:space="0" w:color="auto"/>
            </w:tcBorders>
            <w:shd w:val="clear" w:color="auto" w:fill="auto"/>
            <w:noWrap/>
          </w:tcPr>
          <w:p w14:paraId="00F8A63D"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c>
          <w:tcPr>
            <w:tcW w:w="1417" w:type="dxa"/>
            <w:tcBorders>
              <w:top w:val="nil"/>
              <w:left w:val="nil"/>
              <w:bottom w:val="single" w:sz="4" w:space="0" w:color="auto"/>
              <w:right w:val="single" w:sz="4" w:space="0" w:color="auto"/>
            </w:tcBorders>
            <w:shd w:val="clear" w:color="auto" w:fill="auto"/>
            <w:noWrap/>
          </w:tcPr>
          <w:p w14:paraId="5E0E263C" w14:textId="77777777" w:rsidR="009613CE" w:rsidRPr="009613CE" w:rsidRDefault="009613CE" w:rsidP="009613CE">
            <w:pPr>
              <w:spacing w:after="0"/>
              <w:ind w:firstLine="0"/>
              <w:jc w:val="right"/>
              <w:rPr>
                <w:rFonts w:eastAsia="Times New Roman" w:cs="Times New Roman"/>
                <w:color w:val="000000"/>
                <w:sz w:val="18"/>
                <w:szCs w:val="18"/>
              </w:rPr>
            </w:pPr>
            <w:r w:rsidRPr="009613CE">
              <w:rPr>
                <w:sz w:val="18"/>
                <w:szCs w:val="18"/>
              </w:rPr>
              <w:t>0,0</w:t>
            </w:r>
          </w:p>
        </w:tc>
      </w:tr>
    </w:tbl>
    <w:p w14:paraId="5689CB71" w14:textId="77777777" w:rsidR="009613CE" w:rsidRPr="009613CE" w:rsidRDefault="009613CE" w:rsidP="009613CE">
      <w:pPr>
        <w:widowControl w:val="0"/>
        <w:spacing w:before="120"/>
        <w:ind w:firstLine="0"/>
        <w:rPr>
          <w:i/>
          <w:sz w:val="20"/>
          <w:szCs w:val="24"/>
        </w:rPr>
      </w:pPr>
      <w:r w:rsidRPr="009613CE">
        <w:rPr>
          <w:i/>
          <w:sz w:val="20"/>
          <w:szCs w:val="24"/>
        </w:rPr>
        <w:t>Datu avots: Valsts kase</w:t>
      </w:r>
    </w:p>
    <w:p w14:paraId="7F4E9D9E" w14:textId="2469FB54" w:rsidR="005E41CA" w:rsidRDefault="009613CE" w:rsidP="009613CE">
      <w:pPr>
        <w:ind w:firstLine="0"/>
        <w:rPr>
          <w:i/>
          <w:sz w:val="20"/>
        </w:rPr>
      </w:pPr>
      <w:r w:rsidRPr="009613CE">
        <w:rPr>
          <w:i/>
          <w:sz w:val="20"/>
        </w:rPr>
        <w:t xml:space="preserve">* Dati sagatavoti apkopojot informāciju no kapitālsabiedrību iesniegtajām veidlapām </w:t>
      </w:r>
      <w:r w:rsidR="006836ED">
        <w:rPr>
          <w:i/>
          <w:sz w:val="20"/>
        </w:rPr>
        <w:t>FM</w:t>
      </w:r>
      <w:r w:rsidRPr="009613CE">
        <w:rPr>
          <w:i/>
          <w:sz w:val="20"/>
        </w:rPr>
        <w:t xml:space="preserve"> organizētās aptaujas rezultātā 2023. gada jūlijā/augustā.</w:t>
      </w:r>
    </w:p>
    <w:p w14:paraId="6DC3273E" w14:textId="584B7555" w:rsidR="009613CE" w:rsidRPr="005E41CA" w:rsidRDefault="005E41CA" w:rsidP="005E41CA">
      <w:pPr>
        <w:spacing w:after="0"/>
        <w:ind w:firstLine="0"/>
        <w:jc w:val="left"/>
        <w:rPr>
          <w:i/>
          <w:sz w:val="20"/>
        </w:rPr>
      </w:pPr>
      <w:r>
        <w:rPr>
          <w:i/>
          <w:sz w:val="20"/>
        </w:rPr>
        <w:br w:type="page"/>
      </w:r>
    </w:p>
    <w:p w14:paraId="1264E4CB" w14:textId="77777777" w:rsidR="00F95F29" w:rsidRPr="002D1F6F" w:rsidRDefault="00F95F29" w:rsidP="00F95F29">
      <w:pPr>
        <w:widowControl w:val="0"/>
        <w:ind w:left="12240" w:firstLine="0"/>
        <w:jc w:val="right"/>
        <w:rPr>
          <w:rFonts w:eastAsia="Times New Roman" w:cs="Times New Roman"/>
          <w:color w:val="000000"/>
        </w:rPr>
      </w:pPr>
      <w:r w:rsidRPr="002D1F6F">
        <w:rPr>
          <w:rFonts w:eastAsia="Times New Roman" w:cs="Times New Roman"/>
          <w:color w:val="000000"/>
        </w:rPr>
        <w:lastRenderedPageBreak/>
        <w:t>4. pielikums</w:t>
      </w:r>
    </w:p>
    <w:tbl>
      <w:tblPr>
        <w:tblW w:w="5071" w:type="pct"/>
        <w:tblLook w:val="04A0" w:firstRow="1" w:lastRow="0" w:firstColumn="1" w:lastColumn="0" w:noHBand="0" w:noVBand="1"/>
      </w:tblPr>
      <w:tblGrid>
        <w:gridCol w:w="3931"/>
        <w:gridCol w:w="1261"/>
        <w:gridCol w:w="1233"/>
        <w:gridCol w:w="1011"/>
        <w:gridCol w:w="1054"/>
        <w:gridCol w:w="1233"/>
        <w:gridCol w:w="1042"/>
        <w:gridCol w:w="1162"/>
        <w:gridCol w:w="1233"/>
        <w:gridCol w:w="1042"/>
      </w:tblGrid>
      <w:tr w:rsidR="00F95F29" w:rsidRPr="0038459F" w14:paraId="6D76BA40" w14:textId="77777777" w:rsidTr="00F95F29">
        <w:trPr>
          <w:trHeight w:val="278"/>
        </w:trPr>
        <w:tc>
          <w:tcPr>
            <w:tcW w:w="5000" w:type="pct"/>
            <w:gridSpan w:val="10"/>
            <w:tcBorders>
              <w:top w:val="nil"/>
              <w:left w:val="nil"/>
              <w:bottom w:val="nil"/>
              <w:right w:val="nil"/>
            </w:tcBorders>
            <w:shd w:val="clear" w:color="auto" w:fill="auto"/>
            <w:noWrap/>
            <w:vAlign w:val="center"/>
            <w:hideMark/>
          </w:tcPr>
          <w:p w14:paraId="43AA0B0D" w14:textId="77777777" w:rsidR="00F95F29" w:rsidRPr="002D1F6F" w:rsidRDefault="00F95F29" w:rsidP="00F95F29">
            <w:pPr>
              <w:spacing w:after="0"/>
              <w:ind w:firstLine="0"/>
              <w:jc w:val="right"/>
              <w:rPr>
                <w:rFonts w:eastAsia="Times New Roman" w:cs="Times New Roman"/>
                <w:b/>
                <w:bCs/>
                <w:color w:val="000000"/>
                <w:szCs w:val="24"/>
              </w:rPr>
            </w:pPr>
            <w:r w:rsidRPr="002D1F6F">
              <w:rPr>
                <w:rFonts w:eastAsia="Times New Roman" w:cs="Times New Roman"/>
                <w:b/>
                <w:bCs/>
                <w:color w:val="000000"/>
                <w:szCs w:val="24"/>
              </w:rPr>
              <w:t>Aizsardzības ministrijas pamatbudžeta programma 31.00.00. "Militārpersonu pensiju fonds"</w:t>
            </w:r>
          </w:p>
        </w:tc>
      </w:tr>
      <w:tr w:rsidR="00F95F29" w:rsidRPr="0038459F" w14:paraId="5F7D7B4B" w14:textId="77777777" w:rsidTr="00F95F29">
        <w:trPr>
          <w:trHeight w:val="292"/>
        </w:trPr>
        <w:tc>
          <w:tcPr>
            <w:tcW w:w="1384" w:type="pct"/>
            <w:tcBorders>
              <w:top w:val="nil"/>
              <w:left w:val="nil"/>
              <w:bottom w:val="single" w:sz="4" w:space="0" w:color="auto"/>
              <w:right w:val="nil"/>
            </w:tcBorders>
            <w:shd w:val="clear" w:color="auto" w:fill="auto"/>
            <w:noWrap/>
            <w:vAlign w:val="center"/>
            <w:hideMark/>
          </w:tcPr>
          <w:p w14:paraId="7ED422DB" w14:textId="77777777" w:rsidR="00F95F29" w:rsidRPr="0038459F" w:rsidRDefault="00F95F29" w:rsidP="00F95F29">
            <w:pPr>
              <w:spacing w:after="0"/>
              <w:ind w:firstLine="0"/>
              <w:jc w:val="left"/>
              <w:rPr>
                <w:rFonts w:eastAsia="Times New Roman" w:cs="Times New Roman"/>
                <w:b/>
                <w:bCs/>
                <w:color w:val="000000"/>
                <w:szCs w:val="24"/>
                <w:highlight w:val="lightGray"/>
              </w:rPr>
            </w:pPr>
          </w:p>
        </w:tc>
        <w:tc>
          <w:tcPr>
            <w:tcW w:w="444" w:type="pct"/>
            <w:tcBorders>
              <w:top w:val="nil"/>
              <w:left w:val="nil"/>
              <w:bottom w:val="single" w:sz="4" w:space="0" w:color="auto"/>
              <w:right w:val="nil"/>
            </w:tcBorders>
            <w:shd w:val="clear" w:color="auto" w:fill="auto"/>
            <w:noWrap/>
            <w:vAlign w:val="center"/>
            <w:hideMark/>
          </w:tcPr>
          <w:p w14:paraId="2B4A2445" w14:textId="77777777" w:rsidR="00F95F29" w:rsidRPr="0038459F" w:rsidRDefault="00F95F29" w:rsidP="00F95F29">
            <w:pPr>
              <w:spacing w:after="0"/>
              <w:ind w:firstLine="0"/>
              <w:jc w:val="center"/>
              <w:rPr>
                <w:rFonts w:eastAsia="Times New Roman" w:cs="Times New Roman"/>
                <w:sz w:val="20"/>
                <w:szCs w:val="20"/>
                <w:highlight w:val="lightGray"/>
              </w:rPr>
            </w:pPr>
          </w:p>
        </w:tc>
        <w:tc>
          <w:tcPr>
            <w:tcW w:w="434" w:type="pct"/>
            <w:tcBorders>
              <w:top w:val="nil"/>
              <w:left w:val="nil"/>
              <w:bottom w:val="single" w:sz="4" w:space="0" w:color="auto"/>
              <w:right w:val="nil"/>
            </w:tcBorders>
            <w:shd w:val="clear" w:color="auto" w:fill="auto"/>
            <w:noWrap/>
            <w:vAlign w:val="center"/>
            <w:hideMark/>
          </w:tcPr>
          <w:p w14:paraId="565E3685" w14:textId="77777777" w:rsidR="00F95F29" w:rsidRPr="0038459F" w:rsidRDefault="00F95F29" w:rsidP="00F95F29">
            <w:pPr>
              <w:spacing w:after="0"/>
              <w:ind w:firstLine="0"/>
              <w:jc w:val="center"/>
              <w:rPr>
                <w:rFonts w:eastAsia="Times New Roman" w:cs="Times New Roman"/>
                <w:sz w:val="20"/>
                <w:szCs w:val="20"/>
                <w:highlight w:val="lightGray"/>
              </w:rPr>
            </w:pPr>
          </w:p>
        </w:tc>
        <w:tc>
          <w:tcPr>
            <w:tcW w:w="356" w:type="pct"/>
            <w:tcBorders>
              <w:top w:val="nil"/>
              <w:left w:val="nil"/>
              <w:bottom w:val="single" w:sz="4" w:space="0" w:color="auto"/>
              <w:right w:val="nil"/>
            </w:tcBorders>
            <w:shd w:val="clear" w:color="auto" w:fill="auto"/>
            <w:noWrap/>
            <w:vAlign w:val="center"/>
            <w:hideMark/>
          </w:tcPr>
          <w:p w14:paraId="775E62C8" w14:textId="77777777" w:rsidR="00F95F29" w:rsidRPr="0038459F" w:rsidRDefault="00F95F29" w:rsidP="00F95F29">
            <w:pPr>
              <w:spacing w:after="0"/>
              <w:ind w:firstLine="0"/>
              <w:jc w:val="center"/>
              <w:rPr>
                <w:rFonts w:eastAsia="Times New Roman" w:cs="Times New Roman"/>
                <w:sz w:val="20"/>
                <w:szCs w:val="20"/>
                <w:highlight w:val="lightGray"/>
              </w:rPr>
            </w:pPr>
          </w:p>
        </w:tc>
        <w:tc>
          <w:tcPr>
            <w:tcW w:w="371" w:type="pct"/>
            <w:tcBorders>
              <w:top w:val="nil"/>
              <w:left w:val="nil"/>
              <w:bottom w:val="single" w:sz="4" w:space="0" w:color="auto"/>
              <w:right w:val="nil"/>
            </w:tcBorders>
            <w:shd w:val="clear" w:color="auto" w:fill="auto"/>
            <w:noWrap/>
            <w:vAlign w:val="center"/>
            <w:hideMark/>
          </w:tcPr>
          <w:p w14:paraId="7B008405" w14:textId="77777777" w:rsidR="00F95F29" w:rsidRPr="0038459F" w:rsidRDefault="00F95F29" w:rsidP="00F95F29">
            <w:pPr>
              <w:spacing w:after="0"/>
              <w:ind w:firstLine="0"/>
              <w:jc w:val="center"/>
              <w:rPr>
                <w:rFonts w:eastAsia="Times New Roman" w:cs="Times New Roman"/>
                <w:sz w:val="20"/>
                <w:szCs w:val="20"/>
                <w:highlight w:val="lightGray"/>
              </w:rPr>
            </w:pPr>
          </w:p>
        </w:tc>
        <w:tc>
          <w:tcPr>
            <w:tcW w:w="434" w:type="pct"/>
            <w:tcBorders>
              <w:top w:val="nil"/>
              <w:left w:val="nil"/>
              <w:bottom w:val="single" w:sz="4" w:space="0" w:color="auto"/>
              <w:right w:val="nil"/>
            </w:tcBorders>
            <w:shd w:val="clear" w:color="auto" w:fill="auto"/>
            <w:noWrap/>
            <w:vAlign w:val="center"/>
            <w:hideMark/>
          </w:tcPr>
          <w:p w14:paraId="5DD5AD46" w14:textId="77777777" w:rsidR="00F95F29" w:rsidRPr="0038459F" w:rsidRDefault="00F95F29" w:rsidP="00F95F29">
            <w:pPr>
              <w:spacing w:after="0"/>
              <w:ind w:firstLine="0"/>
              <w:jc w:val="center"/>
              <w:rPr>
                <w:rFonts w:eastAsia="Times New Roman" w:cs="Times New Roman"/>
                <w:sz w:val="20"/>
                <w:szCs w:val="20"/>
                <w:highlight w:val="lightGray"/>
              </w:rPr>
            </w:pPr>
          </w:p>
        </w:tc>
        <w:tc>
          <w:tcPr>
            <w:tcW w:w="367" w:type="pct"/>
            <w:tcBorders>
              <w:top w:val="nil"/>
              <w:left w:val="nil"/>
              <w:bottom w:val="single" w:sz="4" w:space="0" w:color="auto"/>
              <w:right w:val="nil"/>
            </w:tcBorders>
            <w:shd w:val="clear" w:color="auto" w:fill="auto"/>
            <w:noWrap/>
            <w:vAlign w:val="center"/>
            <w:hideMark/>
          </w:tcPr>
          <w:p w14:paraId="69654133" w14:textId="77777777" w:rsidR="00F95F29" w:rsidRPr="0038459F" w:rsidRDefault="00F95F29" w:rsidP="00F95F29">
            <w:pPr>
              <w:spacing w:after="0"/>
              <w:ind w:firstLine="0"/>
              <w:jc w:val="center"/>
              <w:rPr>
                <w:rFonts w:eastAsia="Times New Roman" w:cs="Times New Roman"/>
                <w:sz w:val="20"/>
                <w:szCs w:val="20"/>
                <w:highlight w:val="lightGray"/>
              </w:rPr>
            </w:pPr>
          </w:p>
        </w:tc>
        <w:tc>
          <w:tcPr>
            <w:tcW w:w="409" w:type="pct"/>
            <w:tcBorders>
              <w:top w:val="nil"/>
              <w:left w:val="nil"/>
              <w:bottom w:val="single" w:sz="4" w:space="0" w:color="auto"/>
              <w:right w:val="nil"/>
            </w:tcBorders>
            <w:shd w:val="clear" w:color="auto" w:fill="auto"/>
            <w:noWrap/>
            <w:vAlign w:val="center"/>
            <w:hideMark/>
          </w:tcPr>
          <w:p w14:paraId="6C833B82" w14:textId="77777777" w:rsidR="00F95F29" w:rsidRPr="0038459F" w:rsidRDefault="00F95F29" w:rsidP="00F95F29">
            <w:pPr>
              <w:spacing w:after="0"/>
              <w:ind w:firstLine="0"/>
              <w:jc w:val="center"/>
              <w:rPr>
                <w:rFonts w:eastAsia="Times New Roman" w:cs="Times New Roman"/>
                <w:sz w:val="20"/>
                <w:szCs w:val="20"/>
                <w:highlight w:val="lightGray"/>
              </w:rPr>
            </w:pPr>
          </w:p>
        </w:tc>
        <w:tc>
          <w:tcPr>
            <w:tcW w:w="434" w:type="pct"/>
            <w:tcBorders>
              <w:top w:val="nil"/>
              <w:left w:val="nil"/>
              <w:bottom w:val="single" w:sz="4" w:space="0" w:color="auto"/>
              <w:right w:val="nil"/>
            </w:tcBorders>
            <w:shd w:val="clear" w:color="auto" w:fill="auto"/>
            <w:noWrap/>
            <w:vAlign w:val="center"/>
            <w:hideMark/>
          </w:tcPr>
          <w:p w14:paraId="018EDF58" w14:textId="77777777" w:rsidR="00F95F29" w:rsidRPr="0038459F" w:rsidRDefault="00F95F29" w:rsidP="00F95F29">
            <w:pPr>
              <w:spacing w:after="0"/>
              <w:ind w:firstLine="0"/>
              <w:jc w:val="center"/>
              <w:rPr>
                <w:rFonts w:eastAsia="Times New Roman" w:cs="Times New Roman"/>
                <w:sz w:val="20"/>
                <w:szCs w:val="20"/>
                <w:highlight w:val="lightGray"/>
              </w:rPr>
            </w:pPr>
          </w:p>
        </w:tc>
        <w:tc>
          <w:tcPr>
            <w:tcW w:w="367" w:type="pct"/>
            <w:tcBorders>
              <w:top w:val="nil"/>
              <w:left w:val="nil"/>
              <w:bottom w:val="single" w:sz="4" w:space="0" w:color="auto"/>
              <w:right w:val="nil"/>
            </w:tcBorders>
            <w:shd w:val="clear" w:color="auto" w:fill="auto"/>
            <w:noWrap/>
            <w:vAlign w:val="center"/>
            <w:hideMark/>
          </w:tcPr>
          <w:p w14:paraId="611AE2D9" w14:textId="77777777" w:rsidR="00F95F29" w:rsidRPr="0038459F" w:rsidRDefault="00F95F29" w:rsidP="00F95F29">
            <w:pPr>
              <w:spacing w:after="0"/>
              <w:ind w:firstLine="0"/>
              <w:jc w:val="center"/>
              <w:rPr>
                <w:rFonts w:eastAsia="Times New Roman" w:cs="Times New Roman"/>
                <w:i/>
                <w:iCs/>
                <w:color w:val="000000"/>
                <w:szCs w:val="24"/>
                <w:highlight w:val="lightGray"/>
              </w:rPr>
            </w:pPr>
          </w:p>
        </w:tc>
      </w:tr>
      <w:tr w:rsidR="00F95F29" w:rsidRPr="0038459F" w14:paraId="6470232E" w14:textId="77777777" w:rsidTr="00F95F29">
        <w:trPr>
          <w:trHeight w:val="278"/>
        </w:trPr>
        <w:tc>
          <w:tcPr>
            <w:tcW w:w="1384" w:type="pct"/>
            <w:vMerge w:val="restart"/>
            <w:tcBorders>
              <w:top w:val="single" w:sz="4" w:space="0" w:color="auto"/>
              <w:left w:val="single" w:sz="4" w:space="0" w:color="auto"/>
              <w:bottom w:val="single" w:sz="4" w:space="0" w:color="auto"/>
              <w:right w:val="single" w:sz="4" w:space="0" w:color="auto"/>
            </w:tcBorders>
            <w:shd w:val="clear" w:color="000000" w:fill="BDD6EE"/>
            <w:noWrap/>
            <w:vAlign w:val="center"/>
            <w:hideMark/>
          </w:tcPr>
          <w:p w14:paraId="6BEFD717" w14:textId="77777777" w:rsidR="00F95F29" w:rsidRPr="0038459F" w:rsidRDefault="00F95F29" w:rsidP="00F95F29">
            <w:pPr>
              <w:spacing w:after="0"/>
              <w:ind w:firstLine="0"/>
              <w:jc w:val="center"/>
              <w:rPr>
                <w:rFonts w:eastAsia="Times New Roman" w:cs="Times New Roman"/>
                <w:b/>
                <w:bCs/>
                <w:color w:val="000000"/>
                <w:sz w:val="20"/>
                <w:szCs w:val="20"/>
                <w:highlight w:val="lightGray"/>
              </w:rPr>
            </w:pPr>
            <w:r w:rsidRPr="00F7392F">
              <w:rPr>
                <w:rFonts w:eastAsia="Times New Roman" w:cs="Times New Roman"/>
                <w:b/>
                <w:bCs/>
                <w:color w:val="000000"/>
                <w:sz w:val="20"/>
                <w:szCs w:val="20"/>
              </w:rPr>
              <w:t>Programma/pensijas, pabalsta veids</w:t>
            </w:r>
          </w:p>
        </w:tc>
        <w:tc>
          <w:tcPr>
            <w:tcW w:w="1234" w:type="pct"/>
            <w:gridSpan w:val="3"/>
            <w:tcBorders>
              <w:top w:val="single" w:sz="4" w:space="0" w:color="auto"/>
              <w:left w:val="single" w:sz="4" w:space="0" w:color="auto"/>
              <w:bottom w:val="single" w:sz="4" w:space="0" w:color="auto"/>
              <w:right w:val="single" w:sz="4" w:space="0" w:color="auto"/>
            </w:tcBorders>
            <w:shd w:val="clear" w:color="000000" w:fill="BDD6EE"/>
            <w:vAlign w:val="center"/>
            <w:hideMark/>
          </w:tcPr>
          <w:p w14:paraId="6B1B8E4E" w14:textId="42B7EEDC"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202</w:t>
            </w:r>
            <w:r w:rsidR="002D1F6F" w:rsidRPr="002D1F6F">
              <w:rPr>
                <w:rFonts w:eastAsia="Times New Roman" w:cs="Times New Roman"/>
                <w:b/>
                <w:bCs/>
                <w:color w:val="000000"/>
                <w:sz w:val="20"/>
                <w:szCs w:val="20"/>
              </w:rPr>
              <w:t>4</w:t>
            </w:r>
            <w:r w:rsidRPr="002D1F6F">
              <w:rPr>
                <w:rFonts w:eastAsia="Times New Roman" w:cs="Times New Roman"/>
                <w:b/>
                <w:bCs/>
                <w:color w:val="000000"/>
                <w:sz w:val="20"/>
                <w:szCs w:val="20"/>
              </w:rPr>
              <w:t>. gada</w:t>
            </w:r>
          </w:p>
        </w:tc>
        <w:tc>
          <w:tcPr>
            <w:tcW w:w="1172" w:type="pct"/>
            <w:gridSpan w:val="3"/>
            <w:tcBorders>
              <w:top w:val="single" w:sz="4" w:space="0" w:color="auto"/>
              <w:left w:val="single" w:sz="4" w:space="0" w:color="auto"/>
              <w:bottom w:val="single" w:sz="4" w:space="0" w:color="auto"/>
              <w:right w:val="single" w:sz="4" w:space="0" w:color="auto"/>
            </w:tcBorders>
            <w:shd w:val="clear" w:color="000000" w:fill="BDD6EE"/>
            <w:vAlign w:val="center"/>
            <w:hideMark/>
          </w:tcPr>
          <w:p w14:paraId="1B2F3768" w14:textId="6D75F39C"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202</w:t>
            </w:r>
            <w:r w:rsidR="002D1F6F" w:rsidRPr="002D1F6F">
              <w:rPr>
                <w:rFonts w:eastAsia="Times New Roman" w:cs="Times New Roman"/>
                <w:b/>
                <w:bCs/>
                <w:color w:val="000000"/>
                <w:sz w:val="20"/>
                <w:szCs w:val="20"/>
              </w:rPr>
              <w:t>5</w:t>
            </w:r>
            <w:r w:rsidRPr="002D1F6F">
              <w:rPr>
                <w:rFonts w:eastAsia="Times New Roman" w:cs="Times New Roman"/>
                <w:b/>
                <w:bCs/>
                <w:color w:val="000000"/>
                <w:sz w:val="20"/>
                <w:szCs w:val="20"/>
              </w:rPr>
              <w:t>. gada</w:t>
            </w:r>
          </w:p>
        </w:tc>
        <w:tc>
          <w:tcPr>
            <w:tcW w:w="1210" w:type="pct"/>
            <w:gridSpan w:val="3"/>
            <w:tcBorders>
              <w:top w:val="single" w:sz="4" w:space="0" w:color="auto"/>
              <w:left w:val="single" w:sz="4" w:space="0" w:color="auto"/>
              <w:bottom w:val="single" w:sz="4" w:space="0" w:color="auto"/>
              <w:right w:val="single" w:sz="4" w:space="0" w:color="auto"/>
            </w:tcBorders>
            <w:shd w:val="clear" w:color="000000" w:fill="BDD6EE"/>
            <w:vAlign w:val="center"/>
            <w:hideMark/>
          </w:tcPr>
          <w:p w14:paraId="7D6D4800" w14:textId="159B58D1" w:rsidR="00F95F29" w:rsidRPr="0038459F" w:rsidRDefault="00F95F29" w:rsidP="00F95F29">
            <w:pPr>
              <w:spacing w:after="0"/>
              <w:ind w:firstLine="0"/>
              <w:jc w:val="center"/>
              <w:rPr>
                <w:rFonts w:eastAsia="Times New Roman" w:cs="Times New Roman"/>
                <w:b/>
                <w:bCs/>
                <w:color w:val="000000"/>
                <w:sz w:val="20"/>
                <w:szCs w:val="20"/>
                <w:highlight w:val="lightGray"/>
              </w:rPr>
            </w:pPr>
            <w:r w:rsidRPr="00283F89">
              <w:rPr>
                <w:rFonts w:eastAsia="Times New Roman" w:cs="Times New Roman"/>
                <w:b/>
                <w:bCs/>
                <w:color w:val="000000"/>
                <w:sz w:val="20"/>
                <w:szCs w:val="20"/>
              </w:rPr>
              <w:t>202</w:t>
            </w:r>
            <w:r w:rsidR="002D1F6F" w:rsidRPr="00283F89">
              <w:rPr>
                <w:rFonts w:eastAsia="Times New Roman" w:cs="Times New Roman"/>
                <w:b/>
                <w:bCs/>
                <w:color w:val="000000"/>
                <w:sz w:val="20"/>
                <w:szCs w:val="20"/>
              </w:rPr>
              <w:t>6</w:t>
            </w:r>
            <w:r w:rsidRPr="00283F89">
              <w:rPr>
                <w:rFonts w:eastAsia="Times New Roman" w:cs="Times New Roman"/>
                <w:b/>
                <w:bCs/>
                <w:color w:val="000000"/>
                <w:sz w:val="20"/>
                <w:szCs w:val="20"/>
              </w:rPr>
              <w:t>. gada</w:t>
            </w:r>
          </w:p>
        </w:tc>
      </w:tr>
      <w:tr w:rsidR="00F7392F" w:rsidRPr="0038459F" w14:paraId="0A35C5F1" w14:textId="77777777" w:rsidTr="00F95F29">
        <w:trPr>
          <w:trHeight w:val="1020"/>
        </w:trPr>
        <w:tc>
          <w:tcPr>
            <w:tcW w:w="1384" w:type="pct"/>
            <w:vMerge/>
            <w:tcBorders>
              <w:top w:val="single" w:sz="4" w:space="0" w:color="auto"/>
              <w:left w:val="single" w:sz="4" w:space="0" w:color="auto"/>
              <w:bottom w:val="single" w:sz="4" w:space="0" w:color="auto"/>
              <w:right w:val="single" w:sz="4" w:space="0" w:color="auto"/>
            </w:tcBorders>
            <w:vAlign w:val="center"/>
            <w:hideMark/>
          </w:tcPr>
          <w:p w14:paraId="3D028D3A" w14:textId="77777777" w:rsidR="00F95F29" w:rsidRPr="0038459F" w:rsidRDefault="00F95F29" w:rsidP="00F95F29">
            <w:pPr>
              <w:spacing w:after="0"/>
              <w:ind w:firstLine="0"/>
              <w:jc w:val="left"/>
              <w:rPr>
                <w:rFonts w:eastAsia="Times New Roman" w:cs="Times New Roman"/>
                <w:b/>
                <w:bCs/>
                <w:color w:val="000000"/>
                <w:sz w:val="20"/>
                <w:szCs w:val="20"/>
                <w:highlight w:val="lightGray"/>
              </w:rPr>
            </w:pPr>
          </w:p>
        </w:tc>
        <w:tc>
          <w:tcPr>
            <w:tcW w:w="444"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25F0CB08"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pensijas/ pabalsta/ atlīdzības apmērs vidēji mēnesī (</w:t>
            </w:r>
            <w:proofErr w:type="spellStart"/>
            <w:r w:rsidRPr="002D1F6F">
              <w:rPr>
                <w:rFonts w:eastAsia="Times New Roman" w:cs="Times New Roman"/>
                <w:b/>
                <w:bCs/>
                <w:i/>
                <w:iCs/>
                <w:color w:val="000000"/>
                <w:sz w:val="20"/>
                <w:szCs w:val="20"/>
              </w:rPr>
              <w:t>euro</w:t>
            </w:r>
            <w:proofErr w:type="spellEnd"/>
            <w:r w:rsidRPr="002D1F6F">
              <w:rPr>
                <w:rFonts w:eastAsia="Times New Roman" w:cs="Times New Roman"/>
                <w:b/>
                <w:bCs/>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21A9A708"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kontingents</w:t>
            </w:r>
          </w:p>
          <w:p w14:paraId="0479AF6F"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(vidēji mēnesī)</w:t>
            </w:r>
          </w:p>
        </w:tc>
        <w:tc>
          <w:tcPr>
            <w:tcW w:w="356"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4B4BDA6A"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izdevumi kopā</w:t>
            </w:r>
          </w:p>
          <w:p w14:paraId="3806EAFA"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w:t>
            </w:r>
            <w:proofErr w:type="spellStart"/>
            <w:r w:rsidRPr="002D1F6F">
              <w:rPr>
                <w:rFonts w:eastAsia="Times New Roman" w:cs="Times New Roman"/>
                <w:b/>
                <w:bCs/>
                <w:i/>
                <w:iCs/>
                <w:color w:val="000000"/>
                <w:sz w:val="20"/>
                <w:szCs w:val="20"/>
              </w:rPr>
              <w:t>euro</w:t>
            </w:r>
            <w:proofErr w:type="spellEnd"/>
            <w:r w:rsidRPr="002D1F6F">
              <w:rPr>
                <w:rFonts w:eastAsia="Times New Roman" w:cs="Times New Roman"/>
                <w:b/>
                <w:bCs/>
                <w:color w:val="000000"/>
                <w:sz w:val="20"/>
                <w:szCs w:val="20"/>
              </w:rPr>
              <w:t>)</w:t>
            </w:r>
          </w:p>
        </w:tc>
        <w:tc>
          <w:tcPr>
            <w:tcW w:w="371"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7C7143D2"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pensijas/ pabalsta/ atlīdzības apmērs vidēji mēnesī (</w:t>
            </w:r>
            <w:proofErr w:type="spellStart"/>
            <w:r w:rsidRPr="002D1F6F">
              <w:rPr>
                <w:rFonts w:eastAsia="Times New Roman" w:cs="Times New Roman"/>
                <w:b/>
                <w:bCs/>
                <w:i/>
                <w:iCs/>
                <w:color w:val="000000"/>
                <w:sz w:val="20"/>
                <w:szCs w:val="20"/>
              </w:rPr>
              <w:t>euro</w:t>
            </w:r>
            <w:proofErr w:type="spellEnd"/>
            <w:r w:rsidRPr="002D1F6F">
              <w:rPr>
                <w:rFonts w:eastAsia="Times New Roman" w:cs="Times New Roman"/>
                <w:b/>
                <w:bCs/>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2043C8AD"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kontingents</w:t>
            </w:r>
          </w:p>
          <w:p w14:paraId="63765236"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(vidēji mēnesī)</w:t>
            </w:r>
          </w:p>
        </w:tc>
        <w:tc>
          <w:tcPr>
            <w:tcW w:w="367"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4D3CD8C1"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izdevumi kopā</w:t>
            </w:r>
          </w:p>
          <w:p w14:paraId="3254369C" w14:textId="77777777" w:rsidR="00F95F29" w:rsidRPr="002D1F6F" w:rsidRDefault="00F95F29" w:rsidP="00F95F29">
            <w:pPr>
              <w:spacing w:after="0"/>
              <w:ind w:firstLine="0"/>
              <w:jc w:val="center"/>
              <w:rPr>
                <w:rFonts w:eastAsia="Times New Roman" w:cs="Times New Roman"/>
                <w:b/>
                <w:bCs/>
                <w:color w:val="000000"/>
                <w:sz w:val="20"/>
                <w:szCs w:val="20"/>
              </w:rPr>
            </w:pPr>
            <w:r w:rsidRPr="002D1F6F">
              <w:rPr>
                <w:rFonts w:eastAsia="Times New Roman" w:cs="Times New Roman"/>
                <w:b/>
                <w:bCs/>
                <w:color w:val="000000"/>
                <w:sz w:val="20"/>
                <w:szCs w:val="20"/>
              </w:rPr>
              <w:t>(</w:t>
            </w:r>
            <w:proofErr w:type="spellStart"/>
            <w:r w:rsidRPr="002D1F6F">
              <w:rPr>
                <w:rFonts w:eastAsia="Times New Roman" w:cs="Times New Roman"/>
                <w:b/>
                <w:bCs/>
                <w:i/>
                <w:iCs/>
                <w:color w:val="000000"/>
                <w:sz w:val="20"/>
                <w:szCs w:val="20"/>
              </w:rPr>
              <w:t>euro</w:t>
            </w:r>
            <w:proofErr w:type="spellEnd"/>
            <w:r w:rsidRPr="002D1F6F">
              <w:rPr>
                <w:rFonts w:eastAsia="Times New Roman" w:cs="Times New Roman"/>
                <w:b/>
                <w:bCs/>
                <w:color w:val="000000"/>
                <w:sz w:val="20"/>
                <w:szCs w:val="20"/>
              </w:rPr>
              <w:t>)</w:t>
            </w:r>
          </w:p>
        </w:tc>
        <w:tc>
          <w:tcPr>
            <w:tcW w:w="409"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63BFD7FC" w14:textId="77777777" w:rsidR="00F95F29" w:rsidRPr="00F7392F" w:rsidRDefault="00F95F29" w:rsidP="00F95F29">
            <w:pPr>
              <w:spacing w:after="0"/>
              <w:ind w:firstLine="0"/>
              <w:jc w:val="center"/>
              <w:rPr>
                <w:rFonts w:eastAsia="Times New Roman" w:cs="Times New Roman"/>
                <w:b/>
                <w:bCs/>
                <w:color w:val="000000"/>
                <w:sz w:val="20"/>
                <w:szCs w:val="20"/>
              </w:rPr>
            </w:pPr>
            <w:r w:rsidRPr="00F7392F">
              <w:rPr>
                <w:rFonts w:eastAsia="Times New Roman" w:cs="Times New Roman"/>
                <w:b/>
                <w:bCs/>
                <w:color w:val="000000"/>
                <w:sz w:val="20"/>
                <w:szCs w:val="20"/>
              </w:rPr>
              <w:t>pensijas/ pabalsta/ atlīdzības apmērs vidēji mēnesī (</w:t>
            </w:r>
            <w:proofErr w:type="spellStart"/>
            <w:r w:rsidRPr="00F7392F">
              <w:rPr>
                <w:rFonts w:eastAsia="Times New Roman" w:cs="Times New Roman"/>
                <w:b/>
                <w:bCs/>
                <w:i/>
                <w:iCs/>
                <w:color w:val="000000"/>
                <w:sz w:val="20"/>
                <w:szCs w:val="20"/>
              </w:rPr>
              <w:t>euro</w:t>
            </w:r>
            <w:proofErr w:type="spellEnd"/>
            <w:r w:rsidRPr="00F7392F">
              <w:rPr>
                <w:rFonts w:eastAsia="Times New Roman" w:cs="Times New Roman"/>
                <w:b/>
                <w:bCs/>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51CDCC2B" w14:textId="77777777" w:rsidR="00F95F29" w:rsidRPr="00F7392F" w:rsidRDefault="00F95F29" w:rsidP="00F95F29">
            <w:pPr>
              <w:spacing w:after="0"/>
              <w:ind w:firstLine="0"/>
              <w:jc w:val="center"/>
              <w:rPr>
                <w:rFonts w:eastAsia="Times New Roman" w:cs="Times New Roman"/>
                <w:b/>
                <w:bCs/>
                <w:color w:val="000000"/>
                <w:sz w:val="20"/>
                <w:szCs w:val="20"/>
              </w:rPr>
            </w:pPr>
            <w:r w:rsidRPr="00F7392F">
              <w:rPr>
                <w:rFonts w:eastAsia="Times New Roman" w:cs="Times New Roman"/>
                <w:b/>
                <w:bCs/>
                <w:color w:val="000000"/>
                <w:sz w:val="20"/>
                <w:szCs w:val="20"/>
              </w:rPr>
              <w:t>kontingents</w:t>
            </w:r>
          </w:p>
          <w:p w14:paraId="5F1E5D7E" w14:textId="77777777" w:rsidR="00F95F29" w:rsidRPr="00F7392F" w:rsidRDefault="00F95F29" w:rsidP="00F95F29">
            <w:pPr>
              <w:spacing w:after="0"/>
              <w:ind w:firstLine="0"/>
              <w:jc w:val="center"/>
              <w:rPr>
                <w:rFonts w:eastAsia="Times New Roman" w:cs="Times New Roman"/>
                <w:b/>
                <w:bCs/>
                <w:color w:val="000000"/>
                <w:sz w:val="20"/>
                <w:szCs w:val="20"/>
              </w:rPr>
            </w:pPr>
            <w:r w:rsidRPr="00F7392F">
              <w:rPr>
                <w:rFonts w:eastAsia="Times New Roman" w:cs="Times New Roman"/>
                <w:b/>
                <w:bCs/>
                <w:color w:val="000000"/>
                <w:sz w:val="20"/>
                <w:szCs w:val="20"/>
              </w:rPr>
              <w:t>(vidēji mēnesī)</w:t>
            </w:r>
          </w:p>
        </w:tc>
        <w:tc>
          <w:tcPr>
            <w:tcW w:w="367"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2AF59CBE" w14:textId="77777777" w:rsidR="00F95F29" w:rsidRPr="00F7392F" w:rsidRDefault="00F95F29" w:rsidP="00F95F29">
            <w:pPr>
              <w:spacing w:after="0"/>
              <w:ind w:firstLine="0"/>
              <w:jc w:val="center"/>
              <w:rPr>
                <w:rFonts w:eastAsia="Times New Roman" w:cs="Times New Roman"/>
                <w:b/>
                <w:bCs/>
                <w:color w:val="000000"/>
                <w:sz w:val="20"/>
                <w:szCs w:val="20"/>
              </w:rPr>
            </w:pPr>
            <w:r w:rsidRPr="00F7392F">
              <w:rPr>
                <w:rFonts w:eastAsia="Times New Roman" w:cs="Times New Roman"/>
                <w:b/>
                <w:bCs/>
                <w:color w:val="000000"/>
                <w:sz w:val="20"/>
                <w:szCs w:val="20"/>
              </w:rPr>
              <w:t>izdevumi kopā</w:t>
            </w:r>
          </w:p>
          <w:p w14:paraId="2B8AE311" w14:textId="77777777" w:rsidR="00F95F29" w:rsidRPr="00F7392F" w:rsidRDefault="00F95F29" w:rsidP="00F95F29">
            <w:pPr>
              <w:spacing w:after="0"/>
              <w:ind w:firstLine="0"/>
              <w:jc w:val="center"/>
              <w:rPr>
                <w:rFonts w:eastAsia="Times New Roman" w:cs="Times New Roman"/>
                <w:b/>
                <w:bCs/>
                <w:color w:val="000000"/>
                <w:sz w:val="20"/>
                <w:szCs w:val="20"/>
              </w:rPr>
            </w:pPr>
            <w:r w:rsidRPr="00F7392F">
              <w:rPr>
                <w:rFonts w:eastAsia="Times New Roman" w:cs="Times New Roman"/>
                <w:b/>
                <w:bCs/>
                <w:color w:val="000000"/>
                <w:sz w:val="20"/>
                <w:szCs w:val="20"/>
              </w:rPr>
              <w:t>(</w:t>
            </w:r>
            <w:proofErr w:type="spellStart"/>
            <w:r w:rsidRPr="00F7392F">
              <w:rPr>
                <w:rFonts w:eastAsia="Times New Roman" w:cs="Times New Roman"/>
                <w:b/>
                <w:bCs/>
                <w:i/>
                <w:iCs/>
                <w:color w:val="000000"/>
                <w:sz w:val="20"/>
                <w:szCs w:val="20"/>
              </w:rPr>
              <w:t>euro</w:t>
            </w:r>
            <w:proofErr w:type="spellEnd"/>
            <w:r w:rsidRPr="00F7392F">
              <w:rPr>
                <w:rFonts w:eastAsia="Times New Roman" w:cs="Times New Roman"/>
                <w:b/>
                <w:bCs/>
                <w:color w:val="000000"/>
                <w:sz w:val="20"/>
                <w:szCs w:val="20"/>
              </w:rPr>
              <w:t>)</w:t>
            </w:r>
          </w:p>
        </w:tc>
      </w:tr>
      <w:tr w:rsidR="00F7392F" w:rsidRPr="0038459F" w14:paraId="6A5E1845" w14:textId="77777777" w:rsidTr="00A470CF">
        <w:trPr>
          <w:trHeight w:val="265"/>
        </w:trPr>
        <w:tc>
          <w:tcPr>
            <w:tcW w:w="1384" w:type="pct"/>
            <w:tcBorders>
              <w:top w:val="single" w:sz="4" w:space="0" w:color="auto"/>
              <w:left w:val="single" w:sz="8" w:space="0" w:color="auto"/>
              <w:bottom w:val="nil"/>
              <w:right w:val="single" w:sz="8" w:space="0" w:color="auto"/>
            </w:tcBorders>
            <w:shd w:val="clear" w:color="000000" w:fill="FFFFFF"/>
            <w:noWrap/>
            <w:vAlign w:val="center"/>
            <w:hideMark/>
          </w:tcPr>
          <w:p w14:paraId="4BF75BF5" w14:textId="77777777" w:rsidR="002D1F6F" w:rsidRPr="002D1F6F" w:rsidRDefault="002D1F6F" w:rsidP="002D1F6F">
            <w:pPr>
              <w:spacing w:after="0"/>
              <w:ind w:firstLine="0"/>
              <w:rPr>
                <w:rFonts w:eastAsia="Times New Roman" w:cs="Times New Roman"/>
                <w:b/>
                <w:bCs/>
                <w:sz w:val="18"/>
                <w:szCs w:val="18"/>
              </w:rPr>
            </w:pPr>
            <w:r w:rsidRPr="002D1F6F">
              <w:rPr>
                <w:rFonts w:eastAsia="Times New Roman" w:cs="Times New Roman"/>
                <w:b/>
                <w:bCs/>
                <w:sz w:val="18"/>
                <w:szCs w:val="18"/>
              </w:rPr>
              <w:t xml:space="preserve">Izdevumi kopā </w:t>
            </w:r>
          </w:p>
        </w:tc>
        <w:tc>
          <w:tcPr>
            <w:tcW w:w="444" w:type="pct"/>
            <w:vMerge w:val="restart"/>
            <w:tcBorders>
              <w:top w:val="single" w:sz="4" w:space="0" w:color="auto"/>
              <w:left w:val="single" w:sz="8" w:space="0" w:color="auto"/>
              <w:bottom w:val="single" w:sz="8" w:space="0" w:color="000000"/>
              <w:right w:val="single" w:sz="8" w:space="0" w:color="auto"/>
            </w:tcBorders>
            <w:shd w:val="clear" w:color="auto" w:fill="auto"/>
            <w:hideMark/>
          </w:tcPr>
          <w:p w14:paraId="7EF5930A" w14:textId="77777777" w:rsidR="002D1F6F" w:rsidRPr="002D1F6F" w:rsidRDefault="002D1F6F" w:rsidP="002D1F6F">
            <w:pPr>
              <w:spacing w:after="0"/>
              <w:ind w:firstLine="0"/>
              <w:jc w:val="center"/>
              <w:rPr>
                <w:rFonts w:eastAsia="Times New Roman" w:cs="Times New Roman"/>
                <w:sz w:val="18"/>
                <w:szCs w:val="18"/>
              </w:rPr>
            </w:pPr>
            <w:r w:rsidRPr="002D1F6F">
              <w:rPr>
                <w:sz w:val="18"/>
                <w:szCs w:val="18"/>
              </w:rPr>
              <w:t xml:space="preserve"> </w:t>
            </w:r>
          </w:p>
          <w:p w14:paraId="6B8FA2B0" w14:textId="67673F55" w:rsidR="002D1F6F" w:rsidRPr="002D1F6F" w:rsidRDefault="002D1F6F" w:rsidP="002D1F6F">
            <w:pPr>
              <w:spacing w:after="0"/>
              <w:ind w:firstLine="0"/>
              <w:jc w:val="center"/>
              <w:rPr>
                <w:rFonts w:eastAsia="Times New Roman" w:cs="Times New Roman"/>
                <w:sz w:val="18"/>
                <w:szCs w:val="18"/>
              </w:rPr>
            </w:pPr>
          </w:p>
        </w:tc>
        <w:tc>
          <w:tcPr>
            <w:tcW w:w="434" w:type="pct"/>
            <w:vMerge w:val="restart"/>
            <w:tcBorders>
              <w:top w:val="single" w:sz="4" w:space="0" w:color="auto"/>
              <w:left w:val="single" w:sz="8" w:space="0" w:color="auto"/>
              <w:bottom w:val="single" w:sz="8" w:space="0" w:color="000000"/>
              <w:right w:val="single" w:sz="8" w:space="0" w:color="auto"/>
            </w:tcBorders>
            <w:shd w:val="clear" w:color="auto" w:fill="auto"/>
            <w:hideMark/>
          </w:tcPr>
          <w:p w14:paraId="40ADC563" w14:textId="77777777" w:rsidR="002D1F6F" w:rsidRPr="002D1F6F" w:rsidRDefault="002D1F6F" w:rsidP="002D1F6F">
            <w:pPr>
              <w:spacing w:after="0"/>
              <w:ind w:firstLine="0"/>
              <w:jc w:val="center"/>
              <w:rPr>
                <w:rFonts w:eastAsia="Times New Roman" w:cs="Times New Roman"/>
                <w:sz w:val="18"/>
                <w:szCs w:val="18"/>
              </w:rPr>
            </w:pPr>
            <w:r w:rsidRPr="002D1F6F">
              <w:rPr>
                <w:sz w:val="18"/>
                <w:szCs w:val="18"/>
              </w:rPr>
              <w:t xml:space="preserve"> </w:t>
            </w:r>
          </w:p>
          <w:p w14:paraId="00612E3B" w14:textId="2E16EDCE" w:rsidR="002D1F6F" w:rsidRPr="002D1F6F" w:rsidRDefault="002D1F6F" w:rsidP="002D1F6F">
            <w:pPr>
              <w:spacing w:after="0"/>
              <w:ind w:firstLine="0"/>
              <w:jc w:val="center"/>
              <w:rPr>
                <w:rFonts w:eastAsia="Times New Roman" w:cs="Times New Roman"/>
                <w:sz w:val="18"/>
                <w:szCs w:val="18"/>
              </w:rPr>
            </w:pPr>
          </w:p>
        </w:tc>
        <w:tc>
          <w:tcPr>
            <w:tcW w:w="356" w:type="pct"/>
            <w:vMerge w:val="restart"/>
            <w:tcBorders>
              <w:top w:val="single" w:sz="4" w:space="0" w:color="auto"/>
              <w:left w:val="single" w:sz="8" w:space="0" w:color="auto"/>
              <w:bottom w:val="single" w:sz="8" w:space="0" w:color="000000"/>
              <w:right w:val="single" w:sz="8" w:space="0" w:color="auto"/>
            </w:tcBorders>
            <w:shd w:val="clear" w:color="auto" w:fill="auto"/>
          </w:tcPr>
          <w:p w14:paraId="1E1210A4" w14:textId="77777777" w:rsidR="002D1F6F" w:rsidRPr="002D1F6F" w:rsidRDefault="002D1F6F" w:rsidP="00F7392F">
            <w:pPr>
              <w:spacing w:after="0"/>
              <w:ind w:firstLine="0"/>
              <w:rPr>
                <w:rFonts w:eastAsia="Times New Roman" w:cs="Times New Roman"/>
                <w:b/>
                <w:bCs/>
                <w:sz w:val="18"/>
                <w:szCs w:val="18"/>
              </w:rPr>
            </w:pPr>
            <w:r w:rsidRPr="002D1F6F">
              <w:rPr>
                <w:sz w:val="18"/>
                <w:szCs w:val="18"/>
              </w:rPr>
              <w:t>18 924 780</w:t>
            </w:r>
          </w:p>
          <w:p w14:paraId="2B373D50" w14:textId="657A40BA" w:rsidR="002D1F6F" w:rsidRPr="002D1F6F" w:rsidRDefault="002D1F6F" w:rsidP="002D1F6F">
            <w:pPr>
              <w:spacing w:after="0"/>
              <w:ind w:firstLine="0"/>
              <w:jc w:val="right"/>
              <w:rPr>
                <w:rFonts w:eastAsia="Times New Roman" w:cs="Times New Roman"/>
                <w:b/>
                <w:bCs/>
                <w:sz w:val="18"/>
                <w:szCs w:val="18"/>
              </w:rPr>
            </w:pPr>
          </w:p>
        </w:tc>
        <w:tc>
          <w:tcPr>
            <w:tcW w:w="371" w:type="pct"/>
            <w:vMerge w:val="restart"/>
            <w:tcBorders>
              <w:top w:val="single" w:sz="4" w:space="0" w:color="auto"/>
              <w:left w:val="single" w:sz="8" w:space="0" w:color="auto"/>
              <w:bottom w:val="single" w:sz="8" w:space="0" w:color="000000"/>
              <w:right w:val="single" w:sz="8" w:space="0" w:color="auto"/>
            </w:tcBorders>
            <w:shd w:val="clear" w:color="auto" w:fill="auto"/>
            <w:noWrap/>
            <w:hideMark/>
          </w:tcPr>
          <w:p w14:paraId="309E36DD" w14:textId="77777777" w:rsidR="002D1F6F" w:rsidRPr="002D1F6F" w:rsidRDefault="002D1F6F" w:rsidP="002D1F6F">
            <w:pPr>
              <w:spacing w:after="0"/>
              <w:ind w:firstLine="0"/>
              <w:jc w:val="left"/>
              <w:rPr>
                <w:rFonts w:eastAsia="Times New Roman" w:cs="Times New Roman"/>
                <w:sz w:val="18"/>
                <w:szCs w:val="18"/>
                <w:highlight w:val="lightGray"/>
              </w:rPr>
            </w:pPr>
            <w:r w:rsidRPr="002D1F6F">
              <w:rPr>
                <w:sz w:val="18"/>
                <w:szCs w:val="18"/>
              </w:rPr>
              <w:t xml:space="preserve"> </w:t>
            </w:r>
          </w:p>
          <w:p w14:paraId="01380288" w14:textId="4BA9152D" w:rsidR="002D1F6F" w:rsidRPr="002D1F6F" w:rsidRDefault="002D1F6F" w:rsidP="002D1F6F">
            <w:pPr>
              <w:spacing w:after="0"/>
              <w:ind w:firstLine="0"/>
              <w:jc w:val="left"/>
              <w:rPr>
                <w:rFonts w:eastAsia="Times New Roman" w:cs="Times New Roman"/>
                <w:sz w:val="18"/>
                <w:szCs w:val="18"/>
                <w:highlight w:val="lightGray"/>
              </w:rPr>
            </w:pPr>
          </w:p>
        </w:tc>
        <w:tc>
          <w:tcPr>
            <w:tcW w:w="434" w:type="pct"/>
            <w:vMerge w:val="restart"/>
            <w:tcBorders>
              <w:top w:val="single" w:sz="4" w:space="0" w:color="auto"/>
              <w:left w:val="single" w:sz="8" w:space="0" w:color="auto"/>
              <w:bottom w:val="single" w:sz="8" w:space="0" w:color="000000"/>
              <w:right w:val="single" w:sz="8" w:space="0" w:color="auto"/>
            </w:tcBorders>
            <w:shd w:val="clear" w:color="auto" w:fill="auto"/>
            <w:noWrap/>
            <w:hideMark/>
          </w:tcPr>
          <w:p w14:paraId="129110F4" w14:textId="77777777" w:rsidR="002D1F6F" w:rsidRPr="002D1F6F" w:rsidRDefault="002D1F6F" w:rsidP="002D1F6F">
            <w:pPr>
              <w:spacing w:after="0"/>
              <w:ind w:firstLine="0"/>
              <w:jc w:val="left"/>
              <w:rPr>
                <w:rFonts w:eastAsia="Times New Roman" w:cs="Times New Roman"/>
                <w:sz w:val="18"/>
                <w:szCs w:val="18"/>
                <w:highlight w:val="lightGray"/>
              </w:rPr>
            </w:pPr>
            <w:r w:rsidRPr="002D1F6F">
              <w:rPr>
                <w:sz w:val="18"/>
                <w:szCs w:val="18"/>
              </w:rPr>
              <w:t xml:space="preserve"> </w:t>
            </w:r>
          </w:p>
          <w:p w14:paraId="5CC5BC73" w14:textId="40AB9C1E" w:rsidR="002D1F6F" w:rsidRPr="002D1F6F" w:rsidRDefault="002D1F6F" w:rsidP="002D1F6F">
            <w:pPr>
              <w:spacing w:after="0"/>
              <w:ind w:firstLine="0"/>
              <w:jc w:val="left"/>
              <w:rPr>
                <w:rFonts w:eastAsia="Times New Roman" w:cs="Times New Roman"/>
                <w:sz w:val="18"/>
                <w:szCs w:val="18"/>
                <w:highlight w:val="lightGray"/>
              </w:rPr>
            </w:pPr>
          </w:p>
        </w:tc>
        <w:tc>
          <w:tcPr>
            <w:tcW w:w="367" w:type="pct"/>
            <w:vMerge w:val="restart"/>
            <w:tcBorders>
              <w:top w:val="single" w:sz="4" w:space="0" w:color="auto"/>
              <w:left w:val="single" w:sz="8" w:space="0" w:color="auto"/>
              <w:bottom w:val="single" w:sz="8" w:space="0" w:color="000000"/>
              <w:right w:val="single" w:sz="8" w:space="0" w:color="auto"/>
            </w:tcBorders>
            <w:shd w:val="clear" w:color="auto" w:fill="auto"/>
            <w:hideMark/>
          </w:tcPr>
          <w:p w14:paraId="6B093A72" w14:textId="77777777" w:rsidR="002D1F6F" w:rsidRPr="002D1F6F" w:rsidRDefault="002D1F6F" w:rsidP="002D1F6F">
            <w:pPr>
              <w:spacing w:after="0"/>
              <w:ind w:firstLine="0"/>
              <w:jc w:val="right"/>
              <w:rPr>
                <w:rFonts w:eastAsia="Times New Roman" w:cs="Times New Roman"/>
                <w:b/>
                <w:bCs/>
                <w:sz w:val="18"/>
                <w:szCs w:val="18"/>
                <w:highlight w:val="lightGray"/>
              </w:rPr>
            </w:pPr>
            <w:r w:rsidRPr="002D1F6F">
              <w:rPr>
                <w:sz w:val="18"/>
                <w:szCs w:val="18"/>
              </w:rPr>
              <w:t>18 924 780</w:t>
            </w:r>
          </w:p>
          <w:p w14:paraId="28DB6597" w14:textId="62442340" w:rsidR="002D1F6F" w:rsidRPr="002D1F6F" w:rsidRDefault="002D1F6F" w:rsidP="002D1F6F">
            <w:pPr>
              <w:spacing w:after="0"/>
              <w:ind w:firstLine="0"/>
              <w:jc w:val="right"/>
              <w:rPr>
                <w:rFonts w:eastAsia="Times New Roman" w:cs="Times New Roman"/>
                <w:b/>
                <w:bCs/>
                <w:sz w:val="18"/>
                <w:szCs w:val="18"/>
                <w:highlight w:val="lightGray"/>
              </w:rPr>
            </w:pPr>
          </w:p>
        </w:tc>
        <w:tc>
          <w:tcPr>
            <w:tcW w:w="409" w:type="pct"/>
            <w:vMerge w:val="restart"/>
            <w:tcBorders>
              <w:top w:val="single" w:sz="4" w:space="0" w:color="auto"/>
              <w:left w:val="single" w:sz="8" w:space="0" w:color="auto"/>
              <w:bottom w:val="single" w:sz="8" w:space="0" w:color="000000"/>
              <w:right w:val="single" w:sz="8" w:space="0" w:color="auto"/>
            </w:tcBorders>
            <w:shd w:val="clear" w:color="auto" w:fill="auto"/>
            <w:noWrap/>
            <w:hideMark/>
          </w:tcPr>
          <w:p w14:paraId="5259D602" w14:textId="77777777" w:rsidR="002D1F6F" w:rsidRPr="002D1F6F" w:rsidRDefault="002D1F6F" w:rsidP="002D1F6F">
            <w:pPr>
              <w:spacing w:after="0"/>
              <w:ind w:firstLine="0"/>
              <w:jc w:val="left"/>
              <w:rPr>
                <w:rFonts w:eastAsia="Times New Roman" w:cs="Times New Roman"/>
                <w:sz w:val="18"/>
                <w:szCs w:val="18"/>
                <w:highlight w:val="lightGray"/>
              </w:rPr>
            </w:pPr>
            <w:r w:rsidRPr="002D1F6F">
              <w:rPr>
                <w:sz w:val="18"/>
                <w:szCs w:val="18"/>
              </w:rPr>
              <w:t xml:space="preserve"> </w:t>
            </w:r>
          </w:p>
          <w:p w14:paraId="03D520AF" w14:textId="24CC72B8" w:rsidR="002D1F6F" w:rsidRPr="002D1F6F" w:rsidRDefault="002D1F6F" w:rsidP="002D1F6F">
            <w:pPr>
              <w:spacing w:after="0"/>
              <w:ind w:firstLine="0"/>
              <w:jc w:val="left"/>
              <w:rPr>
                <w:rFonts w:eastAsia="Times New Roman" w:cs="Times New Roman"/>
                <w:sz w:val="18"/>
                <w:szCs w:val="18"/>
                <w:highlight w:val="lightGray"/>
              </w:rPr>
            </w:pPr>
          </w:p>
        </w:tc>
        <w:tc>
          <w:tcPr>
            <w:tcW w:w="434" w:type="pct"/>
            <w:vMerge w:val="restart"/>
            <w:tcBorders>
              <w:top w:val="single" w:sz="4" w:space="0" w:color="auto"/>
              <w:left w:val="single" w:sz="8" w:space="0" w:color="auto"/>
              <w:bottom w:val="single" w:sz="8" w:space="0" w:color="000000"/>
              <w:right w:val="single" w:sz="8" w:space="0" w:color="auto"/>
            </w:tcBorders>
            <w:shd w:val="clear" w:color="auto" w:fill="auto"/>
            <w:noWrap/>
            <w:hideMark/>
          </w:tcPr>
          <w:p w14:paraId="08F49644" w14:textId="77777777" w:rsidR="002D1F6F" w:rsidRPr="002D1F6F" w:rsidRDefault="002D1F6F" w:rsidP="002D1F6F">
            <w:pPr>
              <w:spacing w:after="0"/>
              <w:ind w:firstLine="0"/>
              <w:jc w:val="left"/>
              <w:rPr>
                <w:rFonts w:eastAsia="Times New Roman" w:cs="Times New Roman"/>
                <w:sz w:val="18"/>
                <w:szCs w:val="18"/>
                <w:highlight w:val="lightGray"/>
              </w:rPr>
            </w:pPr>
            <w:r w:rsidRPr="002D1F6F">
              <w:rPr>
                <w:sz w:val="18"/>
                <w:szCs w:val="18"/>
              </w:rPr>
              <w:t xml:space="preserve"> </w:t>
            </w:r>
          </w:p>
          <w:p w14:paraId="22539059" w14:textId="5B73EA69" w:rsidR="002D1F6F" w:rsidRPr="002D1F6F" w:rsidRDefault="002D1F6F" w:rsidP="002D1F6F">
            <w:pPr>
              <w:spacing w:after="0"/>
              <w:ind w:firstLine="0"/>
              <w:jc w:val="left"/>
              <w:rPr>
                <w:rFonts w:eastAsia="Times New Roman" w:cs="Times New Roman"/>
                <w:sz w:val="18"/>
                <w:szCs w:val="18"/>
                <w:highlight w:val="lightGray"/>
              </w:rPr>
            </w:pPr>
          </w:p>
        </w:tc>
        <w:tc>
          <w:tcPr>
            <w:tcW w:w="367" w:type="pct"/>
            <w:vMerge w:val="restart"/>
            <w:tcBorders>
              <w:top w:val="single" w:sz="4" w:space="0" w:color="auto"/>
              <w:left w:val="single" w:sz="8" w:space="0" w:color="auto"/>
              <w:bottom w:val="single" w:sz="8" w:space="0" w:color="000000"/>
              <w:right w:val="single" w:sz="8" w:space="0" w:color="auto"/>
            </w:tcBorders>
            <w:shd w:val="clear" w:color="auto" w:fill="auto"/>
            <w:hideMark/>
          </w:tcPr>
          <w:p w14:paraId="5AC56A3F" w14:textId="77777777" w:rsidR="002D1F6F" w:rsidRPr="002D1F6F" w:rsidRDefault="002D1F6F" w:rsidP="002D1F6F">
            <w:pPr>
              <w:spacing w:after="0"/>
              <w:ind w:firstLine="0"/>
              <w:jc w:val="right"/>
              <w:rPr>
                <w:rFonts w:eastAsia="Times New Roman" w:cs="Times New Roman"/>
                <w:b/>
                <w:bCs/>
                <w:sz w:val="18"/>
                <w:szCs w:val="18"/>
                <w:highlight w:val="lightGray"/>
              </w:rPr>
            </w:pPr>
            <w:r w:rsidRPr="002D1F6F">
              <w:rPr>
                <w:sz w:val="18"/>
                <w:szCs w:val="18"/>
              </w:rPr>
              <w:t>18 924 780</w:t>
            </w:r>
          </w:p>
          <w:p w14:paraId="7AD577B3" w14:textId="2A355332" w:rsidR="002D1F6F" w:rsidRPr="002D1F6F" w:rsidRDefault="002D1F6F" w:rsidP="002D1F6F">
            <w:pPr>
              <w:spacing w:after="0"/>
              <w:ind w:firstLine="0"/>
              <w:jc w:val="right"/>
              <w:rPr>
                <w:rFonts w:eastAsia="Times New Roman" w:cs="Times New Roman"/>
                <w:b/>
                <w:bCs/>
                <w:sz w:val="18"/>
                <w:szCs w:val="18"/>
                <w:highlight w:val="lightGray"/>
              </w:rPr>
            </w:pPr>
          </w:p>
        </w:tc>
      </w:tr>
      <w:tr w:rsidR="00F7392F" w:rsidRPr="0038459F" w14:paraId="7FFDD02D" w14:textId="77777777" w:rsidTr="00A470CF">
        <w:trPr>
          <w:trHeight w:val="278"/>
        </w:trPr>
        <w:tc>
          <w:tcPr>
            <w:tcW w:w="1384" w:type="pct"/>
            <w:tcBorders>
              <w:top w:val="nil"/>
              <w:left w:val="single" w:sz="8" w:space="0" w:color="auto"/>
              <w:bottom w:val="single" w:sz="8" w:space="0" w:color="auto"/>
              <w:right w:val="single" w:sz="8" w:space="0" w:color="auto"/>
            </w:tcBorders>
            <w:shd w:val="clear" w:color="000000" w:fill="FFFFFF"/>
            <w:noWrap/>
            <w:vAlign w:val="center"/>
            <w:hideMark/>
          </w:tcPr>
          <w:p w14:paraId="36D5EDDA" w14:textId="77777777" w:rsidR="002D1F6F" w:rsidRPr="002D1F6F" w:rsidRDefault="002D1F6F" w:rsidP="002D1F6F">
            <w:pPr>
              <w:spacing w:after="0"/>
              <w:ind w:firstLine="0"/>
              <w:rPr>
                <w:rFonts w:eastAsia="Times New Roman" w:cs="Times New Roman"/>
                <w:sz w:val="18"/>
                <w:szCs w:val="18"/>
              </w:rPr>
            </w:pPr>
            <w:r w:rsidRPr="002D1F6F">
              <w:rPr>
                <w:rFonts w:eastAsia="Times New Roman" w:cs="Times New Roman"/>
                <w:sz w:val="18"/>
                <w:szCs w:val="18"/>
              </w:rPr>
              <w:t>(EKK 6000 Sociālie pabalsti)</w:t>
            </w:r>
          </w:p>
        </w:tc>
        <w:tc>
          <w:tcPr>
            <w:tcW w:w="444" w:type="pct"/>
            <w:vMerge/>
            <w:tcBorders>
              <w:top w:val="nil"/>
              <w:left w:val="single" w:sz="8" w:space="0" w:color="auto"/>
              <w:bottom w:val="single" w:sz="8" w:space="0" w:color="000000"/>
              <w:right w:val="single" w:sz="8" w:space="0" w:color="auto"/>
            </w:tcBorders>
            <w:hideMark/>
          </w:tcPr>
          <w:p w14:paraId="4812956B" w14:textId="77777777" w:rsidR="002D1F6F" w:rsidRPr="002D1F6F" w:rsidRDefault="002D1F6F" w:rsidP="002D1F6F">
            <w:pPr>
              <w:spacing w:after="0"/>
              <w:ind w:firstLine="0"/>
              <w:jc w:val="left"/>
              <w:rPr>
                <w:rFonts w:eastAsia="Times New Roman" w:cs="Times New Roman"/>
                <w:sz w:val="18"/>
                <w:szCs w:val="18"/>
              </w:rPr>
            </w:pPr>
          </w:p>
        </w:tc>
        <w:tc>
          <w:tcPr>
            <w:tcW w:w="434" w:type="pct"/>
            <w:vMerge/>
            <w:tcBorders>
              <w:top w:val="nil"/>
              <w:left w:val="single" w:sz="8" w:space="0" w:color="auto"/>
              <w:bottom w:val="single" w:sz="8" w:space="0" w:color="000000"/>
              <w:right w:val="single" w:sz="8" w:space="0" w:color="auto"/>
            </w:tcBorders>
            <w:hideMark/>
          </w:tcPr>
          <w:p w14:paraId="0BFAFFD1" w14:textId="77777777" w:rsidR="002D1F6F" w:rsidRPr="002D1F6F" w:rsidRDefault="002D1F6F" w:rsidP="002D1F6F">
            <w:pPr>
              <w:spacing w:after="0"/>
              <w:ind w:firstLine="0"/>
              <w:jc w:val="left"/>
              <w:rPr>
                <w:rFonts w:eastAsia="Times New Roman" w:cs="Times New Roman"/>
                <w:sz w:val="18"/>
                <w:szCs w:val="18"/>
              </w:rPr>
            </w:pPr>
          </w:p>
        </w:tc>
        <w:tc>
          <w:tcPr>
            <w:tcW w:w="356" w:type="pct"/>
            <w:vMerge/>
            <w:tcBorders>
              <w:top w:val="nil"/>
              <w:left w:val="single" w:sz="8" w:space="0" w:color="auto"/>
              <w:bottom w:val="single" w:sz="8" w:space="0" w:color="000000"/>
              <w:right w:val="single" w:sz="8" w:space="0" w:color="auto"/>
            </w:tcBorders>
          </w:tcPr>
          <w:p w14:paraId="3734B584" w14:textId="77777777" w:rsidR="002D1F6F" w:rsidRPr="002D1F6F" w:rsidRDefault="002D1F6F" w:rsidP="002D1F6F">
            <w:pPr>
              <w:spacing w:after="0"/>
              <w:ind w:firstLine="0"/>
              <w:jc w:val="left"/>
              <w:rPr>
                <w:rFonts w:eastAsia="Times New Roman" w:cs="Times New Roman"/>
                <w:b/>
                <w:bCs/>
                <w:sz w:val="18"/>
                <w:szCs w:val="18"/>
              </w:rPr>
            </w:pPr>
          </w:p>
        </w:tc>
        <w:tc>
          <w:tcPr>
            <w:tcW w:w="371" w:type="pct"/>
            <w:vMerge/>
            <w:tcBorders>
              <w:top w:val="nil"/>
              <w:left w:val="single" w:sz="8" w:space="0" w:color="auto"/>
              <w:bottom w:val="single" w:sz="8" w:space="0" w:color="000000"/>
              <w:right w:val="single" w:sz="8" w:space="0" w:color="auto"/>
            </w:tcBorders>
            <w:hideMark/>
          </w:tcPr>
          <w:p w14:paraId="7C245274" w14:textId="77777777" w:rsidR="002D1F6F" w:rsidRPr="002D1F6F" w:rsidRDefault="002D1F6F" w:rsidP="002D1F6F">
            <w:pPr>
              <w:spacing w:after="0"/>
              <w:ind w:firstLine="0"/>
              <w:jc w:val="left"/>
              <w:rPr>
                <w:rFonts w:eastAsia="Times New Roman" w:cs="Times New Roman"/>
                <w:sz w:val="18"/>
                <w:szCs w:val="18"/>
                <w:highlight w:val="lightGray"/>
              </w:rPr>
            </w:pPr>
          </w:p>
        </w:tc>
        <w:tc>
          <w:tcPr>
            <w:tcW w:w="434" w:type="pct"/>
            <w:vMerge/>
            <w:tcBorders>
              <w:top w:val="nil"/>
              <w:left w:val="single" w:sz="8" w:space="0" w:color="auto"/>
              <w:bottom w:val="single" w:sz="8" w:space="0" w:color="000000"/>
              <w:right w:val="single" w:sz="8" w:space="0" w:color="auto"/>
            </w:tcBorders>
            <w:hideMark/>
          </w:tcPr>
          <w:p w14:paraId="187C339D" w14:textId="77777777" w:rsidR="002D1F6F" w:rsidRPr="002D1F6F" w:rsidRDefault="002D1F6F" w:rsidP="002D1F6F">
            <w:pPr>
              <w:spacing w:after="0"/>
              <w:ind w:firstLine="0"/>
              <w:jc w:val="left"/>
              <w:rPr>
                <w:rFonts w:eastAsia="Times New Roman" w:cs="Times New Roman"/>
                <w:sz w:val="18"/>
                <w:szCs w:val="18"/>
                <w:highlight w:val="lightGray"/>
              </w:rPr>
            </w:pPr>
          </w:p>
        </w:tc>
        <w:tc>
          <w:tcPr>
            <w:tcW w:w="367" w:type="pct"/>
            <w:vMerge/>
            <w:tcBorders>
              <w:top w:val="nil"/>
              <w:left w:val="single" w:sz="8" w:space="0" w:color="auto"/>
              <w:bottom w:val="single" w:sz="8" w:space="0" w:color="000000"/>
              <w:right w:val="single" w:sz="8" w:space="0" w:color="auto"/>
            </w:tcBorders>
            <w:hideMark/>
          </w:tcPr>
          <w:p w14:paraId="6FD4D118" w14:textId="77777777" w:rsidR="002D1F6F" w:rsidRPr="002D1F6F" w:rsidRDefault="002D1F6F" w:rsidP="002D1F6F">
            <w:pPr>
              <w:spacing w:after="0"/>
              <w:ind w:firstLine="0"/>
              <w:jc w:val="left"/>
              <w:rPr>
                <w:rFonts w:eastAsia="Times New Roman" w:cs="Times New Roman"/>
                <w:b/>
                <w:bCs/>
                <w:sz w:val="18"/>
                <w:szCs w:val="18"/>
                <w:highlight w:val="lightGray"/>
              </w:rPr>
            </w:pPr>
          </w:p>
        </w:tc>
        <w:tc>
          <w:tcPr>
            <w:tcW w:w="409" w:type="pct"/>
            <w:vMerge/>
            <w:tcBorders>
              <w:top w:val="nil"/>
              <w:left w:val="single" w:sz="8" w:space="0" w:color="auto"/>
              <w:bottom w:val="single" w:sz="8" w:space="0" w:color="000000"/>
              <w:right w:val="single" w:sz="8" w:space="0" w:color="auto"/>
            </w:tcBorders>
            <w:hideMark/>
          </w:tcPr>
          <w:p w14:paraId="5266755C" w14:textId="77777777" w:rsidR="002D1F6F" w:rsidRPr="002D1F6F" w:rsidRDefault="002D1F6F" w:rsidP="002D1F6F">
            <w:pPr>
              <w:spacing w:after="0"/>
              <w:ind w:firstLine="0"/>
              <w:jc w:val="left"/>
              <w:rPr>
                <w:rFonts w:eastAsia="Times New Roman" w:cs="Times New Roman"/>
                <w:sz w:val="18"/>
                <w:szCs w:val="18"/>
                <w:highlight w:val="lightGray"/>
              </w:rPr>
            </w:pPr>
          </w:p>
        </w:tc>
        <w:tc>
          <w:tcPr>
            <w:tcW w:w="434" w:type="pct"/>
            <w:vMerge/>
            <w:tcBorders>
              <w:top w:val="nil"/>
              <w:left w:val="single" w:sz="8" w:space="0" w:color="auto"/>
              <w:bottom w:val="single" w:sz="8" w:space="0" w:color="000000"/>
              <w:right w:val="single" w:sz="8" w:space="0" w:color="auto"/>
            </w:tcBorders>
            <w:hideMark/>
          </w:tcPr>
          <w:p w14:paraId="3FB13D23" w14:textId="77777777" w:rsidR="002D1F6F" w:rsidRPr="002D1F6F" w:rsidRDefault="002D1F6F" w:rsidP="002D1F6F">
            <w:pPr>
              <w:spacing w:after="0"/>
              <w:ind w:firstLine="0"/>
              <w:jc w:val="left"/>
              <w:rPr>
                <w:rFonts w:eastAsia="Times New Roman" w:cs="Times New Roman"/>
                <w:sz w:val="18"/>
                <w:szCs w:val="18"/>
                <w:highlight w:val="lightGray"/>
              </w:rPr>
            </w:pPr>
          </w:p>
        </w:tc>
        <w:tc>
          <w:tcPr>
            <w:tcW w:w="367" w:type="pct"/>
            <w:vMerge/>
            <w:tcBorders>
              <w:top w:val="nil"/>
              <w:left w:val="single" w:sz="8" w:space="0" w:color="auto"/>
              <w:bottom w:val="single" w:sz="8" w:space="0" w:color="000000"/>
              <w:right w:val="single" w:sz="8" w:space="0" w:color="auto"/>
            </w:tcBorders>
            <w:hideMark/>
          </w:tcPr>
          <w:p w14:paraId="0D834514" w14:textId="77777777" w:rsidR="002D1F6F" w:rsidRPr="002D1F6F" w:rsidRDefault="002D1F6F" w:rsidP="002D1F6F">
            <w:pPr>
              <w:spacing w:after="0"/>
              <w:ind w:firstLine="0"/>
              <w:jc w:val="left"/>
              <w:rPr>
                <w:rFonts w:eastAsia="Times New Roman" w:cs="Times New Roman"/>
                <w:b/>
                <w:bCs/>
                <w:sz w:val="18"/>
                <w:szCs w:val="18"/>
                <w:highlight w:val="lightGray"/>
              </w:rPr>
            </w:pPr>
          </w:p>
        </w:tc>
      </w:tr>
      <w:tr w:rsidR="00F7392F" w:rsidRPr="0038459F" w14:paraId="1CB43B17" w14:textId="77777777" w:rsidTr="00A470CF">
        <w:trPr>
          <w:trHeight w:val="265"/>
        </w:trPr>
        <w:tc>
          <w:tcPr>
            <w:tcW w:w="1384" w:type="pct"/>
            <w:tcBorders>
              <w:top w:val="nil"/>
              <w:left w:val="single" w:sz="8" w:space="0" w:color="auto"/>
              <w:bottom w:val="nil"/>
              <w:right w:val="single" w:sz="8" w:space="0" w:color="auto"/>
            </w:tcBorders>
            <w:shd w:val="clear" w:color="000000" w:fill="FFFFFF"/>
            <w:vAlign w:val="center"/>
            <w:hideMark/>
          </w:tcPr>
          <w:p w14:paraId="47284C3A" w14:textId="77777777" w:rsidR="002D1F6F" w:rsidRPr="002D1F6F" w:rsidRDefault="002D1F6F" w:rsidP="002D1F6F">
            <w:pPr>
              <w:spacing w:after="0"/>
              <w:ind w:firstLine="0"/>
              <w:rPr>
                <w:rFonts w:eastAsia="Times New Roman" w:cs="Times New Roman"/>
                <w:b/>
                <w:bCs/>
                <w:sz w:val="18"/>
                <w:szCs w:val="18"/>
              </w:rPr>
            </w:pPr>
            <w:r w:rsidRPr="002D1F6F">
              <w:rPr>
                <w:rFonts w:eastAsia="Times New Roman" w:cs="Times New Roman"/>
                <w:b/>
                <w:bCs/>
                <w:sz w:val="18"/>
                <w:szCs w:val="18"/>
              </w:rPr>
              <w:t xml:space="preserve">Izdienas pensijas – kopā </w:t>
            </w:r>
          </w:p>
        </w:tc>
        <w:tc>
          <w:tcPr>
            <w:tcW w:w="444" w:type="pct"/>
            <w:vMerge w:val="restart"/>
            <w:tcBorders>
              <w:top w:val="nil"/>
              <w:left w:val="single" w:sz="8" w:space="0" w:color="auto"/>
              <w:bottom w:val="single" w:sz="8" w:space="0" w:color="000000"/>
              <w:right w:val="single" w:sz="8" w:space="0" w:color="auto"/>
            </w:tcBorders>
            <w:shd w:val="clear" w:color="auto" w:fill="auto"/>
            <w:hideMark/>
          </w:tcPr>
          <w:p w14:paraId="70012CE7" w14:textId="62AF1F6B" w:rsidR="002D1F6F" w:rsidRPr="002D1F6F" w:rsidRDefault="002D1F6F" w:rsidP="002D1F6F">
            <w:pPr>
              <w:spacing w:after="0"/>
              <w:ind w:firstLine="0"/>
              <w:jc w:val="center"/>
              <w:rPr>
                <w:rFonts w:eastAsia="Times New Roman" w:cs="Times New Roman"/>
                <w:b/>
                <w:bCs/>
                <w:sz w:val="18"/>
                <w:szCs w:val="18"/>
              </w:rPr>
            </w:pPr>
            <w:r w:rsidRPr="002D1F6F">
              <w:rPr>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hideMark/>
          </w:tcPr>
          <w:p w14:paraId="78247FF8" w14:textId="28BEF8D0" w:rsidR="002D1F6F" w:rsidRPr="002D1F6F" w:rsidRDefault="002D1F6F" w:rsidP="002D1F6F">
            <w:pPr>
              <w:spacing w:after="0"/>
              <w:ind w:firstLine="0"/>
              <w:jc w:val="center"/>
              <w:rPr>
                <w:rFonts w:eastAsia="Times New Roman" w:cs="Times New Roman"/>
                <w:b/>
                <w:bCs/>
                <w:sz w:val="18"/>
                <w:szCs w:val="18"/>
              </w:rPr>
            </w:pPr>
            <w:r w:rsidRPr="002D1F6F">
              <w:rPr>
                <w:sz w:val="18"/>
                <w:szCs w:val="18"/>
              </w:rPr>
              <w:t>X</w:t>
            </w:r>
          </w:p>
        </w:tc>
        <w:tc>
          <w:tcPr>
            <w:tcW w:w="356" w:type="pct"/>
            <w:vMerge w:val="restart"/>
            <w:tcBorders>
              <w:top w:val="nil"/>
              <w:left w:val="single" w:sz="8" w:space="0" w:color="auto"/>
              <w:bottom w:val="single" w:sz="8" w:space="0" w:color="000000"/>
              <w:right w:val="single" w:sz="8" w:space="0" w:color="auto"/>
            </w:tcBorders>
            <w:shd w:val="clear" w:color="auto" w:fill="auto"/>
          </w:tcPr>
          <w:p w14:paraId="2B4E3638" w14:textId="00EA4342" w:rsidR="002D1F6F" w:rsidRPr="002D1F6F" w:rsidRDefault="002D1F6F" w:rsidP="00F7392F">
            <w:pPr>
              <w:spacing w:after="0"/>
              <w:ind w:firstLine="0"/>
              <w:rPr>
                <w:rFonts w:eastAsia="Times New Roman" w:cs="Times New Roman"/>
                <w:b/>
                <w:bCs/>
                <w:sz w:val="18"/>
                <w:szCs w:val="18"/>
              </w:rPr>
            </w:pPr>
            <w:r w:rsidRPr="002D1F6F">
              <w:rPr>
                <w:sz w:val="18"/>
                <w:szCs w:val="18"/>
              </w:rPr>
              <w:t>17 183 504</w:t>
            </w:r>
          </w:p>
        </w:tc>
        <w:tc>
          <w:tcPr>
            <w:tcW w:w="371" w:type="pct"/>
            <w:vMerge w:val="restart"/>
            <w:tcBorders>
              <w:top w:val="nil"/>
              <w:left w:val="single" w:sz="8" w:space="0" w:color="auto"/>
              <w:bottom w:val="single" w:sz="8" w:space="0" w:color="000000"/>
              <w:right w:val="single" w:sz="8" w:space="0" w:color="auto"/>
            </w:tcBorders>
            <w:shd w:val="clear" w:color="auto" w:fill="auto"/>
            <w:noWrap/>
            <w:hideMark/>
          </w:tcPr>
          <w:p w14:paraId="7282D630" w14:textId="082A5939" w:rsidR="002D1F6F" w:rsidRPr="002D1F6F" w:rsidRDefault="002D1F6F" w:rsidP="002D1F6F">
            <w:pPr>
              <w:spacing w:after="0"/>
              <w:ind w:firstLine="0"/>
              <w:jc w:val="center"/>
              <w:rPr>
                <w:rFonts w:eastAsia="Times New Roman" w:cs="Times New Roman"/>
                <w:b/>
                <w:bCs/>
                <w:sz w:val="18"/>
                <w:szCs w:val="18"/>
                <w:highlight w:val="lightGray"/>
              </w:rPr>
            </w:pPr>
            <w:r w:rsidRPr="002D1F6F">
              <w:rPr>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noWrap/>
            <w:hideMark/>
          </w:tcPr>
          <w:p w14:paraId="205FD318" w14:textId="2E83D1C5" w:rsidR="002D1F6F" w:rsidRPr="002D1F6F" w:rsidRDefault="002D1F6F" w:rsidP="002D1F6F">
            <w:pPr>
              <w:spacing w:after="0"/>
              <w:ind w:firstLine="0"/>
              <w:jc w:val="center"/>
              <w:rPr>
                <w:rFonts w:eastAsia="Times New Roman" w:cs="Times New Roman"/>
                <w:b/>
                <w:bCs/>
                <w:sz w:val="18"/>
                <w:szCs w:val="18"/>
                <w:highlight w:val="lightGray"/>
              </w:rPr>
            </w:pPr>
            <w:r w:rsidRPr="002D1F6F">
              <w:rPr>
                <w:sz w:val="18"/>
                <w:szCs w:val="18"/>
              </w:rPr>
              <w:t>X</w:t>
            </w:r>
          </w:p>
        </w:tc>
        <w:tc>
          <w:tcPr>
            <w:tcW w:w="367" w:type="pct"/>
            <w:vMerge w:val="restart"/>
            <w:tcBorders>
              <w:top w:val="nil"/>
              <w:left w:val="single" w:sz="8" w:space="0" w:color="auto"/>
              <w:bottom w:val="single" w:sz="8" w:space="0" w:color="000000"/>
              <w:right w:val="single" w:sz="8" w:space="0" w:color="auto"/>
            </w:tcBorders>
            <w:shd w:val="clear" w:color="auto" w:fill="auto"/>
            <w:noWrap/>
            <w:hideMark/>
          </w:tcPr>
          <w:p w14:paraId="173209AD" w14:textId="09BA5FB5" w:rsidR="002D1F6F" w:rsidRPr="002D1F6F" w:rsidRDefault="002D1F6F" w:rsidP="002D1F6F">
            <w:pPr>
              <w:spacing w:after="0"/>
              <w:ind w:firstLine="0"/>
              <w:jc w:val="right"/>
              <w:rPr>
                <w:rFonts w:eastAsia="Times New Roman" w:cs="Times New Roman"/>
                <w:b/>
                <w:bCs/>
                <w:sz w:val="18"/>
                <w:szCs w:val="18"/>
                <w:highlight w:val="lightGray"/>
              </w:rPr>
            </w:pPr>
            <w:r w:rsidRPr="002D1F6F">
              <w:rPr>
                <w:sz w:val="18"/>
                <w:szCs w:val="18"/>
              </w:rPr>
              <w:t>17 183 504</w:t>
            </w:r>
          </w:p>
        </w:tc>
        <w:tc>
          <w:tcPr>
            <w:tcW w:w="409" w:type="pct"/>
            <w:vMerge w:val="restart"/>
            <w:tcBorders>
              <w:top w:val="nil"/>
              <w:left w:val="single" w:sz="8" w:space="0" w:color="auto"/>
              <w:bottom w:val="single" w:sz="8" w:space="0" w:color="000000"/>
              <w:right w:val="single" w:sz="8" w:space="0" w:color="auto"/>
            </w:tcBorders>
            <w:shd w:val="clear" w:color="auto" w:fill="auto"/>
            <w:noWrap/>
            <w:hideMark/>
          </w:tcPr>
          <w:p w14:paraId="75A9F009" w14:textId="5E376DF2" w:rsidR="002D1F6F" w:rsidRPr="002D1F6F" w:rsidRDefault="002D1F6F" w:rsidP="002D1F6F">
            <w:pPr>
              <w:spacing w:after="0"/>
              <w:ind w:firstLine="0"/>
              <w:jc w:val="center"/>
              <w:rPr>
                <w:rFonts w:eastAsia="Times New Roman" w:cs="Times New Roman"/>
                <w:b/>
                <w:bCs/>
                <w:sz w:val="18"/>
                <w:szCs w:val="18"/>
                <w:highlight w:val="lightGray"/>
              </w:rPr>
            </w:pPr>
            <w:r w:rsidRPr="002D1F6F">
              <w:rPr>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noWrap/>
            <w:hideMark/>
          </w:tcPr>
          <w:p w14:paraId="136A8055" w14:textId="7E415C4D" w:rsidR="002D1F6F" w:rsidRPr="002D1F6F" w:rsidRDefault="002D1F6F" w:rsidP="002D1F6F">
            <w:pPr>
              <w:spacing w:after="0"/>
              <w:ind w:firstLine="0"/>
              <w:jc w:val="center"/>
              <w:rPr>
                <w:rFonts w:eastAsia="Times New Roman" w:cs="Times New Roman"/>
                <w:b/>
                <w:bCs/>
                <w:sz w:val="18"/>
                <w:szCs w:val="18"/>
                <w:highlight w:val="lightGray"/>
              </w:rPr>
            </w:pPr>
            <w:r w:rsidRPr="002D1F6F">
              <w:rPr>
                <w:sz w:val="18"/>
                <w:szCs w:val="18"/>
              </w:rPr>
              <w:t>X</w:t>
            </w:r>
          </w:p>
        </w:tc>
        <w:tc>
          <w:tcPr>
            <w:tcW w:w="367" w:type="pct"/>
            <w:vMerge w:val="restart"/>
            <w:tcBorders>
              <w:top w:val="nil"/>
              <w:left w:val="single" w:sz="8" w:space="0" w:color="auto"/>
              <w:bottom w:val="single" w:sz="8" w:space="0" w:color="000000"/>
              <w:right w:val="single" w:sz="8" w:space="0" w:color="auto"/>
            </w:tcBorders>
            <w:shd w:val="clear" w:color="auto" w:fill="auto"/>
            <w:noWrap/>
            <w:hideMark/>
          </w:tcPr>
          <w:p w14:paraId="77CA087A" w14:textId="1A5E54A3" w:rsidR="002D1F6F" w:rsidRPr="002D1F6F" w:rsidRDefault="002D1F6F" w:rsidP="002D1F6F">
            <w:pPr>
              <w:spacing w:after="0"/>
              <w:ind w:firstLine="0"/>
              <w:jc w:val="right"/>
              <w:rPr>
                <w:rFonts w:eastAsia="Times New Roman" w:cs="Times New Roman"/>
                <w:b/>
                <w:bCs/>
                <w:sz w:val="18"/>
                <w:szCs w:val="18"/>
                <w:highlight w:val="lightGray"/>
              </w:rPr>
            </w:pPr>
            <w:r w:rsidRPr="002D1F6F">
              <w:rPr>
                <w:sz w:val="18"/>
                <w:szCs w:val="18"/>
              </w:rPr>
              <w:t>17 183 504</w:t>
            </w:r>
          </w:p>
        </w:tc>
      </w:tr>
      <w:tr w:rsidR="00F95F29" w:rsidRPr="0038459F" w14:paraId="545C1F60" w14:textId="77777777" w:rsidTr="00F95F29">
        <w:trPr>
          <w:trHeight w:val="278"/>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494BA41E" w14:textId="77777777" w:rsidR="00F95F29" w:rsidRPr="002D1F6F" w:rsidRDefault="00F95F29" w:rsidP="00F95F29">
            <w:pPr>
              <w:spacing w:after="0"/>
              <w:ind w:firstLine="0"/>
              <w:rPr>
                <w:rFonts w:eastAsia="Times New Roman" w:cs="Times New Roman"/>
                <w:sz w:val="18"/>
                <w:szCs w:val="18"/>
              </w:rPr>
            </w:pPr>
            <w:r w:rsidRPr="002D1F6F">
              <w:rPr>
                <w:rFonts w:eastAsia="Times New Roman" w:cs="Times New Roman"/>
                <w:sz w:val="18"/>
                <w:szCs w:val="18"/>
              </w:rPr>
              <w:t>(EKK 6216)</w:t>
            </w:r>
          </w:p>
        </w:tc>
        <w:tc>
          <w:tcPr>
            <w:tcW w:w="444" w:type="pct"/>
            <w:vMerge/>
            <w:tcBorders>
              <w:top w:val="nil"/>
              <w:left w:val="single" w:sz="8" w:space="0" w:color="auto"/>
              <w:bottom w:val="single" w:sz="4" w:space="0" w:color="auto"/>
              <w:right w:val="single" w:sz="8" w:space="0" w:color="auto"/>
            </w:tcBorders>
            <w:vAlign w:val="center"/>
            <w:hideMark/>
          </w:tcPr>
          <w:p w14:paraId="75E3E6AA" w14:textId="77777777" w:rsidR="00F95F29" w:rsidRPr="002D1F6F" w:rsidRDefault="00F95F29" w:rsidP="00F95F29">
            <w:pPr>
              <w:spacing w:after="0"/>
              <w:ind w:firstLine="0"/>
              <w:jc w:val="left"/>
              <w:rPr>
                <w:rFonts w:eastAsia="Times New Roman" w:cs="Times New Roman"/>
                <w:b/>
                <w:bCs/>
                <w:sz w:val="18"/>
                <w:szCs w:val="18"/>
              </w:rPr>
            </w:pPr>
          </w:p>
        </w:tc>
        <w:tc>
          <w:tcPr>
            <w:tcW w:w="434" w:type="pct"/>
            <w:vMerge/>
            <w:tcBorders>
              <w:top w:val="nil"/>
              <w:left w:val="single" w:sz="8" w:space="0" w:color="auto"/>
              <w:bottom w:val="single" w:sz="4" w:space="0" w:color="auto"/>
              <w:right w:val="single" w:sz="8" w:space="0" w:color="auto"/>
            </w:tcBorders>
            <w:vAlign w:val="center"/>
            <w:hideMark/>
          </w:tcPr>
          <w:p w14:paraId="43150ACF" w14:textId="77777777" w:rsidR="00F95F29" w:rsidRPr="002D1F6F" w:rsidRDefault="00F95F29" w:rsidP="00F95F29">
            <w:pPr>
              <w:spacing w:after="0"/>
              <w:ind w:firstLine="0"/>
              <w:jc w:val="left"/>
              <w:rPr>
                <w:rFonts w:eastAsia="Times New Roman" w:cs="Times New Roman"/>
                <w:b/>
                <w:bCs/>
                <w:sz w:val="18"/>
                <w:szCs w:val="18"/>
              </w:rPr>
            </w:pPr>
          </w:p>
        </w:tc>
        <w:tc>
          <w:tcPr>
            <w:tcW w:w="356" w:type="pct"/>
            <w:vMerge/>
            <w:tcBorders>
              <w:top w:val="nil"/>
              <w:left w:val="single" w:sz="8" w:space="0" w:color="auto"/>
              <w:bottom w:val="single" w:sz="4" w:space="0" w:color="auto"/>
              <w:right w:val="single" w:sz="8" w:space="0" w:color="auto"/>
            </w:tcBorders>
            <w:vAlign w:val="center"/>
          </w:tcPr>
          <w:p w14:paraId="194C7534" w14:textId="77777777" w:rsidR="00F95F29" w:rsidRPr="002D1F6F" w:rsidRDefault="00F95F29" w:rsidP="00F95F29">
            <w:pPr>
              <w:spacing w:after="0"/>
              <w:ind w:firstLine="0"/>
              <w:jc w:val="left"/>
              <w:rPr>
                <w:rFonts w:eastAsia="Times New Roman" w:cs="Times New Roman"/>
                <w:b/>
                <w:bCs/>
                <w:sz w:val="18"/>
                <w:szCs w:val="18"/>
              </w:rPr>
            </w:pPr>
          </w:p>
        </w:tc>
        <w:tc>
          <w:tcPr>
            <w:tcW w:w="371" w:type="pct"/>
            <w:vMerge/>
            <w:tcBorders>
              <w:top w:val="nil"/>
              <w:left w:val="single" w:sz="8" w:space="0" w:color="auto"/>
              <w:bottom w:val="single" w:sz="4" w:space="0" w:color="auto"/>
              <w:right w:val="single" w:sz="8" w:space="0" w:color="auto"/>
            </w:tcBorders>
            <w:vAlign w:val="center"/>
            <w:hideMark/>
          </w:tcPr>
          <w:p w14:paraId="253902BD"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434" w:type="pct"/>
            <w:vMerge/>
            <w:tcBorders>
              <w:top w:val="nil"/>
              <w:left w:val="single" w:sz="8" w:space="0" w:color="auto"/>
              <w:bottom w:val="single" w:sz="4" w:space="0" w:color="auto"/>
              <w:right w:val="single" w:sz="8" w:space="0" w:color="auto"/>
            </w:tcBorders>
            <w:vAlign w:val="center"/>
            <w:hideMark/>
          </w:tcPr>
          <w:p w14:paraId="172AE501"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367" w:type="pct"/>
            <w:vMerge/>
            <w:tcBorders>
              <w:top w:val="nil"/>
              <w:left w:val="single" w:sz="8" w:space="0" w:color="auto"/>
              <w:bottom w:val="single" w:sz="4" w:space="0" w:color="auto"/>
              <w:right w:val="single" w:sz="8" w:space="0" w:color="auto"/>
            </w:tcBorders>
            <w:vAlign w:val="center"/>
            <w:hideMark/>
          </w:tcPr>
          <w:p w14:paraId="63A010C2"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409" w:type="pct"/>
            <w:vMerge/>
            <w:tcBorders>
              <w:top w:val="nil"/>
              <w:left w:val="single" w:sz="8" w:space="0" w:color="auto"/>
              <w:bottom w:val="single" w:sz="4" w:space="0" w:color="auto"/>
              <w:right w:val="single" w:sz="8" w:space="0" w:color="auto"/>
            </w:tcBorders>
            <w:vAlign w:val="center"/>
            <w:hideMark/>
          </w:tcPr>
          <w:p w14:paraId="0EAFC190"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434" w:type="pct"/>
            <w:vMerge/>
            <w:tcBorders>
              <w:top w:val="nil"/>
              <w:left w:val="single" w:sz="8" w:space="0" w:color="auto"/>
              <w:bottom w:val="single" w:sz="4" w:space="0" w:color="auto"/>
              <w:right w:val="single" w:sz="8" w:space="0" w:color="auto"/>
            </w:tcBorders>
            <w:vAlign w:val="center"/>
            <w:hideMark/>
          </w:tcPr>
          <w:p w14:paraId="07A1780C"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367" w:type="pct"/>
            <w:vMerge/>
            <w:tcBorders>
              <w:top w:val="nil"/>
              <w:left w:val="single" w:sz="8" w:space="0" w:color="auto"/>
              <w:bottom w:val="single" w:sz="4" w:space="0" w:color="auto"/>
              <w:right w:val="single" w:sz="8" w:space="0" w:color="auto"/>
            </w:tcBorders>
            <w:vAlign w:val="center"/>
            <w:hideMark/>
          </w:tcPr>
          <w:p w14:paraId="588729D1" w14:textId="77777777" w:rsidR="00F95F29" w:rsidRPr="0038459F" w:rsidRDefault="00F95F29" w:rsidP="00F95F29">
            <w:pPr>
              <w:spacing w:after="0"/>
              <w:ind w:firstLine="0"/>
              <w:jc w:val="left"/>
              <w:rPr>
                <w:rFonts w:eastAsia="Times New Roman" w:cs="Times New Roman"/>
                <w:b/>
                <w:bCs/>
                <w:sz w:val="18"/>
                <w:szCs w:val="18"/>
                <w:highlight w:val="lightGray"/>
              </w:rPr>
            </w:pPr>
          </w:p>
        </w:tc>
      </w:tr>
      <w:tr w:rsidR="00F7392F" w:rsidRPr="0038459F" w14:paraId="7140E7AA" w14:textId="77777777" w:rsidTr="00F7392F">
        <w:trPr>
          <w:trHeight w:val="278"/>
        </w:trPr>
        <w:tc>
          <w:tcPr>
            <w:tcW w:w="1384" w:type="pct"/>
            <w:tcBorders>
              <w:top w:val="nil"/>
              <w:left w:val="single" w:sz="8" w:space="0" w:color="auto"/>
              <w:bottom w:val="single" w:sz="8" w:space="0" w:color="auto"/>
              <w:right w:val="single" w:sz="4" w:space="0" w:color="auto"/>
            </w:tcBorders>
            <w:shd w:val="clear" w:color="000000" w:fill="FFFFFF"/>
            <w:noWrap/>
            <w:vAlign w:val="center"/>
            <w:hideMark/>
          </w:tcPr>
          <w:p w14:paraId="6D2C87A7" w14:textId="77777777" w:rsidR="00F7392F" w:rsidRPr="002D1F6F" w:rsidRDefault="00F7392F" w:rsidP="00F95F29">
            <w:pPr>
              <w:spacing w:after="0"/>
              <w:ind w:firstLine="0"/>
              <w:jc w:val="right"/>
              <w:rPr>
                <w:rFonts w:eastAsia="Times New Roman" w:cs="Times New Roman"/>
                <w:i/>
                <w:iCs/>
                <w:sz w:val="18"/>
                <w:szCs w:val="18"/>
              </w:rPr>
            </w:pPr>
            <w:r w:rsidRPr="002D1F6F">
              <w:rPr>
                <w:rFonts w:eastAsia="Times New Roman" w:cs="Times New Roman"/>
                <w:i/>
                <w:iCs/>
                <w:sz w:val="18"/>
                <w:szCs w:val="18"/>
              </w:rPr>
              <w:t>tajā skaitā:</w:t>
            </w:r>
          </w:p>
        </w:tc>
        <w:tc>
          <w:tcPr>
            <w:tcW w:w="3616"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6DBFC6F7" w14:textId="77777777" w:rsidR="00F7392F" w:rsidRPr="002D1F6F" w:rsidRDefault="00F7392F" w:rsidP="00F95F29">
            <w:pPr>
              <w:spacing w:after="0"/>
              <w:ind w:firstLine="0"/>
              <w:jc w:val="left"/>
              <w:rPr>
                <w:rFonts w:ascii="Calibri" w:eastAsia="Times New Roman" w:hAnsi="Calibri" w:cs="Times New Roman"/>
                <w:sz w:val="22"/>
              </w:rPr>
            </w:pPr>
            <w:r w:rsidRPr="002D1F6F">
              <w:rPr>
                <w:rFonts w:ascii="Calibri" w:eastAsia="Times New Roman" w:hAnsi="Calibri" w:cs="Times New Roman"/>
                <w:sz w:val="22"/>
              </w:rPr>
              <w:t> </w:t>
            </w:r>
          </w:p>
        </w:tc>
      </w:tr>
      <w:tr w:rsidR="00F7392F" w:rsidRPr="0038459F" w14:paraId="2A32E601" w14:textId="77777777" w:rsidTr="00D02DF2">
        <w:trPr>
          <w:trHeight w:val="278"/>
        </w:trPr>
        <w:tc>
          <w:tcPr>
            <w:tcW w:w="1384" w:type="pct"/>
            <w:tcBorders>
              <w:top w:val="nil"/>
              <w:left w:val="single" w:sz="8" w:space="0" w:color="auto"/>
              <w:bottom w:val="single" w:sz="8" w:space="0" w:color="auto"/>
              <w:right w:val="single" w:sz="8" w:space="0" w:color="auto"/>
            </w:tcBorders>
            <w:shd w:val="clear" w:color="auto" w:fill="auto"/>
            <w:noWrap/>
            <w:vAlign w:val="center"/>
            <w:hideMark/>
          </w:tcPr>
          <w:p w14:paraId="6204615D" w14:textId="77777777" w:rsidR="00F7392F" w:rsidRPr="002D1F6F" w:rsidRDefault="00F7392F" w:rsidP="00F7392F">
            <w:pPr>
              <w:spacing w:after="0"/>
              <w:ind w:firstLine="0"/>
              <w:rPr>
                <w:rFonts w:eastAsia="Times New Roman" w:cs="Times New Roman"/>
                <w:sz w:val="18"/>
                <w:szCs w:val="18"/>
              </w:rPr>
            </w:pPr>
            <w:r w:rsidRPr="002D1F6F">
              <w:rPr>
                <w:rFonts w:eastAsia="Times New Roman" w:cs="Times New Roman"/>
                <w:sz w:val="18"/>
                <w:szCs w:val="18"/>
              </w:rPr>
              <w:t xml:space="preserve">Izdienas pensijas </w:t>
            </w:r>
          </w:p>
        </w:tc>
        <w:tc>
          <w:tcPr>
            <w:tcW w:w="444" w:type="pct"/>
            <w:tcBorders>
              <w:top w:val="single" w:sz="4" w:space="0" w:color="auto"/>
              <w:left w:val="nil"/>
              <w:bottom w:val="single" w:sz="8" w:space="0" w:color="auto"/>
              <w:right w:val="single" w:sz="8" w:space="0" w:color="auto"/>
            </w:tcBorders>
            <w:shd w:val="clear" w:color="auto" w:fill="auto"/>
            <w:hideMark/>
          </w:tcPr>
          <w:p w14:paraId="5D180952" w14:textId="18D0CBB9" w:rsidR="00F7392F" w:rsidRPr="002D1F6F" w:rsidRDefault="00F7392F" w:rsidP="00F7392F">
            <w:pPr>
              <w:spacing w:after="0"/>
              <w:ind w:firstLine="0"/>
              <w:jc w:val="right"/>
              <w:rPr>
                <w:rFonts w:eastAsia="Times New Roman" w:cs="Times New Roman"/>
                <w:sz w:val="18"/>
                <w:szCs w:val="18"/>
              </w:rPr>
            </w:pPr>
            <w:r w:rsidRPr="002D1F6F">
              <w:rPr>
                <w:sz w:val="18"/>
                <w:szCs w:val="18"/>
              </w:rPr>
              <w:t>698</w:t>
            </w:r>
            <w:r>
              <w:rPr>
                <w:sz w:val="18"/>
                <w:szCs w:val="18"/>
              </w:rPr>
              <w:t>,</w:t>
            </w:r>
            <w:r w:rsidRPr="002D1F6F">
              <w:rPr>
                <w:sz w:val="18"/>
                <w:szCs w:val="18"/>
              </w:rPr>
              <w:t>52</w:t>
            </w:r>
          </w:p>
        </w:tc>
        <w:tc>
          <w:tcPr>
            <w:tcW w:w="434" w:type="pct"/>
            <w:tcBorders>
              <w:top w:val="single" w:sz="4" w:space="0" w:color="auto"/>
              <w:left w:val="nil"/>
              <w:bottom w:val="single" w:sz="8" w:space="0" w:color="auto"/>
              <w:right w:val="single" w:sz="8" w:space="0" w:color="auto"/>
            </w:tcBorders>
            <w:shd w:val="clear" w:color="auto" w:fill="auto"/>
            <w:hideMark/>
          </w:tcPr>
          <w:p w14:paraId="7E2A7523" w14:textId="211C41D2" w:rsidR="00F7392F" w:rsidRPr="002D1F6F" w:rsidRDefault="00F7392F" w:rsidP="00F7392F">
            <w:pPr>
              <w:spacing w:after="0"/>
              <w:ind w:firstLine="0"/>
              <w:jc w:val="right"/>
              <w:rPr>
                <w:rFonts w:eastAsia="Times New Roman" w:cs="Times New Roman"/>
                <w:sz w:val="18"/>
                <w:szCs w:val="18"/>
              </w:rPr>
            </w:pPr>
            <w:r w:rsidRPr="002D1F6F">
              <w:rPr>
                <w:sz w:val="18"/>
                <w:szCs w:val="18"/>
              </w:rPr>
              <w:t>2 050</w:t>
            </w:r>
          </w:p>
        </w:tc>
        <w:tc>
          <w:tcPr>
            <w:tcW w:w="356" w:type="pct"/>
            <w:tcBorders>
              <w:top w:val="single" w:sz="4" w:space="0" w:color="auto"/>
              <w:left w:val="nil"/>
              <w:bottom w:val="single" w:sz="8" w:space="0" w:color="auto"/>
              <w:right w:val="single" w:sz="8" w:space="0" w:color="auto"/>
            </w:tcBorders>
            <w:shd w:val="clear" w:color="auto" w:fill="auto"/>
          </w:tcPr>
          <w:p w14:paraId="3DDCC490" w14:textId="6530BCF0" w:rsidR="00F7392F" w:rsidRPr="002D1F6F" w:rsidRDefault="00F7392F" w:rsidP="00F7392F">
            <w:pPr>
              <w:spacing w:after="0"/>
              <w:ind w:firstLine="0"/>
              <w:rPr>
                <w:rFonts w:eastAsia="Times New Roman" w:cs="Times New Roman"/>
                <w:sz w:val="18"/>
                <w:szCs w:val="18"/>
              </w:rPr>
            </w:pPr>
            <w:r w:rsidRPr="002D1F6F">
              <w:rPr>
                <w:sz w:val="18"/>
                <w:szCs w:val="18"/>
              </w:rPr>
              <w:t>17 183 504</w:t>
            </w:r>
          </w:p>
        </w:tc>
        <w:tc>
          <w:tcPr>
            <w:tcW w:w="371" w:type="pct"/>
            <w:tcBorders>
              <w:top w:val="single" w:sz="4" w:space="0" w:color="auto"/>
              <w:left w:val="nil"/>
              <w:bottom w:val="single" w:sz="8" w:space="0" w:color="auto"/>
              <w:right w:val="single" w:sz="8" w:space="0" w:color="auto"/>
            </w:tcBorders>
            <w:shd w:val="clear" w:color="auto" w:fill="auto"/>
            <w:noWrap/>
            <w:hideMark/>
          </w:tcPr>
          <w:p w14:paraId="596DA419" w14:textId="1439F045"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698</w:t>
            </w:r>
            <w:r>
              <w:rPr>
                <w:sz w:val="18"/>
                <w:szCs w:val="18"/>
              </w:rPr>
              <w:t>,</w:t>
            </w:r>
            <w:r w:rsidRPr="002D1F6F">
              <w:rPr>
                <w:sz w:val="18"/>
                <w:szCs w:val="18"/>
              </w:rPr>
              <w:t>52</w:t>
            </w:r>
          </w:p>
        </w:tc>
        <w:tc>
          <w:tcPr>
            <w:tcW w:w="434" w:type="pct"/>
            <w:tcBorders>
              <w:top w:val="single" w:sz="4" w:space="0" w:color="auto"/>
              <w:left w:val="nil"/>
              <w:bottom w:val="single" w:sz="8" w:space="0" w:color="auto"/>
              <w:right w:val="single" w:sz="8" w:space="0" w:color="auto"/>
            </w:tcBorders>
            <w:shd w:val="clear" w:color="auto" w:fill="auto"/>
            <w:noWrap/>
            <w:hideMark/>
          </w:tcPr>
          <w:p w14:paraId="5E3D407A" w14:textId="0E26A247"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2 050</w:t>
            </w:r>
          </w:p>
        </w:tc>
        <w:tc>
          <w:tcPr>
            <w:tcW w:w="367" w:type="pct"/>
            <w:tcBorders>
              <w:top w:val="single" w:sz="4" w:space="0" w:color="auto"/>
              <w:left w:val="nil"/>
              <w:bottom w:val="single" w:sz="8" w:space="0" w:color="auto"/>
              <w:right w:val="single" w:sz="8" w:space="0" w:color="auto"/>
            </w:tcBorders>
            <w:shd w:val="clear" w:color="auto" w:fill="auto"/>
            <w:noWrap/>
            <w:hideMark/>
          </w:tcPr>
          <w:p w14:paraId="6EDF69A6" w14:textId="6D05AC39"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17 183 504</w:t>
            </w:r>
          </w:p>
        </w:tc>
        <w:tc>
          <w:tcPr>
            <w:tcW w:w="409" w:type="pct"/>
            <w:tcBorders>
              <w:top w:val="single" w:sz="4" w:space="0" w:color="auto"/>
              <w:left w:val="nil"/>
              <w:bottom w:val="single" w:sz="8" w:space="0" w:color="auto"/>
              <w:right w:val="single" w:sz="8" w:space="0" w:color="auto"/>
            </w:tcBorders>
            <w:shd w:val="clear" w:color="auto" w:fill="auto"/>
            <w:noWrap/>
            <w:hideMark/>
          </w:tcPr>
          <w:p w14:paraId="0BE503A3" w14:textId="5A9CCAB2" w:rsidR="00F7392F" w:rsidRPr="00F7392F" w:rsidRDefault="00F7392F" w:rsidP="00F7392F">
            <w:pPr>
              <w:spacing w:after="0"/>
              <w:ind w:firstLine="0"/>
              <w:jc w:val="right"/>
              <w:rPr>
                <w:rFonts w:eastAsia="Times New Roman" w:cs="Times New Roman"/>
                <w:sz w:val="18"/>
                <w:szCs w:val="18"/>
                <w:highlight w:val="lightGray"/>
              </w:rPr>
            </w:pPr>
            <w:r w:rsidRPr="00F7392F">
              <w:rPr>
                <w:sz w:val="18"/>
                <w:szCs w:val="18"/>
              </w:rPr>
              <w:t>698</w:t>
            </w:r>
            <w:r>
              <w:rPr>
                <w:sz w:val="18"/>
                <w:szCs w:val="18"/>
              </w:rPr>
              <w:t>,</w:t>
            </w:r>
            <w:r w:rsidRPr="00F7392F">
              <w:rPr>
                <w:sz w:val="18"/>
                <w:szCs w:val="18"/>
              </w:rPr>
              <w:t>52</w:t>
            </w:r>
          </w:p>
        </w:tc>
        <w:tc>
          <w:tcPr>
            <w:tcW w:w="434" w:type="pct"/>
            <w:tcBorders>
              <w:top w:val="single" w:sz="4" w:space="0" w:color="auto"/>
              <w:left w:val="nil"/>
              <w:bottom w:val="single" w:sz="8" w:space="0" w:color="auto"/>
              <w:right w:val="single" w:sz="8" w:space="0" w:color="auto"/>
            </w:tcBorders>
            <w:shd w:val="clear" w:color="auto" w:fill="auto"/>
            <w:noWrap/>
            <w:hideMark/>
          </w:tcPr>
          <w:p w14:paraId="6BC94147" w14:textId="63F9E9CB" w:rsidR="00F7392F" w:rsidRPr="00F7392F" w:rsidRDefault="00F7392F" w:rsidP="00F7392F">
            <w:pPr>
              <w:spacing w:after="0"/>
              <w:ind w:firstLine="0"/>
              <w:jc w:val="right"/>
              <w:rPr>
                <w:rFonts w:eastAsia="Times New Roman" w:cs="Times New Roman"/>
                <w:sz w:val="18"/>
                <w:szCs w:val="18"/>
                <w:highlight w:val="lightGray"/>
              </w:rPr>
            </w:pPr>
            <w:r w:rsidRPr="00F7392F">
              <w:rPr>
                <w:sz w:val="18"/>
                <w:szCs w:val="18"/>
              </w:rPr>
              <w:t>2 050</w:t>
            </w:r>
          </w:p>
        </w:tc>
        <w:tc>
          <w:tcPr>
            <w:tcW w:w="367" w:type="pct"/>
            <w:tcBorders>
              <w:top w:val="single" w:sz="4" w:space="0" w:color="auto"/>
              <w:left w:val="nil"/>
              <w:bottom w:val="single" w:sz="8" w:space="0" w:color="auto"/>
              <w:right w:val="single" w:sz="8" w:space="0" w:color="auto"/>
            </w:tcBorders>
            <w:shd w:val="clear" w:color="auto" w:fill="auto"/>
            <w:noWrap/>
            <w:hideMark/>
          </w:tcPr>
          <w:p w14:paraId="22DA426C" w14:textId="405E6B3F" w:rsidR="00F7392F" w:rsidRPr="00F7392F" w:rsidRDefault="00F7392F" w:rsidP="00F7392F">
            <w:pPr>
              <w:spacing w:after="0"/>
              <w:ind w:firstLine="0"/>
              <w:jc w:val="right"/>
              <w:rPr>
                <w:rFonts w:eastAsia="Times New Roman" w:cs="Times New Roman"/>
                <w:sz w:val="18"/>
                <w:szCs w:val="18"/>
                <w:highlight w:val="lightGray"/>
              </w:rPr>
            </w:pPr>
            <w:r w:rsidRPr="00F7392F">
              <w:rPr>
                <w:sz w:val="18"/>
                <w:szCs w:val="18"/>
              </w:rPr>
              <w:t>17 183 504</w:t>
            </w:r>
          </w:p>
        </w:tc>
      </w:tr>
      <w:tr w:rsidR="00F7392F" w:rsidRPr="0038459F" w14:paraId="342A530B" w14:textId="77777777" w:rsidTr="00D02DF2">
        <w:trPr>
          <w:trHeight w:val="265"/>
        </w:trPr>
        <w:tc>
          <w:tcPr>
            <w:tcW w:w="1384" w:type="pct"/>
            <w:tcBorders>
              <w:top w:val="nil"/>
              <w:left w:val="single" w:sz="8" w:space="0" w:color="auto"/>
              <w:bottom w:val="nil"/>
              <w:right w:val="single" w:sz="8" w:space="0" w:color="auto"/>
            </w:tcBorders>
            <w:shd w:val="clear" w:color="000000" w:fill="FFFFFF"/>
            <w:noWrap/>
            <w:vAlign w:val="center"/>
            <w:hideMark/>
          </w:tcPr>
          <w:p w14:paraId="7DAE73C0" w14:textId="77777777" w:rsidR="00F7392F" w:rsidRPr="002D1F6F" w:rsidRDefault="00F7392F" w:rsidP="00F7392F">
            <w:pPr>
              <w:spacing w:after="0"/>
              <w:ind w:firstLine="0"/>
              <w:rPr>
                <w:rFonts w:eastAsia="Times New Roman" w:cs="Times New Roman"/>
                <w:b/>
                <w:bCs/>
                <w:sz w:val="18"/>
                <w:szCs w:val="18"/>
              </w:rPr>
            </w:pPr>
            <w:r w:rsidRPr="002D1F6F">
              <w:rPr>
                <w:rFonts w:eastAsia="Times New Roman" w:cs="Times New Roman"/>
                <w:b/>
                <w:bCs/>
                <w:sz w:val="18"/>
                <w:szCs w:val="18"/>
              </w:rPr>
              <w:t xml:space="preserve">Pārējie valsts pabalsti un kompensācijas – kopā </w:t>
            </w:r>
          </w:p>
        </w:tc>
        <w:tc>
          <w:tcPr>
            <w:tcW w:w="444" w:type="pct"/>
            <w:vMerge w:val="restart"/>
            <w:tcBorders>
              <w:top w:val="nil"/>
              <w:left w:val="single" w:sz="8" w:space="0" w:color="auto"/>
              <w:bottom w:val="single" w:sz="8" w:space="0" w:color="000000"/>
              <w:right w:val="single" w:sz="8" w:space="0" w:color="auto"/>
            </w:tcBorders>
            <w:shd w:val="clear" w:color="auto" w:fill="auto"/>
            <w:hideMark/>
          </w:tcPr>
          <w:p w14:paraId="289B8037" w14:textId="7162F339" w:rsidR="00F7392F" w:rsidRPr="002D1F6F" w:rsidRDefault="00F7392F" w:rsidP="00F7392F">
            <w:pPr>
              <w:spacing w:after="0"/>
              <w:ind w:firstLine="0"/>
              <w:jc w:val="center"/>
              <w:rPr>
                <w:rFonts w:eastAsia="Times New Roman" w:cs="Times New Roman"/>
                <w:b/>
                <w:bCs/>
                <w:sz w:val="18"/>
                <w:szCs w:val="18"/>
              </w:rPr>
            </w:pPr>
            <w:r w:rsidRPr="002D1F6F">
              <w:rPr>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hideMark/>
          </w:tcPr>
          <w:p w14:paraId="7092945F" w14:textId="04773654" w:rsidR="00F7392F" w:rsidRPr="002D1F6F" w:rsidRDefault="00F7392F" w:rsidP="00F7392F">
            <w:pPr>
              <w:spacing w:after="0"/>
              <w:ind w:firstLine="0"/>
              <w:jc w:val="center"/>
              <w:rPr>
                <w:rFonts w:eastAsia="Times New Roman" w:cs="Times New Roman"/>
                <w:b/>
                <w:bCs/>
                <w:sz w:val="18"/>
                <w:szCs w:val="18"/>
              </w:rPr>
            </w:pPr>
            <w:r w:rsidRPr="002D1F6F">
              <w:rPr>
                <w:sz w:val="18"/>
                <w:szCs w:val="18"/>
              </w:rPr>
              <w:t>X</w:t>
            </w:r>
          </w:p>
        </w:tc>
        <w:tc>
          <w:tcPr>
            <w:tcW w:w="356" w:type="pct"/>
            <w:vMerge w:val="restart"/>
            <w:tcBorders>
              <w:top w:val="nil"/>
              <w:left w:val="single" w:sz="8" w:space="0" w:color="auto"/>
              <w:bottom w:val="single" w:sz="8" w:space="0" w:color="000000"/>
              <w:right w:val="single" w:sz="8" w:space="0" w:color="auto"/>
            </w:tcBorders>
            <w:shd w:val="clear" w:color="auto" w:fill="auto"/>
          </w:tcPr>
          <w:p w14:paraId="4252EAE9" w14:textId="023152A4" w:rsidR="00F7392F" w:rsidRPr="002D1F6F" w:rsidRDefault="00F7392F" w:rsidP="00F7392F">
            <w:pPr>
              <w:spacing w:after="0"/>
              <w:ind w:firstLine="0"/>
              <w:jc w:val="right"/>
              <w:rPr>
                <w:rFonts w:eastAsia="Times New Roman" w:cs="Times New Roman"/>
                <w:b/>
                <w:bCs/>
                <w:sz w:val="18"/>
                <w:szCs w:val="18"/>
              </w:rPr>
            </w:pPr>
            <w:r w:rsidRPr="002D1F6F">
              <w:rPr>
                <w:sz w:val="18"/>
                <w:szCs w:val="18"/>
              </w:rPr>
              <w:t>1 741 276</w:t>
            </w:r>
          </w:p>
        </w:tc>
        <w:tc>
          <w:tcPr>
            <w:tcW w:w="371" w:type="pct"/>
            <w:vMerge w:val="restart"/>
            <w:tcBorders>
              <w:top w:val="nil"/>
              <w:left w:val="single" w:sz="8" w:space="0" w:color="auto"/>
              <w:bottom w:val="single" w:sz="8" w:space="0" w:color="000000"/>
              <w:right w:val="single" w:sz="8" w:space="0" w:color="auto"/>
            </w:tcBorders>
            <w:shd w:val="clear" w:color="auto" w:fill="auto"/>
            <w:noWrap/>
            <w:hideMark/>
          </w:tcPr>
          <w:p w14:paraId="020AC3CA" w14:textId="3F1A8AFB" w:rsidR="00F7392F" w:rsidRPr="002D1F6F" w:rsidRDefault="00F7392F" w:rsidP="00F7392F">
            <w:pPr>
              <w:spacing w:after="0"/>
              <w:ind w:firstLine="0"/>
              <w:jc w:val="center"/>
              <w:rPr>
                <w:rFonts w:eastAsia="Times New Roman" w:cs="Times New Roman"/>
                <w:b/>
                <w:bCs/>
                <w:sz w:val="18"/>
                <w:szCs w:val="18"/>
                <w:highlight w:val="lightGray"/>
              </w:rPr>
            </w:pPr>
            <w:r w:rsidRPr="002D1F6F">
              <w:rPr>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noWrap/>
            <w:hideMark/>
          </w:tcPr>
          <w:p w14:paraId="7205D95F" w14:textId="1526DCF3" w:rsidR="00F7392F" w:rsidRPr="002D1F6F" w:rsidRDefault="00F7392F" w:rsidP="00F7392F">
            <w:pPr>
              <w:spacing w:after="0"/>
              <w:ind w:firstLine="0"/>
              <w:jc w:val="center"/>
              <w:rPr>
                <w:rFonts w:eastAsia="Times New Roman" w:cs="Times New Roman"/>
                <w:b/>
                <w:bCs/>
                <w:sz w:val="18"/>
                <w:szCs w:val="18"/>
                <w:highlight w:val="lightGray"/>
              </w:rPr>
            </w:pPr>
            <w:r w:rsidRPr="002D1F6F">
              <w:rPr>
                <w:sz w:val="18"/>
                <w:szCs w:val="18"/>
              </w:rPr>
              <w:t>X</w:t>
            </w:r>
          </w:p>
        </w:tc>
        <w:tc>
          <w:tcPr>
            <w:tcW w:w="367" w:type="pct"/>
            <w:vMerge w:val="restart"/>
            <w:tcBorders>
              <w:top w:val="nil"/>
              <w:left w:val="single" w:sz="8" w:space="0" w:color="auto"/>
              <w:bottom w:val="single" w:sz="8" w:space="0" w:color="000000"/>
              <w:right w:val="single" w:sz="8" w:space="0" w:color="auto"/>
            </w:tcBorders>
            <w:shd w:val="clear" w:color="auto" w:fill="auto"/>
            <w:noWrap/>
            <w:hideMark/>
          </w:tcPr>
          <w:p w14:paraId="65710C2B" w14:textId="34F65187" w:rsidR="00F7392F" w:rsidRPr="002D1F6F" w:rsidRDefault="00F7392F" w:rsidP="00F7392F">
            <w:pPr>
              <w:spacing w:after="0"/>
              <w:ind w:firstLine="0"/>
              <w:jc w:val="right"/>
              <w:rPr>
                <w:rFonts w:eastAsia="Times New Roman" w:cs="Times New Roman"/>
                <w:b/>
                <w:bCs/>
                <w:sz w:val="18"/>
                <w:szCs w:val="18"/>
                <w:highlight w:val="lightGray"/>
              </w:rPr>
            </w:pPr>
            <w:r w:rsidRPr="002D1F6F">
              <w:rPr>
                <w:sz w:val="18"/>
                <w:szCs w:val="18"/>
              </w:rPr>
              <w:t>1 741 276</w:t>
            </w:r>
          </w:p>
        </w:tc>
        <w:tc>
          <w:tcPr>
            <w:tcW w:w="409" w:type="pct"/>
            <w:vMerge w:val="restart"/>
            <w:tcBorders>
              <w:top w:val="nil"/>
              <w:left w:val="single" w:sz="8" w:space="0" w:color="auto"/>
              <w:bottom w:val="single" w:sz="8" w:space="0" w:color="000000"/>
              <w:right w:val="single" w:sz="8" w:space="0" w:color="auto"/>
            </w:tcBorders>
            <w:shd w:val="clear" w:color="auto" w:fill="auto"/>
            <w:noWrap/>
            <w:hideMark/>
          </w:tcPr>
          <w:p w14:paraId="3CECCBBA" w14:textId="55479747" w:rsidR="00F7392F" w:rsidRPr="00F7392F" w:rsidRDefault="00F7392F" w:rsidP="00F7392F">
            <w:pPr>
              <w:spacing w:after="0"/>
              <w:ind w:firstLine="0"/>
              <w:jc w:val="center"/>
              <w:rPr>
                <w:rFonts w:eastAsia="Times New Roman" w:cs="Times New Roman"/>
                <w:b/>
                <w:bCs/>
                <w:sz w:val="18"/>
                <w:szCs w:val="18"/>
                <w:highlight w:val="lightGray"/>
              </w:rPr>
            </w:pPr>
            <w:r w:rsidRPr="00F7392F">
              <w:rPr>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noWrap/>
            <w:hideMark/>
          </w:tcPr>
          <w:p w14:paraId="63506CF2" w14:textId="670BE613" w:rsidR="00F7392F" w:rsidRPr="00F7392F" w:rsidRDefault="00F7392F" w:rsidP="00F7392F">
            <w:pPr>
              <w:spacing w:after="0"/>
              <w:ind w:firstLine="0"/>
              <w:jc w:val="center"/>
              <w:rPr>
                <w:rFonts w:eastAsia="Times New Roman" w:cs="Times New Roman"/>
                <w:b/>
                <w:bCs/>
                <w:sz w:val="18"/>
                <w:szCs w:val="18"/>
                <w:highlight w:val="lightGray"/>
              </w:rPr>
            </w:pPr>
            <w:r w:rsidRPr="00F7392F">
              <w:rPr>
                <w:sz w:val="18"/>
                <w:szCs w:val="18"/>
              </w:rPr>
              <w:t>X</w:t>
            </w:r>
          </w:p>
        </w:tc>
        <w:tc>
          <w:tcPr>
            <w:tcW w:w="367" w:type="pct"/>
            <w:vMerge w:val="restart"/>
            <w:tcBorders>
              <w:top w:val="nil"/>
              <w:left w:val="single" w:sz="8" w:space="0" w:color="auto"/>
              <w:bottom w:val="single" w:sz="8" w:space="0" w:color="000000"/>
              <w:right w:val="single" w:sz="8" w:space="0" w:color="auto"/>
            </w:tcBorders>
            <w:shd w:val="clear" w:color="auto" w:fill="auto"/>
            <w:noWrap/>
            <w:hideMark/>
          </w:tcPr>
          <w:p w14:paraId="1F70599B" w14:textId="10576039" w:rsidR="00F7392F" w:rsidRPr="00F7392F" w:rsidRDefault="00F7392F" w:rsidP="00F7392F">
            <w:pPr>
              <w:spacing w:after="0"/>
              <w:ind w:firstLine="0"/>
              <w:jc w:val="right"/>
              <w:rPr>
                <w:rFonts w:eastAsia="Times New Roman" w:cs="Times New Roman"/>
                <w:b/>
                <w:bCs/>
                <w:sz w:val="18"/>
                <w:szCs w:val="18"/>
                <w:highlight w:val="lightGray"/>
              </w:rPr>
            </w:pPr>
            <w:r w:rsidRPr="00F7392F">
              <w:rPr>
                <w:sz w:val="18"/>
                <w:szCs w:val="18"/>
              </w:rPr>
              <w:t>1 741 276</w:t>
            </w:r>
          </w:p>
        </w:tc>
      </w:tr>
      <w:tr w:rsidR="00F95F29" w:rsidRPr="0038459F" w14:paraId="14F81D87" w14:textId="77777777" w:rsidTr="00F95F29">
        <w:trPr>
          <w:trHeight w:val="278"/>
        </w:trPr>
        <w:tc>
          <w:tcPr>
            <w:tcW w:w="1384" w:type="pct"/>
            <w:tcBorders>
              <w:top w:val="nil"/>
              <w:left w:val="single" w:sz="8" w:space="0" w:color="auto"/>
              <w:bottom w:val="single" w:sz="8" w:space="0" w:color="auto"/>
              <w:right w:val="single" w:sz="8" w:space="0" w:color="auto"/>
            </w:tcBorders>
            <w:shd w:val="clear" w:color="000000" w:fill="FFFFFF"/>
            <w:noWrap/>
            <w:vAlign w:val="center"/>
            <w:hideMark/>
          </w:tcPr>
          <w:p w14:paraId="56C0AEA0" w14:textId="77777777" w:rsidR="00F95F29" w:rsidRPr="0038459F" w:rsidRDefault="00F95F29" w:rsidP="00F95F29">
            <w:pPr>
              <w:spacing w:after="0"/>
              <w:ind w:firstLine="0"/>
              <w:rPr>
                <w:rFonts w:eastAsia="Times New Roman" w:cs="Times New Roman"/>
                <w:sz w:val="18"/>
                <w:szCs w:val="18"/>
                <w:highlight w:val="lightGray"/>
              </w:rPr>
            </w:pPr>
            <w:r w:rsidRPr="002D1F6F">
              <w:rPr>
                <w:rFonts w:eastAsia="Times New Roman" w:cs="Times New Roman"/>
                <w:sz w:val="18"/>
                <w:szCs w:val="18"/>
              </w:rPr>
              <w:t>(EKK 6239)</w:t>
            </w:r>
          </w:p>
        </w:tc>
        <w:tc>
          <w:tcPr>
            <w:tcW w:w="444" w:type="pct"/>
            <w:vMerge/>
            <w:tcBorders>
              <w:top w:val="nil"/>
              <w:left w:val="single" w:sz="8" w:space="0" w:color="auto"/>
              <w:bottom w:val="single" w:sz="4" w:space="0" w:color="auto"/>
              <w:right w:val="single" w:sz="8" w:space="0" w:color="auto"/>
            </w:tcBorders>
            <w:vAlign w:val="center"/>
            <w:hideMark/>
          </w:tcPr>
          <w:p w14:paraId="38F823F7"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434" w:type="pct"/>
            <w:vMerge/>
            <w:tcBorders>
              <w:top w:val="nil"/>
              <w:left w:val="single" w:sz="8" w:space="0" w:color="auto"/>
              <w:bottom w:val="single" w:sz="4" w:space="0" w:color="auto"/>
              <w:right w:val="single" w:sz="8" w:space="0" w:color="auto"/>
            </w:tcBorders>
            <w:vAlign w:val="center"/>
            <w:hideMark/>
          </w:tcPr>
          <w:p w14:paraId="22888D87"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356" w:type="pct"/>
            <w:vMerge/>
            <w:tcBorders>
              <w:top w:val="nil"/>
              <w:left w:val="single" w:sz="8" w:space="0" w:color="auto"/>
              <w:bottom w:val="single" w:sz="4" w:space="0" w:color="auto"/>
              <w:right w:val="single" w:sz="8" w:space="0" w:color="auto"/>
            </w:tcBorders>
            <w:vAlign w:val="center"/>
          </w:tcPr>
          <w:p w14:paraId="6BAA42DD"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371" w:type="pct"/>
            <w:vMerge/>
            <w:tcBorders>
              <w:top w:val="nil"/>
              <w:left w:val="single" w:sz="8" w:space="0" w:color="auto"/>
              <w:bottom w:val="single" w:sz="4" w:space="0" w:color="auto"/>
              <w:right w:val="single" w:sz="8" w:space="0" w:color="auto"/>
            </w:tcBorders>
            <w:vAlign w:val="center"/>
            <w:hideMark/>
          </w:tcPr>
          <w:p w14:paraId="7DD41BC8"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434" w:type="pct"/>
            <w:vMerge/>
            <w:tcBorders>
              <w:top w:val="nil"/>
              <w:left w:val="single" w:sz="8" w:space="0" w:color="auto"/>
              <w:bottom w:val="single" w:sz="4" w:space="0" w:color="auto"/>
              <w:right w:val="single" w:sz="8" w:space="0" w:color="auto"/>
            </w:tcBorders>
            <w:vAlign w:val="center"/>
            <w:hideMark/>
          </w:tcPr>
          <w:p w14:paraId="4D3ABF77"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367" w:type="pct"/>
            <w:vMerge/>
            <w:tcBorders>
              <w:top w:val="nil"/>
              <w:left w:val="single" w:sz="8" w:space="0" w:color="auto"/>
              <w:bottom w:val="single" w:sz="4" w:space="0" w:color="auto"/>
              <w:right w:val="single" w:sz="8" w:space="0" w:color="auto"/>
            </w:tcBorders>
            <w:vAlign w:val="center"/>
            <w:hideMark/>
          </w:tcPr>
          <w:p w14:paraId="61D02327"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409" w:type="pct"/>
            <w:vMerge/>
            <w:tcBorders>
              <w:top w:val="nil"/>
              <w:left w:val="single" w:sz="8" w:space="0" w:color="auto"/>
              <w:bottom w:val="single" w:sz="4" w:space="0" w:color="auto"/>
              <w:right w:val="single" w:sz="8" w:space="0" w:color="auto"/>
            </w:tcBorders>
            <w:vAlign w:val="center"/>
            <w:hideMark/>
          </w:tcPr>
          <w:p w14:paraId="08E170BA"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434" w:type="pct"/>
            <w:vMerge/>
            <w:tcBorders>
              <w:top w:val="nil"/>
              <w:left w:val="single" w:sz="8" w:space="0" w:color="auto"/>
              <w:bottom w:val="single" w:sz="4" w:space="0" w:color="auto"/>
              <w:right w:val="single" w:sz="8" w:space="0" w:color="auto"/>
            </w:tcBorders>
            <w:vAlign w:val="center"/>
            <w:hideMark/>
          </w:tcPr>
          <w:p w14:paraId="4BAE5614" w14:textId="77777777" w:rsidR="00F95F29" w:rsidRPr="0038459F" w:rsidRDefault="00F95F29" w:rsidP="00F95F29">
            <w:pPr>
              <w:spacing w:after="0"/>
              <w:ind w:firstLine="0"/>
              <w:jc w:val="left"/>
              <w:rPr>
                <w:rFonts w:eastAsia="Times New Roman" w:cs="Times New Roman"/>
                <w:b/>
                <w:bCs/>
                <w:sz w:val="18"/>
                <w:szCs w:val="18"/>
                <w:highlight w:val="lightGray"/>
              </w:rPr>
            </w:pPr>
          </w:p>
        </w:tc>
        <w:tc>
          <w:tcPr>
            <w:tcW w:w="367" w:type="pct"/>
            <w:vMerge/>
            <w:tcBorders>
              <w:top w:val="nil"/>
              <w:left w:val="single" w:sz="8" w:space="0" w:color="auto"/>
              <w:bottom w:val="single" w:sz="4" w:space="0" w:color="auto"/>
              <w:right w:val="single" w:sz="8" w:space="0" w:color="auto"/>
            </w:tcBorders>
            <w:vAlign w:val="center"/>
            <w:hideMark/>
          </w:tcPr>
          <w:p w14:paraId="7A29142E" w14:textId="77777777" w:rsidR="00F95F29" w:rsidRPr="0038459F" w:rsidRDefault="00F95F29" w:rsidP="00F95F29">
            <w:pPr>
              <w:spacing w:after="0"/>
              <w:ind w:firstLine="0"/>
              <w:jc w:val="left"/>
              <w:rPr>
                <w:rFonts w:eastAsia="Times New Roman" w:cs="Times New Roman"/>
                <w:b/>
                <w:bCs/>
                <w:sz w:val="18"/>
                <w:szCs w:val="18"/>
                <w:highlight w:val="lightGray"/>
              </w:rPr>
            </w:pPr>
          </w:p>
        </w:tc>
      </w:tr>
      <w:tr w:rsidR="00F7392F" w:rsidRPr="0038459F" w14:paraId="2D704BDB" w14:textId="77777777" w:rsidTr="00F7392F">
        <w:trPr>
          <w:trHeight w:val="278"/>
        </w:trPr>
        <w:tc>
          <w:tcPr>
            <w:tcW w:w="1384" w:type="pct"/>
            <w:tcBorders>
              <w:top w:val="nil"/>
              <w:left w:val="single" w:sz="8" w:space="0" w:color="auto"/>
              <w:bottom w:val="single" w:sz="8" w:space="0" w:color="auto"/>
              <w:right w:val="single" w:sz="4" w:space="0" w:color="auto"/>
            </w:tcBorders>
            <w:shd w:val="clear" w:color="000000" w:fill="FFFFFF"/>
            <w:noWrap/>
            <w:vAlign w:val="center"/>
            <w:hideMark/>
          </w:tcPr>
          <w:p w14:paraId="0D917E6A" w14:textId="77777777" w:rsidR="00F7392F" w:rsidRPr="002D1F6F" w:rsidRDefault="00F7392F" w:rsidP="00F95F29">
            <w:pPr>
              <w:spacing w:after="0"/>
              <w:ind w:firstLine="0"/>
              <w:jc w:val="right"/>
              <w:rPr>
                <w:rFonts w:eastAsia="Times New Roman" w:cs="Times New Roman"/>
                <w:i/>
                <w:iCs/>
                <w:sz w:val="18"/>
                <w:szCs w:val="18"/>
              </w:rPr>
            </w:pPr>
            <w:r w:rsidRPr="002D1F6F">
              <w:rPr>
                <w:rFonts w:eastAsia="Times New Roman" w:cs="Times New Roman"/>
                <w:i/>
                <w:iCs/>
                <w:sz w:val="18"/>
                <w:szCs w:val="18"/>
              </w:rPr>
              <w:t>tajā skaitā:</w:t>
            </w:r>
          </w:p>
        </w:tc>
        <w:tc>
          <w:tcPr>
            <w:tcW w:w="3616"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8D1A33E" w14:textId="77777777" w:rsidR="00F7392F" w:rsidRPr="002D1F6F" w:rsidRDefault="00F7392F" w:rsidP="00F95F29">
            <w:pPr>
              <w:spacing w:after="0"/>
              <w:ind w:firstLine="0"/>
              <w:jc w:val="left"/>
              <w:rPr>
                <w:rFonts w:ascii="Calibri" w:eastAsia="Times New Roman" w:hAnsi="Calibri" w:cs="Times New Roman"/>
                <w:sz w:val="22"/>
              </w:rPr>
            </w:pPr>
            <w:r w:rsidRPr="002D1F6F">
              <w:rPr>
                <w:rFonts w:ascii="Calibri" w:eastAsia="Times New Roman" w:hAnsi="Calibri" w:cs="Times New Roman"/>
                <w:sz w:val="22"/>
              </w:rPr>
              <w:t> </w:t>
            </w:r>
          </w:p>
        </w:tc>
      </w:tr>
      <w:tr w:rsidR="00F7392F" w:rsidRPr="0038459F" w14:paraId="6297EE52" w14:textId="77777777" w:rsidTr="005D7903">
        <w:trPr>
          <w:trHeight w:val="278"/>
        </w:trPr>
        <w:tc>
          <w:tcPr>
            <w:tcW w:w="1384" w:type="pct"/>
            <w:tcBorders>
              <w:top w:val="nil"/>
              <w:left w:val="single" w:sz="8" w:space="0" w:color="auto"/>
              <w:bottom w:val="single" w:sz="8" w:space="0" w:color="auto"/>
              <w:right w:val="single" w:sz="8" w:space="0" w:color="auto"/>
            </w:tcBorders>
            <w:shd w:val="clear" w:color="000000" w:fill="FFFFFF"/>
            <w:noWrap/>
            <w:vAlign w:val="center"/>
            <w:hideMark/>
          </w:tcPr>
          <w:p w14:paraId="481ACB3A" w14:textId="77777777" w:rsidR="00F7392F" w:rsidRPr="002D1F6F" w:rsidRDefault="00F7392F" w:rsidP="00F7392F">
            <w:pPr>
              <w:spacing w:after="0"/>
              <w:ind w:firstLine="0"/>
              <w:jc w:val="left"/>
              <w:rPr>
                <w:rFonts w:eastAsia="Times New Roman" w:cs="Times New Roman"/>
                <w:sz w:val="18"/>
                <w:szCs w:val="18"/>
              </w:rPr>
            </w:pPr>
            <w:r w:rsidRPr="002D1F6F">
              <w:rPr>
                <w:rFonts w:eastAsia="Times New Roman" w:cs="Times New Roman"/>
                <w:sz w:val="18"/>
                <w:szCs w:val="18"/>
              </w:rPr>
              <w:t>Nacionālās pretošanās kustības dalībnieku pabalsti</w:t>
            </w:r>
          </w:p>
        </w:tc>
        <w:tc>
          <w:tcPr>
            <w:tcW w:w="444" w:type="pct"/>
            <w:tcBorders>
              <w:top w:val="single" w:sz="4" w:space="0" w:color="auto"/>
              <w:left w:val="nil"/>
              <w:bottom w:val="single" w:sz="8" w:space="0" w:color="auto"/>
              <w:right w:val="single" w:sz="8" w:space="0" w:color="auto"/>
            </w:tcBorders>
            <w:shd w:val="clear" w:color="auto" w:fill="auto"/>
            <w:hideMark/>
          </w:tcPr>
          <w:p w14:paraId="46F35287" w14:textId="1F63F8E7"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340,00</w:t>
            </w:r>
          </w:p>
        </w:tc>
        <w:tc>
          <w:tcPr>
            <w:tcW w:w="434" w:type="pct"/>
            <w:tcBorders>
              <w:top w:val="single" w:sz="4" w:space="0" w:color="auto"/>
              <w:left w:val="nil"/>
              <w:bottom w:val="single" w:sz="8" w:space="0" w:color="auto"/>
              <w:right w:val="single" w:sz="8" w:space="0" w:color="auto"/>
            </w:tcBorders>
            <w:shd w:val="clear" w:color="auto" w:fill="auto"/>
            <w:hideMark/>
          </w:tcPr>
          <w:p w14:paraId="7FB1D271" w14:textId="00A82E2C"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143</w:t>
            </w:r>
          </w:p>
        </w:tc>
        <w:tc>
          <w:tcPr>
            <w:tcW w:w="356" w:type="pct"/>
            <w:tcBorders>
              <w:top w:val="single" w:sz="4" w:space="0" w:color="auto"/>
              <w:left w:val="nil"/>
              <w:bottom w:val="single" w:sz="8" w:space="0" w:color="auto"/>
              <w:right w:val="single" w:sz="8" w:space="0" w:color="auto"/>
            </w:tcBorders>
            <w:shd w:val="clear" w:color="auto" w:fill="auto"/>
          </w:tcPr>
          <w:p w14:paraId="63E32B3D" w14:textId="4EE5D64C"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583 440</w:t>
            </w:r>
          </w:p>
        </w:tc>
        <w:tc>
          <w:tcPr>
            <w:tcW w:w="371" w:type="pct"/>
            <w:tcBorders>
              <w:top w:val="single" w:sz="4" w:space="0" w:color="auto"/>
              <w:left w:val="nil"/>
              <w:bottom w:val="single" w:sz="8" w:space="0" w:color="auto"/>
              <w:right w:val="single" w:sz="8" w:space="0" w:color="auto"/>
            </w:tcBorders>
            <w:shd w:val="clear" w:color="auto" w:fill="auto"/>
            <w:noWrap/>
            <w:hideMark/>
          </w:tcPr>
          <w:p w14:paraId="1CFEBC79" w14:textId="58950C41"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340,00</w:t>
            </w:r>
          </w:p>
        </w:tc>
        <w:tc>
          <w:tcPr>
            <w:tcW w:w="434" w:type="pct"/>
            <w:tcBorders>
              <w:top w:val="single" w:sz="4" w:space="0" w:color="auto"/>
              <w:left w:val="nil"/>
              <w:bottom w:val="single" w:sz="8" w:space="0" w:color="auto"/>
              <w:right w:val="single" w:sz="8" w:space="0" w:color="auto"/>
            </w:tcBorders>
            <w:shd w:val="clear" w:color="auto" w:fill="auto"/>
            <w:noWrap/>
            <w:hideMark/>
          </w:tcPr>
          <w:p w14:paraId="7391245A" w14:textId="56E4A338"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143</w:t>
            </w:r>
          </w:p>
        </w:tc>
        <w:tc>
          <w:tcPr>
            <w:tcW w:w="367" w:type="pct"/>
            <w:tcBorders>
              <w:top w:val="single" w:sz="4" w:space="0" w:color="auto"/>
              <w:left w:val="nil"/>
              <w:bottom w:val="single" w:sz="8" w:space="0" w:color="auto"/>
              <w:right w:val="single" w:sz="8" w:space="0" w:color="auto"/>
            </w:tcBorders>
            <w:shd w:val="clear" w:color="auto" w:fill="auto"/>
            <w:noWrap/>
            <w:hideMark/>
          </w:tcPr>
          <w:p w14:paraId="222C8BF4" w14:textId="3BAF3FB0"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583 440</w:t>
            </w:r>
          </w:p>
        </w:tc>
        <w:tc>
          <w:tcPr>
            <w:tcW w:w="409" w:type="pct"/>
            <w:tcBorders>
              <w:top w:val="single" w:sz="4" w:space="0" w:color="auto"/>
              <w:left w:val="nil"/>
              <w:bottom w:val="single" w:sz="8" w:space="0" w:color="auto"/>
              <w:right w:val="single" w:sz="8" w:space="0" w:color="auto"/>
            </w:tcBorders>
            <w:shd w:val="clear" w:color="auto" w:fill="auto"/>
            <w:noWrap/>
            <w:hideMark/>
          </w:tcPr>
          <w:p w14:paraId="2201E1D7" w14:textId="6296E8B0" w:rsidR="00F7392F" w:rsidRPr="00F7392F" w:rsidRDefault="00F7392F" w:rsidP="00F7392F">
            <w:pPr>
              <w:spacing w:after="0"/>
              <w:ind w:firstLine="0"/>
              <w:jc w:val="right"/>
              <w:rPr>
                <w:rFonts w:eastAsia="Times New Roman" w:cs="Times New Roman"/>
                <w:sz w:val="18"/>
                <w:szCs w:val="18"/>
              </w:rPr>
            </w:pPr>
            <w:r w:rsidRPr="00F7392F">
              <w:rPr>
                <w:sz w:val="18"/>
                <w:szCs w:val="18"/>
              </w:rPr>
              <w:t>340,00</w:t>
            </w:r>
          </w:p>
        </w:tc>
        <w:tc>
          <w:tcPr>
            <w:tcW w:w="434" w:type="pct"/>
            <w:tcBorders>
              <w:top w:val="single" w:sz="4" w:space="0" w:color="auto"/>
              <w:left w:val="nil"/>
              <w:bottom w:val="single" w:sz="8" w:space="0" w:color="auto"/>
              <w:right w:val="single" w:sz="8" w:space="0" w:color="auto"/>
            </w:tcBorders>
            <w:shd w:val="clear" w:color="auto" w:fill="auto"/>
            <w:noWrap/>
            <w:hideMark/>
          </w:tcPr>
          <w:p w14:paraId="3D41B28C" w14:textId="3731039C" w:rsidR="00F7392F" w:rsidRPr="00F7392F" w:rsidRDefault="00F7392F" w:rsidP="00F7392F">
            <w:pPr>
              <w:spacing w:after="0"/>
              <w:ind w:firstLine="0"/>
              <w:jc w:val="right"/>
              <w:rPr>
                <w:rFonts w:eastAsia="Times New Roman" w:cs="Times New Roman"/>
                <w:sz w:val="18"/>
                <w:szCs w:val="18"/>
              </w:rPr>
            </w:pPr>
            <w:r w:rsidRPr="00F7392F">
              <w:rPr>
                <w:sz w:val="18"/>
                <w:szCs w:val="18"/>
              </w:rPr>
              <w:t>143</w:t>
            </w:r>
          </w:p>
        </w:tc>
        <w:tc>
          <w:tcPr>
            <w:tcW w:w="367" w:type="pct"/>
            <w:tcBorders>
              <w:top w:val="single" w:sz="4" w:space="0" w:color="auto"/>
              <w:left w:val="nil"/>
              <w:bottom w:val="single" w:sz="8" w:space="0" w:color="auto"/>
              <w:right w:val="single" w:sz="8" w:space="0" w:color="auto"/>
            </w:tcBorders>
            <w:shd w:val="clear" w:color="auto" w:fill="auto"/>
            <w:noWrap/>
            <w:hideMark/>
          </w:tcPr>
          <w:p w14:paraId="1C6B7C9A" w14:textId="17505A85" w:rsidR="00F7392F" w:rsidRPr="00F7392F" w:rsidRDefault="00F7392F" w:rsidP="00F7392F">
            <w:pPr>
              <w:spacing w:after="0"/>
              <w:ind w:firstLine="0"/>
              <w:jc w:val="right"/>
              <w:rPr>
                <w:rFonts w:eastAsia="Times New Roman" w:cs="Times New Roman"/>
                <w:sz w:val="18"/>
                <w:szCs w:val="18"/>
              </w:rPr>
            </w:pPr>
            <w:r w:rsidRPr="00F7392F">
              <w:rPr>
                <w:sz w:val="18"/>
                <w:szCs w:val="18"/>
              </w:rPr>
              <w:t>583 440</w:t>
            </w:r>
          </w:p>
        </w:tc>
      </w:tr>
      <w:tr w:rsidR="00F7392F" w:rsidRPr="0038459F" w14:paraId="4AB56EDC" w14:textId="77777777" w:rsidTr="005D7903">
        <w:trPr>
          <w:trHeight w:val="278"/>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799E997A" w14:textId="77777777" w:rsidR="00F7392F" w:rsidRPr="002D1F6F" w:rsidRDefault="00F7392F" w:rsidP="00F7392F">
            <w:pPr>
              <w:spacing w:after="0"/>
              <w:ind w:firstLine="0"/>
              <w:jc w:val="left"/>
              <w:rPr>
                <w:rFonts w:eastAsia="Times New Roman" w:cs="Times New Roman"/>
                <w:sz w:val="18"/>
                <w:szCs w:val="18"/>
              </w:rPr>
            </w:pPr>
            <w:r w:rsidRPr="002D1F6F">
              <w:rPr>
                <w:rFonts w:eastAsia="Times New Roman" w:cs="Times New Roman"/>
                <w:sz w:val="18"/>
                <w:szCs w:val="18"/>
              </w:rPr>
              <w:t>Barikāžu pabalsti</w:t>
            </w:r>
          </w:p>
        </w:tc>
        <w:tc>
          <w:tcPr>
            <w:tcW w:w="444" w:type="pct"/>
            <w:tcBorders>
              <w:top w:val="nil"/>
              <w:left w:val="nil"/>
              <w:bottom w:val="single" w:sz="8" w:space="0" w:color="auto"/>
              <w:right w:val="single" w:sz="8" w:space="0" w:color="auto"/>
            </w:tcBorders>
            <w:shd w:val="clear" w:color="auto" w:fill="auto"/>
            <w:hideMark/>
          </w:tcPr>
          <w:p w14:paraId="5472C76B" w14:textId="58FCCA79"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100,00</w:t>
            </w:r>
          </w:p>
        </w:tc>
        <w:tc>
          <w:tcPr>
            <w:tcW w:w="434" w:type="pct"/>
            <w:tcBorders>
              <w:top w:val="nil"/>
              <w:left w:val="nil"/>
              <w:bottom w:val="single" w:sz="8" w:space="0" w:color="auto"/>
              <w:right w:val="single" w:sz="8" w:space="0" w:color="auto"/>
            </w:tcBorders>
            <w:shd w:val="clear" w:color="auto" w:fill="auto"/>
            <w:hideMark/>
          </w:tcPr>
          <w:p w14:paraId="52593580" w14:textId="449E8908"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8</w:t>
            </w:r>
          </w:p>
        </w:tc>
        <w:tc>
          <w:tcPr>
            <w:tcW w:w="356" w:type="pct"/>
            <w:tcBorders>
              <w:top w:val="nil"/>
              <w:left w:val="nil"/>
              <w:bottom w:val="single" w:sz="8" w:space="0" w:color="auto"/>
              <w:right w:val="single" w:sz="8" w:space="0" w:color="auto"/>
            </w:tcBorders>
            <w:shd w:val="clear" w:color="auto" w:fill="auto"/>
          </w:tcPr>
          <w:p w14:paraId="43666357" w14:textId="26F26656"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9 600</w:t>
            </w:r>
          </w:p>
        </w:tc>
        <w:tc>
          <w:tcPr>
            <w:tcW w:w="371" w:type="pct"/>
            <w:tcBorders>
              <w:top w:val="nil"/>
              <w:left w:val="nil"/>
              <w:bottom w:val="single" w:sz="8" w:space="0" w:color="auto"/>
              <w:right w:val="single" w:sz="8" w:space="0" w:color="auto"/>
            </w:tcBorders>
            <w:shd w:val="clear" w:color="auto" w:fill="auto"/>
            <w:noWrap/>
            <w:hideMark/>
          </w:tcPr>
          <w:p w14:paraId="49FDD367" w14:textId="07AE8A7B"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100,00</w:t>
            </w:r>
          </w:p>
        </w:tc>
        <w:tc>
          <w:tcPr>
            <w:tcW w:w="434" w:type="pct"/>
            <w:tcBorders>
              <w:top w:val="nil"/>
              <w:left w:val="nil"/>
              <w:bottom w:val="single" w:sz="8" w:space="0" w:color="auto"/>
              <w:right w:val="single" w:sz="8" w:space="0" w:color="auto"/>
            </w:tcBorders>
            <w:shd w:val="clear" w:color="auto" w:fill="auto"/>
            <w:noWrap/>
            <w:hideMark/>
          </w:tcPr>
          <w:p w14:paraId="29A3E53F" w14:textId="6E6909EB"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8</w:t>
            </w:r>
          </w:p>
        </w:tc>
        <w:tc>
          <w:tcPr>
            <w:tcW w:w="367" w:type="pct"/>
            <w:tcBorders>
              <w:top w:val="nil"/>
              <w:left w:val="nil"/>
              <w:bottom w:val="single" w:sz="8" w:space="0" w:color="auto"/>
              <w:right w:val="single" w:sz="8" w:space="0" w:color="auto"/>
            </w:tcBorders>
            <w:shd w:val="clear" w:color="auto" w:fill="auto"/>
            <w:noWrap/>
            <w:hideMark/>
          </w:tcPr>
          <w:p w14:paraId="0F9E58AA" w14:textId="13C62991"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9 600</w:t>
            </w:r>
          </w:p>
        </w:tc>
        <w:tc>
          <w:tcPr>
            <w:tcW w:w="409" w:type="pct"/>
            <w:tcBorders>
              <w:top w:val="nil"/>
              <w:left w:val="nil"/>
              <w:bottom w:val="single" w:sz="8" w:space="0" w:color="auto"/>
              <w:right w:val="single" w:sz="8" w:space="0" w:color="auto"/>
            </w:tcBorders>
            <w:shd w:val="clear" w:color="auto" w:fill="auto"/>
            <w:noWrap/>
            <w:hideMark/>
          </w:tcPr>
          <w:p w14:paraId="48BC1CC4" w14:textId="134971DF" w:rsidR="00F7392F" w:rsidRPr="00F7392F" w:rsidRDefault="00F7392F" w:rsidP="00F7392F">
            <w:pPr>
              <w:spacing w:after="0"/>
              <w:ind w:firstLine="0"/>
              <w:jc w:val="right"/>
              <w:rPr>
                <w:rFonts w:eastAsia="Times New Roman" w:cs="Times New Roman"/>
                <w:sz w:val="18"/>
                <w:szCs w:val="18"/>
              </w:rPr>
            </w:pPr>
            <w:r w:rsidRPr="00F7392F">
              <w:rPr>
                <w:sz w:val="18"/>
                <w:szCs w:val="18"/>
              </w:rPr>
              <w:t>100,00</w:t>
            </w:r>
          </w:p>
        </w:tc>
        <w:tc>
          <w:tcPr>
            <w:tcW w:w="434" w:type="pct"/>
            <w:tcBorders>
              <w:top w:val="nil"/>
              <w:left w:val="nil"/>
              <w:bottom w:val="single" w:sz="8" w:space="0" w:color="auto"/>
              <w:right w:val="single" w:sz="8" w:space="0" w:color="auto"/>
            </w:tcBorders>
            <w:shd w:val="clear" w:color="auto" w:fill="auto"/>
            <w:noWrap/>
            <w:hideMark/>
          </w:tcPr>
          <w:p w14:paraId="73A86F14" w14:textId="0056ECFC" w:rsidR="00F7392F" w:rsidRPr="00F7392F" w:rsidRDefault="00F7392F" w:rsidP="00F7392F">
            <w:pPr>
              <w:spacing w:after="0"/>
              <w:ind w:firstLine="0"/>
              <w:jc w:val="right"/>
              <w:rPr>
                <w:rFonts w:eastAsia="Times New Roman" w:cs="Times New Roman"/>
                <w:sz w:val="18"/>
                <w:szCs w:val="18"/>
              </w:rPr>
            </w:pPr>
            <w:r w:rsidRPr="00F7392F">
              <w:rPr>
                <w:sz w:val="18"/>
                <w:szCs w:val="18"/>
              </w:rPr>
              <w:t>8</w:t>
            </w:r>
          </w:p>
        </w:tc>
        <w:tc>
          <w:tcPr>
            <w:tcW w:w="367" w:type="pct"/>
            <w:tcBorders>
              <w:top w:val="nil"/>
              <w:left w:val="nil"/>
              <w:bottom w:val="single" w:sz="8" w:space="0" w:color="auto"/>
              <w:right w:val="single" w:sz="8" w:space="0" w:color="auto"/>
            </w:tcBorders>
            <w:shd w:val="clear" w:color="auto" w:fill="auto"/>
            <w:noWrap/>
            <w:hideMark/>
          </w:tcPr>
          <w:p w14:paraId="1FBA5757" w14:textId="7C02EBE2" w:rsidR="00F7392F" w:rsidRPr="00F7392F" w:rsidRDefault="00F7392F" w:rsidP="00F7392F">
            <w:pPr>
              <w:spacing w:after="0"/>
              <w:ind w:firstLine="0"/>
              <w:jc w:val="right"/>
              <w:rPr>
                <w:rFonts w:eastAsia="Times New Roman" w:cs="Times New Roman"/>
                <w:sz w:val="18"/>
                <w:szCs w:val="18"/>
              </w:rPr>
            </w:pPr>
            <w:r w:rsidRPr="00F7392F">
              <w:rPr>
                <w:sz w:val="18"/>
                <w:szCs w:val="18"/>
              </w:rPr>
              <w:t>9 600</w:t>
            </w:r>
          </w:p>
        </w:tc>
      </w:tr>
      <w:tr w:rsidR="00F7392F" w:rsidRPr="0038459F" w14:paraId="1988C11F" w14:textId="77777777" w:rsidTr="005D7903">
        <w:trPr>
          <w:trHeight w:val="278"/>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2D6AC7FD" w14:textId="77777777" w:rsidR="00F7392F" w:rsidRPr="002D1F6F" w:rsidRDefault="00F7392F" w:rsidP="00F7392F">
            <w:pPr>
              <w:spacing w:after="0"/>
              <w:ind w:firstLine="0"/>
              <w:jc w:val="left"/>
              <w:rPr>
                <w:rFonts w:eastAsia="Times New Roman" w:cs="Times New Roman"/>
                <w:sz w:val="18"/>
                <w:szCs w:val="18"/>
              </w:rPr>
            </w:pPr>
            <w:r w:rsidRPr="002D1F6F">
              <w:rPr>
                <w:rFonts w:eastAsia="Times New Roman" w:cs="Times New Roman"/>
                <w:sz w:val="18"/>
                <w:szCs w:val="18"/>
              </w:rPr>
              <w:t>Obligātā militārā dienesta kompensācijas</w:t>
            </w:r>
          </w:p>
        </w:tc>
        <w:tc>
          <w:tcPr>
            <w:tcW w:w="444" w:type="pct"/>
            <w:tcBorders>
              <w:top w:val="nil"/>
              <w:left w:val="nil"/>
              <w:bottom w:val="single" w:sz="8" w:space="0" w:color="auto"/>
              <w:right w:val="single" w:sz="8" w:space="0" w:color="auto"/>
            </w:tcBorders>
            <w:shd w:val="clear" w:color="auto" w:fill="auto"/>
            <w:hideMark/>
          </w:tcPr>
          <w:p w14:paraId="7486F51F" w14:textId="684E7F5A"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231,22</w:t>
            </w:r>
          </w:p>
        </w:tc>
        <w:tc>
          <w:tcPr>
            <w:tcW w:w="434" w:type="pct"/>
            <w:tcBorders>
              <w:top w:val="nil"/>
              <w:left w:val="nil"/>
              <w:bottom w:val="single" w:sz="8" w:space="0" w:color="auto"/>
              <w:right w:val="single" w:sz="8" w:space="0" w:color="auto"/>
            </w:tcBorders>
            <w:shd w:val="clear" w:color="auto" w:fill="auto"/>
            <w:hideMark/>
          </w:tcPr>
          <w:p w14:paraId="787699A6" w14:textId="79C6ACD0"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4</w:t>
            </w:r>
          </w:p>
        </w:tc>
        <w:tc>
          <w:tcPr>
            <w:tcW w:w="356" w:type="pct"/>
            <w:tcBorders>
              <w:top w:val="nil"/>
              <w:left w:val="nil"/>
              <w:bottom w:val="single" w:sz="8" w:space="0" w:color="auto"/>
              <w:right w:val="single" w:sz="8" w:space="0" w:color="auto"/>
            </w:tcBorders>
            <w:shd w:val="clear" w:color="auto" w:fill="auto"/>
          </w:tcPr>
          <w:p w14:paraId="78F16B04" w14:textId="26E71812"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11 098</w:t>
            </w:r>
          </w:p>
        </w:tc>
        <w:tc>
          <w:tcPr>
            <w:tcW w:w="371" w:type="pct"/>
            <w:tcBorders>
              <w:top w:val="nil"/>
              <w:left w:val="nil"/>
              <w:bottom w:val="single" w:sz="8" w:space="0" w:color="auto"/>
              <w:right w:val="single" w:sz="8" w:space="0" w:color="auto"/>
            </w:tcBorders>
            <w:shd w:val="clear" w:color="auto" w:fill="auto"/>
            <w:noWrap/>
            <w:hideMark/>
          </w:tcPr>
          <w:p w14:paraId="60A36014" w14:textId="7FDA4D46"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231,22</w:t>
            </w:r>
          </w:p>
        </w:tc>
        <w:tc>
          <w:tcPr>
            <w:tcW w:w="434" w:type="pct"/>
            <w:tcBorders>
              <w:top w:val="nil"/>
              <w:left w:val="nil"/>
              <w:bottom w:val="single" w:sz="8" w:space="0" w:color="auto"/>
              <w:right w:val="single" w:sz="8" w:space="0" w:color="auto"/>
            </w:tcBorders>
            <w:shd w:val="clear" w:color="auto" w:fill="auto"/>
            <w:noWrap/>
            <w:hideMark/>
          </w:tcPr>
          <w:p w14:paraId="76A9C132" w14:textId="6C4D7B1F"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4</w:t>
            </w:r>
          </w:p>
        </w:tc>
        <w:tc>
          <w:tcPr>
            <w:tcW w:w="367" w:type="pct"/>
            <w:tcBorders>
              <w:top w:val="nil"/>
              <w:left w:val="nil"/>
              <w:bottom w:val="single" w:sz="8" w:space="0" w:color="auto"/>
              <w:right w:val="single" w:sz="8" w:space="0" w:color="auto"/>
            </w:tcBorders>
            <w:shd w:val="clear" w:color="auto" w:fill="auto"/>
            <w:noWrap/>
            <w:hideMark/>
          </w:tcPr>
          <w:p w14:paraId="69658483" w14:textId="0D295355"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11 098</w:t>
            </w:r>
          </w:p>
        </w:tc>
        <w:tc>
          <w:tcPr>
            <w:tcW w:w="409" w:type="pct"/>
            <w:tcBorders>
              <w:top w:val="nil"/>
              <w:left w:val="nil"/>
              <w:bottom w:val="single" w:sz="8" w:space="0" w:color="auto"/>
              <w:right w:val="single" w:sz="8" w:space="0" w:color="auto"/>
            </w:tcBorders>
            <w:shd w:val="clear" w:color="auto" w:fill="auto"/>
            <w:noWrap/>
            <w:hideMark/>
          </w:tcPr>
          <w:p w14:paraId="76997E69" w14:textId="4ABE7C7A" w:rsidR="00F7392F" w:rsidRPr="00F7392F" w:rsidRDefault="00F7392F" w:rsidP="00F7392F">
            <w:pPr>
              <w:spacing w:after="0"/>
              <w:ind w:firstLine="0"/>
              <w:jc w:val="right"/>
              <w:rPr>
                <w:rFonts w:eastAsia="Times New Roman" w:cs="Times New Roman"/>
                <w:sz w:val="18"/>
                <w:szCs w:val="18"/>
              </w:rPr>
            </w:pPr>
            <w:r w:rsidRPr="00F7392F">
              <w:rPr>
                <w:sz w:val="18"/>
                <w:szCs w:val="18"/>
              </w:rPr>
              <w:t>231,22</w:t>
            </w:r>
          </w:p>
        </w:tc>
        <w:tc>
          <w:tcPr>
            <w:tcW w:w="434" w:type="pct"/>
            <w:tcBorders>
              <w:top w:val="nil"/>
              <w:left w:val="nil"/>
              <w:bottom w:val="single" w:sz="8" w:space="0" w:color="auto"/>
              <w:right w:val="single" w:sz="8" w:space="0" w:color="auto"/>
            </w:tcBorders>
            <w:shd w:val="clear" w:color="auto" w:fill="auto"/>
            <w:noWrap/>
            <w:hideMark/>
          </w:tcPr>
          <w:p w14:paraId="799386C4" w14:textId="6BC5B2D4" w:rsidR="00F7392F" w:rsidRPr="00F7392F" w:rsidRDefault="00F7392F" w:rsidP="00F7392F">
            <w:pPr>
              <w:spacing w:after="0"/>
              <w:ind w:firstLine="0"/>
              <w:jc w:val="right"/>
              <w:rPr>
                <w:rFonts w:eastAsia="Times New Roman" w:cs="Times New Roman"/>
                <w:sz w:val="18"/>
                <w:szCs w:val="18"/>
              </w:rPr>
            </w:pPr>
            <w:r w:rsidRPr="00F7392F">
              <w:rPr>
                <w:sz w:val="18"/>
                <w:szCs w:val="18"/>
              </w:rPr>
              <w:t>4</w:t>
            </w:r>
          </w:p>
        </w:tc>
        <w:tc>
          <w:tcPr>
            <w:tcW w:w="367" w:type="pct"/>
            <w:tcBorders>
              <w:top w:val="nil"/>
              <w:left w:val="nil"/>
              <w:bottom w:val="single" w:sz="8" w:space="0" w:color="auto"/>
              <w:right w:val="single" w:sz="8" w:space="0" w:color="auto"/>
            </w:tcBorders>
            <w:shd w:val="clear" w:color="auto" w:fill="auto"/>
            <w:noWrap/>
            <w:hideMark/>
          </w:tcPr>
          <w:p w14:paraId="2BA5FA86" w14:textId="7DFD82BF" w:rsidR="00F7392F" w:rsidRPr="00F7392F" w:rsidRDefault="00F7392F" w:rsidP="00F7392F">
            <w:pPr>
              <w:spacing w:after="0"/>
              <w:ind w:firstLine="0"/>
              <w:jc w:val="right"/>
              <w:rPr>
                <w:rFonts w:eastAsia="Times New Roman" w:cs="Times New Roman"/>
                <w:sz w:val="18"/>
                <w:szCs w:val="18"/>
              </w:rPr>
            </w:pPr>
            <w:r w:rsidRPr="00F7392F">
              <w:rPr>
                <w:sz w:val="18"/>
                <w:szCs w:val="18"/>
              </w:rPr>
              <w:t>11 098</w:t>
            </w:r>
          </w:p>
        </w:tc>
      </w:tr>
      <w:tr w:rsidR="00F7392F" w:rsidRPr="0038459F" w14:paraId="1CB345ED" w14:textId="77777777" w:rsidTr="005D7903">
        <w:trPr>
          <w:trHeight w:val="278"/>
        </w:trPr>
        <w:tc>
          <w:tcPr>
            <w:tcW w:w="1384" w:type="pct"/>
            <w:tcBorders>
              <w:top w:val="nil"/>
              <w:left w:val="single" w:sz="8" w:space="0" w:color="auto"/>
              <w:bottom w:val="single" w:sz="8" w:space="0" w:color="auto"/>
              <w:right w:val="single" w:sz="8" w:space="0" w:color="auto"/>
            </w:tcBorders>
            <w:shd w:val="clear" w:color="000000" w:fill="FFFFFF"/>
            <w:noWrap/>
            <w:vAlign w:val="center"/>
            <w:hideMark/>
          </w:tcPr>
          <w:p w14:paraId="2E657EF4" w14:textId="77777777" w:rsidR="00F7392F" w:rsidRPr="002D1F6F" w:rsidRDefault="00F7392F" w:rsidP="00F7392F">
            <w:pPr>
              <w:spacing w:after="0"/>
              <w:ind w:firstLine="0"/>
              <w:jc w:val="left"/>
              <w:rPr>
                <w:rFonts w:eastAsia="Times New Roman" w:cs="Times New Roman"/>
                <w:sz w:val="18"/>
                <w:szCs w:val="18"/>
              </w:rPr>
            </w:pPr>
            <w:r w:rsidRPr="002D1F6F">
              <w:rPr>
                <w:rFonts w:eastAsia="Times New Roman" w:cs="Times New Roman"/>
                <w:sz w:val="18"/>
                <w:szCs w:val="18"/>
              </w:rPr>
              <w:t>Darbā nodarītā kaitējuma atlīdzība</w:t>
            </w:r>
          </w:p>
        </w:tc>
        <w:tc>
          <w:tcPr>
            <w:tcW w:w="444" w:type="pct"/>
            <w:tcBorders>
              <w:top w:val="nil"/>
              <w:left w:val="nil"/>
              <w:bottom w:val="single" w:sz="8" w:space="0" w:color="auto"/>
              <w:right w:val="single" w:sz="8" w:space="0" w:color="auto"/>
            </w:tcBorders>
            <w:shd w:val="clear" w:color="auto" w:fill="auto"/>
            <w:hideMark/>
          </w:tcPr>
          <w:p w14:paraId="06C4356E" w14:textId="6FD4AEF8"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115</w:t>
            </w:r>
            <w:r>
              <w:rPr>
                <w:sz w:val="18"/>
                <w:szCs w:val="18"/>
              </w:rPr>
              <w:t>,</w:t>
            </w:r>
            <w:r w:rsidRPr="002D1F6F">
              <w:rPr>
                <w:sz w:val="18"/>
                <w:szCs w:val="18"/>
              </w:rPr>
              <w:t>75</w:t>
            </w:r>
          </w:p>
        </w:tc>
        <w:tc>
          <w:tcPr>
            <w:tcW w:w="434" w:type="pct"/>
            <w:tcBorders>
              <w:top w:val="nil"/>
              <w:left w:val="nil"/>
              <w:bottom w:val="single" w:sz="8" w:space="0" w:color="auto"/>
              <w:right w:val="single" w:sz="8" w:space="0" w:color="auto"/>
            </w:tcBorders>
            <w:shd w:val="clear" w:color="auto" w:fill="auto"/>
            <w:hideMark/>
          </w:tcPr>
          <w:p w14:paraId="304267D2" w14:textId="275FE406"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2</w:t>
            </w:r>
          </w:p>
        </w:tc>
        <w:tc>
          <w:tcPr>
            <w:tcW w:w="356" w:type="pct"/>
            <w:tcBorders>
              <w:top w:val="nil"/>
              <w:left w:val="nil"/>
              <w:bottom w:val="single" w:sz="8" w:space="0" w:color="auto"/>
              <w:right w:val="single" w:sz="8" w:space="0" w:color="auto"/>
            </w:tcBorders>
            <w:shd w:val="clear" w:color="auto" w:fill="auto"/>
          </w:tcPr>
          <w:p w14:paraId="7E95B93A" w14:textId="460E7055"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2778</w:t>
            </w:r>
          </w:p>
        </w:tc>
        <w:tc>
          <w:tcPr>
            <w:tcW w:w="371" w:type="pct"/>
            <w:tcBorders>
              <w:top w:val="nil"/>
              <w:left w:val="nil"/>
              <w:bottom w:val="single" w:sz="8" w:space="0" w:color="auto"/>
              <w:right w:val="single" w:sz="8" w:space="0" w:color="auto"/>
            </w:tcBorders>
            <w:shd w:val="clear" w:color="auto" w:fill="auto"/>
            <w:noWrap/>
            <w:hideMark/>
          </w:tcPr>
          <w:p w14:paraId="50EFF362" w14:textId="0393B05F"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115</w:t>
            </w:r>
            <w:r>
              <w:rPr>
                <w:sz w:val="18"/>
                <w:szCs w:val="18"/>
              </w:rPr>
              <w:t>,</w:t>
            </w:r>
            <w:r w:rsidRPr="002D1F6F">
              <w:rPr>
                <w:sz w:val="18"/>
                <w:szCs w:val="18"/>
              </w:rPr>
              <w:t>75</w:t>
            </w:r>
          </w:p>
        </w:tc>
        <w:tc>
          <w:tcPr>
            <w:tcW w:w="434" w:type="pct"/>
            <w:tcBorders>
              <w:top w:val="nil"/>
              <w:left w:val="nil"/>
              <w:bottom w:val="single" w:sz="8" w:space="0" w:color="auto"/>
              <w:right w:val="single" w:sz="8" w:space="0" w:color="auto"/>
            </w:tcBorders>
            <w:shd w:val="clear" w:color="auto" w:fill="auto"/>
            <w:noWrap/>
            <w:hideMark/>
          </w:tcPr>
          <w:p w14:paraId="2058E69F" w14:textId="4BE42802"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2</w:t>
            </w:r>
          </w:p>
        </w:tc>
        <w:tc>
          <w:tcPr>
            <w:tcW w:w="367" w:type="pct"/>
            <w:tcBorders>
              <w:top w:val="nil"/>
              <w:left w:val="nil"/>
              <w:bottom w:val="single" w:sz="8" w:space="0" w:color="auto"/>
              <w:right w:val="single" w:sz="8" w:space="0" w:color="auto"/>
            </w:tcBorders>
            <w:shd w:val="clear" w:color="auto" w:fill="auto"/>
            <w:noWrap/>
            <w:hideMark/>
          </w:tcPr>
          <w:p w14:paraId="0D942A72" w14:textId="451B811C"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2778</w:t>
            </w:r>
          </w:p>
        </w:tc>
        <w:tc>
          <w:tcPr>
            <w:tcW w:w="409" w:type="pct"/>
            <w:tcBorders>
              <w:top w:val="nil"/>
              <w:left w:val="nil"/>
              <w:bottom w:val="single" w:sz="8" w:space="0" w:color="auto"/>
              <w:right w:val="single" w:sz="8" w:space="0" w:color="auto"/>
            </w:tcBorders>
            <w:shd w:val="clear" w:color="auto" w:fill="auto"/>
            <w:noWrap/>
            <w:hideMark/>
          </w:tcPr>
          <w:p w14:paraId="082D123D" w14:textId="3BFACF7E" w:rsidR="00F7392F" w:rsidRPr="00F7392F" w:rsidRDefault="00F7392F" w:rsidP="00F7392F">
            <w:pPr>
              <w:spacing w:after="0"/>
              <w:ind w:firstLine="0"/>
              <w:jc w:val="right"/>
              <w:rPr>
                <w:rFonts w:eastAsia="Times New Roman" w:cs="Times New Roman"/>
                <w:sz w:val="18"/>
                <w:szCs w:val="18"/>
              </w:rPr>
            </w:pPr>
            <w:r w:rsidRPr="00F7392F">
              <w:rPr>
                <w:sz w:val="18"/>
                <w:szCs w:val="18"/>
              </w:rPr>
              <w:t>88,25</w:t>
            </w:r>
          </w:p>
        </w:tc>
        <w:tc>
          <w:tcPr>
            <w:tcW w:w="434" w:type="pct"/>
            <w:tcBorders>
              <w:top w:val="nil"/>
              <w:left w:val="nil"/>
              <w:bottom w:val="single" w:sz="8" w:space="0" w:color="auto"/>
              <w:right w:val="single" w:sz="8" w:space="0" w:color="auto"/>
            </w:tcBorders>
            <w:shd w:val="clear" w:color="auto" w:fill="auto"/>
            <w:noWrap/>
            <w:hideMark/>
          </w:tcPr>
          <w:p w14:paraId="442151D3" w14:textId="60B0E8B6" w:rsidR="00F7392F" w:rsidRPr="00F7392F" w:rsidRDefault="00F7392F" w:rsidP="00F7392F">
            <w:pPr>
              <w:spacing w:after="0"/>
              <w:ind w:firstLine="0"/>
              <w:jc w:val="right"/>
              <w:rPr>
                <w:rFonts w:eastAsia="Times New Roman" w:cs="Times New Roman"/>
                <w:sz w:val="18"/>
                <w:szCs w:val="18"/>
              </w:rPr>
            </w:pPr>
            <w:r w:rsidRPr="00F7392F">
              <w:rPr>
                <w:sz w:val="18"/>
                <w:szCs w:val="18"/>
              </w:rPr>
              <w:t>2</w:t>
            </w:r>
          </w:p>
        </w:tc>
        <w:tc>
          <w:tcPr>
            <w:tcW w:w="367" w:type="pct"/>
            <w:tcBorders>
              <w:top w:val="nil"/>
              <w:left w:val="nil"/>
              <w:bottom w:val="single" w:sz="8" w:space="0" w:color="auto"/>
              <w:right w:val="single" w:sz="8" w:space="0" w:color="auto"/>
            </w:tcBorders>
            <w:shd w:val="clear" w:color="auto" w:fill="auto"/>
            <w:noWrap/>
            <w:hideMark/>
          </w:tcPr>
          <w:p w14:paraId="4D4CF72D" w14:textId="0D252151" w:rsidR="00F7392F" w:rsidRPr="00F7392F" w:rsidRDefault="00F7392F" w:rsidP="00F7392F">
            <w:pPr>
              <w:spacing w:after="0"/>
              <w:ind w:firstLine="0"/>
              <w:jc w:val="right"/>
              <w:rPr>
                <w:rFonts w:eastAsia="Times New Roman" w:cs="Times New Roman"/>
                <w:sz w:val="18"/>
                <w:szCs w:val="18"/>
              </w:rPr>
            </w:pPr>
            <w:r w:rsidRPr="00F7392F">
              <w:rPr>
                <w:sz w:val="18"/>
                <w:szCs w:val="18"/>
              </w:rPr>
              <w:t>2 778</w:t>
            </w:r>
          </w:p>
        </w:tc>
      </w:tr>
      <w:tr w:rsidR="00F7392F" w:rsidRPr="0038459F" w14:paraId="5E1AC3E9" w14:textId="77777777" w:rsidTr="005D7903">
        <w:trPr>
          <w:trHeight w:val="438"/>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248E6101" w14:textId="77777777" w:rsidR="00F7392F" w:rsidRPr="002D1F6F" w:rsidRDefault="00F7392F" w:rsidP="00F7392F">
            <w:pPr>
              <w:spacing w:after="0"/>
              <w:ind w:firstLine="0"/>
              <w:jc w:val="left"/>
              <w:rPr>
                <w:rFonts w:eastAsia="Times New Roman" w:cs="Times New Roman"/>
                <w:sz w:val="18"/>
                <w:szCs w:val="18"/>
              </w:rPr>
            </w:pPr>
            <w:r w:rsidRPr="002D1F6F">
              <w:rPr>
                <w:rFonts w:eastAsia="Times New Roman" w:cs="Times New Roman"/>
                <w:sz w:val="18"/>
                <w:szCs w:val="18"/>
              </w:rPr>
              <w:t>Veselības bojājuma, traumu un apbedīšanas pabalsti militārpersonām</w:t>
            </w:r>
          </w:p>
        </w:tc>
        <w:tc>
          <w:tcPr>
            <w:tcW w:w="444" w:type="pct"/>
            <w:tcBorders>
              <w:top w:val="nil"/>
              <w:left w:val="nil"/>
              <w:bottom w:val="single" w:sz="8" w:space="0" w:color="auto"/>
              <w:right w:val="single" w:sz="8" w:space="0" w:color="auto"/>
            </w:tcBorders>
            <w:shd w:val="clear" w:color="auto" w:fill="auto"/>
            <w:hideMark/>
          </w:tcPr>
          <w:p w14:paraId="052C16EB" w14:textId="0F513FC7"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1500</w:t>
            </w:r>
            <w:r>
              <w:rPr>
                <w:sz w:val="18"/>
                <w:szCs w:val="18"/>
              </w:rPr>
              <w:t>,</w:t>
            </w:r>
            <w:r w:rsidRPr="002D1F6F">
              <w:rPr>
                <w:sz w:val="18"/>
                <w:szCs w:val="18"/>
              </w:rPr>
              <w:t>31</w:t>
            </w:r>
          </w:p>
        </w:tc>
        <w:tc>
          <w:tcPr>
            <w:tcW w:w="434" w:type="pct"/>
            <w:tcBorders>
              <w:top w:val="nil"/>
              <w:left w:val="nil"/>
              <w:bottom w:val="single" w:sz="8" w:space="0" w:color="auto"/>
              <w:right w:val="single" w:sz="8" w:space="0" w:color="auto"/>
            </w:tcBorders>
            <w:shd w:val="clear" w:color="auto" w:fill="auto"/>
            <w:hideMark/>
          </w:tcPr>
          <w:p w14:paraId="0777E7A7" w14:textId="525CBF34"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24</w:t>
            </w:r>
          </w:p>
        </w:tc>
        <w:tc>
          <w:tcPr>
            <w:tcW w:w="356" w:type="pct"/>
            <w:tcBorders>
              <w:top w:val="nil"/>
              <w:left w:val="nil"/>
              <w:bottom w:val="single" w:sz="8" w:space="0" w:color="auto"/>
              <w:right w:val="single" w:sz="8" w:space="0" w:color="auto"/>
            </w:tcBorders>
            <w:shd w:val="clear" w:color="auto" w:fill="auto"/>
          </w:tcPr>
          <w:p w14:paraId="1DFEA093" w14:textId="26A484CE"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432 090</w:t>
            </w:r>
          </w:p>
        </w:tc>
        <w:tc>
          <w:tcPr>
            <w:tcW w:w="371" w:type="pct"/>
            <w:tcBorders>
              <w:top w:val="nil"/>
              <w:left w:val="nil"/>
              <w:bottom w:val="single" w:sz="8" w:space="0" w:color="auto"/>
              <w:right w:val="single" w:sz="8" w:space="0" w:color="auto"/>
            </w:tcBorders>
            <w:shd w:val="clear" w:color="auto" w:fill="auto"/>
            <w:noWrap/>
            <w:hideMark/>
          </w:tcPr>
          <w:p w14:paraId="4C62F600" w14:textId="1932D76A"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1500</w:t>
            </w:r>
            <w:r>
              <w:rPr>
                <w:sz w:val="18"/>
                <w:szCs w:val="18"/>
              </w:rPr>
              <w:t>,</w:t>
            </w:r>
            <w:r w:rsidRPr="002D1F6F">
              <w:rPr>
                <w:sz w:val="18"/>
                <w:szCs w:val="18"/>
              </w:rPr>
              <w:t>31</w:t>
            </w:r>
          </w:p>
        </w:tc>
        <w:tc>
          <w:tcPr>
            <w:tcW w:w="434" w:type="pct"/>
            <w:tcBorders>
              <w:top w:val="nil"/>
              <w:left w:val="nil"/>
              <w:bottom w:val="single" w:sz="8" w:space="0" w:color="auto"/>
              <w:right w:val="single" w:sz="8" w:space="0" w:color="auto"/>
            </w:tcBorders>
            <w:shd w:val="clear" w:color="auto" w:fill="auto"/>
            <w:noWrap/>
            <w:hideMark/>
          </w:tcPr>
          <w:p w14:paraId="0B844C99" w14:textId="58DA3832"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24</w:t>
            </w:r>
          </w:p>
        </w:tc>
        <w:tc>
          <w:tcPr>
            <w:tcW w:w="367" w:type="pct"/>
            <w:tcBorders>
              <w:top w:val="nil"/>
              <w:left w:val="nil"/>
              <w:bottom w:val="single" w:sz="8" w:space="0" w:color="auto"/>
              <w:right w:val="single" w:sz="8" w:space="0" w:color="auto"/>
            </w:tcBorders>
            <w:shd w:val="clear" w:color="auto" w:fill="auto"/>
            <w:noWrap/>
            <w:hideMark/>
          </w:tcPr>
          <w:p w14:paraId="6D7B40F4" w14:textId="2164D78A"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432 090</w:t>
            </w:r>
          </w:p>
        </w:tc>
        <w:tc>
          <w:tcPr>
            <w:tcW w:w="409" w:type="pct"/>
            <w:tcBorders>
              <w:top w:val="nil"/>
              <w:left w:val="nil"/>
              <w:bottom w:val="single" w:sz="8" w:space="0" w:color="auto"/>
              <w:right w:val="single" w:sz="8" w:space="0" w:color="auto"/>
            </w:tcBorders>
            <w:shd w:val="clear" w:color="auto" w:fill="auto"/>
            <w:noWrap/>
            <w:hideMark/>
          </w:tcPr>
          <w:p w14:paraId="2C77B366" w14:textId="0C269C7C" w:rsidR="00F7392F" w:rsidRPr="00F7392F" w:rsidRDefault="00F7392F" w:rsidP="00F7392F">
            <w:pPr>
              <w:spacing w:after="0"/>
              <w:ind w:firstLine="0"/>
              <w:jc w:val="right"/>
              <w:rPr>
                <w:rFonts w:eastAsia="Times New Roman" w:cs="Times New Roman"/>
                <w:sz w:val="18"/>
                <w:szCs w:val="18"/>
              </w:rPr>
            </w:pPr>
            <w:r w:rsidRPr="00F7392F">
              <w:rPr>
                <w:sz w:val="18"/>
                <w:szCs w:val="18"/>
              </w:rPr>
              <w:t>1500</w:t>
            </w:r>
            <w:r>
              <w:rPr>
                <w:sz w:val="18"/>
                <w:szCs w:val="18"/>
              </w:rPr>
              <w:t>,</w:t>
            </w:r>
            <w:r w:rsidRPr="00F7392F">
              <w:rPr>
                <w:sz w:val="18"/>
                <w:szCs w:val="18"/>
              </w:rPr>
              <w:t>31</w:t>
            </w:r>
          </w:p>
        </w:tc>
        <w:tc>
          <w:tcPr>
            <w:tcW w:w="434" w:type="pct"/>
            <w:tcBorders>
              <w:top w:val="nil"/>
              <w:left w:val="nil"/>
              <w:bottom w:val="single" w:sz="8" w:space="0" w:color="auto"/>
              <w:right w:val="single" w:sz="8" w:space="0" w:color="auto"/>
            </w:tcBorders>
            <w:shd w:val="clear" w:color="auto" w:fill="auto"/>
            <w:noWrap/>
            <w:hideMark/>
          </w:tcPr>
          <w:p w14:paraId="072A131F" w14:textId="44FF3B9C" w:rsidR="00F7392F" w:rsidRPr="00F7392F" w:rsidRDefault="00F7392F" w:rsidP="00F7392F">
            <w:pPr>
              <w:spacing w:after="0"/>
              <w:ind w:firstLine="0"/>
              <w:jc w:val="right"/>
              <w:rPr>
                <w:rFonts w:eastAsia="Times New Roman" w:cs="Times New Roman"/>
                <w:sz w:val="18"/>
                <w:szCs w:val="18"/>
              </w:rPr>
            </w:pPr>
            <w:r w:rsidRPr="00F7392F">
              <w:rPr>
                <w:sz w:val="18"/>
                <w:szCs w:val="18"/>
              </w:rPr>
              <w:t>24</w:t>
            </w:r>
          </w:p>
        </w:tc>
        <w:tc>
          <w:tcPr>
            <w:tcW w:w="367" w:type="pct"/>
            <w:tcBorders>
              <w:top w:val="nil"/>
              <w:left w:val="nil"/>
              <w:bottom w:val="single" w:sz="8" w:space="0" w:color="auto"/>
              <w:right w:val="single" w:sz="8" w:space="0" w:color="auto"/>
            </w:tcBorders>
            <w:shd w:val="clear" w:color="auto" w:fill="auto"/>
            <w:noWrap/>
            <w:hideMark/>
          </w:tcPr>
          <w:p w14:paraId="742C2F2D" w14:textId="7991A479" w:rsidR="00F7392F" w:rsidRPr="00F7392F" w:rsidRDefault="00F7392F" w:rsidP="00F7392F">
            <w:pPr>
              <w:spacing w:after="0"/>
              <w:ind w:firstLine="0"/>
              <w:jc w:val="right"/>
              <w:rPr>
                <w:rFonts w:eastAsia="Times New Roman" w:cs="Times New Roman"/>
                <w:sz w:val="18"/>
                <w:szCs w:val="18"/>
              </w:rPr>
            </w:pPr>
            <w:r w:rsidRPr="00F7392F">
              <w:rPr>
                <w:sz w:val="18"/>
                <w:szCs w:val="18"/>
              </w:rPr>
              <w:t>432 090</w:t>
            </w:r>
          </w:p>
        </w:tc>
      </w:tr>
      <w:tr w:rsidR="00F7392F" w:rsidRPr="0038459F" w14:paraId="6D87CCFE" w14:textId="77777777" w:rsidTr="005D7903">
        <w:trPr>
          <w:trHeight w:val="278"/>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43DAB782" w14:textId="77777777" w:rsidR="00F7392F" w:rsidRPr="002D1F6F" w:rsidRDefault="00F7392F" w:rsidP="00F7392F">
            <w:pPr>
              <w:spacing w:after="0"/>
              <w:ind w:firstLine="0"/>
              <w:jc w:val="left"/>
              <w:rPr>
                <w:rFonts w:eastAsia="Times New Roman" w:cs="Times New Roman"/>
                <w:sz w:val="18"/>
                <w:szCs w:val="18"/>
              </w:rPr>
            </w:pPr>
            <w:bookmarkStart w:id="121" w:name="_Hlk97717361"/>
            <w:r w:rsidRPr="002D1F6F">
              <w:rPr>
                <w:rFonts w:eastAsia="Times New Roman" w:cs="Times New Roman"/>
                <w:sz w:val="18"/>
                <w:szCs w:val="18"/>
              </w:rPr>
              <w:t xml:space="preserve">Veselības aprūpes izdevumi </w:t>
            </w:r>
          </w:p>
        </w:tc>
        <w:tc>
          <w:tcPr>
            <w:tcW w:w="444" w:type="pct"/>
            <w:tcBorders>
              <w:top w:val="nil"/>
              <w:left w:val="nil"/>
              <w:bottom w:val="single" w:sz="8" w:space="0" w:color="auto"/>
              <w:right w:val="single" w:sz="8" w:space="0" w:color="auto"/>
            </w:tcBorders>
            <w:shd w:val="clear" w:color="auto" w:fill="auto"/>
            <w:hideMark/>
          </w:tcPr>
          <w:p w14:paraId="38BEC55A" w14:textId="4EFB2478"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390</w:t>
            </w:r>
            <w:r>
              <w:rPr>
                <w:sz w:val="18"/>
                <w:szCs w:val="18"/>
              </w:rPr>
              <w:t>,</w:t>
            </w:r>
            <w:r w:rsidRPr="002D1F6F">
              <w:rPr>
                <w:sz w:val="18"/>
                <w:szCs w:val="18"/>
              </w:rPr>
              <w:t>15</w:t>
            </w:r>
          </w:p>
        </w:tc>
        <w:tc>
          <w:tcPr>
            <w:tcW w:w="434" w:type="pct"/>
            <w:tcBorders>
              <w:top w:val="nil"/>
              <w:left w:val="nil"/>
              <w:bottom w:val="single" w:sz="8" w:space="0" w:color="auto"/>
              <w:right w:val="single" w:sz="8" w:space="0" w:color="auto"/>
            </w:tcBorders>
            <w:shd w:val="clear" w:color="auto" w:fill="auto"/>
            <w:hideMark/>
          </w:tcPr>
          <w:p w14:paraId="09A5E058" w14:textId="5CFFFFB7"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150</w:t>
            </w:r>
          </w:p>
        </w:tc>
        <w:tc>
          <w:tcPr>
            <w:tcW w:w="356" w:type="pct"/>
            <w:tcBorders>
              <w:top w:val="nil"/>
              <w:left w:val="nil"/>
              <w:bottom w:val="single" w:sz="8" w:space="0" w:color="auto"/>
              <w:right w:val="single" w:sz="8" w:space="0" w:color="auto"/>
            </w:tcBorders>
            <w:shd w:val="clear" w:color="auto" w:fill="auto"/>
          </w:tcPr>
          <w:p w14:paraId="3B9C50DB" w14:textId="3A69090E"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702 270</w:t>
            </w:r>
          </w:p>
        </w:tc>
        <w:tc>
          <w:tcPr>
            <w:tcW w:w="371" w:type="pct"/>
            <w:tcBorders>
              <w:top w:val="nil"/>
              <w:left w:val="nil"/>
              <w:bottom w:val="single" w:sz="8" w:space="0" w:color="auto"/>
              <w:right w:val="single" w:sz="8" w:space="0" w:color="auto"/>
            </w:tcBorders>
            <w:shd w:val="clear" w:color="auto" w:fill="auto"/>
            <w:noWrap/>
            <w:hideMark/>
          </w:tcPr>
          <w:p w14:paraId="76D6C6EF" w14:textId="70DF1C9C"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390</w:t>
            </w:r>
            <w:r>
              <w:rPr>
                <w:sz w:val="18"/>
                <w:szCs w:val="18"/>
              </w:rPr>
              <w:t>,</w:t>
            </w:r>
            <w:r w:rsidRPr="002D1F6F">
              <w:rPr>
                <w:sz w:val="18"/>
                <w:szCs w:val="18"/>
              </w:rPr>
              <w:t>15</w:t>
            </w:r>
          </w:p>
        </w:tc>
        <w:tc>
          <w:tcPr>
            <w:tcW w:w="434" w:type="pct"/>
            <w:tcBorders>
              <w:top w:val="nil"/>
              <w:left w:val="nil"/>
              <w:bottom w:val="single" w:sz="8" w:space="0" w:color="auto"/>
              <w:right w:val="single" w:sz="8" w:space="0" w:color="auto"/>
            </w:tcBorders>
            <w:shd w:val="clear" w:color="auto" w:fill="auto"/>
            <w:noWrap/>
            <w:hideMark/>
          </w:tcPr>
          <w:p w14:paraId="289AB5D0" w14:textId="121BA3DA"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150</w:t>
            </w:r>
          </w:p>
        </w:tc>
        <w:tc>
          <w:tcPr>
            <w:tcW w:w="367" w:type="pct"/>
            <w:tcBorders>
              <w:top w:val="nil"/>
              <w:left w:val="nil"/>
              <w:bottom w:val="single" w:sz="8" w:space="0" w:color="auto"/>
              <w:right w:val="single" w:sz="8" w:space="0" w:color="auto"/>
            </w:tcBorders>
            <w:shd w:val="clear" w:color="auto" w:fill="auto"/>
            <w:noWrap/>
            <w:hideMark/>
          </w:tcPr>
          <w:p w14:paraId="523DB11F" w14:textId="7329B2F2" w:rsidR="00F7392F" w:rsidRPr="002D1F6F" w:rsidRDefault="00F7392F" w:rsidP="00F7392F">
            <w:pPr>
              <w:spacing w:after="0"/>
              <w:ind w:firstLine="0"/>
              <w:jc w:val="right"/>
              <w:rPr>
                <w:rFonts w:eastAsia="Times New Roman" w:cs="Times New Roman"/>
                <w:sz w:val="18"/>
                <w:szCs w:val="18"/>
                <w:highlight w:val="lightGray"/>
              </w:rPr>
            </w:pPr>
            <w:r w:rsidRPr="002D1F6F">
              <w:rPr>
                <w:sz w:val="18"/>
                <w:szCs w:val="18"/>
              </w:rPr>
              <w:t>702 270</w:t>
            </w:r>
          </w:p>
        </w:tc>
        <w:tc>
          <w:tcPr>
            <w:tcW w:w="409" w:type="pct"/>
            <w:tcBorders>
              <w:top w:val="nil"/>
              <w:left w:val="nil"/>
              <w:bottom w:val="single" w:sz="8" w:space="0" w:color="auto"/>
              <w:right w:val="single" w:sz="8" w:space="0" w:color="auto"/>
            </w:tcBorders>
            <w:shd w:val="clear" w:color="auto" w:fill="auto"/>
            <w:noWrap/>
            <w:hideMark/>
          </w:tcPr>
          <w:p w14:paraId="23C0D3D2" w14:textId="0BC4122C" w:rsidR="00F7392F" w:rsidRPr="00F7392F" w:rsidRDefault="00F7392F" w:rsidP="00F7392F">
            <w:pPr>
              <w:spacing w:after="0"/>
              <w:ind w:firstLine="0"/>
              <w:jc w:val="right"/>
              <w:rPr>
                <w:rFonts w:eastAsia="Times New Roman" w:cs="Times New Roman"/>
                <w:sz w:val="18"/>
                <w:szCs w:val="18"/>
              </w:rPr>
            </w:pPr>
            <w:r w:rsidRPr="00F7392F">
              <w:rPr>
                <w:sz w:val="18"/>
                <w:szCs w:val="18"/>
              </w:rPr>
              <w:t>390</w:t>
            </w:r>
            <w:r>
              <w:rPr>
                <w:sz w:val="18"/>
                <w:szCs w:val="18"/>
              </w:rPr>
              <w:t>,</w:t>
            </w:r>
            <w:r w:rsidRPr="00F7392F">
              <w:rPr>
                <w:sz w:val="18"/>
                <w:szCs w:val="18"/>
              </w:rPr>
              <w:t>15</w:t>
            </w:r>
          </w:p>
        </w:tc>
        <w:tc>
          <w:tcPr>
            <w:tcW w:w="434" w:type="pct"/>
            <w:tcBorders>
              <w:top w:val="nil"/>
              <w:left w:val="nil"/>
              <w:bottom w:val="single" w:sz="8" w:space="0" w:color="auto"/>
              <w:right w:val="single" w:sz="8" w:space="0" w:color="auto"/>
            </w:tcBorders>
            <w:shd w:val="clear" w:color="auto" w:fill="auto"/>
            <w:noWrap/>
            <w:hideMark/>
          </w:tcPr>
          <w:p w14:paraId="378AE5CC" w14:textId="066FE7C1" w:rsidR="00F7392F" w:rsidRPr="00F7392F" w:rsidRDefault="00F7392F" w:rsidP="00F7392F">
            <w:pPr>
              <w:spacing w:after="0"/>
              <w:ind w:firstLine="0"/>
              <w:jc w:val="right"/>
              <w:rPr>
                <w:rFonts w:eastAsia="Times New Roman" w:cs="Times New Roman"/>
                <w:sz w:val="18"/>
                <w:szCs w:val="18"/>
              </w:rPr>
            </w:pPr>
            <w:r w:rsidRPr="00F7392F">
              <w:rPr>
                <w:sz w:val="18"/>
                <w:szCs w:val="18"/>
              </w:rPr>
              <w:t>150</w:t>
            </w:r>
          </w:p>
        </w:tc>
        <w:tc>
          <w:tcPr>
            <w:tcW w:w="367" w:type="pct"/>
            <w:tcBorders>
              <w:top w:val="nil"/>
              <w:left w:val="nil"/>
              <w:bottom w:val="single" w:sz="8" w:space="0" w:color="auto"/>
              <w:right w:val="single" w:sz="8" w:space="0" w:color="auto"/>
            </w:tcBorders>
            <w:shd w:val="clear" w:color="auto" w:fill="auto"/>
            <w:noWrap/>
            <w:hideMark/>
          </w:tcPr>
          <w:p w14:paraId="669E9A06" w14:textId="29638A20" w:rsidR="00F7392F" w:rsidRPr="00F7392F" w:rsidRDefault="00F7392F" w:rsidP="00F7392F">
            <w:pPr>
              <w:spacing w:after="0"/>
              <w:ind w:firstLine="0"/>
              <w:jc w:val="right"/>
              <w:rPr>
                <w:rFonts w:eastAsia="Times New Roman" w:cs="Times New Roman"/>
                <w:sz w:val="18"/>
                <w:szCs w:val="18"/>
              </w:rPr>
            </w:pPr>
            <w:r w:rsidRPr="00F7392F">
              <w:rPr>
                <w:sz w:val="18"/>
                <w:szCs w:val="18"/>
              </w:rPr>
              <w:t>702 270</w:t>
            </w:r>
          </w:p>
        </w:tc>
      </w:tr>
    </w:tbl>
    <w:bookmarkEnd w:id="121"/>
    <w:p w14:paraId="0DD00CEF" w14:textId="3D75CA0A" w:rsidR="00F95F29" w:rsidRPr="002D1F6F" w:rsidRDefault="00F95F29" w:rsidP="00F95F29">
      <w:pPr>
        <w:widowControl w:val="0"/>
        <w:spacing w:before="120"/>
        <w:ind w:firstLine="0"/>
        <w:rPr>
          <w:rFonts w:eastAsia="Calibri" w:cs="Times New Roman"/>
          <w:i/>
          <w:sz w:val="20"/>
        </w:rPr>
      </w:pPr>
      <w:r w:rsidRPr="002D1F6F">
        <w:rPr>
          <w:rFonts w:eastAsia="Calibri" w:cs="Times New Roman"/>
          <w:i/>
          <w:sz w:val="20"/>
        </w:rPr>
        <w:t xml:space="preserve">Datu avots: </w:t>
      </w:r>
      <w:r w:rsidR="006836ED">
        <w:rPr>
          <w:rFonts w:eastAsia="Calibri" w:cs="Times New Roman"/>
          <w:i/>
          <w:sz w:val="20"/>
        </w:rPr>
        <w:t>FM</w:t>
      </w:r>
    </w:p>
    <w:p w14:paraId="39EC4823" w14:textId="77777777" w:rsidR="00F7392F" w:rsidRDefault="00F7392F">
      <w:pPr>
        <w:spacing w:after="0"/>
        <w:ind w:firstLine="0"/>
        <w:jc w:val="left"/>
        <w:rPr>
          <w:rFonts w:eastAsia="Times New Roman" w:cs="Times New Roman"/>
          <w:color w:val="000000"/>
          <w:highlight w:val="lightGray"/>
        </w:rPr>
      </w:pPr>
      <w:r>
        <w:rPr>
          <w:rFonts w:eastAsia="Times New Roman" w:cs="Times New Roman"/>
          <w:color w:val="000000"/>
          <w:highlight w:val="lightGray"/>
        </w:rPr>
        <w:br w:type="page"/>
      </w:r>
    </w:p>
    <w:p w14:paraId="6ACADC33" w14:textId="77777777" w:rsidR="00632442" w:rsidRPr="00632442" w:rsidRDefault="00632442" w:rsidP="00632442">
      <w:pPr>
        <w:widowControl w:val="0"/>
        <w:ind w:firstLine="0"/>
        <w:jc w:val="right"/>
        <w:rPr>
          <w:rFonts w:eastAsia="Times New Roman" w:cs="Times New Roman"/>
          <w:color w:val="000000"/>
        </w:rPr>
      </w:pPr>
      <w:r w:rsidRPr="00632442">
        <w:rPr>
          <w:rFonts w:eastAsia="Times New Roman" w:cs="Times New Roman"/>
          <w:color w:val="000000"/>
        </w:rPr>
        <w:lastRenderedPageBreak/>
        <w:t>5. pielikums</w:t>
      </w:r>
    </w:p>
    <w:p w14:paraId="036E8292" w14:textId="7CFF9FA4" w:rsidR="00632442" w:rsidRPr="00632442" w:rsidRDefault="00632442" w:rsidP="00632442">
      <w:pPr>
        <w:widowControl w:val="0"/>
        <w:jc w:val="right"/>
        <w:rPr>
          <w:rFonts w:eastAsia="Times New Roman" w:cs="Times New Roman"/>
          <w:b/>
          <w:color w:val="000000"/>
          <w:sz w:val="28"/>
        </w:rPr>
      </w:pPr>
      <w:r w:rsidRPr="00632442">
        <w:rPr>
          <w:rFonts w:eastAsia="Times New Roman" w:cs="Times New Roman"/>
          <w:b/>
          <w:color w:val="000000"/>
        </w:rPr>
        <w:t xml:space="preserve">Labklājības ministrijas pamatbudžeta </w:t>
      </w:r>
      <w:r w:rsidR="00ED15CD">
        <w:rPr>
          <w:rFonts w:eastAsia="Times New Roman" w:cs="Times New Roman"/>
          <w:b/>
          <w:color w:val="000000"/>
        </w:rPr>
        <w:t>apakš</w:t>
      </w:r>
      <w:r w:rsidRPr="00632442">
        <w:rPr>
          <w:rFonts w:eastAsia="Times New Roman" w:cs="Times New Roman"/>
          <w:b/>
          <w:color w:val="000000"/>
        </w:rPr>
        <w:t>programma 20.01.00 "Valsts sociālie pabalsti"</w:t>
      </w:r>
    </w:p>
    <w:tbl>
      <w:tblPr>
        <w:tblW w:w="14243" w:type="dxa"/>
        <w:tblLook w:val="04A0" w:firstRow="1" w:lastRow="0" w:firstColumn="1" w:lastColumn="0" w:noHBand="0" w:noVBand="1"/>
      </w:tblPr>
      <w:tblGrid>
        <w:gridCol w:w="4500"/>
        <w:gridCol w:w="880"/>
        <w:gridCol w:w="980"/>
        <w:gridCol w:w="1148"/>
        <w:gridCol w:w="1134"/>
        <w:gridCol w:w="1276"/>
        <w:gridCol w:w="1134"/>
        <w:gridCol w:w="992"/>
        <w:gridCol w:w="966"/>
        <w:gridCol w:w="1233"/>
      </w:tblGrid>
      <w:tr w:rsidR="00632442" w:rsidRPr="00632442" w14:paraId="30DD8F8C" w14:textId="77777777" w:rsidTr="0049639B">
        <w:trPr>
          <w:trHeight w:val="660"/>
          <w:tblHeader/>
        </w:trPr>
        <w:tc>
          <w:tcPr>
            <w:tcW w:w="4500" w:type="dxa"/>
            <w:vMerge w:val="restart"/>
            <w:tcBorders>
              <w:top w:val="single" w:sz="4" w:space="0" w:color="auto"/>
              <w:left w:val="single" w:sz="4" w:space="0" w:color="auto"/>
              <w:right w:val="single" w:sz="4" w:space="0" w:color="auto"/>
            </w:tcBorders>
            <w:shd w:val="clear" w:color="auto" w:fill="9CC2E5"/>
            <w:noWrap/>
            <w:vAlign w:val="bottom"/>
            <w:hideMark/>
          </w:tcPr>
          <w:p w14:paraId="4193E033"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 Pabalsta veids</w:t>
            </w:r>
          </w:p>
        </w:tc>
        <w:tc>
          <w:tcPr>
            <w:tcW w:w="3008"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610CD11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2024. gada projekts</w:t>
            </w:r>
          </w:p>
        </w:tc>
        <w:tc>
          <w:tcPr>
            <w:tcW w:w="3544"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43BEC4B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2025. gada projekts</w:t>
            </w:r>
          </w:p>
        </w:tc>
        <w:tc>
          <w:tcPr>
            <w:tcW w:w="3191"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088D540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2026. gada projekts</w:t>
            </w:r>
          </w:p>
        </w:tc>
      </w:tr>
      <w:tr w:rsidR="00632442" w:rsidRPr="00632442" w14:paraId="53A37283" w14:textId="77777777" w:rsidTr="0049639B">
        <w:trPr>
          <w:trHeight w:val="480"/>
          <w:tblHeader/>
        </w:trPr>
        <w:tc>
          <w:tcPr>
            <w:tcW w:w="4500" w:type="dxa"/>
            <w:vMerge/>
            <w:tcBorders>
              <w:left w:val="single" w:sz="4" w:space="0" w:color="auto"/>
              <w:right w:val="single" w:sz="4" w:space="0" w:color="auto"/>
            </w:tcBorders>
            <w:shd w:val="clear" w:color="auto" w:fill="9CC2E5"/>
            <w:noWrap/>
            <w:vAlign w:val="center"/>
            <w:hideMark/>
          </w:tcPr>
          <w:p w14:paraId="3ED8C321" w14:textId="77777777" w:rsidR="00632442" w:rsidRPr="00632442" w:rsidRDefault="00632442" w:rsidP="00632442">
            <w:pPr>
              <w:spacing w:after="0"/>
              <w:ind w:firstLine="0"/>
              <w:jc w:val="center"/>
              <w:rPr>
                <w:rFonts w:eastAsia="Times New Roman" w:cs="Times New Roman"/>
                <w:sz w:val="18"/>
                <w:szCs w:val="18"/>
              </w:rPr>
            </w:pPr>
          </w:p>
        </w:tc>
        <w:tc>
          <w:tcPr>
            <w:tcW w:w="880" w:type="dxa"/>
            <w:vMerge w:val="restart"/>
            <w:tcBorders>
              <w:top w:val="nil"/>
              <w:left w:val="single" w:sz="4" w:space="0" w:color="auto"/>
              <w:bottom w:val="single" w:sz="4" w:space="0" w:color="000000"/>
              <w:right w:val="single" w:sz="4" w:space="0" w:color="auto"/>
            </w:tcBorders>
            <w:shd w:val="clear" w:color="auto" w:fill="DEEAF6"/>
            <w:vAlign w:val="center"/>
            <w:hideMark/>
          </w:tcPr>
          <w:p w14:paraId="1CC29797"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apmērs vidēji mēnesī (</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980" w:type="dxa"/>
            <w:tcBorders>
              <w:top w:val="nil"/>
              <w:left w:val="nil"/>
              <w:bottom w:val="nil"/>
              <w:right w:val="single" w:sz="4" w:space="0" w:color="auto"/>
            </w:tcBorders>
            <w:shd w:val="clear" w:color="auto" w:fill="DEEAF6"/>
            <w:vAlign w:val="center"/>
            <w:hideMark/>
          </w:tcPr>
          <w:p w14:paraId="703E4415" w14:textId="77777777" w:rsidR="00632442" w:rsidRPr="00632442" w:rsidRDefault="00632442" w:rsidP="00632442">
            <w:pPr>
              <w:spacing w:after="0"/>
              <w:ind w:firstLine="0"/>
              <w:jc w:val="center"/>
              <w:rPr>
                <w:rFonts w:eastAsia="Times New Roman" w:cs="Times New Roman"/>
                <w:sz w:val="18"/>
                <w:szCs w:val="18"/>
              </w:rPr>
            </w:pPr>
          </w:p>
          <w:p w14:paraId="1FC6DDB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w:t>
            </w:r>
            <w:r w:rsidRPr="00632442">
              <w:rPr>
                <w:rFonts w:eastAsia="Times New Roman" w:cs="Times New Roman"/>
                <w:sz w:val="18"/>
                <w:szCs w:val="18"/>
              </w:rPr>
              <w:br/>
              <w:t xml:space="preserve"> skaits</w:t>
            </w:r>
          </w:p>
        </w:tc>
        <w:tc>
          <w:tcPr>
            <w:tcW w:w="1148" w:type="dxa"/>
            <w:tcBorders>
              <w:top w:val="nil"/>
              <w:left w:val="nil"/>
              <w:bottom w:val="nil"/>
              <w:right w:val="single" w:sz="4" w:space="0" w:color="auto"/>
            </w:tcBorders>
            <w:shd w:val="clear" w:color="auto" w:fill="DEEAF6"/>
            <w:vAlign w:val="center"/>
            <w:hideMark/>
          </w:tcPr>
          <w:p w14:paraId="2B350B67" w14:textId="77777777" w:rsidR="00632442" w:rsidRPr="00632442" w:rsidRDefault="00632442" w:rsidP="00632442">
            <w:pPr>
              <w:spacing w:after="0"/>
              <w:ind w:firstLine="0"/>
              <w:jc w:val="center"/>
              <w:rPr>
                <w:rFonts w:eastAsia="Times New Roman" w:cs="Times New Roman"/>
                <w:sz w:val="18"/>
                <w:szCs w:val="18"/>
              </w:rPr>
            </w:pPr>
          </w:p>
          <w:p w14:paraId="2D03384C"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Izdevumi kopā</w:t>
            </w:r>
          </w:p>
        </w:tc>
        <w:tc>
          <w:tcPr>
            <w:tcW w:w="1134" w:type="dxa"/>
            <w:vMerge w:val="restart"/>
            <w:tcBorders>
              <w:top w:val="nil"/>
              <w:left w:val="single" w:sz="4" w:space="0" w:color="auto"/>
              <w:bottom w:val="single" w:sz="4" w:space="0" w:color="000000"/>
              <w:right w:val="single" w:sz="4" w:space="0" w:color="auto"/>
            </w:tcBorders>
            <w:shd w:val="clear" w:color="auto" w:fill="DEEAF6"/>
            <w:vAlign w:val="center"/>
            <w:hideMark/>
          </w:tcPr>
          <w:p w14:paraId="6F939931"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apmērs vidēji mēnesī (</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1276" w:type="dxa"/>
            <w:tcBorders>
              <w:top w:val="nil"/>
              <w:left w:val="nil"/>
              <w:bottom w:val="nil"/>
              <w:right w:val="single" w:sz="4" w:space="0" w:color="auto"/>
            </w:tcBorders>
            <w:shd w:val="clear" w:color="auto" w:fill="DEEAF6"/>
            <w:vAlign w:val="center"/>
            <w:hideMark/>
          </w:tcPr>
          <w:p w14:paraId="0C68E7FD" w14:textId="77777777" w:rsidR="00632442" w:rsidRPr="00632442" w:rsidRDefault="00632442" w:rsidP="00632442">
            <w:pPr>
              <w:spacing w:after="0"/>
              <w:ind w:firstLine="0"/>
              <w:jc w:val="center"/>
              <w:rPr>
                <w:rFonts w:eastAsia="Times New Roman" w:cs="Times New Roman"/>
                <w:sz w:val="18"/>
                <w:szCs w:val="18"/>
              </w:rPr>
            </w:pPr>
          </w:p>
          <w:p w14:paraId="2F9879B4"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w:t>
            </w:r>
            <w:r w:rsidRPr="00632442">
              <w:rPr>
                <w:rFonts w:eastAsia="Times New Roman" w:cs="Times New Roman"/>
                <w:sz w:val="18"/>
                <w:szCs w:val="18"/>
              </w:rPr>
              <w:br/>
              <w:t xml:space="preserve"> skaits</w:t>
            </w:r>
          </w:p>
        </w:tc>
        <w:tc>
          <w:tcPr>
            <w:tcW w:w="1134" w:type="dxa"/>
            <w:tcBorders>
              <w:top w:val="nil"/>
              <w:left w:val="nil"/>
              <w:bottom w:val="nil"/>
              <w:right w:val="single" w:sz="4" w:space="0" w:color="auto"/>
            </w:tcBorders>
            <w:shd w:val="clear" w:color="auto" w:fill="DEEAF6"/>
            <w:vAlign w:val="center"/>
            <w:hideMark/>
          </w:tcPr>
          <w:p w14:paraId="0781A8FD" w14:textId="77777777" w:rsidR="00632442" w:rsidRPr="00632442" w:rsidRDefault="00632442" w:rsidP="00632442">
            <w:pPr>
              <w:spacing w:after="0"/>
              <w:ind w:firstLine="0"/>
              <w:jc w:val="center"/>
              <w:rPr>
                <w:rFonts w:eastAsia="Times New Roman" w:cs="Times New Roman"/>
                <w:sz w:val="18"/>
                <w:szCs w:val="18"/>
              </w:rPr>
            </w:pPr>
          </w:p>
          <w:p w14:paraId="143CA70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Izdevumi kopā</w:t>
            </w:r>
          </w:p>
        </w:tc>
        <w:tc>
          <w:tcPr>
            <w:tcW w:w="992" w:type="dxa"/>
            <w:vMerge w:val="restart"/>
            <w:tcBorders>
              <w:top w:val="nil"/>
              <w:left w:val="single" w:sz="4" w:space="0" w:color="auto"/>
              <w:bottom w:val="single" w:sz="4" w:space="0" w:color="000000"/>
              <w:right w:val="single" w:sz="4" w:space="0" w:color="auto"/>
            </w:tcBorders>
            <w:shd w:val="clear" w:color="auto" w:fill="DEEAF6"/>
            <w:vAlign w:val="center"/>
            <w:hideMark/>
          </w:tcPr>
          <w:p w14:paraId="75E0D5C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apmērs vidēji mēnesī (</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966" w:type="dxa"/>
            <w:tcBorders>
              <w:top w:val="nil"/>
              <w:left w:val="nil"/>
              <w:bottom w:val="nil"/>
              <w:right w:val="single" w:sz="4" w:space="0" w:color="auto"/>
            </w:tcBorders>
            <w:shd w:val="clear" w:color="auto" w:fill="DEEAF6"/>
            <w:vAlign w:val="center"/>
            <w:hideMark/>
          </w:tcPr>
          <w:p w14:paraId="4D769833" w14:textId="77777777" w:rsidR="00632442" w:rsidRPr="00632442" w:rsidRDefault="00632442" w:rsidP="00632442">
            <w:pPr>
              <w:spacing w:after="0"/>
              <w:ind w:firstLine="0"/>
              <w:jc w:val="center"/>
              <w:rPr>
                <w:rFonts w:eastAsia="Times New Roman" w:cs="Times New Roman"/>
                <w:sz w:val="18"/>
                <w:szCs w:val="18"/>
              </w:rPr>
            </w:pPr>
          </w:p>
          <w:p w14:paraId="59B9B311"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w:t>
            </w:r>
            <w:r w:rsidRPr="00632442">
              <w:rPr>
                <w:rFonts w:eastAsia="Times New Roman" w:cs="Times New Roman"/>
                <w:sz w:val="18"/>
                <w:szCs w:val="18"/>
              </w:rPr>
              <w:br/>
              <w:t xml:space="preserve"> skaits</w:t>
            </w:r>
          </w:p>
        </w:tc>
        <w:tc>
          <w:tcPr>
            <w:tcW w:w="1233" w:type="dxa"/>
            <w:tcBorders>
              <w:top w:val="nil"/>
              <w:left w:val="nil"/>
              <w:bottom w:val="nil"/>
              <w:right w:val="single" w:sz="4" w:space="0" w:color="auto"/>
            </w:tcBorders>
            <w:shd w:val="clear" w:color="auto" w:fill="DEEAF6"/>
            <w:vAlign w:val="center"/>
            <w:hideMark/>
          </w:tcPr>
          <w:p w14:paraId="44178B83" w14:textId="77777777" w:rsidR="00632442" w:rsidRPr="00632442" w:rsidRDefault="00632442" w:rsidP="00632442">
            <w:pPr>
              <w:spacing w:after="0"/>
              <w:ind w:firstLine="0"/>
              <w:jc w:val="center"/>
              <w:rPr>
                <w:rFonts w:eastAsia="Times New Roman" w:cs="Times New Roman"/>
                <w:sz w:val="18"/>
                <w:szCs w:val="18"/>
              </w:rPr>
            </w:pPr>
          </w:p>
          <w:p w14:paraId="564FEF7D"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Izdevumi kopā</w:t>
            </w:r>
          </w:p>
        </w:tc>
      </w:tr>
      <w:tr w:rsidR="00632442" w:rsidRPr="00632442" w14:paraId="2F6748F0" w14:textId="77777777" w:rsidTr="0049639B">
        <w:trPr>
          <w:trHeight w:val="591"/>
          <w:tblHeader/>
        </w:trPr>
        <w:tc>
          <w:tcPr>
            <w:tcW w:w="4500" w:type="dxa"/>
            <w:tcBorders>
              <w:left w:val="single" w:sz="4" w:space="0" w:color="auto"/>
              <w:bottom w:val="single" w:sz="4" w:space="0" w:color="000000"/>
              <w:right w:val="single" w:sz="4" w:space="0" w:color="auto"/>
            </w:tcBorders>
            <w:shd w:val="clear" w:color="auto" w:fill="9CC2E5"/>
            <w:vAlign w:val="center"/>
            <w:hideMark/>
          </w:tcPr>
          <w:p w14:paraId="406CFF34" w14:textId="77777777" w:rsidR="00632442" w:rsidRPr="00632442" w:rsidRDefault="00632442" w:rsidP="00632442">
            <w:pPr>
              <w:spacing w:after="0"/>
              <w:ind w:firstLine="0"/>
              <w:jc w:val="left"/>
              <w:rPr>
                <w:rFonts w:eastAsia="Times New Roman" w:cs="Times New Roman"/>
                <w:sz w:val="18"/>
                <w:szCs w:val="18"/>
              </w:rPr>
            </w:pPr>
          </w:p>
        </w:tc>
        <w:tc>
          <w:tcPr>
            <w:tcW w:w="880" w:type="dxa"/>
            <w:vMerge/>
            <w:tcBorders>
              <w:top w:val="nil"/>
              <w:left w:val="single" w:sz="4" w:space="0" w:color="auto"/>
              <w:bottom w:val="single" w:sz="4" w:space="0" w:color="000000"/>
              <w:right w:val="single" w:sz="4" w:space="0" w:color="auto"/>
            </w:tcBorders>
            <w:shd w:val="clear" w:color="auto" w:fill="DEEAF6"/>
            <w:vAlign w:val="center"/>
            <w:hideMark/>
          </w:tcPr>
          <w:p w14:paraId="30875225" w14:textId="77777777" w:rsidR="00632442" w:rsidRPr="00632442" w:rsidRDefault="00632442" w:rsidP="00632442">
            <w:pPr>
              <w:spacing w:after="0"/>
              <w:ind w:firstLine="0"/>
              <w:jc w:val="left"/>
              <w:rPr>
                <w:rFonts w:eastAsia="Times New Roman" w:cs="Times New Roman"/>
                <w:sz w:val="18"/>
                <w:szCs w:val="18"/>
              </w:rPr>
            </w:pPr>
          </w:p>
        </w:tc>
        <w:tc>
          <w:tcPr>
            <w:tcW w:w="980" w:type="dxa"/>
            <w:tcBorders>
              <w:top w:val="nil"/>
              <w:left w:val="nil"/>
              <w:bottom w:val="single" w:sz="4" w:space="0" w:color="auto"/>
              <w:right w:val="single" w:sz="4" w:space="0" w:color="auto"/>
            </w:tcBorders>
            <w:shd w:val="clear" w:color="auto" w:fill="DEEAF6"/>
            <w:noWrap/>
            <w:hideMark/>
          </w:tcPr>
          <w:p w14:paraId="526730A1"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sz w:val="18"/>
                <w:szCs w:val="18"/>
              </w:rPr>
              <w:t>vid.mēn</w:t>
            </w:r>
            <w:proofErr w:type="spellEnd"/>
            <w:r w:rsidRPr="00632442">
              <w:rPr>
                <w:rFonts w:eastAsia="Times New Roman" w:cs="Times New Roman"/>
                <w:sz w:val="18"/>
                <w:szCs w:val="18"/>
              </w:rPr>
              <w:t>.)</w:t>
            </w:r>
          </w:p>
        </w:tc>
        <w:tc>
          <w:tcPr>
            <w:tcW w:w="1148" w:type="dxa"/>
            <w:tcBorders>
              <w:top w:val="nil"/>
              <w:left w:val="nil"/>
              <w:bottom w:val="single" w:sz="4" w:space="0" w:color="auto"/>
              <w:right w:val="single" w:sz="4" w:space="0" w:color="auto"/>
            </w:tcBorders>
            <w:shd w:val="clear" w:color="auto" w:fill="DEEAF6"/>
            <w:noWrap/>
            <w:hideMark/>
          </w:tcPr>
          <w:p w14:paraId="5BC16C80"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1134" w:type="dxa"/>
            <w:vMerge/>
            <w:tcBorders>
              <w:top w:val="nil"/>
              <w:left w:val="single" w:sz="4" w:space="0" w:color="auto"/>
              <w:bottom w:val="single" w:sz="4" w:space="0" w:color="000000"/>
              <w:right w:val="single" w:sz="4" w:space="0" w:color="auto"/>
            </w:tcBorders>
            <w:shd w:val="clear" w:color="auto" w:fill="DEEAF6"/>
            <w:vAlign w:val="center"/>
            <w:hideMark/>
          </w:tcPr>
          <w:p w14:paraId="266C4670" w14:textId="77777777" w:rsidR="00632442" w:rsidRPr="00632442" w:rsidRDefault="00632442" w:rsidP="00632442">
            <w:pPr>
              <w:spacing w:after="0"/>
              <w:ind w:firstLine="0"/>
              <w:jc w:val="left"/>
              <w:rPr>
                <w:rFonts w:eastAsia="Times New Roman" w:cs="Times New Roman"/>
                <w:sz w:val="18"/>
                <w:szCs w:val="18"/>
              </w:rPr>
            </w:pPr>
          </w:p>
        </w:tc>
        <w:tc>
          <w:tcPr>
            <w:tcW w:w="1276" w:type="dxa"/>
            <w:tcBorders>
              <w:top w:val="nil"/>
              <w:left w:val="nil"/>
              <w:bottom w:val="single" w:sz="4" w:space="0" w:color="auto"/>
              <w:right w:val="single" w:sz="4" w:space="0" w:color="auto"/>
            </w:tcBorders>
            <w:shd w:val="clear" w:color="auto" w:fill="DEEAF6"/>
            <w:noWrap/>
            <w:hideMark/>
          </w:tcPr>
          <w:p w14:paraId="22D70BA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sz w:val="18"/>
                <w:szCs w:val="18"/>
              </w:rPr>
              <w:t>vid.mēn</w:t>
            </w:r>
            <w:proofErr w:type="spellEnd"/>
            <w:r w:rsidRPr="00632442">
              <w:rPr>
                <w:rFonts w:eastAsia="Times New Roman" w:cs="Times New Roman"/>
                <w:sz w:val="18"/>
                <w:szCs w:val="18"/>
              </w:rPr>
              <w:t>)</w:t>
            </w:r>
          </w:p>
        </w:tc>
        <w:tc>
          <w:tcPr>
            <w:tcW w:w="1134" w:type="dxa"/>
            <w:tcBorders>
              <w:top w:val="nil"/>
              <w:left w:val="nil"/>
              <w:bottom w:val="single" w:sz="4" w:space="0" w:color="auto"/>
              <w:right w:val="single" w:sz="4" w:space="0" w:color="auto"/>
            </w:tcBorders>
            <w:shd w:val="clear" w:color="auto" w:fill="DEEAF6"/>
            <w:noWrap/>
            <w:hideMark/>
          </w:tcPr>
          <w:p w14:paraId="2EE7051F"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992" w:type="dxa"/>
            <w:vMerge/>
            <w:tcBorders>
              <w:top w:val="nil"/>
              <w:left w:val="single" w:sz="4" w:space="0" w:color="auto"/>
              <w:bottom w:val="single" w:sz="4" w:space="0" w:color="000000"/>
              <w:right w:val="single" w:sz="4" w:space="0" w:color="auto"/>
            </w:tcBorders>
            <w:shd w:val="clear" w:color="auto" w:fill="DEEAF6"/>
            <w:vAlign w:val="center"/>
            <w:hideMark/>
          </w:tcPr>
          <w:p w14:paraId="6FBC4EF9" w14:textId="77777777" w:rsidR="00632442" w:rsidRPr="00632442" w:rsidRDefault="00632442" w:rsidP="00632442">
            <w:pPr>
              <w:spacing w:after="0"/>
              <w:ind w:firstLine="0"/>
              <w:jc w:val="left"/>
              <w:rPr>
                <w:rFonts w:eastAsia="Times New Roman" w:cs="Times New Roman"/>
                <w:sz w:val="18"/>
                <w:szCs w:val="18"/>
              </w:rPr>
            </w:pPr>
          </w:p>
        </w:tc>
        <w:tc>
          <w:tcPr>
            <w:tcW w:w="966" w:type="dxa"/>
            <w:tcBorders>
              <w:top w:val="nil"/>
              <w:left w:val="nil"/>
              <w:bottom w:val="single" w:sz="4" w:space="0" w:color="auto"/>
              <w:right w:val="single" w:sz="4" w:space="0" w:color="auto"/>
            </w:tcBorders>
            <w:shd w:val="clear" w:color="auto" w:fill="DEEAF6"/>
            <w:noWrap/>
            <w:hideMark/>
          </w:tcPr>
          <w:p w14:paraId="262EA90F"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sz w:val="18"/>
                <w:szCs w:val="18"/>
              </w:rPr>
              <w:t>vid.mēn</w:t>
            </w:r>
            <w:proofErr w:type="spellEnd"/>
            <w:r w:rsidRPr="00632442">
              <w:rPr>
                <w:rFonts w:eastAsia="Times New Roman" w:cs="Times New Roman"/>
                <w:sz w:val="18"/>
                <w:szCs w:val="18"/>
              </w:rPr>
              <w:t>.)</w:t>
            </w:r>
          </w:p>
        </w:tc>
        <w:tc>
          <w:tcPr>
            <w:tcW w:w="1233" w:type="dxa"/>
            <w:tcBorders>
              <w:top w:val="nil"/>
              <w:left w:val="nil"/>
              <w:bottom w:val="single" w:sz="4" w:space="0" w:color="auto"/>
              <w:right w:val="single" w:sz="4" w:space="0" w:color="auto"/>
            </w:tcBorders>
            <w:shd w:val="clear" w:color="auto" w:fill="DEEAF6"/>
            <w:noWrap/>
            <w:hideMark/>
          </w:tcPr>
          <w:p w14:paraId="67186F00"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r>
      <w:tr w:rsidR="00632442" w:rsidRPr="00632442" w14:paraId="6EF8B166" w14:textId="77777777" w:rsidTr="0049639B">
        <w:trPr>
          <w:trHeight w:val="276"/>
          <w:tblHeader/>
        </w:trPr>
        <w:tc>
          <w:tcPr>
            <w:tcW w:w="4500" w:type="dxa"/>
            <w:tcBorders>
              <w:top w:val="nil"/>
              <w:left w:val="single" w:sz="4" w:space="0" w:color="auto"/>
              <w:bottom w:val="single" w:sz="4" w:space="0" w:color="auto"/>
              <w:right w:val="single" w:sz="4" w:space="0" w:color="auto"/>
            </w:tcBorders>
            <w:shd w:val="clear" w:color="000000" w:fill="FFFFFF"/>
            <w:noWrap/>
            <w:vAlign w:val="bottom"/>
            <w:hideMark/>
          </w:tcPr>
          <w:p w14:paraId="2865F548"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1</w:t>
            </w:r>
          </w:p>
        </w:tc>
        <w:tc>
          <w:tcPr>
            <w:tcW w:w="880" w:type="dxa"/>
            <w:tcBorders>
              <w:top w:val="nil"/>
              <w:left w:val="nil"/>
              <w:bottom w:val="single" w:sz="4" w:space="0" w:color="auto"/>
              <w:right w:val="single" w:sz="4" w:space="0" w:color="auto"/>
            </w:tcBorders>
            <w:shd w:val="clear" w:color="auto" w:fill="auto"/>
            <w:noWrap/>
            <w:vAlign w:val="bottom"/>
            <w:hideMark/>
          </w:tcPr>
          <w:p w14:paraId="6A7F99AE"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w:t>
            </w:r>
          </w:p>
        </w:tc>
        <w:tc>
          <w:tcPr>
            <w:tcW w:w="980" w:type="dxa"/>
            <w:tcBorders>
              <w:top w:val="nil"/>
              <w:left w:val="nil"/>
              <w:bottom w:val="single" w:sz="4" w:space="0" w:color="auto"/>
              <w:right w:val="single" w:sz="4" w:space="0" w:color="auto"/>
            </w:tcBorders>
            <w:shd w:val="clear" w:color="auto" w:fill="auto"/>
            <w:noWrap/>
            <w:vAlign w:val="bottom"/>
            <w:hideMark/>
          </w:tcPr>
          <w:p w14:paraId="3C378FD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3</w:t>
            </w:r>
          </w:p>
        </w:tc>
        <w:tc>
          <w:tcPr>
            <w:tcW w:w="1148" w:type="dxa"/>
            <w:tcBorders>
              <w:top w:val="nil"/>
              <w:left w:val="nil"/>
              <w:bottom w:val="single" w:sz="4" w:space="0" w:color="auto"/>
              <w:right w:val="single" w:sz="4" w:space="0" w:color="auto"/>
            </w:tcBorders>
            <w:shd w:val="clear" w:color="auto" w:fill="auto"/>
            <w:noWrap/>
            <w:vAlign w:val="bottom"/>
            <w:hideMark/>
          </w:tcPr>
          <w:p w14:paraId="3A95E69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14:paraId="23BC5DF7"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5</w:t>
            </w:r>
          </w:p>
        </w:tc>
        <w:tc>
          <w:tcPr>
            <w:tcW w:w="1276" w:type="dxa"/>
            <w:tcBorders>
              <w:top w:val="nil"/>
              <w:left w:val="nil"/>
              <w:bottom w:val="single" w:sz="4" w:space="0" w:color="auto"/>
              <w:right w:val="single" w:sz="4" w:space="0" w:color="auto"/>
            </w:tcBorders>
            <w:shd w:val="clear" w:color="auto" w:fill="auto"/>
            <w:noWrap/>
            <w:vAlign w:val="bottom"/>
            <w:hideMark/>
          </w:tcPr>
          <w:p w14:paraId="0C6D932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6</w:t>
            </w:r>
          </w:p>
        </w:tc>
        <w:tc>
          <w:tcPr>
            <w:tcW w:w="1134" w:type="dxa"/>
            <w:tcBorders>
              <w:top w:val="nil"/>
              <w:left w:val="nil"/>
              <w:bottom w:val="single" w:sz="4" w:space="0" w:color="auto"/>
              <w:right w:val="single" w:sz="4" w:space="0" w:color="auto"/>
            </w:tcBorders>
            <w:shd w:val="clear" w:color="auto" w:fill="auto"/>
            <w:noWrap/>
            <w:vAlign w:val="bottom"/>
            <w:hideMark/>
          </w:tcPr>
          <w:p w14:paraId="62B38234"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7</w:t>
            </w:r>
          </w:p>
        </w:tc>
        <w:tc>
          <w:tcPr>
            <w:tcW w:w="992" w:type="dxa"/>
            <w:tcBorders>
              <w:top w:val="nil"/>
              <w:left w:val="nil"/>
              <w:bottom w:val="single" w:sz="4" w:space="0" w:color="auto"/>
              <w:right w:val="single" w:sz="4" w:space="0" w:color="auto"/>
            </w:tcBorders>
            <w:shd w:val="clear" w:color="auto" w:fill="auto"/>
            <w:noWrap/>
            <w:vAlign w:val="bottom"/>
            <w:hideMark/>
          </w:tcPr>
          <w:p w14:paraId="1B96FDD4"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8</w:t>
            </w:r>
          </w:p>
        </w:tc>
        <w:tc>
          <w:tcPr>
            <w:tcW w:w="966" w:type="dxa"/>
            <w:tcBorders>
              <w:top w:val="nil"/>
              <w:left w:val="nil"/>
              <w:bottom w:val="single" w:sz="4" w:space="0" w:color="auto"/>
              <w:right w:val="single" w:sz="4" w:space="0" w:color="auto"/>
            </w:tcBorders>
            <w:shd w:val="clear" w:color="auto" w:fill="auto"/>
            <w:noWrap/>
            <w:vAlign w:val="bottom"/>
            <w:hideMark/>
          </w:tcPr>
          <w:p w14:paraId="0A9467F0"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9</w:t>
            </w:r>
          </w:p>
        </w:tc>
        <w:tc>
          <w:tcPr>
            <w:tcW w:w="1233" w:type="dxa"/>
            <w:tcBorders>
              <w:top w:val="nil"/>
              <w:left w:val="nil"/>
              <w:bottom w:val="single" w:sz="4" w:space="0" w:color="auto"/>
              <w:right w:val="single" w:sz="4" w:space="0" w:color="auto"/>
            </w:tcBorders>
            <w:shd w:val="clear" w:color="auto" w:fill="auto"/>
            <w:noWrap/>
            <w:vAlign w:val="bottom"/>
            <w:hideMark/>
          </w:tcPr>
          <w:p w14:paraId="7A642552"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10</w:t>
            </w:r>
          </w:p>
        </w:tc>
      </w:tr>
      <w:tr w:rsidR="00632442" w:rsidRPr="00632442" w14:paraId="1EA66A86" w14:textId="77777777" w:rsidTr="006261DB">
        <w:trPr>
          <w:trHeight w:val="283"/>
        </w:trPr>
        <w:tc>
          <w:tcPr>
            <w:tcW w:w="45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5BA8493" w14:textId="77777777" w:rsidR="00632442" w:rsidRPr="00632442" w:rsidRDefault="00632442" w:rsidP="00632442">
            <w:pPr>
              <w:spacing w:after="0"/>
              <w:ind w:firstLine="0"/>
              <w:rPr>
                <w:rFonts w:eastAsia="Times New Roman" w:cs="Times New Roman"/>
                <w:sz w:val="18"/>
                <w:szCs w:val="18"/>
                <w:highlight w:val="lightGray"/>
              </w:rPr>
            </w:pPr>
            <w:r w:rsidRPr="00632442">
              <w:rPr>
                <w:rFonts w:eastAsia="Calibri" w:cs="Times New Roman"/>
                <w:sz w:val="18"/>
                <w:szCs w:val="18"/>
                <w:lang w:eastAsia="en-US"/>
              </w:rPr>
              <w:t>Valsts sociālā nodrošinājuma pabalsts</w:t>
            </w:r>
          </w:p>
        </w:tc>
        <w:tc>
          <w:tcPr>
            <w:tcW w:w="880" w:type="dxa"/>
            <w:tcBorders>
              <w:top w:val="nil"/>
              <w:left w:val="nil"/>
              <w:bottom w:val="single" w:sz="4" w:space="0" w:color="auto"/>
              <w:right w:val="nil"/>
            </w:tcBorders>
            <w:shd w:val="clear" w:color="000000" w:fill="FFFFFF"/>
            <w:noWrap/>
            <w:vAlign w:val="bottom"/>
            <w:hideMark/>
          </w:tcPr>
          <w:p w14:paraId="6F7CD23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206,46</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229A825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21 518</w:t>
            </w:r>
          </w:p>
        </w:tc>
        <w:tc>
          <w:tcPr>
            <w:tcW w:w="1148" w:type="dxa"/>
            <w:tcBorders>
              <w:top w:val="nil"/>
              <w:left w:val="nil"/>
              <w:bottom w:val="single" w:sz="4" w:space="0" w:color="auto"/>
              <w:right w:val="single" w:sz="4" w:space="0" w:color="auto"/>
            </w:tcBorders>
            <w:shd w:val="clear" w:color="000000" w:fill="FFFFFF"/>
            <w:noWrap/>
            <w:vAlign w:val="bottom"/>
            <w:hideMark/>
          </w:tcPr>
          <w:p w14:paraId="1C883514"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53 310 574</w:t>
            </w:r>
          </w:p>
        </w:tc>
        <w:tc>
          <w:tcPr>
            <w:tcW w:w="1134" w:type="dxa"/>
            <w:tcBorders>
              <w:top w:val="nil"/>
              <w:left w:val="nil"/>
              <w:bottom w:val="single" w:sz="4" w:space="0" w:color="auto"/>
              <w:right w:val="single" w:sz="4" w:space="0" w:color="auto"/>
            </w:tcBorders>
            <w:shd w:val="clear" w:color="000000" w:fill="FFFFFF"/>
            <w:noWrap/>
            <w:vAlign w:val="bottom"/>
            <w:hideMark/>
          </w:tcPr>
          <w:p w14:paraId="30690D7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222,69</w:t>
            </w:r>
          </w:p>
        </w:tc>
        <w:tc>
          <w:tcPr>
            <w:tcW w:w="1276" w:type="dxa"/>
            <w:tcBorders>
              <w:top w:val="nil"/>
              <w:left w:val="nil"/>
              <w:bottom w:val="single" w:sz="4" w:space="0" w:color="auto"/>
              <w:right w:val="nil"/>
            </w:tcBorders>
            <w:shd w:val="clear" w:color="000000" w:fill="FFFFFF"/>
            <w:noWrap/>
            <w:vAlign w:val="bottom"/>
            <w:hideMark/>
          </w:tcPr>
          <w:p w14:paraId="49358556"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21 948</w:t>
            </w:r>
          </w:p>
        </w:tc>
        <w:tc>
          <w:tcPr>
            <w:tcW w:w="1134" w:type="dxa"/>
            <w:tcBorders>
              <w:top w:val="nil"/>
              <w:left w:val="single" w:sz="4" w:space="0" w:color="auto"/>
              <w:bottom w:val="single" w:sz="4" w:space="0" w:color="auto"/>
              <w:right w:val="single" w:sz="4" w:space="0" w:color="auto"/>
            </w:tcBorders>
            <w:shd w:val="clear" w:color="000000" w:fill="FFFFFF"/>
            <w:noWrap/>
            <w:vAlign w:val="bottom"/>
            <w:hideMark/>
          </w:tcPr>
          <w:p w14:paraId="2549138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58 650 313</w:t>
            </w:r>
          </w:p>
        </w:tc>
        <w:tc>
          <w:tcPr>
            <w:tcW w:w="992" w:type="dxa"/>
            <w:tcBorders>
              <w:top w:val="nil"/>
              <w:left w:val="nil"/>
              <w:bottom w:val="single" w:sz="4" w:space="0" w:color="auto"/>
              <w:right w:val="nil"/>
            </w:tcBorders>
            <w:shd w:val="clear" w:color="000000" w:fill="FFFFFF"/>
            <w:noWrap/>
            <w:vAlign w:val="bottom"/>
            <w:hideMark/>
          </w:tcPr>
          <w:p w14:paraId="7F7FE3D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245,88</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68554E6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22 397</w:t>
            </w:r>
          </w:p>
        </w:tc>
        <w:tc>
          <w:tcPr>
            <w:tcW w:w="1233" w:type="dxa"/>
            <w:tcBorders>
              <w:top w:val="nil"/>
              <w:left w:val="nil"/>
              <w:bottom w:val="single" w:sz="4" w:space="0" w:color="auto"/>
              <w:right w:val="single" w:sz="4" w:space="0" w:color="auto"/>
            </w:tcBorders>
            <w:shd w:val="clear" w:color="000000" w:fill="FFFFFF"/>
            <w:noWrap/>
            <w:vAlign w:val="bottom"/>
            <w:hideMark/>
          </w:tcPr>
          <w:p w14:paraId="2BACC8F7"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66 082 803</w:t>
            </w:r>
          </w:p>
        </w:tc>
      </w:tr>
      <w:tr w:rsidR="00632442" w:rsidRPr="00632442" w14:paraId="40952ED3" w14:textId="77777777" w:rsidTr="006261DB">
        <w:trPr>
          <w:trHeight w:val="510"/>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71515265"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Pabalsts transporta izdevumu kompensēšanai personām ar invaliditāti, kurām ir apgrūtināta pārvietošanās</w:t>
            </w:r>
          </w:p>
        </w:tc>
        <w:tc>
          <w:tcPr>
            <w:tcW w:w="880" w:type="dxa"/>
            <w:tcBorders>
              <w:top w:val="nil"/>
              <w:left w:val="nil"/>
              <w:bottom w:val="single" w:sz="4" w:space="0" w:color="auto"/>
              <w:right w:val="nil"/>
            </w:tcBorders>
            <w:shd w:val="clear" w:color="000000" w:fill="FFFFFF"/>
            <w:noWrap/>
            <w:vAlign w:val="bottom"/>
            <w:hideMark/>
          </w:tcPr>
          <w:p w14:paraId="57D2E3FA"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105,01</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5080CE4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39 091</w:t>
            </w:r>
          </w:p>
        </w:tc>
        <w:tc>
          <w:tcPr>
            <w:tcW w:w="1148" w:type="dxa"/>
            <w:tcBorders>
              <w:top w:val="nil"/>
              <w:left w:val="nil"/>
              <w:bottom w:val="single" w:sz="4" w:space="0" w:color="auto"/>
              <w:right w:val="single" w:sz="4" w:space="0" w:color="auto"/>
            </w:tcBorders>
            <w:shd w:val="clear" w:color="000000" w:fill="FFFFFF"/>
            <w:noWrap/>
            <w:vAlign w:val="bottom"/>
            <w:hideMark/>
          </w:tcPr>
          <w:p w14:paraId="787564A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8 209 770</w:t>
            </w:r>
          </w:p>
        </w:tc>
        <w:tc>
          <w:tcPr>
            <w:tcW w:w="1134" w:type="dxa"/>
            <w:tcBorders>
              <w:top w:val="nil"/>
              <w:left w:val="nil"/>
              <w:bottom w:val="single" w:sz="4" w:space="0" w:color="auto"/>
              <w:right w:val="single" w:sz="4" w:space="0" w:color="auto"/>
            </w:tcBorders>
            <w:shd w:val="clear" w:color="000000" w:fill="FFFFFF"/>
            <w:noWrap/>
            <w:vAlign w:val="bottom"/>
            <w:hideMark/>
          </w:tcPr>
          <w:p w14:paraId="4AA47BF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105,01</w:t>
            </w:r>
          </w:p>
        </w:tc>
        <w:tc>
          <w:tcPr>
            <w:tcW w:w="1276" w:type="dxa"/>
            <w:tcBorders>
              <w:top w:val="nil"/>
              <w:left w:val="nil"/>
              <w:bottom w:val="single" w:sz="4" w:space="0" w:color="auto"/>
              <w:right w:val="single" w:sz="4" w:space="0" w:color="auto"/>
            </w:tcBorders>
            <w:shd w:val="clear" w:color="000000" w:fill="FFFFFF"/>
            <w:noWrap/>
            <w:vAlign w:val="bottom"/>
            <w:hideMark/>
          </w:tcPr>
          <w:p w14:paraId="2333BBD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41 046</w:t>
            </w:r>
          </w:p>
        </w:tc>
        <w:tc>
          <w:tcPr>
            <w:tcW w:w="1134" w:type="dxa"/>
            <w:tcBorders>
              <w:top w:val="nil"/>
              <w:left w:val="nil"/>
              <w:bottom w:val="single" w:sz="4" w:space="0" w:color="auto"/>
              <w:right w:val="single" w:sz="4" w:space="0" w:color="auto"/>
            </w:tcBorders>
            <w:shd w:val="clear" w:color="000000" w:fill="FFFFFF"/>
            <w:noWrap/>
            <w:vAlign w:val="bottom"/>
            <w:hideMark/>
          </w:tcPr>
          <w:p w14:paraId="12B93704"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8 620 356</w:t>
            </w:r>
          </w:p>
        </w:tc>
        <w:tc>
          <w:tcPr>
            <w:tcW w:w="992" w:type="dxa"/>
            <w:tcBorders>
              <w:top w:val="nil"/>
              <w:left w:val="nil"/>
              <w:bottom w:val="single" w:sz="4" w:space="0" w:color="auto"/>
              <w:right w:val="nil"/>
            </w:tcBorders>
            <w:shd w:val="clear" w:color="000000" w:fill="FFFFFF"/>
            <w:noWrap/>
            <w:vAlign w:val="bottom"/>
            <w:hideMark/>
          </w:tcPr>
          <w:p w14:paraId="6680521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105,01</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63DB358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43 079</w:t>
            </w:r>
          </w:p>
        </w:tc>
        <w:tc>
          <w:tcPr>
            <w:tcW w:w="1233" w:type="dxa"/>
            <w:tcBorders>
              <w:top w:val="nil"/>
              <w:left w:val="nil"/>
              <w:bottom w:val="single" w:sz="4" w:space="0" w:color="auto"/>
              <w:right w:val="single" w:sz="4" w:space="0" w:color="auto"/>
            </w:tcBorders>
            <w:shd w:val="clear" w:color="000000" w:fill="FFFFFF"/>
            <w:noWrap/>
            <w:vAlign w:val="bottom"/>
            <w:hideMark/>
          </w:tcPr>
          <w:p w14:paraId="6BA1FDD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9 047 452</w:t>
            </w:r>
          </w:p>
        </w:tc>
      </w:tr>
      <w:tr w:rsidR="00632442" w:rsidRPr="00632442" w14:paraId="0CB4B331" w14:textId="77777777" w:rsidTr="006261DB">
        <w:trPr>
          <w:trHeight w:val="737"/>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36323430"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Valsts sociālais pabalsts Černobiļas AES avārijas seku likvidēšanas dalībniekiem un mirušo Černobiļas AES avārijas seku likvidēšanas dalībnieku ģimenēm</w:t>
            </w:r>
          </w:p>
        </w:tc>
        <w:tc>
          <w:tcPr>
            <w:tcW w:w="880" w:type="dxa"/>
            <w:tcBorders>
              <w:top w:val="nil"/>
              <w:left w:val="nil"/>
              <w:bottom w:val="single" w:sz="4" w:space="0" w:color="auto"/>
              <w:right w:val="nil"/>
            </w:tcBorders>
            <w:shd w:val="clear" w:color="000000" w:fill="FFFFFF"/>
            <w:noWrap/>
            <w:vAlign w:val="bottom"/>
            <w:hideMark/>
          </w:tcPr>
          <w:p w14:paraId="3F08DF9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137,54</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5277837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2 732</w:t>
            </w:r>
          </w:p>
        </w:tc>
        <w:tc>
          <w:tcPr>
            <w:tcW w:w="1148" w:type="dxa"/>
            <w:tcBorders>
              <w:top w:val="nil"/>
              <w:left w:val="nil"/>
              <w:bottom w:val="single" w:sz="4" w:space="0" w:color="auto"/>
              <w:right w:val="single" w:sz="4" w:space="0" w:color="auto"/>
            </w:tcBorders>
            <w:shd w:val="clear" w:color="000000" w:fill="FFFFFF"/>
            <w:noWrap/>
            <w:vAlign w:val="bottom"/>
            <w:hideMark/>
          </w:tcPr>
          <w:p w14:paraId="4DFC6379"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4 509 247</w:t>
            </w:r>
          </w:p>
        </w:tc>
        <w:tc>
          <w:tcPr>
            <w:tcW w:w="1134" w:type="dxa"/>
            <w:tcBorders>
              <w:top w:val="nil"/>
              <w:left w:val="nil"/>
              <w:bottom w:val="single" w:sz="4" w:space="0" w:color="auto"/>
              <w:right w:val="nil"/>
            </w:tcBorders>
            <w:shd w:val="clear" w:color="000000" w:fill="FFFFFF"/>
            <w:noWrap/>
            <w:vAlign w:val="bottom"/>
            <w:hideMark/>
          </w:tcPr>
          <w:p w14:paraId="6680E59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147,31</w:t>
            </w:r>
          </w:p>
        </w:tc>
        <w:tc>
          <w:tcPr>
            <w:tcW w:w="1276" w:type="dxa"/>
            <w:tcBorders>
              <w:top w:val="nil"/>
              <w:left w:val="single" w:sz="4" w:space="0" w:color="auto"/>
              <w:bottom w:val="single" w:sz="4" w:space="0" w:color="auto"/>
              <w:right w:val="nil"/>
            </w:tcBorders>
            <w:shd w:val="clear" w:color="000000" w:fill="FFFFFF"/>
            <w:noWrap/>
            <w:vAlign w:val="bottom"/>
            <w:hideMark/>
          </w:tcPr>
          <w:p w14:paraId="79F5648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2 665</w:t>
            </w:r>
          </w:p>
        </w:tc>
        <w:tc>
          <w:tcPr>
            <w:tcW w:w="1134" w:type="dxa"/>
            <w:tcBorders>
              <w:top w:val="nil"/>
              <w:left w:val="single" w:sz="4" w:space="0" w:color="auto"/>
              <w:bottom w:val="single" w:sz="4" w:space="0" w:color="auto"/>
              <w:right w:val="single" w:sz="4" w:space="0" w:color="auto"/>
            </w:tcBorders>
            <w:shd w:val="clear" w:color="000000" w:fill="FFFFFF"/>
            <w:noWrap/>
            <w:vAlign w:val="bottom"/>
            <w:hideMark/>
          </w:tcPr>
          <w:p w14:paraId="561EFE4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4 710 824</w:t>
            </w:r>
          </w:p>
        </w:tc>
        <w:tc>
          <w:tcPr>
            <w:tcW w:w="992" w:type="dxa"/>
            <w:tcBorders>
              <w:top w:val="nil"/>
              <w:left w:val="nil"/>
              <w:bottom w:val="single" w:sz="4" w:space="0" w:color="auto"/>
              <w:right w:val="nil"/>
            </w:tcBorders>
            <w:shd w:val="clear" w:color="000000" w:fill="FFFFFF"/>
            <w:noWrap/>
            <w:vAlign w:val="bottom"/>
            <w:hideMark/>
          </w:tcPr>
          <w:p w14:paraId="7E0E35F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166,89</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02396A2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2 598</w:t>
            </w:r>
          </w:p>
        </w:tc>
        <w:tc>
          <w:tcPr>
            <w:tcW w:w="1233" w:type="dxa"/>
            <w:tcBorders>
              <w:top w:val="nil"/>
              <w:left w:val="nil"/>
              <w:bottom w:val="single" w:sz="4" w:space="0" w:color="auto"/>
              <w:right w:val="single" w:sz="4" w:space="0" w:color="auto"/>
            </w:tcBorders>
            <w:shd w:val="clear" w:color="000000" w:fill="FFFFFF"/>
            <w:noWrap/>
            <w:vAlign w:val="bottom"/>
            <w:hideMark/>
          </w:tcPr>
          <w:p w14:paraId="6FAAF63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5 203 028</w:t>
            </w:r>
          </w:p>
        </w:tc>
      </w:tr>
      <w:tr w:rsidR="00632442" w:rsidRPr="00632442" w14:paraId="50E09DA4" w14:textId="77777777" w:rsidTr="006261DB">
        <w:trPr>
          <w:trHeight w:val="680"/>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0B4B1820"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Kaitējuma atlīdzība Černobiļas AES avārijas seku likvidēšanas dalībniekiem vai viņa nāves gadījumā – viņa apgādībā bijušajiem darbnespējīgajiem ģimenes locekļiem</w:t>
            </w:r>
          </w:p>
        </w:tc>
        <w:tc>
          <w:tcPr>
            <w:tcW w:w="880" w:type="dxa"/>
            <w:tcBorders>
              <w:top w:val="nil"/>
              <w:left w:val="nil"/>
              <w:bottom w:val="single" w:sz="4" w:space="0" w:color="auto"/>
              <w:right w:val="nil"/>
            </w:tcBorders>
            <w:shd w:val="clear" w:color="000000" w:fill="FFFFFF"/>
            <w:noWrap/>
            <w:vAlign w:val="bottom"/>
            <w:hideMark/>
          </w:tcPr>
          <w:p w14:paraId="5AE93560"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273,37</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3FB19518"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407</w:t>
            </w:r>
          </w:p>
        </w:tc>
        <w:tc>
          <w:tcPr>
            <w:tcW w:w="1148" w:type="dxa"/>
            <w:tcBorders>
              <w:top w:val="nil"/>
              <w:left w:val="nil"/>
              <w:bottom w:val="single" w:sz="4" w:space="0" w:color="auto"/>
              <w:right w:val="single" w:sz="4" w:space="0" w:color="auto"/>
            </w:tcBorders>
            <w:shd w:val="clear" w:color="000000" w:fill="FFFFFF"/>
            <w:noWrap/>
            <w:vAlign w:val="bottom"/>
            <w:hideMark/>
          </w:tcPr>
          <w:p w14:paraId="1AB17EC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1 335 139</w:t>
            </w:r>
          </w:p>
        </w:tc>
        <w:tc>
          <w:tcPr>
            <w:tcW w:w="1134" w:type="dxa"/>
            <w:tcBorders>
              <w:top w:val="nil"/>
              <w:left w:val="nil"/>
              <w:bottom w:val="single" w:sz="4" w:space="0" w:color="auto"/>
              <w:right w:val="single" w:sz="4" w:space="0" w:color="auto"/>
            </w:tcBorders>
            <w:shd w:val="clear" w:color="000000" w:fill="FFFFFF"/>
            <w:noWrap/>
            <w:vAlign w:val="bottom"/>
            <w:hideMark/>
          </w:tcPr>
          <w:p w14:paraId="265A6A7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292,77</w:t>
            </w:r>
          </w:p>
        </w:tc>
        <w:tc>
          <w:tcPr>
            <w:tcW w:w="1276" w:type="dxa"/>
            <w:tcBorders>
              <w:top w:val="nil"/>
              <w:left w:val="nil"/>
              <w:bottom w:val="single" w:sz="4" w:space="0" w:color="auto"/>
              <w:right w:val="single" w:sz="4" w:space="0" w:color="auto"/>
            </w:tcBorders>
            <w:shd w:val="clear" w:color="000000" w:fill="FFFFFF"/>
            <w:noWrap/>
            <w:vAlign w:val="bottom"/>
            <w:hideMark/>
          </w:tcPr>
          <w:p w14:paraId="75B2676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407</w:t>
            </w:r>
          </w:p>
        </w:tc>
        <w:tc>
          <w:tcPr>
            <w:tcW w:w="1134" w:type="dxa"/>
            <w:tcBorders>
              <w:top w:val="nil"/>
              <w:left w:val="nil"/>
              <w:bottom w:val="single" w:sz="4" w:space="0" w:color="auto"/>
              <w:right w:val="single" w:sz="4" w:space="0" w:color="auto"/>
            </w:tcBorders>
            <w:shd w:val="clear" w:color="000000" w:fill="FFFFFF"/>
            <w:noWrap/>
            <w:vAlign w:val="bottom"/>
            <w:hideMark/>
          </w:tcPr>
          <w:p w14:paraId="58370D3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1 429 889</w:t>
            </w:r>
          </w:p>
        </w:tc>
        <w:tc>
          <w:tcPr>
            <w:tcW w:w="992" w:type="dxa"/>
            <w:tcBorders>
              <w:top w:val="nil"/>
              <w:left w:val="nil"/>
              <w:bottom w:val="single" w:sz="4" w:space="0" w:color="auto"/>
              <w:right w:val="nil"/>
            </w:tcBorders>
            <w:shd w:val="clear" w:color="000000" w:fill="FFFFFF"/>
            <w:noWrap/>
            <w:vAlign w:val="bottom"/>
            <w:hideMark/>
          </w:tcPr>
          <w:p w14:paraId="5303464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313,56</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3FAD0F2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407</w:t>
            </w:r>
          </w:p>
        </w:tc>
        <w:tc>
          <w:tcPr>
            <w:tcW w:w="1233" w:type="dxa"/>
            <w:tcBorders>
              <w:top w:val="nil"/>
              <w:left w:val="nil"/>
              <w:bottom w:val="single" w:sz="4" w:space="0" w:color="auto"/>
              <w:right w:val="single" w:sz="4" w:space="0" w:color="auto"/>
            </w:tcBorders>
            <w:shd w:val="clear" w:color="000000" w:fill="FFFFFF"/>
            <w:noWrap/>
            <w:vAlign w:val="bottom"/>
            <w:hideMark/>
          </w:tcPr>
          <w:p w14:paraId="6D2C205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1 531 427</w:t>
            </w:r>
          </w:p>
        </w:tc>
      </w:tr>
      <w:tr w:rsidR="00632442" w:rsidRPr="00632442" w14:paraId="5E74DDB0" w14:textId="77777777" w:rsidTr="006261DB">
        <w:trPr>
          <w:trHeight w:val="454"/>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540C6ABA"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Pabalsts personai ar invaliditāti, kurai nepieciešama īpaša kopšana</w:t>
            </w:r>
          </w:p>
        </w:tc>
        <w:tc>
          <w:tcPr>
            <w:tcW w:w="880" w:type="dxa"/>
            <w:tcBorders>
              <w:top w:val="nil"/>
              <w:left w:val="nil"/>
              <w:bottom w:val="single" w:sz="4" w:space="0" w:color="auto"/>
              <w:right w:val="nil"/>
            </w:tcBorders>
            <w:shd w:val="clear" w:color="000000" w:fill="FFFFFF"/>
            <w:noWrap/>
            <w:vAlign w:val="bottom"/>
            <w:hideMark/>
          </w:tcPr>
          <w:p w14:paraId="7B674CB7"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235,20</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44F6FEF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16 340</w:t>
            </w:r>
          </w:p>
        </w:tc>
        <w:tc>
          <w:tcPr>
            <w:tcW w:w="1148" w:type="dxa"/>
            <w:tcBorders>
              <w:top w:val="nil"/>
              <w:left w:val="nil"/>
              <w:bottom w:val="single" w:sz="4" w:space="0" w:color="auto"/>
              <w:right w:val="single" w:sz="4" w:space="0" w:color="auto"/>
            </w:tcBorders>
            <w:shd w:val="clear" w:color="000000" w:fill="FFFFFF"/>
            <w:noWrap/>
            <w:vAlign w:val="bottom"/>
            <w:hideMark/>
          </w:tcPr>
          <w:p w14:paraId="529F442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46 118 016</w:t>
            </w:r>
          </w:p>
        </w:tc>
        <w:tc>
          <w:tcPr>
            <w:tcW w:w="1134" w:type="dxa"/>
            <w:tcBorders>
              <w:top w:val="nil"/>
              <w:left w:val="nil"/>
              <w:bottom w:val="single" w:sz="4" w:space="0" w:color="auto"/>
              <w:right w:val="single" w:sz="4" w:space="0" w:color="auto"/>
            </w:tcBorders>
            <w:shd w:val="clear" w:color="000000" w:fill="FFFFFF"/>
            <w:noWrap/>
            <w:vAlign w:val="bottom"/>
            <w:hideMark/>
          </w:tcPr>
          <w:p w14:paraId="4305AB5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235,20</w:t>
            </w:r>
          </w:p>
        </w:tc>
        <w:tc>
          <w:tcPr>
            <w:tcW w:w="1276" w:type="dxa"/>
            <w:tcBorders>
              <w:top w:val="nil"/>
              <w:left w:val="nil"/>
              <w:bottom w:val="single" w:sz="4" w:space="0" w:color="auto"/>
              <w:right w:val="single" w:sz="4" w:space="0" w:color="auto"/>
            </w:tcBorders>
            <w:shd w:val="clear" w:color="000000" w:fill="FFFFFF"/>
            <w:noWrap/>
            <w:vAlign w:val="bottom"/>
            <w:hideMark/>
          </w:tcPr>
          <w:p w14:paraId="4B8BCE8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16 340</w:t>
            </w:r>
          </w:p>
        </w:tc>
        <w:tc>
          <w:tcPr>
            <w:tcW w:w="1134" w:type="dxa"/>
            <w:tcBorders>
              <w:top w:val="nil"/>
              <w:left w:val="nil"/>
              <w:bottom w:val="single" w:sz="4" w:space="0" w:color="auto"/>
              <w:right w:val="single" w:sz="4" w:space="0" w:color="auto"/>
            </w:tcBorders>
            <w:shd w:val="clear" w:color="000000" w:fill="FFFFFF"/>
            <w:noWrap/>
            <w:vAlign w:val="bottom"/>
            <w:hideMark/>
          </w:tcPr>
          <w:p w14:paraId="4D7FC0CD"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46 118 016</w:t>
            </w:r>
          </w:p>
        </w:tc>
        <w:tc>
          <w:tcPr>
            <w:tcW w:w="992" w:type="dxa"/>
            <w:tcBorders>
              <w:top w:val="nil"/>
              <w:left w:val="nil"/>
              <w:bottom w:val="single" w:sz="4" w:space="0" w:color="auto"/>
              <w:right w:val="single" w:sz="4" w:space="0" w:color="auto"/>
            </w:tcBorders>
            <w:shd w:val="clear" w:color="000000" w:fill="FFFFFF"/>
            <w:noWrap/>
            <w:vAlign w:val="bottom"/>
            <w:hideMark/>
          </w:tcPr>
          <w:p w14:paraId="3914608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235,20</w:t>
            </w:r>
          </w:p>
        </w:tc>
        <w:tc>
          <w:tcPr>
            <w:tcW w:w="966" w:type="dxa"/>
            <w:tcBorders>
              <w:top w:val="nil"/>
              <w:left w:val="nil"/>
              <w:bottom w:val="single" w:sz="4" w:space="0" w:color="auto"/>
              <w:right w:val="single" w:sz="4" w:space="0" w:color="auto"/>
            </w:tcBorders>
            <w:shd w:val="clear" w:color="000000" w:fill="FFFFFF"/>
            <w:noWrap/>
            <w:vAlign w:val="bottom"/>
            <w:hideMark/>
          </w:tcPr>
          <w:p w14:paraId="5DC8C029"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16 340</w:t>
            </w:r>
          </w:p>
        </w:tc>
        <w:tc>
          <w:tcPr>
            <w:tcW w:w="1233" w:type="dxa"/>
            <w:tcBorders>
              <w:top w:val="nil"/>
              <w:left w:val="nil"/>
              <w:bottom w:val="single" w:sz="4" w:space="0" w:color="auto"/>
              <w:right w:val="single" w:sz="4" w:space="0" w:color="auto"/>
            </w:tcBorders>
            <w:shd w:val="clear" w:color="000000" w:fill="FFFFFF"/>
            <w:noWrap/>
            <w:vAlign w:val="bottom"/>
            <w:hideMark/>
          </w:tcPr>
          <w:p w14:paraId="7980D4E9"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46 118 016</w:t>
            </w:r>
          </w:p>
        </w:tc>
      </w:tr>
      <w:tr w:rsidR="00632442" w:rsidRPr="00632442" w14:paraId="3D25DE5B" w14:textId="77777777" w:rsidTr="006261DB">
        <w:trPr>
          <w:trHeight w:val="454"/>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44698A45"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Apbedīšanas pabalsts, ja miris valsts sociālā nodrošinājuma pabalsta saņēmējs</w:t>
            </w:r>
          </w:p>
        </w:tc>
        <w:tc>
          <w:tcPr>
            <w:tcW w:w="880" w:type="dxa"/>
            <w:tcBorders>
              <w:top w:val="nil"/>
              <w:left w:val="nil"/>
              <w:bottom w:val="single" w:sz="4" w:space="0" w:color="auto"/>
              <w:right w:val="nil"/>
            </w:tcBorders>
            <w:shd w:val="clear" w:color="000000" w:fill="FFFFFF"/>
            <w:noWrap/>
            <w:vAlign w:val="bottom"/>
            <w:hideMark/>
          </w:tcPr>
          <w:p w14:paraId="1FEA5109"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426,51</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7B33832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45</w:t>
            </w:r>
          </w:p>
        </w:tc>
        <w:tc>
          <w:tcPr>
            <w:tcW w:w="1148" w:type="dxa"/>
            <w:tcBorders>
              <w:top w:val="nil"/>
              <w:left w:val="nil"/>
              <w:bottom w:val="single" w:sz="4" w:space="0" w:color="auto"/>
              <w:right w:val="single" w:sz="4" w:space="0" w:color="auto"/>
            </w:tcBorders>
            <w:shd w:val="clear" w:color="000000" w:fill="FFFFFF"/>
            <w:noWrap/>
            <w:vAlign w:val="bottom"/>
            <w:hideMark/>
          </w:tcPr>
          <w:p w14:paraId="023C95C5"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230 313</w:t>
            </w:r>
          </w:p>
        </w:tc>
        <w:tc>
          <w:tcPr>
            <w:tcW w:w="1134" w:type="dxa"/>
            <w:tcBorders>
              <w:top w:val="nil"/>
              <w:left w:val="nil"/>
              <w:bottom w:val="single" w:sz="4" w:space="0" w:color="auto"/>
              <w:right w:val="single" w:sz="4" w:space="0" w:color="auto"/>
            </w:tcBorders>
            <w:shd w:val="clear" w:color="000000" w:fill="FFFFFF"/>
            <w:noWrap/>
            <w:vAlign w:val="bottom"/>
            <w:hideMark/>
          </w:tcPr>
          <w:p w14:paraId="694A450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459,21</w:t>
            </w:r>
          </w:p>
        </w:tc>
        <w:tc>
          <w:tcPr>
            <w:tcW w:w="1276" w:type="dxa"/>
            <w:tcBorders>
              <w:top w:val="nil"/>
              <w:left w:val="nil"/>
              <w:bottom w:val="single" w:sz="4" w:space="0" w:color="auto"/>
              <w:right w:val="nil"/>
            </w:tcBorders>
            <w:shd w:val="clear" w:color="000000" w:fill="FFFFFF"/>
            <w:noWrap/>
            <w:vAlign w:val="bottom"/>
            <w:hideMark/>
          </w:tcPr>
          <w:p w14:paraId="61484DE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46</w:t>
            </w:r>
          </w:p>
        </w:tc>
        <w:tc>
          <w:tcPr>
            <w:tcW w:w="1134" w:type="dxa"/>
            <w:tcBorders>
              <w:top w:val="nil"/>
              <w:left w:val="single" w:sz="4" w:space="0" w:color="auto"/>
              <w:bottom w:val="single" w:sz="4" w:space="0" w:color="auto"/>
              <w:right w:val="single" w:sz="4" w:space="0" w:color="auto"/>
            </w:tcBorders>
            <w:shd w:val="clear" w:color="000000" w:fill="FFFFFF"/>
            <w:noWrap/>
            <w:vAlign w:val="bottom"/>
            <w:hideMark/>
          </w:tcPr>
          <w:p w14:paraId="2DE0A42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253 485</w:t>
            </w:r>
          </w:p>
        </w:tc>
        <w:tc>
          <w:tcPr>
            <w:tcW w:w="992" w:type="dxa"/>
            <w:tcBorders>
              <w:top w:val="nil"/>
              <w:left w:val="nil"/>
              <w:bottom w:val="single" w:sz="4" w:space="0" w:color="auto"/>
              <w:right w:val="nil"/>
            </w:tcBorders>
            <w:shd w:val="clear" w:color="000000" w:fill="FFFFFF"/>
            <w:noWrap/>
            <w:vAlign w:val="bottom"/>
            <w:hideMark/>
          </w:tcPr>
          <w:p w14:paraId="1E05555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502,46</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4DA7ABC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47</w:t>
            </w:r>
          </w:p>
        </w:tc>
        <w:tc>
          <w:tcPr>
            <w:tcW w:w="1233" w:type="dxa"/>
            <w:tcBorders>
              <w:top w:val="nil"/>
              <w:left w:val="nil"/>
              <w:bottom w:val="single" w:sz="4" w:space="0" w:color="auto"/>
              <w:right w:val="single" w:sz="4" w:space="0" w:color="auto"/>
            </w:tcBorders>
            <w:shd w:val="clear" w:color="000000" w:fill="FFFFFF"/>
            <w:noWrap/>
            <w:vAlign w:val="bottom"/>
            <w:hideMark/>
          </w:tcPr>
          <w:p w14:paraId="347665A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283 388</w:t>
            </w:r>
          </w:p>
        </w:tc>
      </w:tr>
      <w:tr w:rsidR="00632442" w:rsidRPr="00632442" w14:paraId="64879C11" w14:textId="77777777" w:rsidTr="006261DB">
        <w:trPr>
          <w:trHeight w:val="454"/>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70D00F1D"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Pabalsts par asistenta izmantošanu personām ar I grupas redzes invaliditāti</w:t>
            </w:r>
          </w:p>
        </w:tc>
        <w:tc>
          <w:tcPr>
            <w:tcW w:w="880" w:type="dxa"/>
            <w:tcBorders>
              <w:top w:val="nil"/>
              <w:left w:val="nil"/>
              <w:bottom w:val="single" w:sz="4" w:space="0" w:color="auto"/>
              <w:right w:val="nil"/>
            </w:tcBorders>
            <w:shd w:val="clear" w:color="000000" w:fill="FFFFFF"/>
            <w:noWrap/>
            <w:vAlign w:val="bottom"/>
            <w:hideMark/>
          </w:tcPr>
          <w:p w14:paraId="78E0C55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73,43</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62008E79"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1 896</w:t>
            </w:r>
          </w:p>
        </w:tc>
        <w:tc>
          <w:tcPr>
            <w:tcW w:w="1148" w:type="dxa"/>
            <w:tcBorders>
              <w:top w:val="nil"/>
              <w:left w:val="nil"/>
              <w:bottom w:val="single" w:sz="4" w:space="0" w:color="auto"/>
              <w:right w:val="single" w:sz="4" w:space="0" w:color="auto"/>
            </w:tcBorders>
            <w:shd w:val="clear" w:color="000000" w:fill="FFFFFF"/>
            <w:noWrap/>
            <w:vAlign w:val="bottom"/>
            <w:hideMark/>
          </w:tcPr>
          <w:p w14:paraId="4A66A46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1 670 679</w:t>
            </w:r>
          </w:p>
        </w:tc>
        <w:tc>
          <w:tcPr>
            <w:tcW w:w="1134" w:type="dxa"/>
            <w:tcBorders>
              <w:top w:val="nil"/>
              <w:left w:val="nil"/>
              <w:bottom w:val="single" w:sz="4" w:space="0" w:color="auto"/>
              <w:right w:val="single" w:sz="4" w:space="0" w:color="auto"/>
            </w:tcBorders>
            <w:shd w:val="clear" w:color="000000" w:fill="FFFFFF"/>
            <w:noWrap/>
            <w:vAlign w:val="bottom"/>
            <w:hideMark/>
          </w:tcPr>
          <w:p w14:paraId="5EBCF0B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73,43</w:t>
            </w:r>
          </w:p>
        </w:tc>
        <w:tc>
          <w:tcPr>
            <w:tcW w:w="1276" w:type="dxa"/>
            <w:tcBorders>
              <w:top w:val="nil"/>
              <w:left w:val="nil"/>
              <w:bottom w:val="nil"/>
              <w:right w:val="single" w:sz="4" w:space="0" w:color="auto"/>
            </w:tcBorders>
            <w:shd w:val="clear" w:color="000000" w:fill="FFFFFF"/>
            <w:noWrap/>
            <w:vAlign w:val="bottom"/>
            <w:hideMark/>
          </w:tcPr>
          <w:p w14:paraId="116B36E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1 891</w:t>
            </w:r>
          </w:p>
        </w:tc>
        <w:tc>
          <w:tcPr>
            <w:tcW w:w="1134" w:type="dxa"/>
            <w:tcBorders>
              <w:top w:val="nil"/>
              <w:left w:val="nil"/>
              <w:bottom w:val="nil"/>
              <w:right w:val="single" w:sz="4" w:space="0" w:color="auto"/>
            </w:tcBorders>
            <w:shd w:val="clear" w:color="000000" w:fill="FFFFFF"/>
            <w:noWrap/>
            <w:vAlign w:val="bottom"/>
            <w:hideMark/>
          </w:tcPr>
          <w:p w14:paraId="592726D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1 666 273</w:t>
            </w:r>
          </w:p>
        </w:tc>
        <w:tc>
          <w:tcPr>
            <w:tcW w:w="992" w:type="dxa"/>
            <w:tcBorders>
              <w:top w:val="nil"/>
              <w:left w:val="nil"/>
              <w:bottom w:val="single" w:sz="4" w:space="0" w:color="auto"/>
              <w:right w:val="single" w:sz="4" w:space="0" w:color="auto"/>
            </w:tcBorders>
            <w:shd w:val="clear" w:color="000000" w:fill="FFFFFF"/>
            <w:noWrap/>
            <w:vAlign w:val="bottom"/>
            <w:hideMark/>
          </w:tcPr>
          <w:p w14:paraId="4E0B0DC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73,43</w:t>
            </w:r>
          </w:p>
        </w:tc>
        <w:tc>
          <w:tcPr>
            <w:tcW w:w="966" w:type="dxa"/>
            <w:tcBorders>
              <w:top w:val="nil"/>
              <w:left w:val="nil"/>
              <w:bottom w:val="nil"/>
              <w:right w:val="single" w:sz="4" w:space="0" w:color="auto"/>
            </w:tcBorders>
            <w:shd w:val="clear" w:color="000000" w:fill="FFFFFF"/>
            <w:noWrap/>
            <w:vAlign w:val="bottom"/>
            <w:hideMark/>
          </w:tcPr>
          <w:p w14:paraId="191B8FA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1 886</w:t>
            </w:r>
          </w:p>
        </w:tc>
        <w:tc>
          <w:tcPr>
            <w:tcW w:w="1233" w:type="dxa"/>
            <w:tcBorders>
              <w:top w:val="nil"/>
              <w:left w:val="nil"/>
              <w:bottom w:val="nil"/>
              <w:right w:val="single" w:sz="4" w:space="0" w:color="auto"/>
            </w:tcBorders>
            <w:shd w:val="clear" w:color="000000" w:fill="FFFFFF"/>
            <w:noWrap/>
            <w:vAlign w:val="bottom"/>
            <w:hideMark/>
          </w:tcPr>
          <w:p w14:paraId="51632B7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1 661 867</w:t>
            </w:r>
          </w:p>
        </w:tc>
      </w:tr>
      <w:tr w:rsidR="00632442" w:rsidRPr="00632442" w14:paraId="32733D3B" w14:textId="77777777" w:rsidTr="0049639B">
        <w:trPr>
          <w:trHeight w:val="276"/>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417B3395"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Valsts sociālie pabalsti ģimenēm ar bērniem - kopā</w:t>
            </w:r>
          </w:p>
        </w:tc>
        <w:tc>
          <w:tcPr>
            <w:tcW w:w="880" w:type="dxa"/>
            <w:tcBorders>
              <w:top w:val="nil"/>
              <w:left w:val="nil"/>
              <w:bottom w:val="single" w:sz="4" w:space="0" w:color="auto"/>
              <w:right w:val="single" w:sz="4" w:space="0" w:color="auto"/>
            </w:tcBorders>
            <w:shd w:val="clear" w:color="000000" w:fill="FFFFFF"/>
            <w:noWrap/>
            <w:vAlign w:val="center"/>
            <w:hideMark/>
          </w:tcPr>
          <w:p w14:paraId="2E76BB30"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0" w:type="dxa"/>
            <w:tcBorders>
              <w:top w:val="nil"/>
              <w:left w:val="nil"/>
              <w:bottom w:val="single" w:sz="4" w:space="0" w:color="auto"/>
              <w:right w:val="nil"/>
            </w:tcBorders>
            <w:shd w:val="clear" w:color="000000" w:fill="FFFFFF"/>
            <w:noWrap/>
            <w:vAlign w:val="center"/>
            <w:hideMark/>
          </w:tcPr>
          <w:p w14:paraId="1BF7F509"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148" w:type="dxa"/>
            <w:tcBorders>
              <w:top w:val="nil"/>
              <w:left w:val="single" w:sz="4" w:space="0" w:color="auto"/>
              <w:bottom w:val="single" w:sz="4" w:space="0" w:color="auto"/>
              <w:right w:val="single" w:sz="4" w:space="0" w:color="auto"/>
            </w:tcBorders>
            <w:shd w:val="clear" w:color="000000" w:fill="FFFFFF"/>
            <w:noWrap/>
            <w:vAlign w:val="bottom"/>
            <w:hideMark/>
          </w:tcPr>
          <w:p w14:paraId="1280108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296 244 711</w:t>
            </w:r>
          </w:p>
        </w:tc>
        <w:tc>
          <w:tcPr>
            <w:tcW w:w="1134" w:type="dxa"/>
            <w:tcBorders>
              <w:top w:val="nil"/>
              <w:left w:val="nil"/>
              <w:bottom w:val="single" w:sz="4" w:space="0" w:color="auto"/>
              <w:right w:val="single" w:sz="4" w:space="0" w:color="auto"/>
            </w:tcBorders>
            <w:shd w:val="clear" w:color="000000" w:fill="FFFFFF"/>
            <w:noWrap/>
            <w:vAlign w:val="center"/>
            <w:hideMark/>
          </w:tcPr>
          <w:p w14:paraId="56068546"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5333A8CB"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134" w:type="dxa"/>
            <w:tcBorders>
              <w:top w:val="single" w:sz="4" w:space="0" w:color="auto"/>
              <w:left w:val="nil"/>
              <w:bottom w:val="single" w:sz="4" w:space="0" w:color="auto"/>
              <w:right w:val="single" w:sz="4" w:space="0" w:color="auto"/>
            </w:tcBorders>
            <w:shd w:val="clear" w:color="000000" w:fill="FFFFFF"/>
            <w:noWrap/>
            <w:vAlign w:val="bottom"/>
            <w:hideMark/>
          </w:tcPr>
          <w:p w14:paraId="7FDF4FD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296 896 447</w:t>
            </w:r>
          </w:p>
        </w:tc>
        <w:tc>
          <w:tcPr>
            <w:tcW w:w="992" w:type="dxa"/>
            <w:tcBorders>
              <w:top w:val="nil"/>
              <w:left w:val="nil"/>
              <w:bottom w:val="single" w:sz="4" w:space="0" w:color="auto"/>
              <w:right w:val="single" w:sz="4" w:space="0" w:color="auto"/>
            </w:tcBorders>
            <w:shd w:val="clear" w:color="000000" w:fill="FFFFFF"/>
            <w:noWrap/>
            <w:vAlign w:val="center"/>
            <w:hideMark/>
          </w:tcPr>
          <w:p w14:paraId="35068149"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6" w:type="dxa"/>
            <w:tcBorders>
              <w:top w:val="single" w:sz="4" w:space="0" w:color="auto"/>
              <w:left w:val="nil"/>
              <w:bottom w:val="single" w:sz="4" w:space="0" w:color="auto"/>
              <w:right w:val="single" w:sz="4" w:space="0" w:color="auto"/>
            </w:tcBorders>
            <w:shd w:val="clear" w:color="000000" w:fill="FFFFFF"/>
            <w:noWrap/>
            <w:vAlign w:val="center"/>
            <w:hideMark/>
          </w:tcPr>
          <w:p w14:paraId="559A9E5E"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33" w:type="dxa"/>
            <w:tcBorders>
              <w:top w:val="single" w:sz="4" w:space="0" w:color="auto"/>
              <w:left w:val="nil"/>
              <w:bottom w:val="single" w:sz="4" w:space="0" w:color="auto"/>
              <w:right w:val="single" w:sz="4" w:space="0" w:color="auto"/>
            </w:tcBorders>
            <w:shd w:val="clear" w:color="000000" w:fill="FFFFFF"/>
            <w:noWrap/>
            <w:vAlign w:val="bottom"/>
            <w:hideMark/>
          </w:tcPr>
          <w:p w14:paraId="27BA559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297 574 862</w:t>
            </w:r>
          </w:p>
        </w:tc>
      </w:tr>
      <w:tr w:rsidR="00632442" w:rsidRPr="00632442" w14:paraId="33FFC70E" w14:textId="77777777" w:rsidTr="0049639B">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bottom"/>
            <w:hideMark/>
          </w:tcPr>
          <w:p w14:paraId="0A00C812" w14:textId="77777777" w:rsidR="00632442" w:rsidRPr="00632442" w:rsidRDefault="00632442" w:rsidP="00632442">
            <w:pPr>
              <w:spacing w:after="0"/>
              <w:ind w:firstLine="0"/>
              <w:jc w:val="center"/>
              <w:rPr>
                <w:rFonts w:eastAsia="Times New Roman" w:cs="Times New Roman"/>
                <w:i/>
                <w:iCs/>
                <w:sz w:val="18"/>
                <w:szCs w:val="18"/>
                <w:highlight w:val="lightGray"/>
              </w:rPr>
            </w:pPr>
            <w:r w:rsidRPr="00632442">
              <w:rPr>
                <w:rFonts w:eastAsia="Calibri" w:cs="Times New Roman"/>
                <w:i/>
                <w:iCs/>
                <w:sz w:val="18"/>
                <w:szCs w:val="18"/>
                <w:lang w:eastAsia="en-US"/>
              </w:rPr>
              <w:t>tajā skaitā:</w:t>
            </w:r>
          </w:p>
        </w:tc>
        <w:tc>
          <w:tcPr>
            <w:tcW w:w="880" w:type="dxa"/>
            <w:tcBorders>
              <w:top w:val="nil"/>
              <w:left w:val="nil"/>
              <w:bottom w:val="single" w:sz="4" w:space="0" w:color="auto"/>
              <w:right w:val="nil"/>
            </w:tcBorders>
            <w:shd w:val="clear" w:color="000000" w:fill="FFFFFF"/>
            <w:noWrap/>
            <w:vAlign w:val="bottom"/>
            <w:hideMark/>
          </w:tcPr>
          <w:p w14:paraId="5B08008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w:t>
            </w:r>
          </w:p>
        </w:tc>
        <w:tc>
          <w:tcPr>
            <w:tcW w:w="980" w:type="dxa"/>
            <w:tcBorders>
              <w:top w:val="nil"/>
              <w:left w:val="single" w:sz="4" w:space="0" w:color="auto"/>
              <w:bottom w:val="single" w:sz="4" w:space="0" w:color="auto"/>
              <w:right w:val="single" w:sz="4" w:space="0" w:color="auto"/>
            </w:tcBorders>
            <w:shd w:val="clear" w:color="000000" w:fill="FFFFFF"/>
            <w:vAlign w:val="bottom"/>
            <w:hideMark/>
          </w:tcPr>
          <w:p w14:paraId="5D09186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w:t>
            </w:r>
          </w:p>
        </w:tc>
        <w:tc>
          <w:tcPr>
            <w:tcW w:w="1148" w:type="dxa"/>
            <w:tcBorders>
              <w:top w:val="nil"/>
              <w:left w:val="nil"/>
              <w:bottom w:val="single" w:sz="4" w:space="0" w:color="auto"/>
              <w:right w:val="single" w:sz="4" w:space="0" w:color="auto"/>
            </w:tcBorders>
            <w:shd w:val="clear" w:color="000000" w:fill="FFFFFF"/>
            <w:noWrap/>
            <w:vAlign w:val="bottom"/>
            <w:hideMark/>
          </w:tcPr>
          <w:p w14:paraId="40FA0DB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w:t>
            </w:r>
          </w:p>
        </w:tc>
        <w:tc>
          <w:tcPr>
            <w:tcW w:w="1134" w:type="dxa"/>
            <w:tcBorders>
              <w:top w:val="nil"/>
              <w:left w:val="nil"/>
              <w:bottom w:val="single" w:sz="4" w:space="0" w:color="auto"/>
              <w:right w:val="single" w:sz="4" w:space="0" w:color="auto"/>
            </w:tcBorders>
            <w:shd w:val="clear" w:color="000000" w:fill="FFFFFF"/>
            <w:noWrap/>
            <w:vAlign w:val="bottom"/>
            <w:hideMark/>
          </w:tcPr>
          <w:p w14:paraId="53EC3D2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w:t>
            </w:r>
          </w:p>
        </w:tc>
        <w:tc>
          <w:tcPr>
            <w:tcW w:w="1276" w:type="dxa"/>
            <w:tcBorders>
              <w:top w:val="nil"/>
              <w:left w:val="nil"/>
              <w:bottom w:val="single" w:sz="4" w:space="0" w:color="auto"/>
              <w:right w:val="single" w:sz="4" w:space="0" w:color="auto"/>
            </w:tcBorders>
            <w:shd w:val="clear" w:color="000000" w:fill="FFFFFF"/>
            <w:vAlign w:val="bottom"/>
            <w:hideMark/>
          </w:tcPr>
          <w:p w14:paraId="28F3ED8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w:t>
            </w:r>
          </w:p>
        </w:tc>
        <w:tc>
          <w:tcPr>
            <w:tcW w:w="1134" w:type="dxa"/>
            <w:tcBorders>
              <w:top w:val="nil"/>
              <w:left w:val="nil"/>
              <w:bottom w:val="single" w:sz="4" w:space="0" w:color="auto"/>
              <w:right w:val="single" w:sz="4" w:space="0" w:color="auto"/>
            </w:tcBorders>
            <w:shd w:val="clear" w:color="000000" w:fill="FFFFFF"/>
            <w:noWrap/>
            <w:vAlign w:val="bottom"/>
            <w:hideMark/>
          </w:tcPr>
          <w:p w14:paraId="30ECD38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w:t>
            </w:r>
          </w:p>
        </w:tc>
        <w:tc>
          <w:tcPr>
            <w:tcW w:w="992" w:type="dxa"/>
            <w:tcBorders>
              <w:top w:val="nil"/>
              <w:left w:val="nil"/>
              <w:bottom w:val="single" w:sz="4" w:space="0" w:color="auto"/>
              <w:right w:val="single" w:sz="4" w:space="0" w:color="auto"/>
            </w:tcBorders>
            <w:shd w:val="clear" w:color="000000" w:fill="FFFFFF"/>
            <w:noWrap/>
            <w:vAlign w:val="bottom"/>
            <w:hideMark/>
          </w:tcPr>
          <w:p w14:paraId="087C8AD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w:t>
            </w:r>
          </w:p>
        </w:tc>
        <w:tc>
          <w:tcPr>
            <w:tcW w:w="966" w:type="dxa"/>
            <w:tcBorders>
              <w:top w:val="nil"/>
              <w:left w:val="nil"/>
              <w:bottom w:val="single" w:sz="4" w:space="0" w:color="auto"/>
              <w:right w:val="single" w:sz="4" w:space="0" w:color="auto"/>
            </w:tcBorders>
            <w:shd w:val="clear" w:color="000000" w:fill="FFFFFF"/>
            <w:vAlign w:val="bottom"/>
            <w:hideMark/>
          </w:tcPr>
          <w:p w14:paraId="2CE6F99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w:t>
            </w:r>
          </w:p>
        </w:tc>
        <w:tc>
          <w:tcPr>
            <w:tcW w:w="1233" w:type="dxa"/>
            <w:tcBorders>
              <w:top w:val="nil"/>
              <w:left w:val="nil"/>
              <w:bottom w:val="single" w:sz="4" w:space="0" w:color="auto"/>
              <w:right w:val="single" w:sz="4" w:space="0" w:color="auto"/>
            </w:tcBorders>
            <w:shd w:val="clear" w:color="000000" w:fill="FFFFFF"/>
            <w:noWrap/>
            <w:vAlign w:val="bottom"/>
            <w:hideMark/>
          </w:tcPr>
          <w:p w14:paraId="3401615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w:t>
            </w:r>
          </w:p>
        </w:tc>
      </w:tr>
      <w:tr w:rsidR="00632442" w:rsidRPr="00632442" w14:paraId="3DE6F688" w14:textId="77777777" w:rsidTr="0049639B">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bottom"/>
            <w:hideMark/>
          </w:tcPr>
          <w:p w14:paraId="7684415E" w14:textId="77777777" w:rsidR="00632442" w:rsidRPr="00632442" w:rsidRDefault="00632442" w:rsidP="00632442">
            <w:pPr>
              <w:spacing w:after="0"/>
              <w:ind w:left="567" w:firstLine="0"/>
              <w:jc w:val="right"/>
              <w:rPr>
                <w:rFonts w:eastAsia="Times New Roman" w:cs="Times New Roman"/>
                <w:sz w:val="18"/>
                <w:szCs w:val="18"/>
                <w:highlight w:val="lightGray"/>
              </w:rPr>
            </w:pPr>
            <w:r w:rsidRPr="00632442">
              <w:rPr>
                <w:rFonts w:eastAsia="Calibri" w:cs="Times New Roman"/>
                <w:sz w:val="18"/>
                <w:szCs w:val="18"/>
                <w:lang w:eastAsia="en-US"/>
              </w:rPr>
              <w:t xml:space="preserve">   bērna piedzimšanas pabalsts</w:t>
            </w:r>
          </w:p>
        </w:tc>
        <w:tc>
          <w:tcPr>
            <w:tcW w:w="880" w:type="dxa"/>
            <w:tcBorders>
              <w:top w:val="nil"/>
              <w:left w:val="nil"/>
              <w:bottom w:val="single" w:sz="4" w:space="0" w:color="auto"/>
              <w:right w:val="nil"/>
            </w:tcBorders>
            <w:shd w:val="clear" w:color="000000" w:fill="FFFFFF"/>
            <w:noWrap/>
            <w:vAlign w:val="bottom"/>
            <w:hideMark/>
          </w:tcPr>
          <w:p w14:paraId="4ACCB8D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421,20</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2ADB2BE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1 236</w:t>
            </w:r>
          </w:p>
        </w:tc>
        <w:tc>
          <w:tcPr>
            <w:tcW w:w="1148" w:type="dxa"/>
            <w:tcBorders>
              <w:top w:val="nil"/>
              <w:left w:val="nil"/>
              <w:bottom w:val="single" w:sz="4" w:space="0" w:color="auto"/>
              <w:right w:val="single" w:sz="4" w:space="0" w:color="auto"/>
            </w:tcBorders>
            <w:shd w:val="clear" w:color="000000" w:fill="FFFFFF"/>
            <w:noWrap/>
            <w:vAlign w:val="bottom"/>
            <w:hideMark/>
          </w:tcPr>
          <w:p w14:paraId="3531028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6 247 239</w:t>
            </w:r>
          </w:p>
        </w:tc>
        <w:tc>
          <w:tcPr>
            <w:tcW w:w="1134" w:type="dxa"/>
            <w:tcBorders>
              <w:top w:val="nil"/>
              <w:left w:val="nil"/>
              <w:bottom w:val="single" w:sz="4" w:space="0" w:color="auto"/>
              <w:right w:val="single" w:sz="4" w:space="0" w:color="auto"/>
            </w:tcBorders>
            <w:shd w:val="clear" w:color="000000" w:fill="FFFFFF"/>
            <w:noWrap/>
            <w:vAlign w:val="bottom"/>
            <w:hideMark/>
          </w:tcPr>
          <w:p w14:paraId="343BEB29"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421,20</w:t>
            </w:r>
          </w:p>
        </w:tc>
        <w:tc>
          <w:tcPr>
            <w:tcW w:w="1276" w:type="dxa"/>
            <w:tcBorders>
              <w:top w:val="nil"/>
              <w:left w:val="nil"/>
              <w:bottom w:val="single" w:sz="4" w:space="0" w:color="auto"/>
              <w:right w:val="single" w:sz="4" w:space="0" w:color="auto"/>
            </w:tcBorders>
            <w:shd w:val="clear" w:color="000000" w:fill="FFFFFF"/>
            <w:noWrap/>
            <w:vAlign w:val="bottom"/>
            <w:hideMark/>
          </w:tcPr>
          <w:p w14:paraId="79B95B1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1 236</w:t>
            </w:r>
          </w:p>
        </w:tc>
        <w:tc>
          <w:tcPr>
            <w:tcW w:w="1134" w:type="dxa"/>
            <w:tcBorders>
              <w:top w:val="nil"/>
              <w:left w:val="nil"/>
              <w:bottom w:val="single" w:sz="4" w:space="0" w:color="auto"/>
              <w:right w:val="single" w:sz="4" w:space="0" w:color="auto"/>
            </w:tcBorders>
            <w:shd w:val="clear" w:color="000000" w:fill="FFFFFF"/>
            <w:noWrap/>
            <w:vAlign w:val="bottom"/>
            <w:hideMark/>
          </w:tcPr>
          <w:p w14:paraId="56E92B7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6 247 239</w:t>
            </w:r>
          </w:p>
        </w:tc>
        <w:tc>
          <w:tcPr>
            <w:tcW w:w="992" w:type="dxa"/>
            <w:tcBorders>
              <w:top w:val="nil"/>
              <w:left w:val="nil"/>
              <w:bottom w:val="single" w:sz="4" w:space="0" w:color="auto"/>
              <w:right w:val="single" w:sz="4" w:space="0" w:color="auto"/>
            </w:tcBorders>
            <w:shd w:val="clear" w:color="000000" w:fill="FFFFFF"/>
            <w:noWrap/>
            <w:vAlign w:val="bottom"/>
            <w:hideMark/>
          </w:tcPr>
          <w:p w14:paraId="4A36776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421,20</w:t>
            </w:r>
          </w:p>
        </w:tc>
        <w:tc>
          <w:tcPr>
            <w:tcW w:w="966" w:type="dxa"/>
            <w:tcBorders>
              <w:top w:val="nil"/>
              <w:left w:val="nil"/>
              <w:bottom w:val="single" w:sz="4" w:space="0" w:color="auto"/>
              <w:right w:val="single" w:sz="4" w:space="0" w:color="auto"/>
            </w:tcBorders>
            <w:shd w:val="clear" w:color="000000" w:fill="FFFFFF"/>
            <w:noWrap/>
            <w:vAlign w:val="bottom"/>
            <w:hideMark/>
          </w:tcPr>
          <w:p w14:paraId="268ED90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1 236</w:t>
            </w:r>
          </w:p>
        </w:tc>
        <w:tc>
          <w:tcPr>
            <w:tcW w:w="1233" w:type="dxa"/>
            <w:tcBorders>
              <w:top w:val="nil"/>
              <w:left w:val="nil"/>
              <w:bottom w:val="single" w:sz="4" w:space="0" w:color="auto"/>
              <w:right w:val="single" w:sz="4" w:space="0" w:color="auto"/>
            </w:tcBorders>
            <w:shd w:val="clear" w:color="000000" w:fill="FFFFFF"/>
            <w:noWrap/>
            <w:vAlign w:val="bottom"/>
            <w:hideMark/>
          </w:tcPr>
          <w:p w14:paraId="51297128"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6 247 239</w:t>
            </w:r>
          </w:p>
        </w:tc>
      </w:tr>
      <w:tr w:rsidR="00632442" w:rsidRPr="00632442" w14:paraId="0ECB14BD" w14:textId="77777777" w:rsidTr="0049639B">
        <w:trPr>
          <w:trHeight w:val="792"/>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608C8191" w14:textId="77777777" w:rsidR="00632442" w:rsidRPr="00632442" w:rsidRDefault="00632442" w:rsidP="00632442">
            <w:pPr>
              <w:spacing w:after="0"/>
              <w:ind w:left="567" w:firstLine="0"/>
              <w:jc w:val="right"/>
              <w:rPr>
                <w:rFonts w:eastAsia="Times New Roman" w:cs="Times New Roman"/>
                <w:sz w:val="18"/>
                <w:szCs w:val="18"/>
                <w:highlight w:val="lightGray"/>
              </w:rPr>
            </w:pPr>
            <w:r w:rsidRPr="00632442">
              <w:rPr>
                <w:rFonts w:eastAsia="Calibri" w:cs="Times New Roman"/>
                <w:sz w:val="18"/>
                <w:szCs w:val="18"/>
                <w:lang w:eastAsia="en-US"/>
              </w:rPr>
              <w:t xml:space="preserve">  bērna kopšanas pabalsts un piemaksa pie bērna kopšanas pabalsta un vecāku pabalsta par dvīņiem vai vairākiem vienās dzemdībās dzimušiem bērniem</w:t>
            </w:r>
          </w:p>
        </w:tc>
        <w:tc>
          <w:tcPr>
            <w:tcW w:w="880" w:type="dxa"/>
            <w:tcBorders>
              <w:top w:val="nil"/>
              <w:left w:val="nil"/>
              <w:bottom w:val="single" w:sz="4" w:space="0" w:color="auto"/>
              <w:right w:val="single" w:sz="4" w:space="0" w:color="auto"/>
            </w:tcBorders>
            <w:shd w:val="clear" w:color="000000" w:fill="FFFFFF"/>
            <w:noWrap/>
            <w:vAlign w:val="bottom"/>
            <w:hideMark/>
          </w:tcPr>
          <w:p w14:paraId="0953806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132,00</w:t>
            </w:r>
          </w:p>
        </w:tc>
        <w:tc>
          <w:tcPr>
            <w:tcW w:w="980" w:type="dxa"/>
            <w:tcBorders>
              <w:top w:val="nil"/>
              <w:left w:val="nil"/>
              <w:bottom w:val="single" w:sz="4" w:space="0" w:color="auto"/>
              <w:right w:val="single" w:sz="4" w:space="0" w:color="auto"/>
            </w:tcBorders>
            <w:shd w:val="clear" w:color="000000" w:fill="FFFFFF"/>
            <w:noWrap/>
            <w:vAlign w:val="bottom"/>
            <w:hideMark/>
          </w:tcPr>
          <w:p w14:paraId="6372ACE3"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31 988</w:t>
            </w:r>
          </w:p>
        </w:tc>
        <w:tc>
          <w:tcPr>
            <w:tcW w:w="1148" w:type="dxa"/>
            <w:tcBorders>
              <w:top w:val="nil"/>
              <w:left w:val="nil"/>
              <w:bottom w:val="single" w:sz="4" w:space="0" w:color="auto"/>
              <w:right w:val="single" w:sz="4" w:space="0" w:color="auto"/>
            </w:tcBorders>
            <w:shd w:val="clear" w:color="000000" w:fill="FFFFFF"/>
            <w:noWrap/>
            <w:vAlign w:val="bottom"/>
            <w:hideMark/>
          </w:tcPr>
          <w:p w14:paraId="415F71C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50 668 845</w:t>
            </w:r>
          </w:p>
        </w:tc>
        <w:tc>
          <w:tcPr>
            <w:tcW w:w="1134" w:type="dxa"/>
            <w:tcBorders>
              <w:top w:val="nil"/>
              <w:left w:val="nil"/>
              <w:bottom w:val="single" w:sz="4" w:space="0" w:color="auto"/>
              <w:right w:val="single" w:sz="4" w:space="0" w:color="auto"/>
            </w:tcBorders>
            <w:shd w:val="clear" w:color="000000" w:fill="FFFFFF"/>
            <w:noWrap/>
            <w:vAlign w:val="bottom"/>
            <w:hideMark/>
          </w:tcPr>
          <w:p w14:paraId="059BEB88"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132,00</w:t>
            </w:r>
          </w:p>
        </w:tc>
        <w:tc>
          <w:tcPr>
            <w:tcW w:w="1276" w:type="dxa"/>
            <w:tcBorders>
              <w:top w:val="nil"/>
              <w:left w:val="nil"/>
              <w:bottom w:val="single" w:sz="4" w:space="0" w:color="auto"/>
              <w:right w:val="single" w:sz="4" w:space="0" w:color="auto"/>
            </w:tcBorders>
            <w:shd w:val="clear" w:color="000000" w:fill="FFFFFF"/>
            <w:noWrap/>
            <w:vAlign w:val="bottom"/>
            <w:hideMark/>
          </w:tcPr>
          <w:p w14:paraId="49A781E5"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31 988</w:t>
            </w:r>
          </w:p>
        </w:tc>
        <w:tc>
          <w:tcPr>
            <w:tcW w:w="1134" w:type="dxa"/>
            <w:tcBorders>
              <w:top w:val="nil"/>
              <w:left w:val="nil"/>
              <w:bottom w:val="single" w:sz="4" w:space="0" w:color="auto"/>
              <w:right w:val="single" w:sz="4" w:space="0" w:color="auto"/>
            </w:tcBorders>
            <w:shd w:val="clear" w:color="000000" w:fill="FFFFFF"/>
            <w:noWrap/>
            <w:vAlign w:val="bottom"/>
            <w:hideMark/>
          </w:tcPr>
          <w:p w14:paraId="3A2EFE97"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50 668 845</w:t>
            </w:r>
          </w:p>
        </w:tc>
        <w:tc>
          <w:tcPr>
            <w:tcW w:w="992" w:type="dxa"/>
            <w:tcBorders>
              <w:top w:val="nil"/>
              <w:left w:val="nil"/>
              <w:bottom w:val="single" w:sz="4" w:space="0" w:color="auto"/>
              <w:right w:val="single" w:sz="4" w:space="0" w:color="auto"/>
            </w:tcBorders>
            <w:shd w:val="clear" w:color="000000" w:fill="FFFFFF"/>
            <w:noWrap/>
            <w:vAlign w:val="bottom"/>
            <w:hideMark/>
          </w:tcPr>
          <w:p w14:paraId="37E9BCE0"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132,00</w:t>
            </w:r>
          </w:p>
        </w:tc>
        <w:tc>
          <w:tcPr>
            <w:tcW w:w="966" w:type="dxa"/>
            <w:tcBorders>
              <w:top w:val="nil"/>
              <w:left w:val="nil"/>
              <w:bottom w:val="single" w:sz="4" w:space="0" w:color="auto"/>
              <w:right w:val="single" w:sz="4" w:space="0" w:color="auto"/>
            </w:tcBorders>
            <w:shd w:val="clear" w:color="000000" w:fill="FFFFFF"/>
            <w:noWrap/>
            <w:vAlign w:val="bottom"/>
            <w:hideMark/>
          </w:tcPr>
          <w:p w14:paraId="1CFFA4E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31 988</w:t>
            </w:r>
          </w:p>
        </w:tc>
        <w:tc>
          <w:tcPr>
            <w:tcW w:w="1233" w:type="dxa"/>
            <w:tcBorders>
              <w:top w:val="nil"/>
              <w:left w:val="nil"/>
              <w:bottom w:val="single" w:sz="4" w:space="0" w:color="auto"/>
              <w:right w:val="single" w:sz="4" w:space="0" w:color="auto"/>
            </w:tcBorders>
            <w:shd w:val="clear" w:color="000000" w:fill="FFFFFF"/>
            <w:noWrap/>
            <w:vAlign w:val="bottom"/>
            <w:hideMark/>
          </w:tcPr>
          <w:p w14:paraId="16672A36"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50 668 845</w:t>
            </w:r>
          </w:p>
        </w:tc>
      </w:tr>
      <w:tr w:rsidR="00632442" w:rsidRPr="00632442" w14:paraId="60B45321" w14:textId="77777777" w:rsidTr="006261DB">
        <w:trPr>
          <w:trHeight w:val="227"/>
        </w:trPr>
        <w:tc>
          <w:tcPr>
            <w:tcW w:w="4500" w:type="dxa"/>
            <w:tcBorders>
              <w:top w:val="nil"/>
              <w:left w:val="single" w:sz="4" w:space="0" w:color="auto"/>
              <w:bottom w:val="single" w:sz="4" w:space="0" w:color="auto"/>
              <w:right w:val="single" w:sz="4" w:space="0" w:color="auto"/>
            </w:tcBorders>
            <w:shd w:val="clear" w:color="000000" w:fill="FFFFFF"/>
            <w:noWrap/>
            <w:vAlign w:val="bottom"/>
            <w:hideMark/>
          </w:tcPr>
          <w:p w14:paraId="1FE75634" w14:textId="77777777" w:rsidR="00632442" w:rsidRPr="00632442" w:rsidRDefault="00632442" w:rsidP="00632442">
            <w:pPr>
              <w:spacing w:after="0"/>
              <w:ind w:left="567" w:firstLine="0"/>
              <w:jc w:val="right"/>
              <w:rPr>
                <w:rFonts w:eastAsia="Times New Roman" w:cs="Times New Roman"/>
                <w:sz w:val="18"/>
                <w:szCs w:val="18"/>
                <w:highlight w:val="lightGray"/>
              </w:rPr>
            </w:pPr>
            <w:r w:rsidRPr="00632442">
              <w:rPr>
                <w:rFonts w:eastAsia="Calibri" w:cs="Times New Roman"/>
                <w:sz w:val="18"/>
                <w:szCs w:val="18"/>
                <w:lang w:eastAsia="en-US"/>
              </w:rPr>
              <w:t xml:space="preserve">   bērna ar invaliditāti kopšanas pabalsts</w:t>
            </w:r>
          </w:p>
        </w:tc>
        <w:tc>
          <w:tcPr>
            <w:tcW w:w="880" w:type="dxa"/>
            <w:tcBorders>
              <w:top w:val="nil"/>
              <w:left w:val="nil"/>
              <w:bottom w:val="single" w:sz="4" w:space="0" w:color="auto"/>
              <w:right w:val="nil"/>
            </w:tcBorders>
            <w:shd w:val="clear" w:color="000000" w:fill="FFFFFF"/>
            <w:noWrap/>
            <w:vAlign w:val="bottom"/>
            <w:hideMark/>
          </w:tcPr>
          <w:p w14:paraId="08E2BD9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317,61</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7D8F31B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3 407</w:t>
            </w:r>
          </w:p>
        </w:tc>
        <w:tc>
          <w:tcPr>
            <w:tcW w:w="1148" w:type="dxa"/>
            <w:tcBorders>
              <w:top w:val="nil"/>
              <w:left w:val="nil"/>
              <w:bottom w:val="single" w:sz="4" w:space="0" w:color="auto"/>
              <w:right w:val="single" w:sz="4" w:space="0" w:color="auto"/>
            </w:tcBorders>
            <w:shd w:val="clear" w:color="000000" w:fill="FFFFFF"/>
            <w:noWrap/>
            <w:vAlign w:val="bottom"/>
            <w:hideMark/>
          </w:tcPr>
          <w:p w14:paraId="797476ED"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12 985 167</w:t>
            </w:r>
          </w:p>
        </w:tc>
        <w:tc>
          <w:tcPr>
            <w:tcW w:w="1134" w:type="dxa"/>
            <w:tcBorders>
              <w:top w:val="nil"/>
              <w:left w:val="nil"/>
              <w:bottom w:val="single" w:sz="4" w:space="0" w:color="auto"/>
              <w:right w:val="single" w:sz="4" w:space="0" w:color="auto"/>
            </w:tcBorders>
            <w:shd w:val="clear" w:color="000000" w:fill="FFFFFF"/>
            <w:noWrap/>
            <w:vAlign w:val="bottom"/>
            <w:hideMark/>
          </w:tcPr>
          <w:p w14:paraId="04035CC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317,61</w:t>
            </w:r>
          </w:p>
        </w:tc>
        <w:tc>
          <w:tcPr>
            <w:tcW w:w="1276" w:type="dxa"/>
            <w:tcBorders>
              <w:top w:val="nil"/>
              <w:left w:val="nil"/>
              <w:bottom w:val="single" w:sz="4" w:space="0" w:color="auto"/>
              <w:right w:val="single" w:sz="4" w:space="0" w:color="auto"/>
            </w:tcBorders>
            <w:shd w:val="clear" w:color="000000" w:fill="FFFFFF"/>
            <w:noWrap/>
            <w:vAlign w:val="bottom"/>
            <w:hideMark/>
          </w:tcPr>
          <w:p w14:paraId="100A3F4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3 578</w:t>
            </w:r>
          </w:p>
        </w:tc>
        <w:tc>
          <w:tcPr>
            <w:tcW w:w="1134" w:type="dxa"/>
            <w:tcBorders>
              <w:top w:val="nil"/>
              <w:left w:val="nil"/>
              <w:bottom w:val="single" w:sz="4" w:space="0" w:color="auto"/>
              <w:right w:val="single" w:sz="4" w:space="0" w:color="auto"/>
            </w:tcBorders>
            <w:shd w:val="clear" w:color="000000" w:fill="FFFFFF"/>
            <w:noWrap/>
            <w:vAlign w:val="bottom"/>
            <w:hideMark/>
          </w:tcPr>
          <w:p w14:paraId="742AD84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13 636 903</w:t>
            </w:r>
          </w:p>
        </w:tc>
        <w:tc>
          <w:tcPr>
            <w:tcW w:w="992" w:type="dxa"/>
            <w:tcBorders>
              <w:top w:val="nil"/>
              <w:left w:val="nil"/>
              <w:bottom w:val="single" w:sz="4" w:space="0" w:color="auto"/>
              <w:right w:val="single" w:sz="4" w:space="0" w:color="auto"/>
            </w:tcBorders>
            <w:shd w:val="clear" w:color="000000" w:fill="FFFFFF"/>
            <w:noWrap/>
            <w:vAlign w:val="bottom"/>
            <w:hideMark/>
          </w:tcPr>
          <w:p w14:paraId="2AB889F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317,61</w:t>
            </w:r>
          </w:p>
        </w:tc>
        <w:tc>
          <w:tcPr>
            <w:tcW w:w="966" w:type="dxa"/>
            <w:tcBorders>
              <w:top w:val="nil"/>
              <w:left w:val="nil"/>
              <w:bottom w:val="single" w:sz="4" w:space="0" w:color="auto"/>
              <w:right w:val="single" w:sz="4" w:space="0" w:color="auto"/>
            </w:tcBorders>
            <w:shd w:val="clear" w:color="000000" w:fill="FFFFFF"/>
            <w:noWrap/>
            <w:vAlign w:val="bottom"/>
            <w:hideMark/>
          </w:tcPr>
          <w:p w14:paraId="0492998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3 756</w:t>
            </w:r>
          </w:p>
        </w:tc>
        <w:tc>
          <w:tcPr>
            <w:tcW w:w="1233" w:type="dxa"/>
            <w:tcBorders>
              <w:top w:val="nil"/>
              <w:left w:val="nil"/>
              <w:bottom w:val="single" w:sz="4" w:space="0" w:color="auto"/>
              <w:right w:val="single" w:sz="4" w:space="0" w:color="auto"/>
            </w:tcBorders>
            <w:shd w:val="clear" w:color="000000" w:fill="FFFFFF"/>
            <w:noWrap/>
            <w:vAlign w:val="bottom"/>
            <w:hideMark/>
          </w:tcPr>
          <w:p w14:paraId="0718E27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14 315 318</w:t>
            </w:r>
          </w:p>
        </w:tc>
      </w:tr>
      <w:tr w:rsidR="00632442" w:rsidRPr="00632442" w14:paraId="05E6993D" w14:textId="77777777" w:rsidTr="006261DB">
        <w:trPr>
          <w:trHeight w:val="227"/>
        </w:trPr>
        <w:tc>
          <w:tcPr>
            <w:tcW w:w="4500" w:type="dxa"/>
            <w:tcBorders>
              <w:top w:val="nil"/>
              <w:left w:val="single" w:sz="4" w:space="0" w:color="auto"/>
              <w:bottom w:val="single" w:sz="4" w:space="0" w:color="auto"/>
              <w:right w:val="single" w:sz="4" w:space="0" w:color="auto"/>
            </w:tcBorders>
            <w:shd w:val="clear" w:color="000000" w:fill="FFFFFF"/>
            <w:noWrap/>
            <w:vAlign w:val="bottom"/>
            <w:hideMark/>
          </w:tcPr>
          <w:p w14:paraId="00E614C6" w14:textId="77777777" w:rsidR="00632442" w:rsidRPr="00632442" w:rsidRDefault="00632442" w:rsidP="00632442">
            <w:pPr>
              <w:spacing w:after="0"/>
              <w:ind w:left="567" w:firstLine="0"/>
              <w:jc w:val="right"/>
              <w:rPr>
                <w:rFonts w:eastAsia="Times New Roman" w:cs="Times New Roman"/>
                <w:sz w:val="18"/>
                <w:szCs w:val="18"/>
                <w:highlight w:val="lightGray"/>
              </w:rPr>
            </w:pPr>
            <w:r w:rsidRPr="00632442">
              <w:rPr>
                <w:rFonts w:eastAsia="Calibri" w:cs="Times New Roman"/>
                <w:sz w:val="18"/>
                <w:szCs w:val="18"/>
                <w:lang w:eastAsia="en-US"/>
              </w:rPr>
              <w:t xml:space="preserve">   ģimenes valsts pabalsts</w:t>
            </w:r>
          </w:p>
        </w:tc>
        <w:tc>
          <w:tcPr>
            <w:tcW w:w="880" w:type="dxa"/>
            <w:tcBorders>
              <w:top w:val="nil"/>
              <w:left w:val="nil"/>
              <w:bottom w:val="single" w:sz="4" w:space="0" w:color="auto"/>
              <w:right w:val="nil"/>
            </w:tcBorders>
            <w:shd w:val="clear" w:color="000000" w:fill="FFFFFF"/>
            <w:noWrap/>
            <w:vAlign w:val="bottom"/>
            <w:hideMark/>
          </w:tcPr>
          <w:p w14:paraId="15B7A61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81,01</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416C19C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215 776</w:t>
            </w:r>
          </w:p>
        </w:tc>
        <w:tc>
          <w:tcPr>
            <w:tcW w:w="1148" w:type="dxa"/>
            <w:tcBorders>
              <w:top w:val="nil"/>
              <w:left w:val="nil"/>
              <w:bottom w:val="single" w:sz="4" w:space="0" w:color="auto"/>
              <w:right w:val="single" w:sz="4" w:space="0" w:color="auto"/>
            </w:tcBorders>
            <w:shd w:val="clear" w:color="000000" w:fill="FFFFFF"/>
            <w:noWrap/>
            <w:vAlign w:val="bottom"/>
            <w:hideMark/>
          </w:tcPr>
          <w:p w14:paraId="6B269118"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209 760 330</w:t>
            </w:r>
          </w:p>
        </w:tc>
        <w:tc>
          <w:tcPr>
            <w:tcW w:w="1134" w:type="dxa"/>
            <w:tcBorders>
              <w:top w:val="nil"/>
              <w:left w:val="nil"/>
              <w:bottom w:val="single" w:sz="4" w:space="0" w:color="auto"/>
              <w:right w:val="single" w:sz="4" w:space="0" w:color="auto"/>
            </w:tcBorders>
            <w:shd w:val="clear" w:color="000000" w:fill="FFFFFF"/>
            <w:noWrap/>
            <w:vAlign w:val="bottom"/>
            <w:hideMark/>
          </w:tcPr>
          <w:p w14:paraId="4199301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81,01</w:t>
            </w:r>
          </w:p>
        </w:tc>
        <w:tc>
          <w:tcPr>
            <w:tcW w:w="1276" w:type="dxa"/>
            <w:tcBorders>
              <w:top w:val="nil"/>
              <w:left w:val="nil"/>
              <w:bottom w:val="single" w:sz="4" w:space="0" w:color="auto"/>
              <w:right w:val="single" w:sz="4" w:space="0" w:color="auto"/>
            </w:tcBorders>
            <w:shd w:val="clear" w:color="000000" w:fill="FFFFFF"/>
            <w:noWrap/>
            <w:vAlign w:val="bottom"/>
            <w:hideMark/>
          </w:tcPr>
          <w:p w14:paraId="2CD7C60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215 776</w:t>
            </w:r>
          </w:p>
        </w:tc>
        <w:tc>
          <w:tcPr>
            <w:tcW w:w="1134" w:type="dxa"/>
            <w:tcBorders>
              <w:top w:val="nil"/>
              <w:left w:val="nil"/>
              <w:bottom w:val="single" w:sz="4" w:space="0" w:color="auto"/>
              <w:right w:val="single" w:sz="4" w:space="0" w:color="auto"/>
            </w:tcBorders>
            <w:shd w:val="clear" w:color="000000" w:fill="FFFFFF"/>
            <w:noWrap/>
            <w:vAlign w:val="bottom"/>
            <w:hideMark/>
          </w:tcPr>
          <w:p w14:paraId="6CD550F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209 760 330</w:t>
            </w:r>
          </w:p>
        </w:tc>
        <w:tc>
          <w:tcPr>
            <w:tcW w:w="992" w:type="dxa"/>
            <w:tcBorders>
              <w:top w:val="nil"/>
              <w:left w:val="nil"/>
              <w:bottom w:val="single" w:sz="4" w:space="0" w:color="auto"/>
              <w:right w:val="single" w:sz="4" w:space="0" w:color="auto"/>
            </w:tcBorders>
            <w:shd w:val="clear" w:color="000000" w:fill="FFFFFF"/>
            <w:noWrap/>
            <w:vAlign w:val="bottom"/>
            <w:hideMark/>
          </w:tcPr>
          <w:p w14:paraId="4E90CE3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81,01</w:t>
            </w:r>
          </w:p>
        </w:tc>
        <w:tc>
          <w:tcPr>
            <w:tcW w:w="966" w:type="dxa"/>
            <w:tcBorders>
              <w:top w:val="nil"/>
              <w:left w:val="nil"/>
              <w:bottom w:val="single" w:sz="4" w:space="0" w:color="auto"/>
              <w:right w:val="single" w:sz="4" w:space="0" w:color="auto"/>
            </w:tcBorders>
            <w:shd w:val="clear" w:color="000000" w:fill="FFFFFF"/>
            <w:noWrap/>
            <w:vAlign w:val="bottom"/>
            <w:hideMark/>
          </w:tcPr>
          <w:p w14:paraId="2443881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215 776</w:t>
            </w:r>
          </w:p>
        </w:tc>
        <w:tc>
          <w:tcPr>
            <w:tcW w:w="1233" w:type="dxa"/>
            <w:tcBorders>
              <w:top w:val="nil"/>
              <w:left w:val="nil"/>
              <w:bottom w:val="single" w:sz="4" w:space="0" w:color="auto"/>
              <w:right w:val="single" w:sz="4" w:space="0" w:color="auto"/>
            </w:tcBorders>
            <w:shd w:val="clear" w:color="000000" w:fill="FFFFFF"/>
            <w:noWrap/>
            <w:vAlign w:val="bottom"/>
            <w:hideMark/>
          </w:tcPr>
          <w:p w14:paraId="4DC7D296"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209 760 330</w:t>
            </w:r>
          </w:p>
        </w:tc>
      </w:tr>
      <w:tr w:rsidR="00632442" w:rsidRPr="00632442" w14:paraId="73935122" w14:textId="77777777" w:rsidTr="006261DB">
        <w:trPr>
          <w:trHeight w:val="454"/>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7A917D57" w14:textId="77777777" w:rsidR="00632442" w:rsidRPr="00632442" w:rsidRDefault="00632442" w:rsidP="00632442">
            <w:pPr>
              <w:spacing w:after="0"/>
              <w:ind w:left="567" w:firstLine="0"/>
              <w:jc w:val="right"/>
              <w:rPr>
                <w:rFonts w:eastAsia="Times New Roman" w:cs="Times New Roman"/>
                <w:sz w:val="18"/>
                <w:szCs w:val="18"/>
                <w:highlight w:val="lightGray"/>
              </w:rPr>
            </w:pPr>
            <w:r w:rsidRPr="00632442">
              <w:rPr>
                <w:rFonts w:eastAsia="Calibri" w:cs="Times New Roman"/>
                <w:sz w:val="18"/>
                <w:szCs w:val="18"/>
                <w:lang w:eastAsia="en-US"/>
              </w:rPr>
              <w:t xml:space="preserve">   piemaksa pie ģimenes valsts pabalsta par bērnu ar invaliditāti </w:t>
            </w:r>
          </w:p>
        </w:tc>
        <w:tc>
          <w:tcPr>
            <w:tcW w:w="880" w:type="dxa"/>
            <w:tcBorders>
              <w:top w:val="nil"/>
              <w:left w:val="nil"/>
              <w:bottom w:val="single" w:sz="4" w:space="0" w:color="auto"/>
              <w:right w:val="nil"/>
            </w:tcBorders>
            <w:shd w:val="clear" w:color="000000" w:fill="FFFFFF"/>
            <w:noWrap/>
            <w:vAlign w:val="bottom"/>
            <w:hideMark/>
          </w:tcPr>
          <w:p w14:paraId="3A827E0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162,16</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3B2A6D8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8 522</w:t>
            </w:r>
          </w:p>
        </w:tc>
        <w:tc>
          <w:tcPr>
            <w:tcW w:w="1148" w:type="dxa"/>
            <w:tcBorders>
              <w:top w:val="nil"/>
              <w:left w:val="nil"/>
              <w:bottom w:val="single" w:sz="4" w:space="0" w:color="auto"/>
              <w:right w:val="single" w:sz="4" w:space="0" w:color="auto"/>
            </w:tcBorders>
            <w:shd w:val="clear" w:color="000000" w:fill="FFFFFF"/>
            <w:noWrap/>
            <w:vAlign w:val="bottom"/>
            <w:hideMark/>
          </w:tcPr>
          <w:p w14:paraId="65B96FD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16 583 130</w:t>
            </w:r>
          </w:p>
        </w:tc>
        <w:tc>
          <w:tcPr>
            <w:tcW w:w="1134" w:type="dxa"/>
            <w:tcBorders>
              <w:top w:val="nil"/>
              <w:left w:val="nil"/>
              <w:bottom w:val="single" w:sz="4" w:space="0" w:color="auto"/>
              <w:right w:val="single" w:sz="4" w:space="0" w:color="auto"/>
            </w:tcBorders>
            <w:shd w:val="clear" w:color="000000" w:fill="FFFFFF"/>
            <w:noWrap/>
            <w:vAlign w:val="bottom"/>
            <w:hideMark/>
          </w:tcPr>
          <w:p w14:paraId="160599F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162,16</w:t>
            </w:r>
          </w:p>
        </w:tc>
        <w:tc>
          <w:tcPr>
            <w:tcW w:w="1276" w:type="dxa"/>
            <w:tcBorders>
              <w:top w:val="nil"/>
              <w:left w:val="nil"/>
              <w:bottom w:val="single" w:sz="4" w:space="0" w:color="auto"/>
              <w:right w:val="single" w:sz="4" w:space="0" w:color="auto"/>
            </w:tcBorders>
            <w:shd w:val="clear" w:color="000000" w:fill="FFFFFF"/>
            <w:noWrap/>
            <w:vAlign w:val="bottom"/>
            <w:hideMark/>
          </w:tcPr>
          <w:p w14:paraId="6FEFD43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8 522</w:t>
            </w:r>
          </w:p>
        </w:tc>
        <w:tc>
          <w:tcPr>
            <w:tcW w:w="1134" w:type="dxa"/>
            <w:tcBorders>
              <w:top w:val="nil"/>
              <w:left w:val="nil"/>
              <w:bottom w:val="single" w:sz="4" w:space="0" w:color="auto"/>
              <w:right w:val="single" w:sz="4" w:space="0" w:color="auto"/>
            </w:tcBorders>
            <w:shd w:val="clear" w:color="000000" w:fill="FFFFFF"/>
            <w:noWrap/>
            <w:vAlign w:val="bottom"/>
            <w:hideMark/>
          </w:tcPr>
          <w:p w14:paraId="5EAE4DF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16 583 130</w:t>
            </w:r>
          </w:p>
        </w:tc>
        <w:tc>
          <w:tcPr>
            <w:tcW w:w="992" w:type="dxa"/>
            <w:tcBorders>
              <w:top w:val="nil"/>
              <w:left w:val="nil"/>
              <w:bottom w:val="single" w:sz="4" w:space="0" w:color="auto"/>
              <w:right w:val="single" w:sz="4" w:space="0" w:color="auto"/>
            </w:tcBorders>
            <w:shd w:val="clear" w:color="000000" w:fill="FFFFFF"/>
            <w:noWrap/>
            <w:vAlign w:val="bottom"/>
            <w:hideMark/>
          </w:tcPr>
          <w:p w14:paraId="5FF2489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162,16</w:t>
            </w:r>
          </w:p>
        </w:tc>
        <w:tc>
          <w:tcPr>
            <w:tcW w:w="966" w:type="dxa"/>
            <w:tcBorders>
              <w:top w:val="nil"/>
              <w:left w:val="nil"/>
              <w:bottom w:val="single" w:sz="4" w:space="0" w:color="auto"/>
              <w:right w:val="single" w:sz="4" w:space="0" w:color="auto"/>
            </w:tcBorders>
            <w:shd w:val="clear" w:color="000000" w:fill="FFFFFF"/>
            <w:noWrap/>
            <w:vAlign w:val="bottom"/>
            <w:hideMark/>
          </w:tcPr>
          <w:p w14:paraId="6CD86BE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8 522</w:t>
            </w:r>
          </w:p>
        </w:tc>
        <w:tc>
          <w:tcPr>
            <w:tcW w:w="1233" w:type="dxa"/>
            <w:tcBorders>
              <w:top w:val="nil"/>
              <w:left w:val="nil"/>
              <w:bottom w:val="single" w:sz="4" w:space="0" w:color="auto"/>
              <w:right w:val="single" w:sz="4" w:space="0" w:color="auto"/>
            </w:tcBorders>
            <w:shd w:val="clear" w:color="000000" w:fill="FFFFFF"/>
            <w:noWrap/>
            <w:vAlign w:val="bottom"/>
            <w:hideMark/>
          </w:tcPr>
          <w:p w14:paraId="45AF5D1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16 583 130</w:t>
            </w:r>
          </w:p>
        </w:tc>
      </w:tr>
      <w:tr w:rsidR="00632442" w:rsidRPr="00632442" w14:paraId="56F27C77" w14:textId="77777777" w:rsidTr="0049639B">
        <w:trPr>
          <w:trHeight w:val="276"/>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759C895F"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lastRenderedPageBreak/>
              <w:t>Pabalsts aizbildnim par bērna uzturēšanu</w:t>
            </w:r>
          </w:p>
        </w:tc>
        <w:tc>
          <w:tcPr>
            <w:tcW w:w="880" w:type="dxa"/>
            <w:tcBorders>
              <w:top w:val="nil"/>
              <w:left w:val="nil"/>
              <w:bottom w:val="single" w:sz="4" w:space="0" w:color="auto"/>
              <w:right w:val="nil"/>
            </w:tcBorders>
            <w:shd w:val="clear" w:color="000000" w:fill="FFFFFF"/>
            <w:noWrap/>
            <w:vAlign w:val="bottom"/>
            <w:hideMark/>
          </w:tcPr>
          <w:p w14:paraId="114F03D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208,63</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1F52179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2 463</w:t>
            </w:r>
          </w:p>
        </w:tc>
        <w:tc>
          <w:tcPr>
            <w:tcW w:w="1148" w:type="dxa"/>
            <w:tcBorders>
              <w:top w:val="nil"/>
              <w:left w:val="nil"/>
              <w:bottom w:val="single" w:sz="4" w:space="0" w:color="auto"/>
              <w:right w:val="single" w:sz="4" w:space="0" w:color="auto"/>
            </w:tcBorders>
            <w:shd w:val="clear" w:color="000000" w:fill="FFFFFF"/>
            <w:noWrap/>
            <w:vAlign w:val="bottom"/>
            <w:hideMark/>
          </w:tcPr>
          <w:p w14:paraId="2B60755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6 166 211</w:t>
            </w:r>
          </w:p>
        </w:tc>
        <w:tc>
          <w:tcPr>
            <w:tcW w:w="1134" w:type="dxa"/>
            <w:tcBorders>
              <w:top w:val="nil"/>
              <w:left w:val="nil"/>
              <w:bottom w:val="single" w:sz="4" w:space="0" w:color="auto"/>
              <w:right w:val="single" w:sz="4" w:space="0" w:color="auto"/>
            </w:tcBorders>
            <w:shd w:val="clear" w:color="000000" w:fill="FFFFFF"/>
            <w:noWrap/>
            <w:vAlign w:val="bottom"/>
            <w:hideMark/>
          </w:tcPr>
          <w:p w14:paraId="2E836BB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208,63</w:t>
            </w:r>
          </w:p>
        </w:tc>
        <w:tc>
          <w:tcPr>
            <w:tcW w:w="1276" w:type="dxa"/>
            <w:tcBorders>
              <w:top w:val="nil"/>
              <w:left w:val="nil"/>
              <w:bottom w:val="single" w:sz="4" w:space="0" w:color="auto"/>
              <w:right w:val="single" w:sz="4" w:space="0" w:color="auto"/>
            </w:tcBorders>
            <w:shd w:val="clear" w:color="000000" w:fill="FFFFFF"/>
            <w:noWrap/>
            <w:vAlign w:val="bottom"/>
            <w:hideMark/>
          </w:tcPr>
          <w:p w14:paraId="02C934A4"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2 463</w:t>
            </w:r>
          </w:p>
        </w:tc>
        <w:tc>
          <w:tcPr>
            <w:tcW w:w="1134" w:type="dxa"/>
            <w:tcBorders>
              <w:top w:val="nil"/>
              <w:left w:val="nil"/>
              <w:bottom w:val="single" w:sz="4" w:space="0" w:color="auto"/>
              <w:right w:val="single" w:sz="4" w:space="0" w:color="auto"/>
            </w:tcBorders>
            <w:shd w:val="clear" w:color="000000" w:fill="FFFFFF"/>
            <w:noWrap/>
            <w:vAlign w:val="bottom"/>
            <w:hideMark/>
          </w:tcPr>
          <w:p w14:paraId="7BF5182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6 166 211</w:t>
            </w:r>
          </w:p>
        </w:tc>
        <w:tc>
          <w:tcPr>
            <w:tcW w:w="992" w:type="dxa"/>
            <w:tcBorders>
              <w:top w:val="nil"/>
              <w:left w:val="nil"/>
              <w:bottom w:val="single" w:sz="4" w:space="0" w:color="auto"/>
              <w:right w:val="nil"/>
            </w:tcBorders>
            <w:shd w:val="clear" w:color="000000" w:fill="FFFFFF"/>
            <w:noWrap/>
            <w:vAlign w:val="bottom"/>
            <w:hideMark/>
          </w:tcPr>
          <w:p w14:paraId="04AD2A5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208,20</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023E8B80"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2 449</w:t>
            </w:r>
          </w:p>
        </w:tc>
        <w:tc>
          <w:tcPr>
            <w:tcW w:w="1233" w:type="dxa"/>
            <w:tcBorders>
              <w:top w:val="nil"/>
              <w:left w:val="nil"/>
              <w:bottom w:val="single" w:sz="4" w:space="0" w:color="auto"/>
              <w:right w:val="single" w:sz="4" w:space="0" w:color="auto"/>
            </w:tcBorders>
            <w:shd w:val="clear" w:color="000000" w:fill="FFFFFF"/>
            <w:noWrap/>
            <w:vAlign w:val="bottom"/>
            <w:hideMark/>
          </w:tcPr>
          <w:p w14:paraId="347A67F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6 118 701</w:t>
            </w:r>
          </w:p>
        </w:tc>
      </w:tr>
      <w:tr w:rsidR="00632442" w:rsidRPr="00632442" w14:paraId="37FEA4D7" w14:textId="77777777" w:rsidTr="0049639B">
        <w:trPr>
          <w:trHeight w:val="276"/>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2F9DD200"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Atlīdzība par aizbildņa pienākumu pildīšanu</w:t>
            </w:r>
          </w:p>
        </w:tc>
        <w:tc>
          <w:tcPr>
            <w:tcW w:w="880" w:type="dxa"/>
            <w:tcBorders>
              <w:top w:val="nil"/>
              <w:left w:val="nil"/>
              <w:bottom w:val="single" w:sz="4" w:space="0" w:color="auto"/>
              <w:right w:val="nil"/>
            </w:tcBorders>
            <w:shd w:val="clear" w:color="000000" w:fill="FFFFFF"/>
            <w:noWrap/>
            <w:vAlign w:val="bottom"/>
            <w:hideMark/>
          </w:tcPr>
          <w:p w14:paraId="548E0BA3"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54,35</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68614A8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2 621</w:t>
            </w:r>
          </w:p>
        </w:tc>
        <w:tc>
          <w:tcPr>
            <w:tcW w:w="1148" w:type="dxa"/>
            <w:tcBorders>
              <w:top w:val="nil"/>
              <w:left w:val="nil"/>
              <w:bottom w:val="single" w:sz="4" w:space="0" w:color="auto"/>
              <w:right w:val="single" w:sz="4" w:space="0" w:color="auto"/>
            </w:tcBorders>
            <w:shd w:val="clear" w:color="000000" w:fill="FFFFFF"/>
            <w:noWrap/>
            <w:vAlign w:val="bottom"/>
            <w:hideMark/>
          </w:tcPr>
          <w:p w14:paraId="7775D0F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1 709 416</w:t>
            </w:r>
          </w:p>
        </w:tc>
        <w:tc>
          <w:tcPr>
            <w:tcW w:w="1134" w:type="dxa"/>
            <w:tcBorders>
              <w:top w:val="nil"/>
              <w:left w:val="nil"/>
              <w:bottom w:val="single" w:sz="4" w:space="0" w:color="auto"/>
              <w:right w:val="single" w:sz="4" w:space="0" w:color="auto"/>
            </w:tcBorders>
            <w:shd w:val="clear" w:color="000000" w:fill="FFFFFF"/>
            <w:noWrap/>
            <w:vAlign w:val="bottom"/>
            <w:hideMark/>
          </w:tcPr>
          <w:p w14:paraId="7DDFB54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54,35</w:t>
            </w:r>
          </w:p>
        </w:tc>
        <w:tc>
          <w:tcPr>
            <w:tcW w:w="1276" w:type="dxa"/>
            <w:tcBorders>
              <w:top w:val="nil"/>
              <w:left w:val="nil"/>
              <w:bottom w:val="single" w:sz="4" w:space="0" w:color="auto"/>
              <w:right w:val="single" w:sz="4" w:space="0" w:color="auto"/>
            </w:tcBorders>
            <w:shd w:val="clear" w:color="000000" w:fill="FFFFFF"/>
            <w:noWrap/>
            <w:vAlign w:val="bottom"/>
            <w:hideMark/>
          </w:tcPr>
          <w:p w14:paraId="0A3B561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2 607</w:t>
            </w:r>
          </w:p>
        </w:tc>
        <w:tc>
          <w:tcPr>
            <w:tcW w:w="1134" w:type="dxa"/>
            <w:tcBorders>
              <w:top w:val="nil"/>
              <w:left w:val="nil"/>
              <w:bottom w:val="single" w:sz="4" w:space="0" w:color="auto"/>
              <w:right w:val="single" w:sz="4" w:space="0" w:color="auto"/>
            </w:tcBorders>
            <w:shd w:val="clear" w:color="000000" w:fill="FFFFFF"/>
            <w:noWrap/>
            <w:vAlign w:val="bottom"/>
            <w:hideMark/>
          </w:tcPr>
          <w:p w14:paraId="21637C3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1 700 285</w:t>
            </w:r>
          </w:p>
        </w:tc>
        <w:tc>
          <w:tcPr>
            <w:tcW w:w="992" w:type="dxa"/>
            <w:tcBorders>
              <w:top w:val="nil"/>
              <w:left w:val="nil"/>
              <w:bottom w:val="single" w:sz="4" w:space="0" w:color="auto"/>
              <w:right w:val="nil"/>
            </w:tcBorders>
            <w:shd w:val="clear" w:color="000000" w:fill="FFFFFF"/>
            <w:noWrap/>
            <w:vAlign w:val="bottom"/>
            <w:hideMark/>
          </w:tcPr>
          <w:p w14:paraId="00A1101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54,35</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3DF402F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2 578</w:t>
            </w:r>
          </w:p>
        </w:tc>
        <w:tc>
          <w:tcPr>
            <w:tcW w:w="1233" w:type="dxa"/>
            <w:tcBorders>
              <w:top w:val="nil"/>
              <w:left w:val="nil"/>
              <w:bottom w:val="single" w:sz="4" w:space="0" w:color="auto"/>
              <w:right w:val="single" w:sz="4" w:space="0" w:color="auto"/>
            </w:tcBorders>
            <w:shd w:val="clear" w:color="000000" w:fill="FFFFFF"/>
            <w:noWrap/>
            <w:vAlign w:val="bottom"/>
            <w:hideMark/>
          </w:tcPr>
          <w:p w14:paraId="5522ED8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1 681 372</w:t>
            </w:r>
          </w:p>
        </w:tc>
      </w:tr>
      <w:tr w:rsidR="00632442" w:rsidRPr="00632442" w14:paraId="581A8EA7" w14:textId="77777777" w:rsidTr="0049639B">
        <w:trPr>
          <w:trHeight w:val="276"/>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3F069550"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 xml:space="preserve">Valsts atbalsts ar </w:t>
            </w:r>
            <w:proofErr w:type="spellStart"/>
            <w:r w:rsidRPr="00632442">
              <w:rPr>
                <w:rFonts w:eastAsia="Calibri" w:cs="Times New Roman"/>
                <w:sz w:val="18"/>
                <w:szCs w:val="18"/>
                <w:lang w:eastAsia="en-US"/>
              </w:rPr>
              <w:t>celiakiju</w:t>
            </w:r>
            <w:proofErr w:type="spellEnd"/>
            <w:r w:rsidRPr="00632442">
              <w:rPr>
                <w:rFonts w:eastAsia="Calibri" w:cs="Times New Roman"/>
                <w:sz w:val="18"/>
                <w:szCs w:val="18"/>
                <w:lang w:eastAsia="en-US"/>
              </w:rPr>
              <w:t xml:space="preserve"> slimiem bērniem</w:t>
            </w:r>
          </w:p>
        </w:tc>
        <w:tc>
          <w:tcPr>
            <w:tcW w:w="880" w:type="dxa"/>
            <w:tcBorders>
              <w:top w:val="nil"/>
              <w:left w:val="nil"/>
              <w:bottom w:val="single" w:sz="4" w:space="0" w:color="auto"/>
              <w:right w:val="nil"/>
            </w:tcBorders>
            <w:shd w:val="clear" w:color="000000" w:fill="FFFFFF"/>
            <w:noWrap/>
            <w:vAlign w:val="bottom"/>
            <w:hideMark/>
          </w:tcPr>
          <w:p w14:paraId="7A9AE34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161,33</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230EAE28"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547</w:t>
            </w:r>
          </w:p>
        </w:tc>
        <w:tc>
          <w:tcPr>
            <w:tcW w:w="1148" w:type="dxa"/>
            <w:tcBorders>
              <w:top w:val="nil"/>
              <w:left w:val="nil"/>
              <w:bottom w:val="single" w:sz="4" w:space="0" w:color="auto"/>
              <w:right w:val="single" w:sz="4" w:space="0" w:color="auto"/>
            </w:tcBorders>
            <w:shd w:val="clear" w:color="000000" w:fill="FFFFFF"/>
            <w:noWrap/>
            <w:vAlign w:val="bottom"/>
            <w:hideMark/>
          </w:tcPr>
          <w:p w14:paraId="053BFC64"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1 058 970</w:t>
            </w:r>
          </w:p>
        </w:tc>
        <w:tc>
          <w:tcPr>
            <w:tcW w:w="1134" w:type="dxa"/>
            <w:tcBorders>
              <w:top w:val="nil"/>
              <w:left w:val="nil"/>
              <w:bottom w:val="single" w:sz="4" w:space="0" w:color="auto"/>
              <w:right w:val="single" w:sz="4" w:space="0" w:color="auto"/>
            </w:tcBorders>
            <w:shd w:val="clear" w:color="000000" w:fill="FFFFFF"/>
            <w:noWrap/>
            <w:vAlign w:val="bottom"/>
            <w:hideMark/>
          </w:tcPr>
          <w:p w14:paraId="694E433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161,33</w:t>
            </w:r>
          </w:p>
        </w:tc>
        <w:tc>
          <w:tcPr>
            <w:tcW w:w="1276" w:type="dxa"/>
            <w:tcBorders>
              <w:top w:val="nil"/>
              <w:left w:val="nil"/>
              <w:bottom w:val="single" w:sz="4" w:space="0" w:color="auto"/>
              <w:right w:val="single" w:sz="4" w:space="0" w:color="auto"/>
            </w:tcBorders>
            <w:shd w:val="clear" w:color="000000" w:fill="FFFFFF"/>
            <w:noWrap/>
            <w:vAlign w:val="bottom"/>
            <w:hideMark/>
          </w:tcPr>
          <w:p w14:paraId="7A75B2B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542</w:t>
            </w:r>
          </w:p>
        </w:tc>
        <w:tc>
          <w:tcPr>
            <w:tcW w:w="1134" w:type="dxa"/>
            <w:tcBorders>
              <w:top w:val="nil"/>
              <w:left w:val="nil"/>
              <w:bottom w:val="single" w:sz="4" w:space="0" w:color="auto"/>
              <w:right w:val="single" w:sz="4" w:space="0" w:color="auto"/>
            </w:tcBorders>
            <w:shd w:val="clear" w:color="000000" w:fill="FFFFFF"/>
            <w:noWrap/>
            <w:vAlign w:val="bottom"/>
            <w:hideMark/>
          </w:tcPr>
          <w:p w14:paraId="10558AC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1 049 290</w:t>
            </w:r>
          </w:p>
        </w:tc>
        <w:tc>
          <w:tcPr>
            <w:tcW w:w="992" w:type="dxa"/>
            <w:tcBorders>
              <w:top w:val="nil"/>
              <w:left w:val="nil"/>
              <w:bottom w:val="single" w:sz="4" w:space="0" w:color="auto"/>
              <w:right w:val="nil"/>
            </w:tcBorders>
            <w:shd w:val="clear" w:color="000000" w:fill="FFFFFF"/>
            <w:noWrap/>
            <w:vAlign w:val="bottom"/>
            <w:hideMark/>
          </w:tcPr>
          <w:p w14:paraId="3CBA5AB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161,33</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54364D6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537</w:t>
            </w:r>
          </w:p>
        </w:tc>
        <w:tc>
          <w:tcPr>
            <w:tcW w:w="1233" w:type="dxa"/>
            <w:tcBorders>
              <w:top w:val="nil"/>
              <w:left w:val="nil"/>
              <w:bottom w:val="single" w:sz="4" w:space="0" w:color="auto"/>
              <w:right w:val="single" w:sz="4" w:space="0" w:color="auto"/>
            </w:tcBorders>
            <w:shd w:val="clear" w:color="000000" w:fill="FFFFFF"/>
            <w:noWrap/>
            <w:vAlign w:val="bottom"/>
            <w:hideMark/>
          </w:tcPr>
          <w:p w14:paraId="42447A7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1 039 610</w:t>
            </w:r>
          </w:p>
        </w:tc>
      </w:tr>
      <w:tr w:rsidR="00632442" w:rsidRPr="00632442" w14:paraId="0C97B5B1" w14:textId="77777777" w:rsidTr="0049639B">
        <w:trPr>
          <w:trHeight w:val="276"/>
        </w:trPr>
        <w:tc>
          <w:tcPr>
            <w:tcW w:w="4500" w:type="dxa"/>
            <w:tcBorders>
              <w:top w:val="nil"/>
              <w:left w:val="single" w:sz="4" w:space="0" w:color="auto"/>
              <w:bottom w:val="nil"/>
              <w:right w:val="single" w:sz="4" w:space="0" w:color="auto"/>
            </w:tcBorders>
            <w:shd w:val="clear" w:color="000000" w:fill="FFFFFF"/>
            <w:vAlign w:val="center"/>
            <w:hideMark/>
          </w:tcPr>
          <w:p w14:paraId="0DDF86B2"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Atlīdzība par audžuģimenes pienākumu pildīšanu</w:t>
            </w:r>
          </w:p>
        </w:tc>
        <w:tc>
          <w:tcPr>
            <w:tcW w:w="880" w:type="dxa"/>
            <w:tcBorders>
              <w:top w:val="nil"/>
              <w:left w:val="nil"/>
              <w:bottom w:val="single" w:sz="4" w:space="0" w:color="auto"/>
              <w:right w:val="nil"/>
            </w:tcBorders>
            <w:shd w:val="clear" w:color="000000" w:fill="FFFFFF"/>
            <w:noWrap/>
            <w:vAlign w:val="bottom"/>
            <w:hideMark/>
          </w:tcPr>
          <w:p w14:paraId="533F0EF7"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222,80</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352DEB54"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519</w:t>
            </w:r>
          </w:p>
        </w:tc>
        <w:tc>
          <w:tcPr>
            <w:tcW w:w="1148" w:type="dxa"/>
            <w:tcBorders>
              <w:top w:val="nil"/>
              <w:left w:val="nil"/>
              <w:bottom w:val="single" w:sz="4" w:space="0" w:color="auto"/>
              <w:right w:val="single" w:sz="4" w:space="0" w:color="auto"/>
            </w:tcBorders>
            <w:shd w:val="clear" w:color="000000" w:fill="FFFFFF"/>
            <w:noWrap/>
            <w:vAlign w:val="bottom"/>
            <w:hideMark/>
          </w:tcPr>
          <w:p w14:paraId="3DA9C7F0"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1 387 598</w:t>
            </w:r>
          </w:p>
        </w:tc>
        <w:tc>
          <w:tcPr>
            <w:tcW w:w="1134" w:type="dxa"/>
            <w:tcBorders>
              <w:top w:val="nil"/>
              <w:left w:val="nil"/>
              <w:bottom w:val="single" w:sz="4" w:space="0" w:color="auto"/>
              <w:right w:val="single" w:sz="4" w:space="0" w:color="auto"/>
            </w:tcBorders>
            <w:shd w:val="clear" w:color="000000" w:fill="FFFFFF"/>
            <w:noWrap/>
            <w:vAlign w:val="bottom"/>
            <w:hideMark/>
          </w:tcPr>
          <w:p w14:paraId="3568148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222,80</w:t>
            </w:r>
          </w:p>
        </w:tc>
        <w:tc>
          <w:tcPr>
            <w:tcW w:w="1276" w:type="dxa"/>
            <w:tcBorders>
              <w:top w:val="nil"/>
              <w:left w:val="nil"/>
              <w:bottom w:val="single" w:sz="4" w:space="0" w:color="auto"/>
              <w:right w:val="single" w:sz="4" w:space="0" w:color="auto"/>
            </w:tcBorders>
            <w:shd w:val="clear" w:color="000000" w:fill="FFFFFF"/>
            <w:noWrap/>
            <w:vAlign w:val="bottom"/>
            <w:hideMark/>
          </w:tcPr>
          <w:p w14:paraId="74E8972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514</w:t>
            </w:r>
          </w:p>
        </w:tc>
        <w:tc>
          <w:tcPr>
            <w:tcW w:w="1134" w:type="dxa"/>
            <w:tcBorders>
              <w:top w:val="nil"/>
              <w:left w:val="nil"/>
              <w:bottom w:val="single" w:sz="4" w:space="0" w:color="auto"/>
              <w:right w:val="single" w:sz="4" w:space="0" w:color="auto"/>
            </w:tcBorders>
            <w:shd w:val="clear" w:color="000000" w:fill="FFFFFF"/>
            <w:noWrap/>
            <w:vAlign w:val="bottom"/>
            <w:hideMark/>
          </w:tcPr>
          <w:p w14:paraId="19FB5C4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1 374 210</w:t>
            </w:r>
          </w:p>
        </w:tc>
        <w:tc>
          <w:tcPr>
            <w:tcW w:w="992" w:type="dxa"/>
            <w:tcBorders>
              <w:top w:val="nil"/>
              <w:left w:val="nil"/>
              <w:bottom w:val="single" w:sz="4" w:space="0" w:color="auto"/>
              <w:right w:val="nil"/>
            </w:tcBorders>
            <w:shd w:val="clear" w:color="000000" w:fill="FFFFFF"/>
            <w:noWrap/>
            <w:vAlign w:val="bottom"/>
            <w:hideMark/>
          </w:tcPr>
          <w:p w14:paraId="5B10EB8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222,80</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3328C06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509</w:t>
            </w:r>
          </w:p>
        </w:tc>
        <w:tc>
          <w:tcPr>
            <w:tcW w:w="1233" w:type="dxa"/>
            <w:tcBorders>
              <w:top w:val="nil"/>
              <w:left w:val="nil"/>
              <w:bottom w:val="single" w:sz="4" w:space="0" w:color="auto"/>
              <w:right w:val="single" w:sz="4" w:space="0" w:color="auto"/>
            </w:tcBorders>
            <w:shd w:val="clear" w:color="000000" w:fill="FFFFFF"/>
            <w:noWrap/>
            <w:vAlign w:val="bottom"/>
            <w:hideMark/>
          </w:tcPr>
          <w:p w14:paraId="3D6952B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1 360 862</w:t>
            </w:r>
          </w:p>
        </w:tc>
      </w:tr>
      <w:tr w:rsidR="00632442" w:rsidRPr="00632442" w14:paraId="35AFD049" w14:textId="77777777" w:rsidTr="0049639B">
        <w:trPr>
          <w:trHeight w:val="276"/>
        </w:trPr>
        <w:tc>
          <w:tcPr>
            <w:tcW w:w="4500" w:type="dxa"/>
            <w:tcBorders>
              <w:top w:val="single" w:sz="4" w:space="0" w:color="auto"/>
              <w:left w:val="single" w:sz="4" w:space="0" w:color="auto"/>
              <w:bottom w:val="nil"/>
              <w:right w:val="single" w:sz="4" w:space="0" w:color="auto"/>
            </w:tcBorders>
            <w:shd w:val="clear" w:color="000000" w:fill="FFFFFF"/>
            <w:vAlign w:val="bottom"/>
            <w:hideMark/>
          </w:tcPr>
          <w:p w14:paraId="3321EE0A"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Atlīdzība par adoptējamā bērna aprūpi</w:t>
            </w:r>
          </w:p>
        </w:tc>
        <w:tc>
          <w:tcPr>
            <w:tcW w:w="880" w:type="dxa"/>
            <w:tcBorders>
              <w:top w:val="nil"/>
              <w:left w:val="nil"/>
              <w:bottom w:val="single" w:sz="4" w:space="0" w:color="auto"/>
              <w:right w:val="nil"/>
            </w:tcBorders>
            <w:shd w:val="clear" w:color="000000" w:fill="FFFFFF"/>
            <w:noWrap/>
            <w:vAlign w:val="bottom"/>
            <w:hideMark/>
          </w:tcPr>
          <w:p w14:paraId="37B5CBF3"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500,39</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545E0CB5"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27</w:t>
            </w:r>
          </w:p>
        </w:tc>
        <w:tc>
          <w:tcPr>
            <w:tcW w:w="1148" w:type="dxa"/>
            <w:tcBorders>
              <w:top w:val="nil"/>
              <w:left w:val="nil"/>
              <w:bottom w:val="single" w:sz="4" w:space="0" w:color="auto"/>
              <w:right w:val="single" w:sz="4" w:space="0" w:color="auto"/>
            </w:tcBorders>
            <w:shd w:val="clear" w:color="000000" w:fill="FFFFFF"/>
            <w:noWrap/>
            <w:vAlign w:val="bottom"/>
            <w:hideMark/>
          </w:tcPr>
          <w:p w14:paraId="371A5704"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162 126</w:t>
            </w:r>
          </w:p>
        </w:tc>
        <w:tc>
          <w:tcPr>
            <w:tcW w:w="1134" w:type="dxa"/>
            <w:tcBorders>
              <w:top w:val="nil"/>
              <w:left w:val="nil"/>
              <w:bottom w:val="single" w:sz="4" w:space="0" w:color="auto"/>
              <w:right w:val="single" w:sz="4" w:space="0" w:color="auto"/>
            </w:tcBorders>
            <w:shd w:val="clear" w:color="000000" w:fill="FFFFFF"/>
            <w:noWrap/>
            <w:vAlign w:val="bottom"/>
            <w:hideMark/>
          </w:tcPr>
          <w:p w14:paraId="0889177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511,91</w:t>
            </w:r>
          </w:p>
        </w:tc>
        <w:tc>
          <w:tcPr>
            <w:tcW w:w="1276" w:type="dxa"/>
            <w:tcBorders>
              <w:top w:val="nil"/>
              <w:left w:val="nil"/>
              <w:bottom w:val="single" w:sz="4" w:space="0" w:color="auto"/>
              <w:right w:val="single" w:sz="4" w:space="0" w:color="auto"/>
            </w:tcBorders>
            <w:shd w:val="clear" w:color="000000" w:fill="FFFFFF"/>
            <w:noWrap/>
            <w:vAlign w:val="bottom"/>
            <w:hideMark/>
          </w:tcPr>
          <w:p w14:paraId="0E54D525"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28</w:t>
            </w:r>
          </w:p>
        </w:tc>
        <w:tc>
          <w:tcPr>
            <w:tcW w:w="1134" w:type="dxa"/>
            <w:tcBorders>
              <w:top w:val="nil"/>
              <w:left w:val="nil"/>
              <w:bottom w:val="single" w:sz="4" w:space="0" w:color="auto"/>
              <w:right w:val="single" w:sz="4" w:space="0" w:color="auto"/>
            </w:tcBorders>
            <w:shd w:val="clear" w:color="000000" w:fill="FFFFFF"/>
            <w:noWrap/>
            <w:vAlign w:val="bottom"/>
            <w:hideMark/>
          </w:tcPr>
          <w:p w14:paraId="67819B6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172 002</w:t>
            </w:r>
          </w:p>
        </w:tc>
        <w:tc>
          <w:tcPr>
            <w:tcW w:w="992" w:type="dxa"/>
            <w:tcBorders>
              <w:top w:val="nil"/>
              <w:left w:val="nil"/>
              <w:bottom w:val="single" w:sz="4" w:space="0" w:color="auto"/>
              <w:right w:val="nil"/>
            </w:tcBorders>
            <w:shd w:val="clear" w:color="000000" w:fill="FFFFFF"/>
            <w:noWrap/>
            <w:vAlign w:val="bottom"/>
            <w:hideMark/>
          </w:tcPr>
          <w:p w14:paraId="723453C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523,68</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5C7FC9F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29</w:t>
            </w:r>
          </w:p>
        </w:tc>
        <w:tc>
          <w:tcPr>
            <w:tcW w:w="1233" w:type="dxa"/>
            <w:tcBorders>
              <w:top w:val="nil"/>
              <w:left w:val="nil"/>
              <w:bottom w:val="single" w:sz="4" w:space="0" w:color="auto"/>
              <w:right w:val="single" w:sz="4" w:space="0" w:color="auto"/>
            </w:tcBorders>
            <w:shd w:val="clear" w:color="000000" w:fill="FFFFFF"/>
            <w:noWrap/>
            <w:vAlign w:val="bottom"/>
            <w:hideMark/>
          </w:tcPr>
          <w:p w14:paraId="2D73271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182 241</w:t>
            </w:r>
          </w:p>
        </w:tc>
      </w:tr>
      <w:tr w:rsidR="00632442" w:rsidRPr="00632442" w14:paraId="6E1491CF" w14:textId="77777777" w:rsidTr="0049639B">
        <w:trPr>
          <w:trHeight w:val="285"/>
        </w:trPr>
        <w:tc>
          <w:tcPr>
            <w:tcW w:w="45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4D65112"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Bērna adopcijas pabalsts</w:t>
            </w:r>
          </w:p>
        </w:tc>
        <w:tc>
          <w:tcPr>
            <w:tcW w:w="880" w:type="dxa"/>
            <w:tcBorders>
              <w:top w:val="nil"/>
              <w:left w:val="nil"/>
              <w:bottom w:val="single" w:sz="4" w:space="0" w:color="auto"/>
              <w:right w:val="nil"/>
            </w:tcBorders>
            <w:shd w:val="clear" w:color="000000" w:fill="FFFFFF"/>
            <w:noWrap/>
            <w:vAlign w:val="bottom"/>
            <w:hideMark/>
          </w:tcPr>
          <w:p w14:paraId="1CF0DD2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124,28</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5F6020AA"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1 219</w:t>
            </w:r>
          </w:p>
        </w:tc>
        <w:tc>
          <w:tcPr>
            <w:tcW w:w="1148" w:type="dxa"/>
            <w:tcBorders>
              <w:top w:val="nil"/>
              <w:left w:val="nil"/>
              <w:bottom w:val="single" w:sz="4" w:space="0" w:color="auto"/>
              <w:right w:val="single" w:sz="4" w:space="0" w:color="auto"/>
            </w:tcBorders>
            <w:shd w:val="clear" w:color="000000" w:fill="FFFFFF"/>
            <w:noWrap/>
            <w:vAlign w:val="bottom"/>
            <w:hideMark/>
          </w:tcPr>
          <w:p w14:paraId="05D2064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1 817 968</w:t>
            </w:r>
          </w:p>
        </w:tc>
        <w:tc>
          <w:tcPr>
            <w:tcW w:w="1134" w:type="dxa"/>
            <w:tcBorders>
              <w:top w:val="nil"/>
              <w:left w:val="nil"/>
              <w:bottom w:val="single" w:sz="4" w:space="0" w:color="auto"/>
              <w:right w:val="single" w:sz="4" w:space="0" w:color="auto"/>
            </w:tcBorders>
            <w:shd w:val="clear" w:color="000000" w:fill="FFFFFF"/>
            <w:noWrap/>
            <w:vAlign w:val="bottom"/>
            <w:hideMark/>
          </w:tcPr>
          <w:p w14:paraId="6546C60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124,28</w:t>
            </w:r>
          </w:p>
        </w:tc>
        <w:tc>
          <w:tcPr>
            <w:tcW w:w="1276" w:type="dxa"/>
            <w:tcBorders>
              <w:top w:val="nil"/>
              <w:left w:val="nil"/>
              <w:bottom w:val="single" w:sz="4" w:space="0" w:color="auto"/>
              <w:right w:val="single" w:sz="4" w:space="0" w:color="auto"/>
            </w:tcBorders>
            <w:shd w:val="clear" w:color="000000" w:fill="FFFFFF"/>
            <w:noWrap/>
            <w:vAlign w:val="bottom"/>
            <w:hideMark/>
          </w:tcPr>
          <w:p w14:paraId="6728C3C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1 224</w:t>
            </w:r>
          </w:p>
        </w:tc>
        <w:tc>
          <w:tcPr>
            <w:tcW w:w="1134" w:type="dxa"/>
            <w:tcBorders>
              <w:top w:val="nil"/>
              <w:left w:val="nil"/>
              <w:bottom w:val="single" w:sz="4" w:space="0" w:color="auto"/>
              <w:right w:val="single" w:sz="4" w:space="0" w:color="auto"/>
            </w:tcBorders>
            <w:shd w:val="clear" w:color="000000" w:fill="FFFFFF"/>
            <w:noWrap/>
            <w:vAlign w:val="bottom"/>
            <w:hideMark/>
          </w:tcPr>
          <w:p w14:paraId="21EB881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1 825 425</w:t>
            </w:r>
          </w:p>
        </w:tc>
        <w:tc>
          <w:tcPr>
            <w:tcW w:w="992" w:type="dxa"/>
            <w:tcBorders>
              <w:top w:val="nil"/>
              <w:left w:val="nil"/>
              <w:bottom w:val="single" w:sz="4" w:space="0" w:color="auto"/>
              <w:right w:val="nil"/>
            </w:tcBorders>
            <w:shd w:val="clear" w:color="000000" w:fill="FFFFFF"/>
            <w:noWrap/>
            <w:vAlign w:val="bottom"/>
            <w:hideMark/>
          </w:tcPr>
          <w:p w14:paraId="63D0387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124,28</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4613E95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1 229</w:t>
            </w:r>
          </w:p>
        </w:tc>
        <w:tc>
          <w:tcPr>
            <w:tcW w:w="1233" w:type="dxa"/>
            <w:tcBorders>
              <w:top w:val="nil"/>
              <w:left w:val="nil"/>
              <w:bottom w:val="single" w:sz="4" w:space="0" w:color="auto"/>
              <w:right w:val="single" w:sz="4" w:space="0" w:color="auto"/>
            </w:tcBorders>
            <w:shd w:val="clear" w:color="000000" w:fill="FFFFFF"/>
            <w:noWrap/>
            <w:vAlign w:val="bottom"/>
            <w:hideMark/>
          </w:tcPr>
          <w:p w14:paraId="04EC08A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1 832 881</w:t>
            </w:r>
          </w:p>
        </w:tc>
      </w:tr>
      <w:tr w:rsidR="00632442" w:rsidRPr="00632442" w14:paraId="0D68F29D" w14:textId="77777777" w:rsidTr="0049639B">
        <w:trPr>
          <w:trHeight w:val="276"/>
        </w:trPr>
        <w:tc>
          <w:tcPr>
            <w:tcW w:w="4500" w:type="dxa"/>
            <w:tcBorders>
              <w:top w:val="nil"/>
              <w:left w:val="single" w:sz="4" w:space="0" w:color="auto"/>
              <w:bottom w:val="single" w:sz="4" w:space="0" w:color="auto"/>
              <w:right w:val="single" w:sz="4" w:space="0" w:color="auto"/>
            </w:tcBorders>
            <w:shd w:val="clear" w:color="000000" w:fill="FFFFFF"/>
            <w:vAlign w:val="bottom"/>
            <w:hideMark/>
          </w:tcPr>
          <w:p w14:paraId="262A934F"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Atlīdzība par bērna adopciju</w:t>
            </w:r>
          </w:p>
        </w:tc>
        <w:tc>
          <w:tcPr>
            <w:tcW w:w="880" w:type="dxa"/>
            <w:tcBorders>
              <w:top w:val="nil"/>
              <w:left w:val="nil"/>
              <w:bottom w:val="single" w:sz="4" w:space="0" w:color="auto"/>
              <w:right w:val="nil"/>
            </w:tcBorders>
            <w:shd w:val="clear" w:color="000000" w:fill="FFFFFF"/>
            <w:noWrap/>
            <w:vAlign w:val="bottom"/>
            <w:hideMark/>
          </w:tcPr>
          <w:p w14:paraId="4A6200C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1 422,87</w:t>
            </w:r>
          </w:p>
        </w:tc>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2CC4021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11</w:t>
            </w:r>
          </w:p>
        </w:tc>
        <w:tc>
          <w:tcPr>
            <w:tcW w:w="1148" w:type="dxa"/>
            <w:tcBorders>
              <w:top w:val="nil"/>
              <w:left w:val="nil"/>
              <w:bottom w:val="single" w:sz="4" w:space="0" w:color="auto"/>
              <w:right w:val="single" w:sz="4" w:space="0" w:color="auto"/>
            </w:tcBorders>
            <w:shd w:val="clear" w:color="000000" w:fill="FFFFFF"/>
            <w:noWrap/>
            <w:vAlign w:val="bottom"/>
            <w:hideMark/>
          </w:tcPr>
          <w:p w14:paraId="76922B76"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187 819</w:t>
            </w:r>
          </w:p>
        </w:tc>
        <w:tc>
          <w:tcPr>
            <w:tcW w:w="1134" w:type="dxa"/>
            <w:tcBorders>
              <w:top w:val="nil"/>
              <w:left w:val="nil"/>
              <w:bottom w:val="single" w:sz="4" w:space="0" w:color="auto"/>
              <w:right w:val="single" w:sz="4" w:space="0" w:color="auto"/>
            </w:tcBorders>
            <w:shd w:val="clear" w:color="000000" w:fill="FFFFFF"/>
            <w:noWrap/>
            <w:vAlign w:val="bottom"/>
            <w:hideMark/>
          </w:tcPr>
          <w:p w14:paraId="609A43A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1 422,87</w:t>
            </w:r>
          </w:p>
        </w:tc>
        <w:tc>
          <w:tcPr>
            <w:tcW w:w="1276" w:type="dxa"/>
            <w:tcBorders>
              <w:top w:val="nil"/>
              <w:left w:val="nil"/>
              <w:bottom w:val="single" w:sz="4" w:space="0" w:color="auto"/>
              <w:right w:val="single" w:sz="4" w:space="0" w:color="auto"/>
            </w:tcBorders>
            <w:shd w:val="clear" w:color="000000" w:fill="FFFFFF"/>
            <w:noWrap/>
            <w:vAlign w:val="bottom"/>
            <w:hideMark/>
          </w:tcPr>
          <w:p w14:paraId="19224C3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12</w:t>
            </w:r>
          </w:p>
        </w:tc>
        <w:tc>
          <w:tcPr>
            <w:tcW w:w="1134" w:type="dxa"/>
            <w:tcBorders>
              <w:top w:val="nil"/>
              <w:left w:val="nil"/>
              <w:bottom w:val="single" w:sz="4" w:space="0" w:color="auto"/>
              <w:right w:val="single" w:sz="4" w:space="0" w:color="auto"/>
            </w:tcBorders>
            <w:shd w:val="clear" w:color="000000" w:fill="FFFFFF"/>
            <w:noWrap/>
            <w:vAlign w:val="bottom"/>
            <w:hideMark/>
          </w:tcPr>
          <w:p w14:paraId="53D1A43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204 893</w:t>
            </w:r>
          </w:p>
        </w:tc>
        <w:tc>
          <w:tcPr>
            <w:tcW w:w="992" w:type="dxa"/>
            <w:tcBorders>
              <w:top w:val="nil"/>
              <w:left w:val="nil"/>
              <w:bottom w:val="single" w:sz="4" w:space="0" w:color="auto"/>
              <w:right w:val="nil"/>
            </w:tcBorders>
            <w:shd w:val="clear" w:color="000000" w:fill="FFFFFF"/>
            <w:noWrap/>
            <w:vAlign w:val="bottom"/>
            <w:hideMark/>
          </w:tcPr>
          <w:p w14:paraId="2C9545C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1 422,87</w:t>
            </w:r>
          </w:p>
        </w:tc>
        <w:tc>
          <w:tcPr>
            <w:tcW w:w="966" w:type="dxa"/>
            <w:tcBorders>
              <w:top w:val="nil"/>
              <w:left w:val="single" w:sz="4" w:space="0" w:color="auto"/>
              <w:bottom w:val="single" w:sz="4" w:space="0" w:color="auto"/>
              <w:right w:val="single" w:sz="4" w:space="0" w:color="auto"/>
            </w:tcBorders>
            <w:shd w:val="clear" w:color="000000" w:fill="FFFFFF"/>
            <w:noWrap/>
            <w:vAlign w:val="bottom"/>
            <w:hideMark/>
          </w:tcPr>
          <w:p w14:paraId="75A2591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13</w:t>
            </w:r>
          </w:p>
        </w:tc>
        <w:tc>
          <w:tcPr>
            <w:tcW w:w="1233" w:type="dxa"/>
            <w:tcBorders>
              <w:top w:val="nil"/>
              <w:left w:val="nil"/>
              <w:bottom w:val="single" w:sz="4" w:space="0" w:color="auto"/>
              <w:right w:val="single" w:sz="4" w:space="0" w:color="auto"/>
            </w:tcBorders>
            <w:shd w:val="clear" w:color="000000" w:fill="FFFFFF"/>
            <w:noWrap/>
            <w:vAlign w:val="bottom"/>
            <w:hideMark/>
          </w:tcPr>
          <w:p w14:paraId="70411FA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221 968</w:t>
            </w:r>
          </w:p>
        </w:tc>
      </w:tr>
      <w:tr w:rsidR="00632442" w:rsidRPr="00632442" w14:paraId="3C2D100F" w14:textId="77777777" w:rsidTr="0049639B">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bottom"/>
            <w:hideMark/>
          </w:tcPr>
          <w:p w14:paraId="0E301E85" w14:textId="77777777" w:rsidR="00632442" w:rsidRPr="00632442" w:rsidRDefault="00632442" w:rsidP="00632442">
            <w:pPr>
              <w:spacing w:after="0"/>
              <w:ind w:firstLine="0"/>
              <w:rPr>
                <w:rFonts w:eastAsia="Times New Roman" w:cs="Times New Roman"/>
                <w:b/>
                <w:bCs/>
                <w:sz w:val="18"/>
                <w:szCs w:val="18"/>
                <w:highlight w:val="lightGray"/>
              </w:rPr>
            </w:pPr>
            <w:r w:rsidRPr="00632442">
              <w:rPr>
                <w:rFonts w:eastAsia="Calibri" w:cs="Times New Roman"/>
                <w:sz w:val="18"/>
                <w:szCs w:val="18"/>
                <w:lang w:eastAsia="en-US"/>
              </w:rPr>
              <w:t>Bēgļu pabalsts</w:t>
            </w:r>
          </w:p>
        </w:tc>
        <w:tc>
          <w:tcPr>
            <w:tcW w:w="880" w:type="dxa"/>
            <w:tcBorders>
              <w:top w:val="nil"/>
              <w:left w:val="nil"/>
              <w:bottom w:val="nil"/>
              <w:right w:val="nil"/>
            </w:tcBorders>
            <w:shd w:val="clear" w:color="000000" w:fill="FFFFFF"/>
            <w:noWrap/>
            <w:vAlign w:val="bottom"/>
            <w:hideMark/>
          </w:tcPr>
          <w:p w14:paraId="670F919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177,16</w:t>
            </w:r>
          </w:p>
        </w:tc>
        <w:tc>
          <w:tcPr>
            <w:tcW w:w="980" w:type="dxa"/>
            <w:tcBorders>
              <w:top w:val="nil"/>
              <w:left w:val="single" w:sz="4" w:space="0" w:color="auto"/>
              <w:bottom w:val="nil"/>
              <w:right w:val="single" w:sz="4" w:space="0" w:color="auto"/>
            </w:tcBorders>
            <w:shd w:val="clear" w:color="000000" w:fill="FFFFFF"/>
            <w:noWrap/>
            <w:vAlign w:val="bottom"/>
            <w:hideMark/>
          </w:tcPr>
          <w:p w14:paraId="5B51D77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70</w:t>
            </w:r>
          </w:p>
        </w:tc>
        <w:tc>
          <w:tcPr>
            <w:tcW w:w="1148" w:type="dxa"/>
            <w:tcBorders>
              <w:top w:val="nil"/>
              <w:left w:val="nil"/>
              <w:bottom w:val="nil"/>
              <w:right w:val="single" w:sz="4" w:space="0" w:color="auto"/>
            </w:tcBorders>
            <w:shd w:val="clear" w:color="000000" w:fill="FFFFFF"/>
            <w:noWrap/>
            <w:vAlign w:val="bottom"/>
            <w:hideMark/>
          </w:tcPr>
          <w:p w14:paraId="6DC439E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148 814</w:t>
            </w:r>
          </w:p>
        </w:tc>
        <w:tc>
          <w:tcPr>
            <w:tcW w:w="1134" w:type="dxa"/>
            <w:tcBorders>
              <w:top w:val="nil"/>
              <w:left w:val="nil"/>
              <w:bottom w:val="nil"/>
              <w:right w:val="single" w:sz="4" w:space="0" w:color="auto"/>
            </w:tcBorders>
            <w:shd w:val="clear" w:color="000000" w:fill="FFFFFF"/>
            <w:noWrap/>
            <w:vAlign w:val="bottom"/>
            <w:hideMark/>
          </w:tcPr>
          <w:p w14:paraId="1BEF852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177,16</w:t>
            </w:r>
          </w:p>
        </w:tc>
        <w:tc>
          <w:tcPr>
            <w:tcW w:w="1276" w:type="dxa"/>
            <w:tcBorders>
              <w:top w:val="nil"/>
              <w:left w:val="nil"/>
              <w:bottom w:val="nil"/>
              <w:right w:val="single" w:sz="4" w:space="0" w:color="auto"/>
            </w:tcBorders>
            <w:shd w:val="clear" w:color="000000" w:fill="FFFFFF"/>
            <w:noWrap/>
            <w:vAlign w:val="bottom"/>
            <w:hideMark/>
          </w:tcPr>
          <w:p w14:paraId="4ED30DD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70</w:t>
            </w:r>
          </w:p>
        </w:tc>
        <w:tc>
          <w:tcPr>
            <w:tcW w:w="1134" w:type="dxa"/>
            <w:tcBorders>
              <w:top w:val="nil"/>
              <w:left w:val="nil"/>
              <w:bottom w:val="nil"/>
              <w:right w:val="single" w:sz="4" w:space="0" w:color="auto"/>
            </w:tcBorders>
            <w:shd w:val="clear" w:color="000000" w:fill="FFFFFF"/>
            <w:noWrap/>
            <w:vAlign w:val="bottom"/>
            <w:hideMark/>
          </w:tcPr>
          <w:p w14:paraId="11C6DC8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148 814</w:t>
            </w:r>
          </w:p>
        </w:tc>
        <w:tc>
          <w:tcPr>
            <w:tcW w:w="992" w:type="dxa"/>
            <w:tcBorders>
              <w:top w:val="nil"/>
              <w:left w:val="nil"/>
              <w:bottom w:val="nil"/>
              <w:right w:val="single" w:sz="4" w:space="0" w:color="auto"/>
            </w:tcBorders>
            <w:shd w:val="clear" w:color="000000" w:fill="FFFFFF"/>
            <w:noWrap/>
            <w:vAlign w:val="bottom"/>
            <w:hideMark/>
          </w:tcPr>
          <w:p w14:paraId="1507F93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177,16</w:t>
            </w:r>
          </w:p>
        </w:tc>
        <w:tc>
          <w:tcPr>
            <w:tcW w:w="966" w:type="dxa"/>
            <w:tcBorders>
              <w:top w:val="nil"/>
              <w:left w:val="nil"/>
              <w:bottom w:val="nil"/>
              <w:right w:val="single" w:sz="4" w:space="0" w:color="auto"/>
            </w:tcBorders>
            <w:shd w:val="clear" w:color="000000" w:fill="FFFFFF"/>
            <w:noWrap/>
            <w:vAlign w:val="bottom"/>
            <w:hideMark/>
          </w:tcPr>
          <w:p w14:paraId="6DEFC32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70</w:t>
            </w:r>
          </w:p>
        </w:tc>
        <w:tc>
          <w:tcPr>
            <w:tcW w:w="1233" w:type="dxa"/>
            <w:tcBorders>
              <w:top w:val="nil"/>
              <w:left w:val="nil"/>
              <w:bottom w:val="nil"/>
              <w:right w:val="single" w:sz="4" w:space="0" w:color="auto"/>
            </w:tcBorders>
            <w:shd w:val="clear" w:color="000000" w:fill="FFFFFF"/>
            <w:noWrap/>
            <w:vAlign w:val="bottom"/>
            <w:hideMark/>
          </w:tcPr>
          <w:p w14:paraId="221FE1F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148 814</w:t>
            </w:r>
          </w:p>
        </w:tc>
      </w:tr>
      <w:tr w:rsidR="00632442" w:rsidRPr="00632442" w14:paraId="18A15BD3" w14:textId="77777777" w:rsidTr="0049639B">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bottom"/>
            <w:hideMark/>
          </w:tcPr>
          <w:p w14:paraId="27CDD9EE"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KOPĀ</w:t>
            </w:r>
          </w:p>
        </w:tc>
        <w:tc>
          <w:tcPr>
            <w:tcW w:w="880" w:type="dxa"/>
            <w:tcBorders>
              <w:top w:val="single" w:sz="4" w:space="0" w:color="auto"/>
              <w:left w:val="nil"/>
              <w:bottom w:val="single" w:sz="4" w:space="0" w:color="auto"/>
              <w:right w:val="single" w:sz="4" w:space="0" w:color="auto"/>
            </w:tcBorders>
            <w:shd w:val="clear" w:color="000000" w:fill="FFFFFF"/>
            <w:noWrap/>
            <w:vAlign w:val="center"/>
            <w:hideMark/>
          </w:tcPr>
          <w:p w14:paraId="1F2E4812"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980" w:type="dxa"/>
            <w:tcBorders>
              <w:top w:val="single" w:sz="4" w:space="0" w:color="auto"/>
              <w:left w:val="nil"/>
              <w:bottom w:val="single" w:sz="4" w:space="0" w:color="auto"/>
              <w:right w:val="single" w:sz="4" w:space="0" w:color="auto"/>
            </w:tcBorders>
            <w:shd w:val="clear" w:color="000000" w:fill="FFFFFF"/>
            <w:noWrap/>
            <w:vAlign w:val="center"/>
            <w:hideMark/>
          </w:tcPr>
          <w:p w14:paraId="4D8F8E64"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1756607B"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424 267 371</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7C01377"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4EB7B2B1"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84F10CE"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430 986 733</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C44AD3E"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966" w:type="dxa"/>
            <w:tcBorders>
              <w:top w:val="single" w:sz="4" w:space="0" w:color="auto"/>
              <w:left w:val="nil"/>
              <w:bottom w:val="single" w:sz="4" w:space="0" w:color="auto"/>
              <w:right w:val="single" w:sz="4" w:space="0" w:color="auto"/>
            </w:tcBorders>
            <w:shd w:val="clear" w:color="000000" w:fill="FFFFFF"/>
            <w:noWrap/>
            <w:vAlign w:val="center"/>
            <w:hideMark/>
          </w:tcPr>
          <w:p w14:paraId="41B6E77C"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1233" w:type="dxa"/>
            <w:tcBorders>
              <w:top w:val="single" w:sz="4" w:space="0" w:color="auto"/>
              <w:left w:val="nil"/>
              <w:bottom w:val="single" w:sz="4" w:space="0" w:color="auto"/>
              <w:right w:val="single" w:sz="4" w:space="0" w:color="auto"/>
            </w:tcBorders>
            <w:shd w:val="clear" w:color="000000" w:fill="FFFFFF"/>
            <w:noWrap/>
            <w:vAlign w:val="center"/>
            <w:hideMark/>
          </w:tcPr>
          <w:p w14:paraId="20DB5039"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440 089 292</w:t>
            </w:r>
          </w:p>
        </w:tc>
      </w:tr>
    </w:tbl>
    <w:p w14:paraId="4CD063D1" w14:textId="71922635" w:rsidR="006836ED" w:rsidRPr="00574C5E" w:rsidRDefault="00632442" w:rsidP="00632442">
      <w:pPr>
        <w:widowControl w:val="0"/>
        <w:spacing w:before="120"/>
        <w:ind w:firstLine="0"/>
        <w:rPr>
          <w:rFonts w:eastAsia="Calibri" w:cs="Times New Roman"/>
          <w:i/>
          <w:sz w:val="20"/>
          <w:szCs w:val="20"/>
        </w:rPr>
      </w:pPr>
      <w:r w:rsidRPr="00574C5E">
        <w:rPr>
          <w:rFonts w:eastAsia="Calibri" w:cs="Times New Roman"/>
          <w:i/>
          <w:sz w:val="20"/>
          <w:szCs w:val="20"/>
        </w:rPr>
        <w:t xml:space="preserve">Datu avots: </w:t>
      </w:r>
      <w:r w:rsidR="006836ED" w:rsidRPr="00574C5E">
        <w:rPr>
          <w:rFonts w:eastAsia="Calibri" w:cs="Times New Roman"/>
          <w:i/>
          <w:sz w:val="20"/>
          <w:szCs w:val="20"/>
        </w:rPr>
        <w:t>FM</w:t>
      </w:r>
    </w:p>
    <w:p w14:paraId="6953EAE0" w14:textId="77777777" w:rsidR="00632442" w:rsidRPr="00632442" w:rsidRDefault="00632442" w:rsidP="00632442">
      <w:pPr>
        <w:spacing w:after="160" w:line="259" w:lineRule="auto"/>
        <w:ind w:firstLine="0"/>
        <w:jc w:val="left"/>
        <w:rPr>
          <w:rFonts w:eastAsia="Times New Roman" w:cs="Times New Roman"/>
          <w:color w:val="000000"/>
          <w:sz w:val="18"/>
          <w:szCs w:val="18"/>
          <w:highlight w:val="lightGray"/>
        </w:rPr>
      </w:pPr>
      <w:r w:rsidRPr="00632442">
        <w:rPr>
          <w:rFonts w:eastAsia="Times New Roman" w:cs="Times New Roman"/>
          <w:color w:val="000000"/>
          <w:sz w:val="18"/>
          <w:szCs w:val="18"/>
          <w:highlight w:val="lightGray"/>
        </w:rPr>
        <w:br w:type="page"/>
      </w:r>
    </w:p>
    <w:p w14:paraId="53667F6C" w14:textId="77777777" w:rsidR="00632442" w:rsidRPr="00632442" w:rsidRDefault="00632442" w:rsidP="00632442">
      <w:pPr>
        <w:widowControl w:val="0"/>
        <w:ind w:right="111"/>
        <w:jc w:val="right"/>
        <w:rPr>
          <w:rFonts w:eastAsia="Times New Roman" w:cs="Times New Roman"/>
          <w:color w:val="000000"/>
        </w:rPr>
      </w:pPr>
      <w:r w:rsidRPr="00632442">
        <w:rPr>
          <w:rFonts w:eastAsia="Times New Roman" w:cs="Times New Roman"/>
          <w:color w:val="000000"/>
        </w:rPr>
        <w:lastRenderedPageBreak/>
        <w:t>6. pielikums</w:t>
      </w:r>
    </w:p>
    <w:p w14:paraId="1E3334B1" w14:textId="5DE64A84" w:rsidR="00632442" w:rsidRPr="00632442" w:rsidRDefault="00632442" w:rsidP="00632442">
      <w:pPr>
        <w:widowControl w:val="0"/>
        <w:ind w:right="-31"/>
        <w:jc w:val="right"/>
        <w:rPr>
          <w:rFonts w:eastAsia="Times New Roman" w:cs="Times New Roman"/>
          <w:b/>
          <w:color w:val="000000"/>
        </w:rPr>
      </w:pPr>
      <w:r w:rsidRPr="00632442">
        <w:rPr>
          <w:rFonts w:eastAsia="Times New Roman" w:cs="Times New Roman"/>
          <w:b/>
          <w:color w:val="000000"/>
        </w:rPr>
        <w:t xml:space="preserve">Labklājības ministrijas pamatbudžeta </w:t>
      </w:r>
      <w:r w:rsidR="00ED15CD">
        <w:rPr>
          <w:rFonts w:eastAsia="Times New Roman" w:cs="Times New Roman"/>
          <w:b/>
          <w:color w:val="000000"/>
        </w:rPr>
        <w:t>apakš</w:t>
      </w:r>
      <w:r w:rsidRPr="00632442">
        <w:rPr>
          <w:rFonts w:eastAsia="Times New Roman" w:cs="Times New Roman"/>
          <w:b/>
          <w:color w:val="000000"/>
        </w:rPr>
        <w:t>programma 20.02.00 "Izdienas pensijas"</w:t>
      </w:r>
    </w:p>
    <w:tbl>
      <w:tblPr>
        <w:tblW w:w="14276" w:type="dxa"/>
        <w:tblLook w:val="04A0" w:firstRow="1" w:lastRow="0" w:firstColumn="1" w:lastColumn="0" w:noHBand="0" w:noVBand="1"/>
      </w:tblPr>
      <w:tblGrid>
        <w:gridCol w:w="4406"/>
        <w:gridCol w:w="866"/>
        <w:gridCol w:w="966"/>
        <w:gridCol w:w="1104"/>
        <w:gridCol w:w="1233"/>
        <w:gridCol w:w="1168"/>
        <w:gridCol w:w="1123"/>
        <w:gridCol w:w="1188"/>
        <w:gridCol w:w="966"/>
        <w:gridCol w:w="1256"/>
      </w:tblGrid>
      <w:tr w:rsidR="00632442" w:rsidRPr="00632442" w14:paraId="06D317DE" w14:textId="77777777" w:rsidTr="0049639B">
        <w:trPr>
          <w:trHeight w:val="660"/>
        </w:trPr>
        <w:tc>
          <w:tcPr>
            <w:tcW w:w="4406" w:type="dxa"/>
            <w:vMerge w:val="restart"/>
            <w:tcBorders>
              <w:top w:val="single" w:sz="4" w:space="0" w:color="auto"/>
              <w:left w:val="single" w:sz="4" w:space="0" w:color="auto"/>
              <w:right w:val="single" w:sz="4" w:space="0" w:color="auto"/>
            </w:tcBorders>
            <w:shd w:val="clear" w:color="auto" w:fill="9CC2E5"/>
            <w:noWrap/>
            <w:vAlign w:val="bottom"/>
            <w:hideMark/>
          </w:tcPr>
          <w:p w14:paraId="2D7937B4"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 </w:t>
            </w:r>
          </w:p>
          <w:p w14:paraId="1E5AC038"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veids</w:t>
            </w:r>
          </w:p>
        </w:tc>
        <w:tc>
          <w:tcPr>
            <w:tcW w:w="2936"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1A8CF74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2024. gada projekts</w:t>
            </w:r>
          </w:p>
        </w:tc>
        <w:tc>
          <w:tcPr>
            <w:tcW w:w="3524"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2CF7AEA5"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2025. gada projekts</w:t>
            </w:r>
          </w:p>
        </w:tc>
        <w:tc>
          <w:tcPr>
            <w:tcW w:w="3410"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34F3C4D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2026. gada projekts</w:t>
            </w:r>
          </w:p>
        </w:tc>
      </w:tr>
      <w:tr w:rsidR="00632442" w:rsidRPr="00632442" w14:paraId="1C8B76CE" w14:textId="77777777" w:rsidTr="0049639B">
        <w:trPr>
          <w:trHeight w:val="289"/>
        </w:trPr>
        <w:tc>
          <w:tcPr>
            <w:tcW w:w="4406" w:type="dxa"/>
            <w:vMerge/>
            <w:tcBorders>
              <w:left w:val="single" w:sz="4" w:space="0" w:color="auto"/>
              <w:right w:val="single" w:sz="4" w:space="0" w:color="auto"/>
            </w:tcBorders>
            <w:shd w:val="clear" w:color="auto" w:fill="9CC2E5"/>
            <w:noWrap/>
            <w:vAlign w:val="center"/>
            <w:hideMark/>
          </w:tcPr>
          <w:p w14:paraId="6B47561E" w14:textId="77777777" w:rsidR="00632442" w:rsidRPr="00632442" w:rsidRDefault="00632442" w:rsidP="00632442">
            <w:pPr>
              <w:spacing w:after="0"/>
              <w:ind w:firstLine="0"/>
              <w:jc w:val="center"/>
              <w:rPr>
                <w:rFonts w:eastAsia="Times New Roman" w:cs="Times New Roman"/>
                <w:sz w:val="18"/>
                <w:szCs w:val="18"/>
              </w:rPr>
            </w:pPr>
          </w:p>
        </w:tc>
        <w:tc>
          <w:tcPr>
            <w:tcW w:w="866" w:type="dxa"/>
            <w:vMerge w:val="restart"/>
            <w:tcBorders>
              <w:top w:val="nil"/>
              <w:left w:val="single" w:sz="4" w:space="0" w:color="auto"/>
              <w:bottom w:val="single" w:sz="4" w:space="0" w:color="000000"/>
              <w:right w:val="single" w:sz="4" w:space="0" w:color="auto"/>
            </w:tcBorders>
            <w:shd w:val="clear" w:color="auto" w:fill="DEEAF6"/>
            <w:vAlign w:val="center"/>
            <w:hideMark/>
          </w:tcPr>
          <w:p w14:paraId="2ABFBF20"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apmērs vidēji mēnesī (</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966" w:type="dxa"/>
            <w:tcBorders>
              <w:top w:val="nil"/>
              <w:left w:val="nil"/>
              <w:bottom w:val="nil"/>
              <w:right w:val="single" w:sz="4" w:space="0" w:color="auto"/>
            </w:tcBorders>
            <w:shd w:val="clear" w:color="auto" w:fill="DEEAF6"/>
            <w:vAlign w:val="center"/>
            <w:hideMark/>
          </w:tcPr>
          <w:p w14:paraId="1913FCC7"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w:t>
            </w:r>
            <w:r w:rsidRPr="00632442">
              <w:rPr>
                <w:rFonts w:eastAsia="Times New Roman" w:cs="Times New Roman"/>
                <w:sz w:val="18"/>
                <w:szCs w:val="18"/>
              </w:rPr>
              <w:br/>
              <w:t xml:space="preserve"> skaits</w:t>
            </w:r>
          </w:p>
        </w:tc>
        <w:tc>
          <w:tcPr>
            <w:tcW w:w="1104" w:type="dxa"/>
            <w:tcBorders>
              <w:top w:val="nil"/>
              <w:left w:val="nil"/>
              <w:bottom w:val="nil"/>
              <w:right w:val="single" w:sz="4" w:space="0" w:color="auto"/>
            </w:tcBorders>
            <w:shd w:val="clear" w:color="auto" w:fill="DEEAF6"/>
            <w:vAlign w:val="center"/>
            <w:hideMark/>
          </w:tcPr>
          <w:p w14:paraId="2ED52314"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Izdevumi kopā</w:t>
            </w:r>
          </w:p>
        </w:tc>
        <w:tc>
          <w:tcPr>
            <w:tcW w:w="1233" w:type="dxa"/>
            <w:vMerge w:val="restart"/>
            <w:tcBorders>
              <w:top w:val="nil"/>
              <w:left w:val="single" w:sz="4" w:space="0" w:color="auto"/>
              <w:bottom w:val="single" w:sz="4" w:space="0" w:color="000000"/>
              <w:right w:val="single" w:sz="4" w:space="0" w:color="auto"/>
            </w:tcBorders>
            <w:shd w:val="clear" w:color="auto" w:fill="DEEAF6"/>
            <w:vAlign w:val="center"/>
            <w:hideMark/>
          </w:tcPr>
          <w:p w14:paraId="41AF865D"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apmērs vidēji mēnesī (</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1168" w:type="dxa"/>
            <w:tcBorders>
              <w:top w:val="nil"/>
              <w:left w:val="nil"/>
              <w:bottom w:val="nil"/>
              <w:right w:val="single" w:sz="4" w:space="0" w:color="auto"/>
            </w:tcBorders>
            <w:shd w:val="clear" w:color="auto" w:fill="DEEAF6"/>
            <w:vAlign w:val="center"/>
            <w:hideMark/>
          </w:tcPr>
          <w:p w14:paraId="05C27E4C"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w:t>
            </w:r>
            <w:r w:rsidRPr="00632442">
              <w:rPr>
                <w:rFonts w:eastAsia="Times New Roman" w:cs="Times New Roman"/>
                <w:sz w:val="18"/>
                <w:szCs w:val="18"/>
              </w:rPr>
              <w:br/>
              <w:t xml:space="preserve"> skaits</w:t>
            </w:r>
          </w:p>
        </w:tc>
        <w:tc>
          <w:tcPr>
            <w:tcW w:w="1123" w:type="dxa"/>
            <w:tcBorders>
              <w:top w:val="nil"/>
              <w:left w:val="nil"/>
              <w:bottom w:val="nil"/>
              <w:right w:val="single" w:sz="4" w:space="0" w:color="auto"/>
            </w:tcBorders>
            <w:shd w:val="clear" w:color="auto" w:fill="DEEAF6"/>
            <w:vAlign w:val="center"/>
            <w:hideMark/>
          </w:tcPr>
          <w:p w14:paraId="1173DB4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Izdevumi kopā</w:t>
            </w:r>
          </w:p>
        </w:tc>
        <w:tc>
          <w:tcPr>
            <w:tcW w:w="1188" w:type="dxa"/>
            <w:vMerge w:val="restart"/>
            <w:tcBorders>
              <w:top w:val="nil"/>
              <w:left w:val="single" w:sz="4" w:space="0" w:color="auto"/>
              <w:bottom w:val="single" w:sz="4" w:space="0" w:color="000000"/>
              <w:right w:val="single" w:sz="4" w:space="0" w:color="auto"/>
            </w:tcBorders>
            <w:shd w:val="clear" w:color="auto" w:fill="DEEAF6"/>
            <w:vAlign w:val="center"/>
            <w:hideMark/>
          </w:tcPr>
          <w:p w14:paraId="24B069C5"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apmērs vidēji mēnesī (</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966" w:type="dxa"/>
            <w:tcBorders>
              <w:top w:val="nil"/>
              <w:left w:val="nil"/>
              <w:bottom w:val="nil"/>
              <w:right w:val="single" w:sz="4" w:space="0" w:color="auto"/>
            </w:tcBorders>
            <w:shd w:val="clear" w:color="auto" w:fill="DEEAF6"/>
            <w:vAlign w:val="center"/>
            <w:hideMark/>
          </w:tcPr>
          <w:p w14:paraId="1ED673C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w:t>
            </w:r>
            <w:r w:rsidRPr="00632442">
              <w:rPr>
                <w:rFonts w:eastAsia="Times New Roman" w:cs="Times New Roman"/>
                <w:sz w:val="18"/>
                <w:szCs w:val="18"/>
              </w:rPr>
              <w:br/>
              <w:t xml:space="preserve"> skaits</w:t>
            </w:r>
          </w:p>
        </w:tc>
        <w:tc>
          <w:tcPr>
            <w:tcW w:w="1256" w:type="dxa"/>
            <w:tcBorders>
              <w:top w:val="nil"/>
              <w:left w:val="nil"/>
              <w:bottom w:val="nil"/>
              <w:right w:val="single" w:sz="4" w:space="0" w:color="auto"/>
            </w:tcBorders>
            <w:shd w:val="clear" w:color="auto" w:fill="DEEAF6"/>
            <w:vAlign w:val="center"/>
            <w:hideMark/>
          </w:tcPr>
          <w:p w14:paraId="2424382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Izdevumi kopā</w:t>
            </w:r>
          </w:p>
        </w:tc>
      </w:tr>
      <w:tr w:rsidR="00632442" w:rsidRPr="00632442" w14:paraId="3AC98464" w14:textId="77777777" w:rsidTr="0049639B">
        <w:trPr>
          <w:trHeight w:val="765"/>
        </w:trPr>
        <w:tc>
          <w:tcPr>
            <w:tcW w:w="4406" w:type="dxa"/>
            <w:tcBorders>
              <w:left w:val="single" w:sz="4" w:space="0" w:color="auto"/>
              <w:bottom w:val="single" w:sz="4" w:space="0" w:color="000000"/>
              <w:right w:val="single" w:sz="4" w:space="0" w:color="auto"/>
            </w:tcBorders>
            <w:shd w:val="clear" w:color="auto" w:fill="9CC2E5"/>
            <w:vAlign w:val="center"/>
            <w:hideMark/>
          </w:tcPr>
          <w:p w14:paraId="2D59849E" w14:textId="77777777" w:rsidR="00632442" w:rsidRPr="00632442" w:rsidRDefault="00632442" w:rsidP="00632442">
            <w:pPr>
              <w:spacing w:after="0"/>
              <w:ind w:firstLine="0"/>
              <w:jc w:val="left"/>
              <w:rPr>
                <w:rFonts w:eastAsia="Times New Roman" w:cs="Times New Roman"/>
                <w:sz w:val="18"/>
                <w:szCs w:val="18"/>
              </w:rPr>
            </w:pPr>
          </w:p>
        </w:tc>
        <w:tc>
          <w:tcPr>
            <w:tcW w:w="866" w:type="dxa"/>
            <w:vMerge/>
            <w:tcBorders>
              <w:top w:val="nil"/>
              <w:left w:val="single" w:sz="4" w:space="0" w:color="auto"/>
              <w:bottom w:val="single" w:sz="4" w:space="0" w:color="000000"/>
              <w:right w:val="single" w:sz="4" w:space="0" w:color="auto"/>
            </w:tcBorders>
            <w:shd w:val="clear" w:color="auto" w:fill="DEEAF6"/>
            <w:vAlign w:val="center"/>
            <w:hideMark/>
          </w:tcPr>
          <w:p w14:paraId="5E417BAF" w14:textId="77777777" w:rsidR="00632442" w:rsidRPr="00632442" w:rsidRDefault="00632442" w:rsidP="00632442">
            <w:pPr>
              <w:spacing w:after="0"/>
              <w:ind w:firstLine="0"/>
              <w:jc w:val="left"/>
              <w:rPr>
                <w:rFonts w:eastAsia="Times New Roman" w:cs="Times New Roman"/>
                <w:sz w:val="18"/>
                <w:szCs w:val="18"/>
              </w:rPr>
            </w:pPr>
          </w:p>
        </w:tc>
        <w:tc>
          <w:tcPr>
            <w:tcW w:w="966" w:type="dxa"/>
            <w:tcBorders>
              <w:top w:val="nil"/>
              <w:left w:val="nil"/>
              <w:bottom w:val="single" w:sz="4" w:space="0" w:color="auto"/>
              <w:right w:val="single" w:sz="4" w:space="0" w:color="auto"/>
            </w:tcBorders>
            <w:shd w:val="clear" w:color="auto" w:fill="DEEAF6"/>
            <w:noWrap/>
            <w:hideMark/>
          </w:tcPr>
          <w:p w14:paraId="1132E40F"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sz w:val="18"/>
                <w:szCs w:val="18"/>
              </w:rPr>
              <w:t>vid.mēn</w:t>
            </w:r>
            <w:proofErr w:type="spellEnd"/>
            <w:r w:rsidRPr="00632442">
              <w:rPr>
                <w:rFonts w:eastAsia="Times New Roman" w:cs="Times New Roman"/>
                <w:sz w:val="18"/>
                <w:szCs w:val="18"/>
              </w:rPr>
              <w:t>.)</w:t>
            </w:r>
          </w:p>
        </w:tc>
        <w:tc>
          <w:tcPr>
            <w:tcW w:w="1104" w:type="dxa"/>
            <w:tcBorders>
              <w:top w:val="nil"/>
              <w:left w:val="nil"/>
              <w:bottom w:val="single" w:sz="4" w:space="0" w:color="auto"/>
              <w:right w:val="single" w:sz="4" w:space="0" w:color="auto"/>
            </w:tcBorders>
            <w:shd w:val="clear" w:color="auto" w:fill="DEEAF6"/>
            <w:noWrap/>
            <w:hideMark/>
          </w:tcPr>
          <w:p w14:paraId="6863D41C"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1233" w:type="dxa"/>
            <w:vMerge/>
            <w:tcBorders>
              <w:top w:val="nil"/>
              <w:left w:val="single" w:sz="4" w:space="0" w:color="auto"/>
              <w:bottom w:val="single" w:sz="4" w:space="0" w:color="000000"/>
              <w:right w:val="single" w:sz="4" w:space="0" w:color="auto"/>
            </w:tcBorders>
            <w:shd w:val="clear" w:color="auto" w:fill="DEEAF6"/>
            <w:vAlign w:val="center"/>
            <w:hideMark/>
          </w:tcPr>
          <w:p w14:paraId="58CD2D02" w14:textId="77777777" w:rsidR="00632442" w:rsidRPr="00632442" w:rsidRDefault="00632442" w:rsidP="00632442">
            <w:pPr>
              <w:spacing w:after="0"/>
              <w:ind w:firstLine="0"/>
              <w:jc w:val="left"/>
              <w:rPr>
                <w:rFonts w:eastAsia="Times New Roman" w:cs="Times New Roman"/>
                <w:sz w:val="18"/>
                <w:szCs w:val="18"/>
              </w:rPr>
            </w:pPr>
          </w:p>
        </w:tc>
        <w:tc>
          <w:tcPr>
            <w:tcW w:w="1168" w:type="dxa"/>
            <w:tcBorders>
              <w:top w:val="nil"/>
              <w:left w:val="nil"/>
              <w:bottom w:val="single" w:sz="4" w:space="0" w:color="auto"/>
              <w:right w:val="single" w:sz="4" w:space="0" w:color="auto"/>
            </w:tcBorders>
            <w:shd w:val="clear" w:color="auto" w:fill="DEEAF6"/>
            <w:noWrap/>
            <w:hideMark/>
          </w:tcPr>
          <w:p w14:paraId="524482B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sz w:val="18"/>
                <w:szCs w:val="18"/>
              </w:rPr>
              <w:t>vid.mēn</w:t>
            </w:r>
            <w:proofErr w:type="spellEnd"/>
            <w:r w:rsidRPr="00632442">
              <w:rPr>
                <w:rFonts w:eastAsia="Times New Roman" w:cs="Times New Roman"/>
                <w:sz w:val="18"/>
                <w:szCs w:val="18"/>
              </w:rPr>
              <w:t>.)</w:t>
            </w:r>
          </w:p>
        </w:tc>
        <w:tc>
          <w:tcPr>
            <w:tcW w:w="1123" w:type="dxa"/>
            <w:tcBorders>
              <w:top w:val="nil"/>
              <w:left w:val="nil"/>
              <w:bottom w:val="single" w:sz="4" w:space="0" w:color="auto"/>
              <w:right w:val="single" w:sz="4" w:space="0" w:color="auto"/>
            </w:tcBorders>
            <w:shd w:val="clear" w:color="auto" w:fill="DEEAF6"/>
            <w:noWrap/>
            <w:hideMark/>
          </w:tcPr>
          <w:p w14:paraId="295769E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1188" w:type="dxa"/>
            <w:vMerge/>
            <w:tcBorders>
              <w:top w:val="nil"/>
              <w:left w:val="single" w:sz="4" w:space="0" w:color="auto"/>
              <w:bottom w:val="single" w:sz="4" w:space="0" w:color="000000"/>
              <w:right w:val="single" w:sz="4" w:space="0" w:color="auto"/>
            </w:tcBorders>
            <w:shd w:val="clear" w:color="auto" w:fill="DEEAF6"/>
            <w:vAlign w:val="center"/>
            <w:hideMark/>
          </w:tcPr>
          <w:p w14:paraId="19872222" w14:textId="77777777" w:rsidR="00632442" w:rsidRPr="00632442" w:rsidRDefault="00632442" w:rsidP="00632442">
            <w:pPr>
              <w:spacing w:after="0"/>
              <w:ind w:firstLine="0"/>
              <w:jc w:val="left"/>
              <w:rPr>
                <w:rFonts w:eastAsia="Times New Roman" w:cs="Times New Roman"/>
                <w:sz w:val="18"/>
                <w:szCs w:val="18"/>
              </w:rPr>
            </w:pPr>
          </w:p>
        </w:tc>
        <w:tc>
          <w:tcPr>
            <w:tcW w:w="966" w:type="dxa"/>
            <w:tcBorders>
              <w:top w:val="nil"/>
              <w:left w:val="nil"/>
              <w:bottom w:val="single" w:sz="4" w:space="0" w:color="auto"/>
              <w:right w:val="single" w:sz="4" w:space="0" w:color="auto"/>
            </w:tcBorders>
            <w:shd w:val="clear" w:color="auto" w:fill="DEEAF6"/>
            <w:noWrap/>
            <w:hideMark/>
          </w:tcPr>
          <w:p w14:paraId="703529F2"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sz w:val="18"/>
                <w:szCs w:val="18"/>
              </w:rPr>
              <w:t>vid.mēn</w:t>
            </w:r>
            <w:proofErr w:type="spellEnd"/>
            <w:r w:rsidRPr="00632442">
              <w:rPr>
                <w:rFonts w:eastAsia="Times New Roman" w:cs="Times New Roman"/>
                <w:sz w:val="18"/>
                <w:szCs w:val="18"/>
              </w:rPr>
              <w:t>.)</w:t>
            </w:r>
          </w:p>
        </w:tc>
        <w:tc>
          <w:tcPr>
            <w:tcW w:w="1256" w:type="dxa"/>
            <w:tcBorders>
              <w:top w:val="nil"/>
              <w:left w:val="nil"/>
              <w:bottom w:val="single" w:sz="4" w:space="0" w:color="auto"/>
              <w:right w:val="single" w:sz="4" w:space="0" w:color="auto"/>
            </w:tcBorders>
            <w:shd w:val="clear" w:color="auto" w:fill="DEEAF6"/>
            <w:noWrap/>
            <w:hideMark/>
          </w:tcPr>
          <w:p w14:paraId="42972093"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r>
      <w:tr w:rsidR="00632442" w:rsidRPr="00632442" w14:paraId="3EB36C7C" w14:textId="77777777" w:rsidTr="0049639B">
        <w:trPr>
          <w:trHeight w:val="276"/>
        </w:trPr>
        <w:tc>
          <w:tcPr>
            <w:tcW w:w="4406" w:type="dxa"/>
            <w:tcBorders>
              <w:top w:val="nil"/>
              <w:left w:val="single" w:sz="4" w:space="0" w:color="auto"/>
              <w:bottom w:val="single" w:sz="4" w:space="0" w:color="auto"/>
              <w:right w:val="single" w:sz="4" w:space="0" w:color="auto"/>
            </w:tcBorders>
            <w:shd w:val="clear" w:color="000000" w:fill="FFFFFF"/>
            <w:noWrap/>
            <w:vAlign w:val="bottom"/>
            <w:hideMark/>
          </w:tcPr>
          <w:p w14:paraId="5FE8B3C3"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1</w:t>
            </w:r>
          </w:p>
        </w:tc>
        <w:tc>
          <w:tcPr>
            <w:tcW w:w="866" w:type="dxa"/>
            <w:tcBorders>
              <w:top w:val="nil"/>
              <w:left w:val="nil"/>
              <w:bottom w:val="single" w:sz="4" w:space="0" w:color="auto"/>
              <w:right w:val="single" w:sz="4" w:space="0" w:color="auto"/>
            </w:tcBorders>
            <w:shd w:val="clear" w:color="auto" w:fill="auto"/>
            <w:noWrap/>
            <w:vAlign w:val="bottom"/>
            <w:hideMark/>
          </w:tcPr>
          <w:p w14:paraId="7D452BF5"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w:t>
            </w:r>
          </w:p>
        </w:tc>
        <w:tc>
          <w:tcPr>
            <w:tcW w:w="966" w:type="dxa"/>
            <w:tcBorders>
              <w:top w:val="nil"/>
              <w:left w:val="nil"/>
              <w:bottom w:val="single" w:sz="4" w:space="0" w:color="auto"/>
              <w:right w:val="single" w:sz="4" w:space="0" w:color="auto"/>
            </w:tcBorders>
            <w:shd w:val="clear" w:color="auto" w:fill="auto"/>
            <w:noWrap/>
            <w:vAlign w:val="bottom"/>
            <w:hideMark/>
          </w:tcPr>
          <w:p w14:paraId="61B45A53"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3</w:t>
            </w:r>
          </w:p>
        </w:tc>
        <w:tc>
          <w:tcPr>
            <w:tcW w:w="1104" w:type="dxa"/>
            <w:tcBorders>
              <w:top w:val="nil"/>
              <w:left w:val="nil"/>
              <w:bottom w:val="single" w:sz="4" w:space="0" w:color="auto"/>
              <w:right w:val="single" w:sz="4" w:space="0" w:color="auto"/>
            </w:tcBorders>
            <w:shd w:val="clear" w:color="auto" w:fill="auto"/>
            <w:noWrap/>
            <w:vAlign w:val="bottom"/>
            <w:hideMark/>
          </w:tcPr>
          <w:p w14:paraId="5EFA19F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4</w:t>
            </w:r>
          </w:p>
        </w:tc>
        <w:tc>
          <w:tcPr>
            <w:tcW w:w="1233" w:type="dxa"/>
            <w:tcBorders>
              <w:top w:val="nil"/>
              <w:left w:val="nil"/>
              <w:bottom w:val="single" w:sz="4" w:space="0" w:color="auto"/>
              <w:right w:val="single" w:sz="4" w:space="0" w:color="auto"/>
            </w:tcBorders>
            <w:shd w:val="clear" w:color="auto" w:fill="auto"/>
            <w:noWrap/>
            <w:vAlign w:val="bottom"/>
            <w:hideMark/>
          </w:tcPr>
          <w:p w14:paraId="3BC2DD37"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5</w:t>
            </w:r>
          </w:p>
        </w:tc>
        <w:tc>
          <w:tcPr>
            <w:tcW w:w="1168" w:type="dxa"/>
            <w:tcBorders>
              <w:top w:val="nil"/>
              <w:left w:val="nil"/>
              <w:bottom w:val="single" w:sz="4" w:space="0" w:color="auto"/>
              <w:right w:val="single" w:sz="4" w:space="0" w:color="auto"/>
            </w:tcBorders>
            <w:shd w:val="clear" w:color="auto" w:fill="auto"/>
            <w:noWrap/>
            <w:vAlign w:val="bottom"/>
            <w:hideMark/>
          </w:tcPr>
          <w:p w14:paraId="3DAD6192"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6</w:t>
            </w:r>
          </w:p>
        </w:tc>
        <w:tc>
          <w:tcPr>
            <w:tcW w:w="1123" w:type="dxa"/>
            <w:tcBorders>
              <w:top w:val="nil"/>
              <w:left w:val="nil"/>
              <w:bottom w:val="single" w:sz="4" w:space="0" w:color="auto"/>
              <w:right w:val="single" w:sz="4" w:space="0" w:color="auto"/>
            </w:tcBorders>
            <w:shd w:val="clear" w:color="auto" w:fill="auto"/>
            <w:noWrap/>
            <w:vAlign w:val="bottom"/>
            <w:hideMark/>
          </w:tcPr>
          <w:p w14:paraId="3F84E8A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7</w:t>
            </w:r>
          </w:p>
        </w:tc>
        <w:tc>
          <w:tcPr>
            <w:tcW w:w="1188" w:type="dxa"/>
            <w:tcBorders>
              <w:top w:val="nil"/>
              <w:left w:val="nil"/>
              <w:bottom w:val="single" w:sz="4" w:space="0" w:color="auto"/>
              <w:right w:val="single" w:sz="4" w:space="0" w:color="auto"/>
            </w:tcBorders>
            <w:shd w:val="clear" w:color="auto" w:fill="auto"/>
            <w:noWrap/>
            <w:vAlign w:val="bottom"/>
            <w:hideMark/>
          </w:tcPr>
          <w:p w14:paraId="68DEBEA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8</w:t>
            </w:r>
          </w:p>
        </w:tc>
        <w:tc>
          <w:tcPr>
            <w:tcW w:w="966" w:type="dxa"/>
            <w:tcBorders>
              <w:top w:val="nil"/>
              <w:left w:val="nil"/>
              <w:bottom w:val="single" w:sz="4" w:space="0" w:color="auto"/>
              <w:right w:val="single" w:sz="4" w:space="0" w:color="auto"/>
            </w:tcBorders>
            <w:shd w:val="clear" w:color="auto" w:fill="auto"/>
            <w:noWrap/>
            <w:vAlign w:val="bottom"/>
            <w:hideMark/>
          </w:tcPr>
          <w:p w14:paraId="444551B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9</w:t>
            </w:r>
          </w:p>
        </w:tc>
        <w:tc>
          <w:tcPr>
            <w:tcW w:w="1256" w:type="dxa"/>
            <w:tcBorders>
              <w:top w:val="nil"/>
              <w:left w:val="nil"/>
              <w:bottom w:val="single" w:sz="4" w:space="0" w:color="auto"/>
              <w:right w:val="single" w:sz="4" w:space="0" w:color="auto"/>
            </w:tcBorders>
            <w:shd w:val="clear" w:color="auto" w:fill="auto"/>
            <w:noWrap/>
            <w:vAlign w:val="bottom"/>
            <w:hideMark/>
          </w:tcPr>
          <w:p w14:paraId="325D41D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10</w:t>
            </w:r>
          </w:p>
        </w:tc>
      </w:tr>
      <w:tr w:rsidR="00632442" w:rsidRPr="00632442" w14:paraId="771171E8" w14:textId="77777777" w:rsidTr="0049639B">
        <w:trPr>
          <w:trHeight w:val="276"/>
        </w:trPr>
        <w:tc>
          <w:tcPr>
            <w:tcW w:w="440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4559E4D" w14:textId="77777777" w:rsidR="00632442" w:rsidRPr="00632442" w:rsidRDefault="00632442" w:rsidP="00632442">
            <w:pPr>
              <w:spacing w:after="0"/>
              <w:ind w:firstLine="0"/>
              <w:jc w:val="left"/>
              <w:rPr>
                <w:rFonts w:eastAsia="Times New Roman" w:cs="Times New Roman"/>
                <w:sz w:val="18"/>
                <w:szCs w:val="18"/>
              </w:rPr>
            </w:pPr>
            <w:r w:rsidRPr="00632442">
              <w:rPr>
                <w:rFonts w:eastAsia="Calibri" w:cs="Times New Roman"/>
                <w:sz w:val="18"/>
                <w:szCs w:val="18"/>
                <w:lang w:eastAsia="en-US"/>
              </w:rPr>
              <w:t>Izdienas pensijas</w:t>
            </w:r>
          </w:p>
        </w:tc>
        <w:tc>
          <w:tcPr>
            <w:tcW w:w="866" w:type="dxa"/>
            <w:tcBorders>
              <w:top w:val="single" w:sz="4" w:space="0" w:color="auto"/>
              <w:left w:val="nil"/>
              <w:bottom w:val="single" w:sz="4" w:space="0" w:color="auto"/>
              <w:right w:val="single" w:sz="4" w:space="0" w:color="auto"/>
            </w:tcBorders>
            <w:shd w:val="clear" w:color="000000" w:fill="FFFFFF"/>
            <w:noWrap/>
            <w:vAlign w:val="bottom"/>
            <w:hideMark/>
          </w:tcPr>
          <w:p w14:paraId="63A6ADDD"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786,66</w:t>
            </w:r>
          </w:p>
        </w:tc>
        <w:tc>
          <w:tcPr>
            <w:tcW w:w="966" w:type="dxa"/>
            <w:tcBorders>
              <w:top w:val="single" w:sz="4" w:space="0" w:color="auto"/>
              <w:left w:val="nil"/>
              <w:bottom w:val="single" w:sz="4" w:space="0" w:color="auto"/>
              <w:right w:val="single" w:sz="4" w:space="0" w:color="auto"/>
            </w:tcBorders>
            <w:shd w:val="clear" w:color="000000" w:fill="FFFFFF"/>
            <w:noWrap/>
            <w:vAlign w:val="bottom"/>
            <w:hideMark/>
          </w:tcPr>
          <w:p w14:paraId="0C68D27A"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10 422</w:t>
            </w:r>
          </w:p>
        </w:tc>
        <w:tc>
          <w:tcPr>
            <w:tcW w:w="1104" w:type="dxa"/>
            <w:tcBorders>
              <w:top w:val="single" w:sz="4" w:space="0" w:color="auto"/>
              <w:left w:val="nil"/>
              <w:bottom w:val="single" w:sz="4" w:space="0" w:color="auto"/>
              <w:right w:val="single" w:sz="4" w:space="0" w:color="auto"/>
            </w:tcBorders>
            <w:shd w:val="clear" w:color="000000" w:fill="FFFFFF"/>
            <w:noWrap/>
            <w:vAlign w:val="bottom"/>
            <w:hideMark/>
          </w:tcPr>
          <w:p w14:paraId="2C5F47F8"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98 382 388</w:t>
            </w:r>
          </w:p>
        </w:tc>
        <w:tc>
          <w:tcPr>
            <w:tcW w:w="1233" w:type="dxa"/>
            <w:tcBorders>
              <w:top w:val="single" w:sz="4" w:space="0" w:color="auto"/>
              <w:left w:val="nil"/>
              <w:bottom w:val="single" w:sz="4" w:space="0" w:color="auto"/>
              <w:right w:val="single" w:sz="4" w:space="0" w:color="auto"/>
            </w:tcBorders>
            <w:shd w:val="clear" w:color="000000" w:fill="FFFFFF"/>
            <w:noWrap/>
            <w:vAlign w:val="bottom"/>
            <w:hideMark/>
          </w:tcPr>
          <w:p w14:paraId="5E58D107"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825,79</w:t>
            </w:r>
          </w:p>
        </w:tc>
        <w:tc>
          <w:tcPr>
            <w:tcW w:w="1168" w:type="dxa"/>
            <w:tcBorders>
              <w:top w:val="single" w:sz="4" w:space="0" w:color="auto"/>
              <w:left w:val="nil"/>
              <w:bottom w:val="single" w:sz="4" w:space="0" w:color="auto"/>
              <w:right w:val="nil"/>
            </w:tcBorders>
            <w:shd w:val="clear" w:color="000000" w:fill="FFFFFF"/>
            <w:noWrap/>
            <w:vAlign w:val="bottom"/>
            <w:hideMark/>
          </w:tcPr>
          <w:p w14:paraId="1057F4E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10 917</w:t>
            </w:r>
          </w:p>
        </w:tc>
        <w:tc>
          <w:tcPr>
            <w:tcW w:w="112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95A0E78"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108 181 821</w:t>
            </w:r>
          </w:p>
        </w:tc>
        <w:tc>
          <w:tcPr>
            <w:tcW w:w="1188" w:type="dxa"/>
            <w:tcBorders>
              <w:top w:val="single" w:sz="4" w:space="0" w:color="auto"/>
              <w:left w:val="nil"/>
              <w:bottom w:val="single" w:sz="4" w:space="0" w:color="auto"/>
              <w:right w:val="single" w:sz="4" w:space="0" w:color="auto"/>
            </w:tcBorders>
            <w:shd w:val="clear" w:color="000000" w:fill="FFFFFF"/>
            <w:noWrap/>
            <w:vAlign w:val="bottom"/>
            <w:hideMark/>
          </w:tcPr>
          <w:p w14:paraId="2EE9C3F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864,45</w:t>
            </w:r>
          </w:p>
        </w:tc>
        <w:tc>
          <w:tcPr>
            <w:tcW w:w="966" w:type="dxa"/>
            <w:tcBorders>
              <w:top w:val="single" w:sz="4" w:space="0" w:color="auto"/>
              <w:left w:val="nil"/>
              <w:bottom w:val="single" w:sz="4" w:space="0" w:color="auto"/>
              <w:right w:val="single" w:sz="4" w:space="0" w:color="auto"/>
            </w:tcBorders>
            <w:shd w:val="clear" w:color="000000" w:fill="FFFFFF"/>
            <w:noWrap/>
            <w:vAlign w:val="bottom"/>
            <w:hideMark/>
          </w:tcPr>
          <w:p w14:paraId="590EF726"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11 306</w:t>
            </w:r>
          </w:p>
        </w:tc>
        <w:tc>
          <w:tcPr>
            <w:tcW w:w="1256" w:type="dxa"/>
            <w:tcBorders>
              <w:top w:val="single" w:sz="4" w:space="0" w:color="auto"/>
              <w:left w:val="nil"/>
              <w:bottom w:val="single" w:sz="4" w:space="0" w:color="auto"/>
              <w:right w:val="single" w:sz="4" w:space="0" w:color="auto"/>
            </w:tcBorders>
            <w:shd w:val="clear" w:color="000000" w:fill="FFFFFF"/>
            <w:noWrap/>
            <w:vAlign w:val="bottom"/>
            <w:hideMark/>
          </w:tcPr>
          <w:p w14:paraId="2E2C5DA6"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117 282 235</w:t>
            </w:r>
          </w:p>
        </w:tc>
      </w:tr>
      <w:tr w:rsidR="00632442" w:rsidRPr="00632442" w14:paraId="00928D87" w14:textId="77777777" w:rsidTr="0049639B">
        <w:trPr>
          <w:trHeight w:val="276"/>
        </w:trPr>
        <w:tc>
          <w:tcPr>
            <w:tcW w:w="4406" w:type="dxa"/>
            <w:tcBorders>
              <w:top w:val="nil"/>
              <w:left w:val="single" w:sz="4" w:space="0" w:color="auto"/>
              <w:bottom w:val="single" w:sz="4" w:space="0" w:color="auto"/>
              <w:right w:val="nil"/>
            </w:tcBorders>
            <w:shd w:val="clear" w:color="000000" w:fill="FFFFFF"/>
            <w:vAlign w:val="bottom"/>
            <w:hideMark/>
          </w:tcPr>
          <w:p w14:paraId="734BD1DB"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Apbedīšanas pabalsts, ja miris izdienas pensijas saņēmējs</w:t>
            </w:r>
          </w:p>
        </w:tc>
        <w:tc>
          <w:tcPr>
            <w:tcW w:w="866" w:type="dxa"/>
            <w:tcBorders>
              <w:top w:val="nil"/>
              <w:left w:val="single" w:sz="4" w:space="0" w:color="auto"/>
              <w:bottom w:val="single" w:sz="4" w:space="0" w:color="auto"/>
              <w:right w:val="single" w:sz="4" w:space="0" w:color="auto"/>
            </w:tcBorders>
            <w:shd w:val="clear" w:color="000000" w:fill="FFFFFF"/>
            <w:noWrap/>
            <w:vAlign w:val="bottom"/>
            <w:hideMark/>
          </w:tcPr>
          <w:p w14:paraId="3EBEB313"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1 109,98</w:t>
            </w:r>
          </w:p>
        </w:tc>
        <w:tc>
          <w:tcPr>
            <w:tcW w:w="966" w:type="dxa"/>
            <w:tcBorders>
              <w:top w:val="nil"/>
              <w:left w:val="nil"/>
              <w:bottom w:val="single" w:sz="4" w:space="0" w:color="auto"/>
              <w:right w:val="single" w:sz="4" w:space="0" w:color="auto"/>
            </w:tcBorders>
            <w:shd w:val="clear" w:color="000000" w:fill="FFFFFF"/>
            <w:noWrap/>
            <w:vAlign w:val="bottom"/>
            <w:hideMark/>
          </w:tcPr>
          <w:p w14:paraId="34E8A4C3"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w:t>
            </w:r>
          </w:p>
        </w:tc>
        <w:tc>
          <w:tcPr>
            <w:tcW w:w="1104" w:type="dxa"/>
            <w:tcBorders>
              <w:top w:val="nil"/>
              <w:left w:val="nil"/>
              <w:bottom w:val="single" w:sz="4" w:space="0" w:color="auto"/>
              <w:right w:val="single" w:sz="4" w:space="0" w:color="auto"/>
            </w:tcBorders>
            <w:shd w:val="clear" w:color="000000" w:fill="FFFFFF"/>
            <w:noWrap/>
            <w:vAlign w:val="bottom"/>
            <w:hideMark/>
          </w:tcPr>
          <w:p w14:paraId="5C05A3E8"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66 599</w:t>
            </w:r>
          </w:p>
        </w:tc>
        <w:tc>
          <w:tcPr>
            <w:tcW w:w="1233" w:type="dxa"/>
            <w:tcBorders>
              <w:top w:val="nil"/>
              <w:left w:val="nil"/>
              <w:bottom w:val="single" w:sz="4" w:space="0" w:color="auto"/>
              <w:right w:val="single" w:sz="4" w:space="0" w:color="auto"/>
            </w:tcBorders>
            <w:shd w:val="clear" w:color="000000" w:fill="FFFFFF"/>
            <w:noWrap/>
            <w:vAlign w:val="bottom"/>
            <w:hideMark/>
          </w:tcPr>
          <w:p w14:paraId="5F6DD7A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1 149,07</w:t>
            </w:r>
          </w:p>
        </w:tc>
        <w:tc>
          <w:tcPr>
            <w:tcW w:w="1168" w:type="dxa"/>
            <w:tcBorders>
              <w:top w:val="nil"/>
              <w:left w:val="nil"/>
              <w:bottom w:val="single" w:sz="4" w:space="0" w:color="auto"/>
              <w:right w:val="single" w:sz="4" w:space="0" w:color="auto"/>
            </w:tcBorders>
            <w:shd w:val="clear" w:color="000000" w:fill="FFFFFF"/>
            <w:noWrap/>
            <w:vAlign w:val="bottom"/>
            <w:hideMark/>
          </w:tcPr>
          <w:p w14:paraId="13F7938A"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w:t>
            </w:r>
          </w:p>
        </w:tc>
        <w:tc>
          <w:tcPr>
            <w:tcW w:w="1123" w:type="dxa"/>
            <w:tcBorders>
              <w:top w:val="nil"/>
              <w:left w:val="nil"/>
              <w:bottom w:val="single" w:sz="4" w:space="0" w:color="auto"/>
              <w:right w:val="single" w:sz="4" w:space="0" w:color="auto"/>
            </w:tcBorders>
            <w:shd w:val="clear" w:color="000000" w:fill="FFFFFF"/>
            <w:noWrap/>
            <w:vAlign w:val="bottom"/>
            <w:hideMark/>
          </w:tcPr>
          <w:p w14:paraId="1BE3D580"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68 944</w:t>
            </w:r>
          </w:p>
        </w:tc>
        <w:tc>
          <w:tcPr>
            <w:tcW w:w="1188" w:type="dxa"/>
            <w:tcBorders>
              <w:top w:val="nil"/>
              <w:left w:val="nil"/>
              <w:bottom w:val="single" w:sz="4" w:space="0" w:color="auto"/>
              <w:right w:val="single" w:sz="4" w:space="0" w:color="auto"/>
            </w:tcBorders>
            <w:shd w:val="clear" w:color="000000" w:fill="FFFFFF"/>
            <w:noWrap/>
            <w:vAlign w:val="bottom"/>
            <w:hideMark/>
          </w:tcPr>
          <w:p w14:paraId="0E82441A"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1 195,27</w:t>
            </w:r>
          </w:p>
        </w:tc>
        <w:tc>
          <w:tcPr>
            <w:tcW w:w="966" w:type="dxa"/>
            <w:tcBorders>
              <w:top w:val="nil"/>
              <w:left w:val="nil"/>
              <w:bottom w:val="single" w:sz="4" w:space="0" w:color="auto"/>
              <w:right w:val="single" w:sz="4" w:space="0" w:color="auto"/>
            </w:tcBorders>
            <w:shd w:val="clear" w:color="000000" w:fill="FFFFFF"/>
            <w:noWrap/>
            <w:vAlign w:val="bottom"/>
            <w:hideMark/>
          </w:tcPr>
          <w:p w14:paraId="367B608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w:t>
            </w:r>
          </w:p>
        </w:tc>
        <w:tc>
          <w:tcPr>
            <w:tcW w:w="1256" w:type="dxa"/>
            <w:tcBorders>
              <w:top w:val="nil"/>
              <w:left w:val="nil"/>
              <w:bottom w:val="single" w:sz="4" w:space="0" w:color="auto"/>
              <w:right w:val="single" w:sz="4" w:space="0" w:color="auto"/>
            </w:tcBorders>
            <w:shd w:val="clear" w:color="000000" w:fill="FFFFFF"/>
            <w:noWrap/>
            <w:vAlign w:val="bottom"/>
            <w:hideMark/>
          </w:tcPr>
          <w:p w14:paraId="3633E986"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71 716</w:t>
            </w:r>
          </w:p>
        </w:tc>
      </w:tr>
      <w:tr w:rsidR="00632442" w:rsidRPr="00632442" w14:paraId="31AEED0F" w14:textId="77777777" w:rsidTr="0049639B">
        <w:trPr>
          <w:trHeight w:val="528"/>
        </w:trPr>
        <w:tc>
          <w:tcPr>
            <w:tcW w:w="4406" w:type="dxa"/>
            <w:tcBorders>
              <w:top w:val="nil"/>
              <w:left w:val="single" w:sz="4" w:space="0" w:color="auto"/>
              <w:bottom w:val="single" w:sz="4" w:space="0" w:color="auto"/>
              <w:right w:val="nil"/>
            </w:tcBorders>
            <w:shd w:val="clear" w:color="000000" w:fill="FFFFFF"/>
            <w:vAlign w:val="bottom"/>
            <w:hideMark/>
          </w:tcPr>
          <w:p w14:paraId="114C3156"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Pabalsts izdienas pensijas saņēmēja nāves gadījumā pārdzīvojušajam laulātajam</w:t>
            </w:r>
          </w:p>
        </w:tc>
        <w:tc>
          <w:tcPr>
            <w:tcW w:w="866" w:type="dxa"/>
            <w:tcBorders>
              <w:top w:val="nil"/>
              <w:left w:val="single" w:sz="4" w:space="0" w:color="auto"/>
              <w:bottom w:val="single" w:sz="4" w:space="0" w:color="auto"/>
              <w:right w:val="single" w:sz="4" w:space="0" w:color="auto"/>
            </w:tcBorders>
            <w:shd w:val="clear" w:color="000000" w:fill="FFFFFF"/>
            <w:noWrap/>
            <w:vAlign w:val="bottom"/>
            <w:hideMark/>
          </w:tcPr>
          <w:p w14:paraId="330D7A0D"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1 110,00</w:t>
            </w:r>
          </w:p>
        </w:tc>
        <w:tc>
          <w:tcPr>
            <w:tcW w:w="966" w:type="dxa"/>
            <w:tcBorders>
              <w:top w:val="nil"/>
              <w:left w:val="nil"/>
              <w:bottom w:val="single" w:sz="4" w:space="0" w:color="auto"/>
              <w:right w:val="single" w:sz="4" w:space="0" w:color="auto"/>
            </w:tcBorders>
            <w:shd w:val="clear" w:color="000000" w:fill="FFFFFF"/>
            <w:noWrap/>
            <w:vAlign w:val="bottom"/>
            <w:hideMark/>
          </w:tcPr>
          <w:p w14:paraId="2710007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w:t>
            </w:r>
          </w:p>
        </w:tc>
        <w:tc>
          <w:tcPr>
            <w:tcW w:w="1104" w:type="dxa"/>
            <w:tcBorders>
              <w:top w:val="nil"/>
              <w:left w:val="nil"/>
              <w:bottom w:val="single" w:sz="4" w:space="0" w:color="auto"/>
              <w:right w:val="single" w:sz="4" w:space="0" w:color="auto"/>
            </w:tcBorders>
            <w:shd w:val="clear" w:color="000000" w:fill="FFFFFF"/>
            <w:noWrap/>
            <w:vAlign w:val="bottom"/>
            <w:hideMark/>
          </w:tcPr>
          <w:p w14:paraId="2BEF2FE9"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13 320</w:t>
            </w:r>
          </w:p>
        </w:tc>
        <w:tc>
          <w:tcPr>
            <w:tcW w:w="1233" w:type="dxa"/>
            <w:tcBorders>
              <w:top w:val="nil"/>
              <w:left w:val="nil"/>
              <w:bottom w:val="single" w:sz="4" w:space="0" w:color="auto"/>
              <w:right w:val="single" w:sz="4" w:space="0" w:color="auto"/>
            </w:tcBorders>
            <w:shd w:val="clear" w:color="000000" w:fill="FFFFFF"/>
            <w:noWrap/>
            <w:vAlign w:val="bottom"/>
            <w:hideMark/>
          </w:tcPr>
          <w:p w14:paraId="120DC8D7"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1 149,08</w:t>
            </w:r>
          </w:p>
        </w:tc>
        <w:tc>
          <w:tcPr>
            <w:tcW w:w="1168" w:type="dxa"/>
            <w:tcBorders>
              <w:top w:val="nil"/>
              <w:left w:val="nil"/>
              <w:bottom w:val="single" w:sz="4" w:space="0" w:color="auto"/>
              <w:right w:val="single" w:sz="4" w:space="0" w:color="auto"/>
            </w:tcBorders>
            <w:shd w:val="clear" w:color="000000" w:fill="FFFFFF"/>
            <w:noWrap/>
            <w:vAlign w:val="bottom"/>
            <w:hideMark/>
          </w:tcPr>
          <w:p w14:paraId="35DE8B0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w:t>
            </w:r>
          </w:p>
        </w:tc>
        <w:tc>
          <w:tcPr>
            <w:tcW w:w="1123" w:type="dxa"/>
            <w:tcBorders>
              <w:top w:val="nil"/>
              <w:left w:val="nil"/>
              <w:bottom w:val="nil"/>
              <w:right w:val="single" w:sz="4" w:space="0" w:color="auto"/>
            </w:tcBorders>
            <w:shd w:val="clear" w:color="000000" w:fill="FFFFFF"/>
            <w:noWrap/>
            <w:vAlign w:val="bottom"/>
            <w:hideMark/>
          </w:tcPr>
          <w:p w14:paraId="35876B9C"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13 789</w:t>
            </w:r>
          </w:p>
        </w:tc>
        <w:tc>
          <w:tcPr>
            <w:tcW w:w="1188" w:type="dxa"/>
            <w:tcBorders>
              <w:top w:val="nil"/>
              <w:left w:val="nil"/>
              <w:bottom w:val="single" w:sz="4" w:space="0" w:color="auto"/>
              <w:right w:val="single" w:sz="4" w:space="0" w:color="auto"/>
            </w:tcBorders>
            <w:shd w:val="clear" w:color="000000" w:fill="FFFFFF"/>
            <w:noWrap/>
            <w:vAlign w:val="bottom"/>
            <w:hideMark/>
          </w:tcPr>
          <w:p w14:paraId="2738115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1 195,33</w:t>
            </w:r>
          </w:p>
        </w:tc>
        <w:tc>
          <w:tcPr>
            <w:tcW w:w="966" w:type="dxa"/>
            <w:tcBorders>
              <w:top w:val="nil"/>
              <w:left w:val="nil"/>
              <w:bottom w:val="single" w:sz="4" w:space="0" w:color="auto"/>
              <w:right w:val="single" w:sz="4" w:space="0" w:color="auto"/>
            </w:tcBorders>
            <w:shd w:val="clear" w:color="000000" w:fill="FFFFFF"/>
            <w:noWrap/>
            <w:vAlign w:val="bottom"/>
            <w:hideMark/>
          </w:tcPr>
          <w:p w14:paraId="2CFE365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w:t>
            </w:r>
          </w:p>
        </w:tc>
        <w:tc>
          <w:tcPr>
            <w:tcW w:w="1256" w:type="dxa"/>
            <w:tcBorders>
              <w:top w:val="nil"/>
              <w:left w:val="nil"/>
              <w:bottom w:val="single" w:sz="4" w:space="0" w:color="auto"/>
              <w:right w:val="single" w:sz="4" w:space="0" w:color="auto"/>
            </w:tcBorders>
            <w:shd w:val="clear" w:color="000000" w:fill="FFFFFF"/>
            <w:noWrap/>
            <w:vAlign w:val="bottom"/>
            <w:hideMark/>
          </w:tcPr>
          <w:p w14:paraId="2F7835A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14 344</w:t>
            </w:r>
          </w:p>
        </w:tc>
      </w:tr>
      <w:tr w:rsidR="00632442" w:rsidRPr="00632442" w14:paraId="65B9D70D" w14:textId="77777777" w:rsidTr="0049639B">
        <w:trPr>
          <w:trHeight w:val="1010"/>
        </w:trPr>
        <w:tc>
          <w:tcPr>
            <w:tcW w:w="4406" w:type="dxa"/>
            <w:tcBorders>
              <w:top w:val="nil"/>
              <w:left w:val="single" w:sz="4" w:space="0" w:color="auto"/>
              <w:bottom w:val="single" w:sz="4" w:space="0" w:color="auto"/>
              <w:right w:val="nil"/>
            </w:tcBorders>
            <w:shd w:val="clear" w:color="000000" w:fill="FFFFFF"/>
            <w:vAlign w:val="bottom"/>
            <w:hideMark/>
          </w:tcPr>
          <w:p w14:paraId="1EC9246E"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 xml:space="preserve">Piemaksas pie vecuma pensijām, lai saglabātu piešķirto izdienas pensijas apmēru tām personām, kurām izdienas pensijas piešķirtas saskaņā ar nolikumu "Par </w:t>
            </w:r>
            <w:proofErr w:type="spellStart"/>
            <w:r w:rsidRPr="00632442">
              <w:rPr>
                <w:rFonts w:eastAsia="Calibri" w:cs="Times New Roman"/>
                <w:sz w:val="18"/>
                <w:szCs w:val="18"/>
                <w:lang w:eastAsia="en-US"/>
              </w:rPr>
              <w:t>iekšlietu</w:t>
            </w:r>
            <w:proofErr w:type="spellEnd"/>
            <w:r w:rsidRPr="00632442">
              <w:rPr>
                <w:rFonts w:eastAsia="Calibri" w:cs="Times New Roman"/>
                <w:sz w:val="18"/>
                <w:szCs w:val="18"/>
                <w:lang w:eastAsia="en-US"/>
              </w:rPr>
              <w:t xml:space="preserve"> iestāžu ierindas un komandējošā sastāva darbinieku pensijām (darba devēju pensijām)"</w:t>
            </w:r>
          </w:p>
        </w:tc>
        <w:tc>
          <w:tcPr>
            <w:tcW w:w="866" w:type="dxa"/>
            <w:tcBorders>
              <w:top w:val="nil"/>
              <w:left w:val="single" w:sz="4" w:space="0" w:color="auto"/>
              <w:bottom w:val="single" w:sz="4" w:space="0" w:color="auto"/>
              <w:right w:val="single" w:sz="4" w:space="0" w:color="auto"/>
            </w:tcBorders>
            <w:shd w:val="clear" w:color="000000" w:fill="FFFFFF"/>
            <w:noWrap/>
            <w:vAlign w:val="bottom"/>
            <w:hideMark/>
          </w:tcPr>
          <w:p w14:paraId="25874A7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157,24</w:t>
            </w:r>
          </w:p>
        </w:tc>
        <w:tc>
          <w:tcPr>
            <w:tcW w:w="966" w:type="dxa"/>
            <w:tcBorders>
              <w:top w:val="nil"/>
              <w:left w:val="nil"/>
              <w:bottom w:val="single" w:sz="4" w:space="0" w:color="auto"/>
              <w:right w:val="single" w:sz="4" w:space="0" w:color="auto"/>
            </w:tcBorders>
            <w:shd w:val="clear" w:color="000000" w:fill="FFFFFF"/>
            <w:noWrap/>
            <w:vAlign w:val="bottom"/>
            <w:hideMark/>
          </w:tcPr>
          <w:p w14:paraId="5241253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22</w:t>
            </w:r>
          </w:p>
        </w:tc>
        <w:tc>
          <w:tcPr>
            <w:tcW w:w="1104" w:type="dxa"/>
            <w:tcBorders>
              <w:top w:val="nil"/>
              <w:left w:val="nil"/>
              <w:bottom w:val="single" w:sz="4" w:space="0" w:color="auto"/>
              <w:right w:val="single" w:sz="4" w:space="0" w:color="auto"/>
            </w:tcBorders>
            <w:shd w:val="clear" w:color="000000" w:fill="FFFFFF"/>
            <w:noWrap/>
            <w:vAlign w:val="bottom"/>
            <w:hideMark/>
          </w:tcPr>
          <w:p w14:paraId="283D118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41 511</w:t>
            </w:r>
          </w:p>
        </w:tc>
        <w:tc>
          <w:tcPr>
            <w:tcW w:w="1233" w:type="dxa"/>
            <w:tcBorders>
              <w:top w:val="nil"/>
              <w:left w:val="nil"/>
              <w:bottom w:val="single" w:sz="4" w:space="0" w:color="auto"/>
              <w:right w:val="single" w:sz="4" w:space="0" w:color="auto"/>
            </w:tcBorders>
            <w:shd w:val="clear" w:color="000000" w:fill="FFFFFF"/>
            <w:noWrap/>
            <w:vAlign w:val="bottom"/>
            <w:hideMark/>
          </w:tcPr>
          <w:p w14:paraId="49D67FD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166,96</w:t>
            </w:r>
          </w:p>
        </w:tc>
        <w:tc>
          <w:tcPr>
            <w:tcW w:w="1168" w:type="dxa"/>
            <w:tcBorders>
              <w:top w:val="nil"/>
              <w:left w:val="nil"/>
              <w:bottom w:val="single" w:sz="4" w:space="0" w:color="auto"/>
              <w:right w:val="single" w:sz="4" w:space="0" w:color="auto"/>
            </w:tcBorders>
            <w:shd w:val="clear" w:color="000000" w:fill="FFFFFF"/>
            <w:noWrap/>
            <w:vAlign w:val="bottom"/>
            <w:hideMark/>
          </w:tcPr>
          <w:p w14:paraId="44F381D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22</w:t>
            </w:r>
          </w:p>
        </w:tc>
        <w:tc>
          <w:tcPr>
            <w:tcW w:w="1123" w:type="dxa"/>
            <w:tcBorders>
              <w:top w:val="single" w:sz="4" w:space="0" w:color="auto"/>
              <w:left w:val="nil"/>
              <w:bottom w:val="single" w:sz="4" w:space="0" w:color="auto"/>
              <w:right w:val="single" w:sz="4" w:space="0" w:color="auto"/>
            </w:tcBorders>
            <w:shd w:val="clear" w:color="000000" w:fill="FFFFFF"/>
            <w:noWrap/>
            <w:vAlign w:val="bottom"/>
            <w:hideMark/>
          </w:tcPr>
          <w:p w14:paraId="4CC834E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44 077</w:t>
            </w:r>
          </w:p>
        </w:tc>
        <w:tc>
          <w:tcPr>
            <w:tcW w:w="1188" w:type="dxa"/>
            <w:tcBorders>
              <w:top w:val="nil"/>
              <w:left w:val="nil"/>
              <w:bottom w:val="nil"/>
              <w:right w:val="single" w:sz="4" w:space="0" w:color="auto"/>
            </w:tcBorders>
            <w:shd w:val="clear" w:color="000000" w:fill="FFFFFF"/>
            <w:noWrap/>
            <w:vAlign w:val="bottom"/>
            <w:hideMark/>
          </w:tcPr>
          <w:p w14:paraId="37A22CB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176,24</w:t>
            </w:r>
          </w:p>
        </w:tc>
        <w:tc>
          <w:tcPr>
            <w:tcW w:w="966" w:type="dxa"/>
            <w:tcBorders>
              <w:top w:val="nil"/>
              <w:left w:val="nil"/>
              <w:bottom w:val="nil"/>
              <w:right w:val="single" w:sz="4" w:space="0" w:color="auto"/>
            </w:tcBorders>
            <w:shd w:val="clear" w:color="000000" w:fill="FFFFFF"/>
            <w:noWrap/>
            <w:vAlign w:val="bottom"/>
            <w:hideMark/>
          </w:tcPr>
          <w:p w14:paraId="6399C45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22</w:t>
            </w:r>
          </w:p>
        </w:tc>
        <w:tc>
          <w:tcPr>
            <w:tcW w:w="1256" w:type="dxa"/>
            <w:tcBorders>
              <w:top w:val="nil"/>
              <w:left w:val="nil"/>
              <w:bottom w:val="nil"/>
              <w:right w:val="single" w:sz="4" w:space="0" w:color="auto"/>
            </w:tcBorders>
            <w:shd w:val="clear" w:color="000000" w:fill="FFFFFF"/>
            <w:noWrap/>
            <w:vAlign w:val="bottom"/>
            <w:hideMark/>
          </w:tcPr>
          <w:p w14:paraId="1D0F0ED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46 527</w:t>
            </w:r>
          </w:p>
        </w:tc>
      </w:tr>
      <w:tr w:rsidR="00632442" w:rsidRPr="00632442" w14:paraId="53A505C8" w14:textId="77777777" w:rsidTr="0049639B">
        <w:trPr>
          <w:trHeight w:val="276"/>
        </w:trPr>
        <w:tc>
          <w:tcPr>
            <w:tcW w:w="440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57BF25A"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KOPĀ</w:t>
            </w:r>
          </w:p>
        </w:tc>
        <w:tc>
          <w:tcPr>
            <w:tcW w:w="866" w:type="dxa"/>
            <w:tcBorders>
              <w:top w:val="nil"/>
              <w:left w:val="nil"/>
              <w:bottom w:val="single" w:sz="4" w:space="0" w:color="auto"/>
              <w:right w:val="single" w:sz="4" w:space="0" w:color="auto"/>
            </w:tcBorders>
            <w:shd w:val="clear" w:color="000000" w:fill="FFFFFF"/>
            <w:noWrap/>
            <w:vAlign w:val="center"/>
            <w:hideMark/>
          </w:tcPr>
          <w:p w14:paraId="1F0D3E5D"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966" w:type="dxa"/>
            <w:tcBorders>
              <w:top w:val="nil"/>
              <w:left w:val="nil"/>
              <w:bottom w:val="single" w:sz="4" w:space="0" w:color="auto"/>
              <w:right w:val="single" w:sz="4" w:space="0" w:color="auto"/>
            </w:tcBorders>
            <w:shd w:val="clear" w:color="000000" w:fill="FFFFFF"/>
            <w:noWrap/>
            <w:vAlign w:val="center"/>
            <w:hideMark/>
          </w:tcPr>
          <w:p w14:paraId="5A1E3D31"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1104" w:type="dxa"/>
            <w:tcBorders>
              <w:top w:val="nil"/>
              <w:left w:val="nil"/>
              <w:bottom w:val="single" w:sz="4" w:space="0" w:color="auto"/>
              <w:right w:val="single" w:sz="4" w:space="0" w:color="auto"/>
            </w:tcBorders>
            <w:shd w:val="clear" w:color="000000" w:fill="FFFFFF"/>
            <w:noWrap/>
            <w:vAlign w:val="center"/>
            <w:hideMark/>
          </w:tcPr>
          <w:p w14:paraId="551E5E9C"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98 503 818</w:t>
            </w:r>
          </w:p>
        </w:tc>
        <w:tc>
          <w:tcPr>
            <w:tcW w:w="1233" w:type="dxa"/>
            <w:tcBorders>
              <w:top w:val="nil"/>
              <w:left w:val="nil"/>
              <w:bottom w:val="single" w:sz="4" w:space="0" w:color="auto"/>
              <w:right w:val="single" w:sz="4" w:space="0" w:color="auto"/>
            </w:tcBorders>
            <w:shd w:val="clear" w:color="000000" w:fill="FFFFFF"/>
            <w:noWrap/>
            <w:vAlign w:val="center"/>
            <w:hideMark/>
          </w:tcPr>
          <w:p w14:paraId="09207066"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1168" w:type="dxa"/>
            <w:tcBorders>
              <w:top w:val="nil"/>
              <w:left w:val="nil"/>
              <w:bottom w:val="single" w:sz="4" w:space="0" w:color="auto"/>
              <w:right w:val="single" w:sz="4" w:space="0" w:color="auto"/>
            </w:tcBorders>
            <w:shd w:val="clear" w:color="000000" w:fill="FFFFFF"/>
            <w:noWrap/>
            <w:vAlign w:val="center"/>
            <w:hideMark/>
          </w:tcPr>
          <w:p w14:paraId="3C84B7D8"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1123" w:type="dxa"/>
            <w:tcBorders>
              <w:top w:val="nil"/>
              <w:left w:val="nil"/>
              <w:bottom w:val="single" w:sz="4" w:space="0" w:color="auto"/>
              <w:right w:val="single" w:sz="4" w:space="0" w:color="auto"/>
            </w:tcBorders>
            <w:shd w:val="clear" w:color="000000" w:fill="FFFFFF"/>
            <w:noWrap/>
            <w:vAlign w:val="center"/>
            <w:hideMark/>
          </w:tcPr>
          <w:p w14:paraId="4A8DBB8D"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108 308 631</w:t>
            </w:r>
          </w:p>
        </w:tc>
        <w:tc>
          <w:tcPr>
            <w:tcW w:w="1188" w:type="dxa"/>
            <w:tcBorders>
              <w:top w:val="single" w:sz="4" w:space="0" w:color="auto"/>
              <w:left w:val="nil"/>
              <w:bottom w:val="single" w:sz="4" w:space="0" w:color="auto"/>
              <w:right w:val="single" w:sz="4" w:space="0" w:color="auto"/>
            </w:tcBorders>
            <w:shd w:val="clear" w:color="000000" w:fill="FFFFFF"/>
            <w:noWrap/>
            <w:vAlign w:val="center"/>
            <w:hideMark/>
          </w:tcPr>
          <w:p w14:paraId="3A60E125"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966" w:type="dxa"/>
            <w:tcBorders>
              <w:top w:val="single" w:sz="4" w:space="0" w:color="auto"/>
              <w:left w:val="nil"/>
              <w:bottom w:val="single" w:sz="4" w:space="0" w:color="auto"/>
              <w:right w:val="single" w:sz="4" w:space="0" w:color="auto"/>
            </w:tcBorders>
            <w:shd w:val="clear" w:color="000000" w:fill="FFFFFF"/>
            <w:noWrap/>
            <w:vAlign w:val="center"/>
            <w:hideMark/>
          </w:tcPr>
          <w:p w14:paraId="31AA28E0"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x</w:t>
            </w:r>
          </w:p>
        </w:tc>
        <w:tc>
          <w:tcPr>
            <w:tcW w:w="1256" w:type="dxa"/>
            <w:tcBorders>
              <w:top w:val="single" w:sz="4" w:space="0" w:color="auto"/>
              <w:left w:val="nil"/>
              <w:bottom w:val="single" w:sz="4" w:space="0" w:color="auto"/>
              <w:right w:val="single" w:sz="4" w:space="0" w:color="auto"/>
            </w:tcBorders>
            <w:shd w:val="clear" w:color="000000" w:fill="FFFFFF"/>
            <w:noWrap/>
            <w:vAlign w:val="center"/>
            <w:hideMark/>
          </w:tcPr>
          <w:p w14:paraId="67EEEA72"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117 414 822</w:t>
            </w:r>
          </w:p>
        </w:tc>
      </w:tr>
    </w:tbl>
    <w:p w14:paraId="7CDBB8D9" w14:textId="287372C2" w:rsidR="00632442" w:rsidRPr="00632442" w:rsidRDefault="00632442" w:rsidP="00632442">
      <w:pPr>
        <w:widowControl w:val="0"/>
        <w:spacing w:before="120"/>
        <w:ind w:firstLine="0"/>
        <w:rPr>
          <w:rFonts w:eastAsia="Calibri" w:cs="Times New Roman"/>
          <w:i/>
          <w:sz w:val="20"/>
        </w:rPr>
      </w:pPr>
      <w:r w:rsidRPr="00632442">
        <w:rPr>
          <w:rFonts w:eastAsia="Calibri" w:cs="Times New Roman"/>
          <w:i/>
          <w:sz w:val="20"/>
        </w:rPr>
        <w:t xml:space="preserve">Datu avots: </w:t>
      </w:r>
      <w:r w:rsidR="006836ED">
        <w:rPr>
          <w:rFonts w:eastAsia="Calibri" w:cs="Times New Roman"/>
          <w:i/>
          <w:sz w:val="20"/>
        </w:rPr>
        <w:t>FM</w:t>
      </w:r>
    </w:p>
    <w:p w14:paraId="144F4BF4" w14:textId="77777777" w:rsidR="00632442" w:rsidRPr="00632442" w:rsidRDefault="00632442" w:rsidP="00632442">
      <w:pPr>
        <w:widowControl w:val="0"/>
        <w:rPr>
          <w:rFonts w:eastAsia="Times New Roman" w:cs="Times New Roman"/>
          <w:b/>
          <w:color w:val="000000"/>
          <w:highlight w:val="lightGray"/>
        </w:rPr>
      </w:pPr>
    </w:p>
    <w:p w14:paraId="41219181" w14:textId="77777777" w:rsidR="00632442" w:rsidRPr="00632442" w:rsidRDefault="00632442" w:rsidP="00632442">
      <w:pPr>
        <w:spacing w:after="160" w:line="259" w:lineRule="auto"/>
        <w:ind w:firstLine="0"/>
        <w:jc w:val="left"/>
        <w:rPr>
          <w:rFonts w:eastAsia="Times New Roman" w:cs="Times New Roman"/>
          <w:b/>
          <w:color w:val="000000"/>
          <w:highlight w:val="lightGray"/>
        </w:rPr>
      </w:pPr>
      <w:r w:rsidRPr="00632442">
        <w:rPr>
          <w:rFonts w:eastAsia="Times New Roman" w:cs="Times New Roman"/>
          <w:b/>
          <w:color w:val="000000"/>
          <w:highlight w:val="lightGray"/>
        </w:rPr>
        <w:br w:type="page"/>
      </w:r>
    </w:p>
    <w:p w14:paraId="3FD7CEBD" w14:textId="77777777" w:rsidR="00632442" w:rsidRPr="00632442" w:rsidRDefault="00632442" w:rsidP="00632442">
      <w:pPr>
        <w:widowControl w:val="0"/>
        <w:jc w:val="right"/>
        <w:rPr>
          <w:rFonts w:eastAsia="Times New Roman" w:cs="Times New Roman"/>
          <w:color w:val="000000"/>
        </w:rPr>
      </w:pPr>
      <w:r w:rsidRPr="00632442">
        <w:rPr>
          <w:rFonts w:eastAsia="Times New Roman" w:cs="Times New Roman"/>
          <w:color w:val="000000"/>
        </w:rPr>
        <w:lastRenderedPageBreak/>
        <w:t>7. pielikums</w:t>
      </w:r>
    </w:p>
    <w:p w14:paraId="5523106F" w14:textId="173F0F6D" w:rsidR="00632442" w:rsidRPr="00632442" w:rsidRDefault="00632442" w:rsidP="00632442">
      <w:pPr>
        <w:widowControl w:val="0"/>
        <w:jc w:val="center"/>
        <w:rPr>
          <w:rFonts w:eastAsia="Times New Roman" w:cs="Times New Roman"/>
          <w:b/>
          <w:color w:val="000000"/>
        </w:rPr>
      </w:pPr>
      <w:r w:rsidRPr="00632442">
        <w:rPr>
          <w:rFonts w:eastAsia="Times New Roman" w:cs="Times New Roman"/>
          <w:b/>
          <w:color w:val="000000"/>
        </w:rPr>
        <w:t xml:space="preserve">Labklājības ministrijas  pamatbudžeta </w:t>
      </w:r>
      <w:r w:rsidR="00ED15CD">
        <w:rPr>
          <w:rFonts w:eastAsia="Times New Roman" w:cs="Times New Roman"/>
          <w:b/>
          <w:color w:val="000000"/>
        </w:rPr>
        <w:t>apakš</w:t>
      </w:r>
      <w:r w:rsidRPr="00632442">
        <w:rPr>
          <w:rFonts w:eastAsia="Times New Roman" w:cs="Times New Roman"/>
          <w:b/>
          <w:color w:val="000000"/>
        </w:rPr>
        <w:t xml:space="preserve">programma 20.03.00 </w:t>
      </w:r>
      <w:r w:rsidR="00ED15CD" w:rsidRPr="00632442">
        <w:rPr>
          <w:rFonts w:eastAsia="Times New Roman" w:cs="Times New Roman"/>
          <w:b/>
          <w:color w:val="000000"/>
        </w:rPr>
        <w:t>"</w:t>
      </w:r>
      <w:r w:rsidRPr="00632442">
        <w:rPr>
          <w:rFonts w:eastAsia="Times New Roman" w:cs="Times New Roman"/>
          <w:b/>
          <w:color w:val="000000"/>
        </w:rPr>
        <w:t>Piemaksas pie vecuma un invaliditātes pensijām</w:t>
      </w:r>
      <w:r w:rsidR="00ED15CD" w:rsidRPr="00632442">
        <w:rPr>
          <w:rFonts w:eastAsia="Times New Roman" w:cs="Times New Roman"/>
          <w:b/>
          <w:color w:val="000000"/>
        </w:rPr>
        <w:t>"</w:t>
      </w:r>
    </w:p>
    <w:tbl>
      <w:tblPr>
        <w:tblW w:w="14276" w:type="dxa"/>
        <w:tblLook w:val="04A0" w:firstRow="1" w:lastRow="0" w:firstColumn="1" w:lastColumn="0" w:noHBand="0" w:noVBand="1"/>
      </w:tblPr>
      <w:tblGrid>
        <w:gridCol w:w="4416"/>
        <w:gridCol w:w="868"/>
        <w:gridCol w:w="966"/>
        <w:gridCol w:w="1239"/>
        <w:gridCol w:w="1102"/>
        <w:gridCol w:w="1239"/>
        <w:gridCol w:w="1196"/>
        <w:gridCol w:w="876"/>
        <w:gridCol w:w="1136"/>
        <w:gridCol w:w="1238"/>
      </w:tblGrid>
      <w:tr w:rsidR="00632442" w:rsidRPr="00632442" w14:paraId="27D9E37A" w14:textId="77777777" w:rsidTr="0049639B">
        <w:trPr>
          <w:trHeight w:val="660"/>
        </w:trPr>
        <w:tc>
          <w:tcPr>
            <w:tcW w:w="4416" w:type="dxa"/>
            <w:vMerge w:val="restart"/>
            <w:tcBorders>
              <w:top w:val="single" w:sz="4" w:space="0" w:color="auto"/>
              <w:left w:val="single" w:sz="4" w:space="0" w:color="auto"/>
              <w:right w:val="single" w:sz="4" w:space="0" w:color="auto"/>
            </w:tcBorders>
            <w:shd w:val="clear" w:color="auto" w:fill="9CC2E5"/>
            <w:noWrap/>
            <w:vAlign w:val="bottom"/>
            <w:hideMark/>
          </w:tcPr>
          <w:p w14:paraId="3D3A621E"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 </w:t>
            </w:r>
          </w:p>
          <w:p w14:paraId="03D2F30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veids</w:t>
            </w:r>
          </w:p>
        </w:tc>
        <w:tc>
          <w:tcPr>
            <w:tcW w:w="3073"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4EC28DD0"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2024. gada projekts</w:t>
            </w:r>
          </w:p>
        </w:tc>
        <w:tc>
          <w:tcPr>
            <w:tcW w:w="3537"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18C753D5"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2025. gada projekts</w:t>
            </w:r>
          </w:p>
        </w:tc>
        <w:tc>
          <w:tcPr>
            <w:tcW w:w="3250"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31E7E21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2026. gada projekts</w:t>
            </w:r>
          </w:p>
        </w:tc>
      </w:tr>
      <w:tr w:rsidR="00632442" w:rsidRPr="00632442" w14:paraId="74566AF7" w14:textId="77777777" w:rsidTr="0049639B">
        <w:trPr>
          <w:trHeight w:val="480"/>
        </w:trPr>
        <w:tc>
          <w:tcPr>
            <w:tcW w:w="4416" w:type="dxa"/>
            <w:vMerge/>
            <w:tcBorders>
              <w:left w:val="single" w:sz="4" w:space="0" w:color="auto"/>
              <w:right w:val="single" w:sz="4" w:space="0" w:color="auto"/>
            </w:tcBorders>
            <w:shd w:val="clear" w:color="000000" w:fill="FFFFFF"/>
            <w:noWrap/>
            <w:vAlign w:val="center"/>
            <w:hideMark/>
          </w:tcPr>
          <w:p w14:paraId="6CF8859A" w14:textId="77777777" w:rsidR="00632442" w:rsidRPr="00632442" w:rsidRDefault="00632442" w:rsidP="00632442">
            <w:pPr>
              <w:spacing w:after="0"/>
              <w:ind w:firstLine="0"/>
              <w:jc w:val="center"/>
              <w:rPr>
                <w:rFonts w:eastAsia="Times New Roman" w:cs="Times New Roman"/>
                <w:sz w:val="18"/>
                <w:szCs w:val="18"/>
              </w:rPr>
            </w:pPr>
          </w:p>
        </w:tc>
        <w:tc>
          <w:tcPr>
            <w:tcW w:w="868" w:type="dxa"/>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152A4D53"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apmērs vidēji mēnesī (</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966" w:type="dxa"/>
            <w:tcBorders>
              <w:top w:val="single" w:sz="4" w:space="0" w:color="auto"/>
              <w:left w:val="nil"/>
              <w:bottom w:val="nil"/>
              <w:right w:val="single" w:sz="4" w:space="0" w:color="auto"/>
            </w:tcBorders>
            <w:shd w:val="clear" w:color="auto" w:fill="DEEAF6"/>
            <w:vAlign w:val="center"/>
            <w:hideMark/>
          </w:tcPr>
          <w:p w14:paraId="12E51DAE" w14:textId="77777777" w:rsidR="00632442" w:rsidRPr="00632442" w:rsidRDefault="00632442" w:rsidP="00632442">
            <w:pPr>
              <w:spacing w:after="0"/>
              <w:ind w:firstLine="0"/>
              <w:jc w:val="center"/>
              <w:rPr>
                <w:rFonts w:eastAsia="Times New Roman" w:cs="Times New Roman"/>
                <w:sz w:val="18"/>
                <w:szCs w:val="18"/>
              </w:rPr>
            </w:pPr>
          </w:p>
          <w:p w14:paraId="7AB05C5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w:t>
            </w:r>
            <w:r w:rsidRPr="00632442">
              <w:rPr>
                <w:rFonts w:eastAsia="Times New Roman" w:cs="Times New Roman"/>
                <w:sz w:val="18"/>
                <w:szCs w:val="18"/>
              </w:rPr>
              <w:br/>
              <w:t xml:space="preserve"> skaits</w:t>
            </w:r>
          </w:p>
        </w:tc>
        <w:tc>
          <w:tcPr>
            <w:tcW w:w="1239" w:type="dxa"/>
            <w:tcBorders>
              <w:top w:val="single" w:sz="4" w:space="0" w:color="auto"/>
              <w:left w:val="nil"/>
              <w:bottom w:val="nil"/>
              <w:right w:val="single" w:sz="4" w:space="0" w:color="auto"/>
            </w:tcBorders>
            <w:shd w:val="clear" w:color="auto" w:fill="DEEAF6"/>
            <w:vAlign w:val="center"/>
            <w:hideMark/>
          </w:tcPr>
          <w:p w14:paraId="5AD3AEC1" w14:textId="77777777" w:rsidR="00632442" w:rsidRPr="00632442" w:rsidRDefault="00632442" w:rsidP="00632442">
            <w:pPr>
              <w:spacing w:after="0"/>
              <w:ind w:firstLine="0"/>
              <w:jc w:val="center"/>
              <w:rPr>
                <w:rFonts w:eastAsia="Times New Roman" w:cs="Times New Roman"/>
                <w:sz w:val="18"/>
                <w:szCs w:val="18"/>
              </w:rPr>
            </w:pPr>
          </w:p>
          <w:p w14:paraId="05E3F5A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Izdevumi kopā</w:t>
            </w:r>
          </w:p>
        </w:tc>
        <w:tc>
          <w:tcPr>
            <w:tcW w:w="1102" w:type="dxa"/>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15541C2E"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apmērs vidēji mēnesī (</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1239" w:type="dxa"/>
            <w:tcBorders>
              <w:top w:val="single" w:sz="4" w:space="0" w:color="auto"/>
              <w:left w:val="nil"/>
              <w:bottom w:val="nil"/>
              <w:right w:val="single" w:sz="4" w:space="0" w:color="auto"/>
            </w:tcBorders>
            <w:shd w:val="clear" w:color="auto" w:fill="DEEAF6"/>
            <w:vAlign w:val="center"/>
            <w:hideMark/>
          </w:tcPr>
          <w:p w14:paraId="56C9C4A3" w14:textId="77777777" w:rsidR="00632442" w:rsidRPr="00632442" w:rsidRDefault="00632442" w:rsidP="00632442">
            <w:pPr>
              <w:spacing w:after="0"/>
              <w:ind w:firstLine="0"/>
              <w:jc w:val="center"/>
              <w:rPr>
                <w:rFonts w:eastAsia="Times New Roman" w:cs="Times New Roman"/>
                <w:sz w:val="18"/>
                <w:szCs w:val="18"/>
              </w:rPr>
            </w:pPr>
          </w:p>
          <w:p w14:paraId="1589765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w:t>
            </w:r>
            <w:r w:rsidRPr="00632442">
              <w:rPr>
                <w:rFonts w:eastAsia="Times New Roman" w:cs="Times New Roman"/>
                <w:sz w:val="18"/>
                <w:szCs w:val="18"/>
              </w:rPr>
              <w:br/>
              <w:t xml:space="preserve"> skaits</w:t>
            </w:r>
          </w:p>
        </w:tc>
        <w:tc>
          <w:tcPr>
            <w:tcW w:w="1196" w:type="dxa"/>
            <w:tcBorders>
              <w:top w:val="single" w:sz="4" w:space="0" w:color="auto"/>
              <w:left w:val="nil"/>
              <w:bottom w:val="nil"/>
              <w:right w:val="single" w:sz="4" w:space="0" w:color="auto"/>
            </w:tcBorders>
            <w:shd w:val="clear" w:color="auto" w:fill="DEEAF6"/>
            <w:vAlign w:val="center"/>
            <w:hideMark/>
          </w:tcPr>
          <w:p w14:paraId="558D81E8" w14:textId="77777777" w:rsidR="00632442" w:rsidRPr="00632442" w:rsidRDefault="00632442" w:rsidP="00632442">
            <w:pPr>
              <w:spacing w:after="0"/>
              <w:ind w:firstLine="0"/>
              <w:jc w:val="center"/>
              <w:rPr>
                <w:rFonts w:eastAsia="Times New Roman" w:cs="Times New Roman"/>
                <w:sz w:val="18"/>
                <w:szCs w:val="18"/>
              </w:rPr>
            </w:pPr>
          </w:p>
          <w:p w14:paraId="30BD71C1"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Izdevumi kopā</w:t>
            </w:r>
          </w:p>
        </w:tc>
        <w:tc>
          <w:tcPr>
            <w:tcW w:w="876" w:type="dxa"/>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6EC1D61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Pabalsta apmērs vidēji mēnesī (</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1136" w:type="dxa"/>
            <w:tcBorders>
              <w:top w:val="single" w:sz="4" w:space="0" w:color="auto"/>
              <w:left w:val="nil"/>
              <w:bottom w:val="nil"/>
              <w:right w:val="single" w:sz="4" w:space="0" w:color="auto"/>
            </w:tcBorders>
            <w:shd w:val="clear" w:color="auto" w:fill="DEEAF6"/>
            <w:vAlign w:val="center"/>
            <w:hideMark/>
          </w:tcPr>
          <w:p w14:paraId="1D3F66E2" w14:textId="77777777" w:rsidR="00632442" w:rsidRPr="00632442" w:rsidRDefault="00632442" w:rsidP="00632442">
            <w:pPr>
              <w:spacing w:after="0"/>
              <w:ind w:firstLine="0"/>
              <w:jc w:val="center"/>
              <w:rPr>
                <w:rFonts w:eastAsia="Times New Roman" w:cs="Times New Roman"/>
                <w:sz w:val="18"/>
                <w:szCs w:val="18"/>
              </w:rPr>
            </w:pPr>
          </w:p>
          <w:p w14:paraId="245AB1DD"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w:t>
            </w:r>
            <w:r w:rsidRPr="00632442">
              <w:rPr>
                <w:rFonts w:eastAsia="Times New Roman" w:cs="Times New Roman"/>
                <w:sz w:val="18"/>
                <w:szCs w:val="18"/>
              </w:rPr>
              <w:br/>
              <w:t xml:space="preserve"> skaits</w:t>
            </w:r>
          </w:p>
        </w:tc>
        <w:tc>
          <w:tcPr>
            <w:tcW w:w="1238" w:type="dxa"/>
            <w:tcBorders>
              <w:top w:val="single" w:sz="4" w:space="0" w:color="auto"/>
              <w:left w:val="nil"/>
              <w:bottom w:val="nil"/>
              <w:right w:val="single" w:sz="4" w:space="0" w:color="auto"/>
            </w:tcBorders>
            <w:shd w:val="clear" w:color="auto" w:fill="DEEAF6"/>
            <w:vAlign w:val="center"/>
            <w:hideMark/>
          </w:tcPr>
          <w:p w14:paraId="466622E2" w14:textId="77777777" w:rsidR="00632442" w:rsidRPr="00632442" w:rsidRDefault="00632442" w:rsidP="00632442">
            <w:pPr>
              <w:spacing w:after="0"/>
              <w:ind w:firstLine="0"/>
              <w:jc w:val="center"/>
              <w:rPr>
                <w:rFonts w:eastAsia="Times New Roman" w:cs="Times New Roman"/>
                <w:sz w:val="18"/>
                <w:szCs w:val="18"/>
              </w:rPr>
            </w:pPr>
          </w:p>
          <w:p w14:paraId="5755096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Izdevumi kopā</w:t>
            </w:r>
          </w:p>
        </w:tc>
      </w:tr>
      <w:tr w:rsidR="00632442" w:rsidRPr="00632442" w14:paraId="15F96F2D" w14:textId="77777777" w:rsidTr="0049639B">
        <w:trPr>
          <w:trHeight w:val="591"/>
        </w:trPr>
        <w:tc>
          <w:tcPr>
            <w:tcW w:w="4416" w:type="dxa"/>
            <w:tcBorders>
              <w:left w:val="single" w:sz="4" w:space="0" w:color="auto"/>
              <w:bottom w:val="single" w:sz="4" w:space="0" w:color="000000"/>
              <w:right w:val="single" w:sz="4" w:space="0" w:color="auto"/>
            </w:tcBorders>
            <w:shd w:val="clear" w:color="auto" w:fill="9CC2E5"/>
            <w:vAlign w:val="center"/>
            <w:hideMark/>
          </w:tcPr>
          <w:p w14:paraId="32526890" w14:textId="77777777" w:rsidR="00632442" w:rsidRPr="00632442" w:rsidRDefault="00632442" w:rsidP="00632442">
            <w:pPr>
              <w:spacing w:after="0"/>
              <w:ind w:firstLine="0"/>
              <w:jc w:val="left"/>
              <w:rPr>
                <w:rFonts w:eastAsia="Times New Roman" w:cs="Times New Roman"/>
                <w:sz w:val="18"/>
                <w:szCs w:val="18"/>
              </w:rPr>
            </w:pPr>
          </w:p>
        </w:tc>
        <w:tc>
          <w:tcPr>
            <w:tcW w:w="868" w:type="dxa"/>
            <w:vMerge/>
            <w:tcBorders>
              <w:top w:val="nil"/>
              <w:left w:val="single" w:sz="4" w:space="0" w:color="auto"/>
              <w:bottom w:val="single" w:sz="4" w:space="0" w:color="auto"/>
              <w:right w:val="single" w:sz="4" w:space="0" w:color="auto"/>
            </w:tcBorders>
            <w:shd w:val="clear" w:color="auto" w:fill="DEEAF6"/>
            <w:vAlign w:val="center"/>
            <w:hideMark/>
          </w:tcPr>
          <w:p w14:paraId="1E822645" w14:textId="77777777" w:rsidR="00632442" w:rsidRPr="00632442" w:rsidRDefault="00632442" w:rsidP="00632442">
            <w:pPr>
              <w:spacing w:after="0"/>
              <w:ind w:firstLine="0"/>
              <w:jc w:val="left"/>
              <w:rPr>
                <w:rFonts w:eastAsia="Times New Roman" w:cs="Times New Roman"/>
                <w:sz w:val="18"/>
                <w:szCs w:val="18"/>
              </w:rPr>
            </w:pPr>
          </w:p>
        </w:tc>
        <w:tc>
          <w:tcPr>
            <w:tcW w:w="966" w:type="dxa"/>
            <w:tcBorders>
              <w:top w:val="nil"/>
              <w:left w:val="nil"/>
              <w:bottom w:val="single" w:sz="4" w:space="0" w:color="auto"/>
              <w:right w:val="single" w:sz="4" w:space="0" w:color="auto"/>
            </w:tcBorders>
            <w:shd w:val="clear" w:color="auto" w:fill="DEEAF6"/>
            <w:noWrap/>
            <w:hideMark/>
          </w:tcPr>
          <w:p w14:paraId="0202E343"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sz w:val="18"/>
                <w:szCs w:val="18"/>
              </w:rPr>
              <w:t>vid.mēn</w:t>
            </w:r>
            <w:proofErr w:type="spellEnd"/>
            <w:r w:rsidRPr="00632442">
              <w:rPr>
                <w:rFonts w:eastAsia="Times New Roman" w:cs="Times New Roman"/>
                <w:sz w:val="18"/>
                <w:szCs w:val="18"/>
              </w:rPr>
              <w:t>.)</w:t>
            </w:r>
          </w:p>
        </w:tc>
        <w:tc>
          <w:tcPr>
            <w:tcW w:w="1239" w:type="dxa"/>
            <w:tcBorders>
              <w:top w:val="nil"/>
              <w:left w:val="nil"/>
              <w:bottom w:val="single" w:sz="4" w:space="0" w:color="auto"/>
              <w:right w:val="single" w:sz="4" w:space="0" w:color="auto"/>
            </w:tcBorders>
            <w:shd w:val="clear" w:color="auto" w:fill="DEEAF6"/>
            <w:noWrap/>
            <w:hideMark/>
          </w:tcPr>
          <w:p w14:paraId="43D52BAD"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1102" w:type="dxa"/>
            <w:vMerge/>
            <w:tcBorders>
              <w:top w:val="nil"/>
              <w:left w:val="single" w:sz="4" w:space="0" w:color="auto"/>
              <w:bottom w:val="single" w:sz="4" w:space="0" w:color="auto"/>
              <w:right w:val="single" w:sz="4" w:space="0" w:color="auto"/>
            </w:tcBorders>
            <w:shd w:val="clear" w:color="auto" w:fill="DEEAF6"/>
            <w:vAlign w:val="center"/>
            <w:hideMark/>
          </w:tcPr>
          <w:p w14:paraId="63F95760" w14:textId="77777777" w:rsidR="00632442" w:rsidRPr="00632442" w:rsidRDefault="00632442" w:rsidP="00632442">
            <w:pPr>
              <w:spacing w:after="0"/>
              <w:ind w:firstLine="0"/>
              <w:jc w:val="left"/>
              <w:rPr>
                <w:rFonts w:eastAsia="Times New Roman" w:cs="Times New Roman"/>
                <w:sz w:val="18"/>
                <w:szCs w:val="18"/>
              </w:rPr>
            </w:pPr>
          </w:p>
        </w:tc>
        <w:tc>
          <w:tcPr>
            <w:tcW w:w="1239" w:type="dxa"/>
            <w:tcBorders>
              <w:top w:val="nil"/>
              <w:left w:val="nil"/>
              <w:bottom w:val="single" w:sz="4" w:space="0" w:color="auto"/>
              <w:right w:val="single" w:sz="4" w:space="0" w:color="auto"/>
            </w:tcBorders>
            <w:shd w:val="clear" w:color="auto" w:fill="DEEAF6"/>
            <w:noWrap/>
            <w:hideMark/>
          </w:tcPr>
          <w:p w14:paraId="6F99F250"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sz w:val="18"/>
                <w:szCs w:val="18"/>
              </w:rPr>
              <w:t>vid.mēn</w:t>
            </w:r>
            <w:proofErr w:type="spellEnd"/>
            <w:r w:rsidRPr="00632442">
              <w:rPr>
                <w:rFonts w:eastAsia="Times New Roman" w:cs="Times New Roman"/>
                <w:sz w:val="18"/>
                <w:szCs w:val="18"/>
              </w:rPr>
              <w:t>.)</w:t>
            </w:r>
          </w:p>
        </w:tc>
        <w:tc>
          <w:tcPr>
            <w:tcW w:w="1196" w:type="dxa"/>
            <w:tcBorders>
              <w:top w:val="nil"/>
              <w:left w:val="nil"/>
              <w:bottom w:val="single" w:sz="4" w:space="0" w:color="auto"/>
              <w:right w:val="single" w:sz="4" w:space="0" w:color="auto"/>
            </w:tcBorders>
            <w:shd w:val="clear" w:color="auto" w:fill="DEEAF6"/>
            <w:noWrap/>
            <w:hideMark/>
          </w:tcPr>
          <w:p w14:paraId="7FF1CB3D"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c>
          <w:tcPr>
            <w:tcW w:w="876" w:type="dxa"/>
            <w:vMerge/>
            <w:tcBorders>
              <w:top w:val="nil"/>
              <w:left w:val="single" w:sz="4" w:space="0" w:color="auto"/>
              <w:bottom w:val="single" w:sz="4" w:space="0" w:color="auto"/>
              <w:right w:val="single" w:sz="4" w:space="0" w:color="auto"/>
            </w:tcBorders>
            <w:shd w:val="clear" w:color="auto" w:fill="DEEAF6"/>
            <w:vAlign w:val="center"/>
            <w:hideMark/>
          </w:tcPr>
          <w:p w14:paraId="7A0EDDD1" w14:textId="77777777" w:rsidR="00632442" w:rsidRPr="00632442" w:rsidRDefault="00632442" w:rsidP="00632442">
            <w:pPr>
              <w:spacing w:after="0"/>
              <w:ind w:firstLine="0"/>
              <w:jc w:val="left"/>
              <w:rPr>
                <w:rFonts w:eastAsia="Times New Roman" w:cs="Times New Roman"/>
                <w:sz w:val="18"/>
                <w:szCs w:val="18"/>
              </w:rPr>
            </w:pPr>
          </w:p>
        </w:tc>
        <w:tc>
          <w:tcPr>
            <w:tcW w:w="1136" w:type="dxa"/>
            <w:tcBorders>
              <w:top w:val="nil"/>
              <w:left w:val="nil"/>
              <w:bottom w:val="single" w:sz="4" w:space="0" w:color="auto"/>
              <w:right w:val="single" w:sz="4" w:space="0" w:color="auto"/>
            </w:tcBorders>
            <w:shd w:val="clear" w:color="auto" w:fill="DEEAF6"/>
            <w:noWrap/>
            <w:hideMark/>
          </w:tcPr>
          <w:p w14:paraId="2760821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sz w:val="18"/>
                <w:szCs w:val="18"/>
              </w:rPr>
              <w:t>vid.mēn</w:t>
            </w:r>
            <w:proofErr w:type="spellEnd"/>
            <w:r w:rsidRPr="00632442">
              <w:rPr>
                <w:rFonts w:eastAsia="Times New Roman" w:cs="Times New Roman"/>
                <w:sz w:val="18"/>
                <w:szCs w:val="18"/>
              </w:rPr>
              <w:t>.)</w:t>
            </w:r>
          </w:p>
        </w:tc>
        <w:tc>
          <w:tcPr>
            <w:tcW w:w="1238" w:type="dxa"/>
            <w:tcBorders>
              <w:top w:val="nil"/>
              <w:left w:val="nil"/>
              <w:bottom w:val="single" w:sz="4" w:space="0" w:color="auto"/>
              <w:right w:val="single" w:sz="4" w:space="0" w:color="auto"/>
            </w:tcBorders>
            <w:shd w:val="clear" w:color="auto" w:fill="DEEAF6"/>
            <w:noWrap/>
            <w:hideMark/>
          </w:tcPr>
          <w:p w14:paraId="3C6BFDEE"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w:t>
            </w:r>
            <w:proofErr w:type="spellStart"/>
            <w:r w:rsidRPr="00632442">
              <w:rPr>
                <w:rFonts w:eastAsia="Times New Roman" w:cs="Times New Roman"/>
                <w:i/>
                <w:sz w:val="18"/>
                <w:szCs w:val="18"/>
              </w:rPr>
              <w:t>euro</w:t>
            </w:r>
            <w:proofErr w:type="spellEnd"/>
            <w:r w:rsidRPr="00632442">
              <w:rPr>
                <w:rFonts w:eastAsia="Times New Roman" w:cs="Times New Roman"/>
                <w:sz w:val="18"/>
                <w:szCs w:val="18"/>
              </w:rPr>
              <w:t>)</w:t>
            </w:r>
          </w:p>
        </w:tc>
      </w:tr>
      <w:tr w:rsidR="00632442" w:rsidRPr="00632442" w14:paraId="57FCB769" w14:textId="77777777" w:rsidTr="0049639B">
        <w:trPr>
          <w:trHeight w:val="276"/>
        </w:trPr>
        <w:tc>
          <w:tcPr>
            <w:tcW w:w="4416" w:type="dxa"/>
            <w:tcBorders>
              <w:top w:val="nil"/>
              <w:left w:val="single" w:sz="4" w:space="0" w:color="auto"/>
              <w:bottom w:val="single" w:sz="4" w:space="0" w:color="auto"/>
              <w:right w:val="single" w:sz="4" w:space="0" w:color="auto"/>
            </w:tcBorders>
            <w:shd w:val="clear" w:color="auto" w:fill="auto"/>
            <w:noWrap/>
            <w:vAlign w:val="bottom"/>
            <w:hideMark/>
          </w:tcPr>
          <w:p w14:paraId="1D2AD16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1</w:t>
            </w:r>
          </w:p>
        </w:tc>
        <w:tc>
          <w:tcPr>
            <w:tcW w:w="868" w:type="dxa"/>
            <w:tcBorders>
              <w:top w:val="single" w:sz="4" w:space="0" w:color="auto"/>
              <w:left w:val="nil"/>
              <w:bottom w:val="single" w:sz="4" w:space="0" w:color="auto"/>
              <w:right w:val="single" w:sz="4" w:space="0" w:color="auto"/>
            </w:tcBorders>
            <w:shd w:val="clear" w:color="auto" w:fill="auto"/>
            <w:noWrap/>
            <w:vAlign w:val="bottom"/>
            <w:hideMark/>
          </w:tcPr>
          <w:p w14:paraId="0EB08E9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w:t>
            </w:r>
          </w:p>
        </w:tc>
        <w:tc>
          <w:tcPr>
            <w:tcW w:w="966" w:type="dxa"/>
            <w:tcBorders>
              <w:top w:val="single" w:sz="4" w:space="0" w:color="auto"/>
              <w:left w:val="nil"/>
              <w:bottom w:val="single" w:sz="4" w:space="0" w:color="auto"/>
              <w:right w:val="single" w:sz="4" w:space="0" w:color="auto"/>
            </w:tcBorders>
            <w:shd w:val="clear" w:color="auto" w:fill="auto"/>
            <w:noWrap/>
            <w:vAlign w:val="bottom"/>
            <w:hideMark/>
          </w:tcPr>
          <w:p w14:paraId="265B5B2D"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3</w:t>
            </w:r>
          </w:p>
        </w:tc>
        <w:tc>
          <w:tcPr>
            <w:tcW w:w="1239" w:type="dxa"/>
            <w:tcBorders>
              <w:top w:val="single" w:sz="4" w:space="0" w:color="auto"/>
              <w:left w:val="nil"/>
              <w:bottom w:val="single" w:sz="4" w:space="0" w:color="auto"/>
              <w:right w:val="single" w:sz="4" w:space="0" w:color="auto"/>
            </w:tcBorders>
            <w:shd w:val="clear" w:color="auto" w:fill="auto"/>
            <w:noWrap/>
            <w:vAlign w:val="bottom"/>
            <w:hideMark/>
          </w:tcPr>
          <w:p w14:paraId="19C58DC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4</w:t>
            </w:r>
          </w:p>
        </w:tc>
        <w:tc>
          <w:tcPr>
            <w:tcW w:w="1102" w:type="dxa"/>
            <w:tcBorders>
              <w:top w:val="single" w:sz="4" w:space="0" w:color="auto"/>
              <w:left w:val="nil"/>
              <w:bottom w:val="single" w:sz="4" w:space="0" w:color="auto"/>
              <w:right w:val="single" w:sz="4" w:space="0" w:color="auto"/>
            </w:tcBorders>
            <w:shd w:val="clear" w:color="auto" w:fill="auto"/>
            <w:noWrap/>
            <w:vAlign w:val="bottom"/>
            <w:hideMark/>
          </w:tcPr>
          <w:p w14:paraId="4ADD39F3"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5</w:t>
            </w:r>
          </w:p>
        </w:tc>
        <w:tc>
          <w:tcPr>
            <w:tcW w:w="1239" w:type="dxa"/>
            <w:tcBorders>
              <w:top w:val="single" w:sz="4" w:space="0" w:color="auto"/>
              <w:left w:val="nil"/>
              <w:bottom w:val="single" w:sz="4" w:space="0" w:color="auto"/>
              <w:right w:val="single" w:sz="4" w:space="0" w:color="auto"/>
            </w:tcBorders>
            <w:shd w:val="clear" w:color="auto" w:fill="auto"/>
            <w:noWrap/>
            <w:vAlign w:val="bottom"/>
            <w:hideMark/>
          </w:tcPr>
          <w:p w14:paraId="240508A1"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6</w:t>
            </w:r>
          </w:p>
        </w:tc>
        <w:tc>
          <w:tcPr>
            <w:tcW w:w="1196" w:type="dxa"/>
            <w:tcBorders>
              <w:top w:val="single" w:sz="4" w:space="0" w:color="auto"/>
              <w:left w:val="nil"/>
              <w:bottom w:val="single" w:sz="4" w:space="0" w:color="auto"/>
              <w:right w:val="single" w:sz="4" w:space="0" w:color="auto"/>
            </w:tcBorders>
            <w:shd w:val="clear" w:color="auto" w:fill="auto"/>
            <w:noWrap/>
            <w:vAlign w:val="bottom"/>
            <w:hideMark/>
          </w:tcPr>
          <w:p w14:paraId="7028CACC"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7</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14:paraId="67F8EAC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8</w:t>
            </w:r>
          </w:p>
        </w:tc>
        <w:tc>
          <w:tcPr>
            <w:tcW w:w="1136" w:type="dxa"/>
            <w:tcBorders>
              <w:top w:val="single" w:sz="4" w:space="0" w:color="auto"/>
              <w:left w:val="nil"/>
              <w:bottom w:val="single" w:sz="4" w:space="0" w:color="auto"/>
              <w:right w:val="single" w:sz="4" w:space="0" w:color="auto"/>
            </w:tcBorders>
            <w:shd w:val="clear" w:color="auto" w:fill="auto"/>
            <w:noWrap/>
            <w:vAlign w:val="bottom"/>
            <w:hideMark/>
          </w:tcPr>
          <w:p w14:paraId="53546328"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9</w:t>
            </w:r>
          </w:p>
        </w:tc>
        <w:tc>
          <w:tcPr>
            <w:tcW w:w="1238" w:type="dxa"/>
            <w:tcBorders>
              <w:top w:val="single" w:sz="4" w:space="0" w:color="auto"/>
              <w:left w:val="nil"/>
              <w:bottom w:val="single" w:sz="4" w:space="0" w:color="auto"/>
              <w:right w:val="single" w:sz="4" w:space="0" w:color="auto"/>
            </w:tcBorders>
            <w:shd w:val="clear" w:color="auto" w:fill="auto"/>
            <w:noWrap/>
            <w:vAlign w:val="bottom"/>
            <w:hideMark/>
          </w:tcPr>
          <w:p w14:paraId="676CE792"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10</w:t>
            </w:r>
          </w:p>
        </w:tc>
      </w:tr>
      <w:tr w:rsidR="00632442" w:rsidRPr="00632442" w14:paraId="0BE9441D" w14:textId="77777777" w:rsidTr="0049639B">
        <w:trPr>
          <w:trHeight w:val="276"/>
        </w:trPr>
        <w:tc>
          <w:tcPr>
            <w:tcW w:w="441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5151C27" w14:textId="77777777" w:rsidR="00632442" w:rsidRPr="00632442" w:rsidRDefault="00632442" w:rsidP="00632442">
            <w:pPr>
              <w:spacing w:after="0"/>
              <w:ind w:firstLine="0"/>
              <w:jc w:val="left"/>
              <w:rPr>
                <w:rFonts w:eastAsia="Times New Roman" w:cs="Times New Roman"/>
                <w:sz w:val="18"/>
                <w:szCs w:val="18"/>
              </w:rPr>
            </w:pPr>
            <w:r w:rsidRPr="00632442">
              <w:rPr>
                <w:rFonts w:eastAsia="Calibri" w:cs="Times New Roman"/>
                <w:sz w:val="18"/>
                <w:szCs w:val="18"/>
                <w:lang w:eastAsia="en-US"/>
              </w:rPr>
              <w:t>Piemaksas pie vecuma pensijām</w:t>
            </w:r>
          </w:p>
        </w:tc>
        <w:tc>
          <w:tcPr>
            <w:tcW w:w="868" w:type="dxa"/>
            <w:tcBorders>
              <w:top w:val="single" w:sz="4" w:space="0" w:color="auto"/>
              <w:left w:val="nil"/>
              <w:bottom w:val="single" w:sz="4" w:space="0" w:color="auto"/>
              <w:right w:val="single" w:sz="4" w:space="0" w:color="auto"/>
            </w:tcBorders>
            <w:shd w:val="clear" w:color="000000" w:fill="FFFFFF"/>
            <w:noWrap/>
            <w:vAlign w:val="bottom"/>
            <w:hideMark/>
          </w:tcPr>
          <w:p w14:paraId="65E5B1F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51,89</w:t>
            </w:r>
          </w:p>
        </w:tc>
        <w:tc>
          <w:tcPr>
            <w:tcW w:w="966" w:type="dxa"/>
            <w:tcBorders>
              <w:top w:val="single" w:sz="4" w:space="0" w:color="auto"/>
              <w:left w:val="nil"/>
              <w:bottom w:val="single" w:sz="4" w:space="0" w:color="auto"/>
              <w:right w:val="single" w:sz="4" w:space="0" w:color="auto"/>
            </w:tcBorders>
            <w:shd w:val="clear" w:color="000000" w:fill="FFFFFF"/>
            <w:noWrap/>
            <w:vAlign w:val="bottom"/>
            <w:hideMark/>
          </w:tcPr>
          <w:p w14:paraId="37E89071"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290 011</w:t>
            </w:r>
          </w:p>
        </w:tc>
        <w:tc>
          <w:tcPr>
            <w:tcW w:w="1239" w:type="dxa"/>
            <w:tcBorders>
              <w:top w:val="single" w:sz="4" w:space="0" w:color="auto"/>
              <w:left w:val="nil"/>
              <w:bottom w:val="single" w:sz="4" w:space="0" w:color="auto"/>
              <w:right w:val="single" w:sz="4" w:space="0" w:color="auto"/>
            </w:tcBorders>
            <w:shd w:val="clear" w:color="000000" w:fill="FFFFFF"/>
            <w:vAlign w:val="bottom"/>
            <w:hideMark/>
          </w:tcPr>
          <w:p w14:paraId="6FFA1EB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180 575 165</w:t>
            </w:r>
          </w:p>
        </w:tc>
        <w:tc>
          <w:tcPr>
            <w:tcW w:w="1102" w:type="dxa"/>
            <w:tcBorders>
              <w:top w:val="single" w:sz="4" w:space="0" w:color="auto"/>
              <w:left w:val="nil"/>
              <w:bottom w:val="single" w:sz="4" w:space="0" w:color="auto"/>
              <w:right w:val="single" w:sz="4" w:space="0" w:color="auto"/>
            </w:tcBorders>
            <w:shd w:val="clear" w:color="000000" w:fill="FFFFFF"/>
            <w:noWrap/>
            <w:vAlign w:val="bottom"/>
            <w:hideMark/>
          </w:tcPr>
          <w:p w14:paraId="6979EA69"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50,98</w:t>
            </w:r>
          </w:p>
        </w:tc>
        <w:tc>
          <w:tcPr>
            <w:tcW w:w="1239" w:type="dxa"/>
            <w:tcBorders>
              <w:top w:val="single" w:sz="4" w:space="0" w:color="auto"/>
              <w:left w:val="nil"/>
              <w:bottom w:val="single" w:sz="4" w:space="0" w:color="auto"/>
              <w:right w:val="single" w:sz="4" w:space="0" w:color="auto"/>
            </w:tcBorders>
            <w:shd w:val="clear" w:color="000000" w:fill="FFFFFF"/>
            <w:noWrap/>
            <w:vAlign w:val="bottom"/>
            <w:hideMark/>
          </w:tcPr>
          <w:p w14:paraId="0522AF5D"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315 691</w:t>
            </w:r>
          </w:p>
        </w:tc>
        <w:tc>
          <w:tcPr>
            <w:tcW w:w="1196" w:type="dxa"/>
            <w:tcBorders>
              <w:top w:val="single" w:sz="4" w:space="0" w:color="auto"/>
              <w:left w:val="nil"/>
              <w:bottom w:val="single" w:sz="4" w:space="0" w:color="auto"/>
              <w:right w:val="single" w:sz="4" w:space="0" w:color="auto"/>
            </w:tcBorders>
            <w:shd w:val="clear" w:color="000000" w:fill="FFFFFF"/>
            <w:vAlign w:val="bottom"/>
            <w:hideMark/>
          </w:tcPr>
          <w:p w14:paraId="1EAE47D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193 112 715</w:t>
            </w:r>
          </w:p>
        </w:tc>
        <w:tc>
          <w:tcPr>
            <w:tcW w:w="876" w:type="dxa"/>
            <w:tcBorders>
              <w:top w:val="single" w:sz="4" w:space="0" w:color="auto"/>
              <w:left w:val="nil"/>
              <w:bottom w:val="single" w:sz="4" w:space="0" w:color="auto"/>
              <w:right w:val="single" w:sz="4" w:space="0" w:color="auto"/>
            </w:tcBorders>
            <w:shd w:val="clear" w:color="000000" w:fill="FFFFFF"/>
            <w:noWrap/>
            <w:vAlign w:val="bottom"/>
            <w:hideMark/>
          </w:tcPr>
          <w:p w14:paraId="1F07FB9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49,99</w:t>
            </w:r>
          </w:p>
        </w:tc>
        <w:tc>
          <w:tcPr>
            <w:tcW w:w="1136" w:type="dxa"/>
            <w:tcBorders>
              <w:top w:val="single" w:sz="4" w:space="0" w:color="auto"/>
              <w:left w:val="nil"/>
              <w:bottom w:val="single" w:sz="4" w:space="0" w:color="auto"/>
              <w:right w:val="single" w:sz="4" w:space="0" w:color="auto"/>
            </w:tcBorders>
            <w:shd w:val="clear" w:color="000000" w:fill="FFFFFF"/>
            <w:noWrap/>
            <w:vAlign w:val="bottom"/>
            <w:hideMark/>
          </w:tcPr>
          <w:p w14:paraId="104CD2CA"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350 025</w:t>
            </w:r>
          </w:p>
        </w:tc>
        <w:tc>
          <w:tcPr>
            <w:tcW w:w="1238" w:type="dxa"/>
            <w:tcBorders>
              <w:top w:val="single" w:sz="4" w:space="0" w:color="auto"/>
              <w:left w:val="nil"/>
              <w:bottom w:val="single" w:sz="4" w:space="0" w:color="auto"/>
              <w:right w:val="single" w:sz="4" w:space="0" w:color="auto"/>
            </w:tcBorders>
            <w:shd w:val="clear" w:color="000000" w:fill="FFFFFF"/>
            <w:vAlign w:val="bottom"/>
            <w:hideMark/>
          </w:tcPr>
          <w:p w14:paraId="6E3F428E"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209 971 428</w:t>
            </w:r>
          </w:p>
        </w:tc>
      </w:tr>
      <w:tr w:rsidR="00632442" w:rsidRPr="00632442" w14:paraId="3EF24E99" w14:textId="77777777" w:rsidTr="0049639B">
        <w:trPr>
          <w:trHeight w:val="276"/>
        </w:trPr>
        <w:tc>
          <w:tcPr>
            <w:tcW w:w="4416" w:type="dxa"/>
            <w:tcBorders>
              <w:top w:val="nil"/>
              <w:left w:val="single" w:sz="4" w:space="0" w:color="auto"/>
              <w:bottom w:val="single" w:sz="4" w:space="0" w:color="auto"/>
              <w:right w:val="single" w:sz="4" w:space="0" w:color="auto"/>
            </w:tcBorders>
            <w:shd w:val="clear" w:color="000000" w:fill="FFFFFF"/>
            <w:noWrap/>
            <w:vAlign w:val="bottom"/>
            <w:hideMark/>
          </w:tcPr>
          <w:p w14:paraId="0EE6D033" w14:textId="77777777" w:rsidR="00632442" w:rsidRPr="00632442" w:rsidRDefault="00632442" w:rsidP="00632442">
            <w:pPr>
              <w:spacing w:after="0"/>
              <w:ind w:firstLine="0"/>
              <w:jc w:val="left"/>
              <w:rPr>
                <w:rFonts w:eastAsia="Times New Roman" w:cs="Times New Roman"/>
                <w:sz w:val="18"/>
                <w:szCs w:val="18"/>
              </w:rPr>
            </w:pPr>
            <w:r w:rsidRPr="00632442">
              <w:rPr>
                <w:rFonts w:eastAsia="Calibri" w:cs="Times New Roman"/>
                <w:sz w:val="18"/>
                <w:szCs w:val="18"/>
                <w:lang w:eastAsia="en-US"/>
              </w:rPr>
              <w:t>Piemaksas pie invaliditātes pensijām</w:t>
            </w:r>
          </w:p>
        </w:tc>
        <w:tc>
          <w:tcPr>
            <w:tcW w:w="868" w:type="dxa"/>
            <w:tcBorders>
              <w:top w:val="nil"/>
              <w:left w:val="nil"/>
              <w:bottom w:val="single" w:sz="4" w:space="0" w:color="auto"/>
              <w:right w:val="single" w:sz="4" w:space="0" w:color="auto"/>
            </w:tcBorders>
            <w:shd w:val="clear" w:color="000000" w:fill="FFFFFF"/>
            <w:noWrap/>
            <w:vAlign w:val="bottom"/>
            <w:hideMark/>
          </w:tcPr>
          <w:p w14:paraId="47CDE8D4"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15,03</w:t>
            </w:r>
          </w:p>
        </w:tc>
        <w:tc>
          <w:tcPr>
            <w:tcW w:w="966" w:type="dxa"/>
            <w:tcBorders>
              <w:top w:val="nil"/>
              <w:left w:val="nil"/>
              <w:bottom w:val="single" w:sz="4" w:space="0" w:color="auto"/>
              <w:right w:val="single" w:sz="4" w:space="0" w:color="auto"/>
            </w:tcBorders>
            <w:shd w:val="clear" w:color="000000" w:fill="FFFFFF"/>
            <w:noWrap/>
            <w:vAlign w:val="bottom"/>
            <w:hideMark/>
          </w:tcPr>
          <w:p w14:paraId="4169DE9D"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26 295</w:t>
            </w:r>
          </w:p>
        </w:tc>
        <w:tc>
          <w:tcPr>
            <w:tcW w:w="1239" w:type="dxa"/>
            <w:tcBorders>
              <w:top w:val="nil"/>
              <w:left w:val="nil"/>
              <w:bottom w:val="single" w:sz="4" w:space="0" w:color="auto"/>
              <w:right w:val="single" w:sz="4" w:space="0" w:color="auto"/>
            </w:tcBorders>
            <w:shd w:val="clear" w:color="000000" w:fill="FFFFFF"/>
            <w:vAlign w:val="bottom"/>
            <w:hideMark/>
          </w:tcPr>
          <w:p w14:paraId="158DFF76"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4 743 101</w:t>
            </w:r>
          </w:p>
        </w:tc>
        <w:tc>
          <w:tcPr>
            <w:tcW w:w="1102" w:type="dxa"/>
            <w:tcBorders>
              <w:top w:val="nil"/>
              <w:left w:val="nil"/>
              <w:bottom w:val="single" w:sz="4" w:space="0" w:color="auto"/>
              <w:right w:val="single" w:sz="4" w:space="0" w:color="auto"/>
            </w:tcBorders>
            <w:shd w:val="clear" w:color="000000" w:fill="FFFFFF"/>
            <w:noWrap/>
            <w:vAlign w:val="bottom"/>
            <w:hideMark/>
          </w:tcPr>
          <w:p w14:paraId="038DFDDB"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15,03</w:t>
            </w:r>
          </w:p>
        </w:tc>
        <w:tc>
          <w:tcPr>
            <w:tcW w:w="1239" w:type="dxa"/>
            <w:tcBorders>
              <w:top w:val="nil"/>
              <w:left w:val="nil"/>
              <w:bottom w:val="single" w:sz="4" w:space="0" w:color="auto"/>
              <w:right w:val="single" w:sz="4" w:space="0" w:color="auto"/>
            </w:tcBorders>
            <w:shd w:val="clear" w:color="000000" w:fill="FFFFFF"/>
            <w:noWrap/>
            <w:vAlign w:val="bottom"/>
            <w:hideMark/>
          </w:tcPr>
          <w:p w14:paraId="79505F92"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33 166</w:t>
            </w:r>
          </w:p>
        </w:tc>
        <w:tc>
          <w:tcPr>
            <w:tcW w:w="1196" w:type="dxa"/>
            <w:tcBorders>
              <w:top w:val="nil"/>
              <w:left w:val="nil"/>
              <w:bottom w:val="single" w:sz="4" w:space="0" w:color="auto"/>
              <w:right w:val="single" w:sz="4" w:space="0" w:color="auto"/>
            </w:tcBorders>
            <w:shd w:val="clear" w:color="000000" w:fill="FFFFFF"/>
            <w:vAlign w:val="bottom"/>
            <w:hideMark/>
          </w:tcPr>
          <w:p w14:paraId="1B6F59E7"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5 981 682</w:t>
            </w:r>
          </w:p>
        </w:tc>
        <w:tc>
          <w:tcPr>
            <w:tcW w:w="876" w:type="dxa"/>
            <w:tcBorders>
              <w:top w:val="nil"/>
              <w:left w:val="nil"/>
              <w:bottom w:val="single" w:sz="4" w:space="0" w:color="auto"/>
              <w:right w:val="single" w:sz="4" w:space="0" w:color="auto"/>
            </w:tcBorders>
            <w:shd w:val="clear" w:color="000000" w:fill="FFFFFF"/>
            <w:noWrap/>
            <w:vAlign w:val="bottom"/>
            <w:hideMark/>
          </w:tcPr>
          <w:p w14:paraId="19D8C21F"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15,74</w:t>
            </w:r>
          </w:p>
        </w:tc>
        <w:tc>
          <w:tcPr>
            <w:tcW w:w="1136" w:type="dxa"/>
            <w:tcBorders>
              <w:top w:val="nil"/>
              <w:left w:val="nil"/>
              <w:bottom w:val="single" w:sz="4" w:space="0" w:color="auto"/>
              <w:right w:val="single" w:sz="4" w:space="0" w:color="auto"/>
            </w:tcBorders>
            <w:shd w:val="clear" w:color="000000" w:fill="FFFFFF"/>
            <w:noWrap/>
            <w:vAlign w:val="bottom"/>
            <w:hideMark/>
          </w:tcPr>
          <w:p w14:paraId="2B9BD284"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41 359</w:t>
            </w:r>
          </w:p>
        </w:tc>
        <w:tc>
          <w:tcPr>
            <w:tcW w:w="1238" w:type="dxa"/>
            <w:tcBorders>
              <w:top w:val="nil"/>
              <w:left w:val="nil"/>
              <w:bottom w:val="single" w:sz="4" w:space="0" w:color="auto"/>
              <w:right w:val="single" w:sz="4" w:space="0" w:color="auto"/>
            </w:tcBorders>
            <w:shd w:val="clear" w:color="000000" w:fill="FFFFFF"/>
            <w:vAlign w:val="bottom"/>
            <w:hideMark/>
          </w:tcPr>
          <w:p w14:paraId="13E7CEB9" w14:textId="77777777" w:rsidR="00632442" w:rsidRPr="00632442" w:rsidRDefault="00632442" w:rsidP="00632442">
            <w:pPr>
              <w:spacing w:after="0"/>
              <w:ind w:firstLine="0"/>
              <w:jc w:val="right"/>
              <w:rPr>
                <w:rFonts w:eastAsia="Times New Roman" w:cs="Times New Roman"/>
                <w:color w:val="000000"/>
                <w:sz w:val="18"/>
                <w:szCs w:val="18"/>
                <w:highlight w:val="lightGray"/>
              </w:rPr>
            </w:pPr>
            <w:r w:rsidRPr="00632442">
              <w:rPr>
                <w:rFonts w:eastAsia="Calibri" w:cs="Times New Roman"/>
                <w:sz w:val="18"/>
                <w:szCs w:val="18"/>
                <w:lang w:eastAsia="en-US"/>
              </w:rPr>
              <w:t>7 812 437</w:t>
            </w:r>
          </w:p>
        </w:tc>
      </w:tr>
      <w:tr w:rsidR="00632442" w:rsidRPr="00632442" w14:paraId="3494A4F6" w14:textId="77777777" w:rsidTr="0049639B">
        <w:trPr>
          <w:trHeight w:val="276"/>
        </w:trPr>
        <w:tc>
          <w:tcPr>
            <w:tcW w:w="4416" w:type="dxa"/>
            <w:tcBorders>
              <w:top w:val="nil"/>
              <w:left w:val="single" w:sz="4" w:space="0" w:color="auto"/>
              <w:bottom w:val="single" w:sz="4" w:space="0" w:color="auto"/>
              <w:right w:val="single" w:sz="4" w:space="0" w:color="auto"/>
            </w:tcBorders>
            <w:shd w:val="clear" w:color="000000" w:fill="FFFFFF"/>
            <w:noWrap/>
            <w:vAlign w:val="center"/>
            <w:hideMark/>
          </w:tcPr>
          <w:p w14:paraId="70BE10AE" w14:textId="77777777" w:rsidR="00632442" w:rsidRPr="00632442" w:rsidRDefault="00632442" w:rsidP="00632442">
            <w:pPr>
              <w:spacing w:after="0"/>
              <w:ind w:firstLine="0"/>
              <w:jc w:val="center"/>
              <w:rPr>
                <w:rFonts w:eastAsia="Times New Roman" w:cs="Times New Roman"/>
                <w:b/>
                <w:bCs/>
                <w:sz w:val="18"/>
                <w:szCs w:val="18"/>
              </w:rPr>
            </w:pPr>
            <w:r w:rsidRPr="00632442">
              <w:rPr>
                <w:rFonts w:eastAsia="Calibri" w:cs="Times New Roman"/>
                <w:b/>
                <w:bCs/>
                <w:sz w:val="18"/>
                <w:szCs w:val="18"/>
                <w:lang w:eastAsia="en-US"/>
              </w:rPr>
              <w:t>KOPĀ</w:t>
            </w:r>
          </w:p>
        </w:tc>
        <w:tc>
          <w:tcPr>
            <w:tcW w:w="868" w:type="dxa"/>
            <w:tcBorders>
              <w:top w:val="nil"/>
              <w:left w:val="nil"/>
              <w:bottom w:val="single" w:sz="4" w:space="0" w:color="auto"/>
              <w:right w:val="single" w:sz="4" w:space="0" w:color="auto"/>
            </w:tcBorders>
            <w:shd w:val="clear" w:color="000000" w:fill="FFFFFF"/>
            <w:noWrap/>
            <w:vAlign w:val="center"/>
            <w:hideMark/>
          </w:tcPr>
          <w:p w14:paraId="4692DFE4" w14:textId="77777777" w:rsidR="00632442" w:rsidRPr="00632442" w:rsidRDefault="00632442" w:rsidP="00632442">
            <w:pPr>
              <w:spacing w:after="0"/>
              <w:ind w:firstLine="0"/>
              <w:jc w:val="center"/>
              <w:rPr>
                <w:rFonts w:eastAsia="Times New Roman" w:cs="Times New Roman"/>
                <w:b/>
                <w:bCs/>
                <w:sz w:val="18"/>
                <w:szCs w:val="18"/>
              </w:rPr>
            </w:pPr>
            <w:r w:rsidRPr="00632442">
              <w:rPr>
                <w:rFonts w:eastAsia="Calibri" w:cs="Times New Roman"/>
                <w:b/>
                <w:bCs/>
                <w:sz w:val="18"/>
                <w:szCs w:val="18"/>
                <w:lang w:eastAsia="en-US"/>
              </w:rPr>
              <w:t>x</w:t>
            </w:r>
          </w:p>
        </w:tc>
        <w:tc>
          <w:tcPr>
            <w:tcW w:w="966" w:type="dxa"/>
            <w:tcBorders>
              <w:top w:val="nil"/>
              <w:left w:val="nil"/>
              <w:bottom w:val="single" w:sz="4" w:space="0" w:color="auto"/>
              <w:right w:val="single" w:sz="4" w:space="0" w:color="auto"/>
            </w:tcBorders>
            <w:shd w:val="clear" w:color="000000" w:fill="FFFFFF"/>
            <w:noWrap/>
            <w:vAlign w:val="center"/>
            <w:hideMark/>
          </w:tcPr>
          <w:p w14:paraId="0BA41143" w14:textId="77777777" w:rsidR="00632442" w:rsidRPr="00632442" w:rsidRDefault="00632442" w:rsidP="00632442">
            <w:pPr>
              <w:spacing w:after="0"/>
              <w:ind w:firstLine="0"/>
              <w:jc w:val="center"/>
              <w:rPr>
                <w:rFonts w:eastAsia="Times New Roman" w:cs="Times New Roman"/>
                <w:b/>
                <w:bCs/>
                <w:sz w:val="18"/>
                <w:szCs w:val="18"/>
              </w:rPr>
            </w:pPr>
            <w:r w:rsidRPr="00632442">
              <w:rPr>
                <w:rFonts w:eastAsia="Calibri" w:cs="Times New Roman"/>
                <w:b/>
                <w:bCs/>
                <w:sz w:val="18"/>
                <w:szCs w:val="18"/>
                <w:lang w:eastAsia="en-US"/>
              </w:rPr>
              <w:t>x</w:t>
            </w:r>
          </w:p>
        </w:tc>
        <w:tc>
          <w:tcPr>
            <w:tcW w:w="1239" w:type="dxa"/>
            <w:tcBorders>
              <w:top w:val="nil"/>
              <w:left w:val="nil"/>
              <w:bottom w:val="single" w:sz="4" w:space="0" w:color="auto"/>
              <w:right w:val="single" w:sz="4" w:space="0" w:color="auto"/>
            </w:tcBorders>
            <w:shd w:val="clear" w:color="000000" w:fill="FFFFFF"/>
            <w:noWrap/>
            <w:vAlign w:val="center"/>
            <w:hideMark/>
          </w:tcPr>
          <w:p w14:paraId="3036EC3E" w14:textId="77777777" w:rsidR="00632442" w:rsidRPr="00632442" w:rsidRDefault="00632442" w:rsidP="00632442">
            <w:pPr>
              <w:spacing w:after="0"/>
              <w:ind w:firstLine="0"/>
              <w:jc w:val="right"/>
              <w:rPr>
                <w:rFonts w:eastAsia="Times New Roman" w:cs="Times New Roman"/>
                <w:b/>
                <w:bCs/>
                <w:sz w:val="18"/>
                <w:szCs w:val="18"/>
              </w:rPr>
            </w:pPr>
            <w:r w:rsidRPr="00632442">
              <w:rPr>
                <w:rFonts w:eastAsia="Calibri" w:cs="Times New Roman"/>
                <w:b/>
                <w:bCs/>
                <w:sz w:val="18"/>
                <w:szCs w:val="18"/>
                <w:lang w:eastAsia="en-US"/>
              </w:rPr>
              <w:t>185 318 266</w:t>
            </w:r>
          </w:p>
        </w:tc>
        <w:tc>
          <w:tcPr>
            <w:tcW w:w="1102" w:type="dxa"/>
            <w:tcBorders>
              <w:top w:val="nil"/>
              <w:left w:val="nil"/>
              <w:bottom w:val="single" w:sz="4" w:space="0" w:color="auto"/>
              <w:right w:val="single" w:sz="4" w:space="0" w:color="auto"/>
            </w:tcBorders>
            <w:shd w:val="clear" w:color="000000" w:fill="FFFFFF"/>
            <w:noWrap/>
            <w:vAlign w:val="center"/>
            <w:hideMark/>
          </w:tcPr>
          <w:p w14:paraId="4611C324" w14:textId="77777777" w:rsidR="00632442" w:rsidRPr="00632442" w:rsidRDefault="00632442" w:rsidP="00632442">
            <w:pPr>
              <w:spacing w:after="0"/>
              <w:ind w:firstLine="0"/>
              <w:jc w:val="center"/>
              <w:rPr>
                <w:rFonts w:eastAsia="Times New Roman" w:cs="Times New Roman"/>
                <w:b/>
                <w:bCs/>
                <w:sz w:val="18"/>
                <w:szCs w:val="18"/>
              </w:rPr>
            </w:pPr>
            <w:r w:rsidRPr="00632442">
              <w:rPr>
                <w:rFonts w:eastAsia="Calibri" w:cs="Times New Roman"/>
                <w:b/>
                <w:bCs/>
                <w:sz w:val="18"/>
                <w:szCs w:val="18"/>
                <w:lang w:eastAsia="en-US"/>
              </w:rPr>
              <w:t>x</w:t>
            </w:r>
          </w:p>
        </w:tc>
        <w:tc>
          <w:tcPr>
            <w:tcW w:w="1239" w:type="dxa"/>
            <w:tcBorders>
              <w:top w:val="nil"/>
              <w:left w:val="nil"/>
              <w:bottom w:val="single" w:sz="4" w:space="0" w:color="auto"/>
              <w:right w:val="single" w:sz="4" w:space="0" w:color="auto"/>
            </w:tcBorders>
            <w:shd w:val="clear" w:color="000000" w:fill="FFFFFF"/>
            <w:noWrap/>
            <w:vAlign w:val="center"/>
            <w:hideMark/>
          </w:tcPr>
          <w:p w14:paraId="327813E5" w14:textId="77777777" w:rsidR="00632442" w:rsidRPr="00632442" w:rsidRDefault="00632442" w:rsidP="00632442">
            <w:pPr>
              <w:spacing w:after="0"/>
              <w:ind w:firstLine="0"/>
              <w:jc w:val="center"/>
              <w:rPr>
                <w:rFonts w:eastAsia="Times New Roman" w:cs="Times New Roman"/>
                <w:b/>
                <w:bCs/>
                <w:sz w:val="18"/>
                <w:szCs w:val="18"/>
              </w:rPr>
            </w:pPr>
            <w:r w:rsidRPr="00632442">
              <w:rPr>
                <w:rFonts w:eastAsia="Calibri" w:cs="Times New Roman"/>
                <w:b/>
                <w:bCs/>
                <w:sz w:val="18"/>
                <w:szCs w:val="18"/>
                <w:lang w:eastAsia="en-US"/>
              </w:rPr>
              <w:t>x</w:t>
            </w:r>
          </w:p>
        </w:tc>
        <w:tc>
          <w:tcPr>
            <w:tcW w:w="1196" w:type="dxa"/>
            <w:tcBorders>
              <w:top w:val="nil"/>
              <w:left w:val="nil"/>
              <w:bottom w:val="single" w:sz="4" w:space="0" w:color="auto"/>
              <w:right w:val="single" w:sz="4" w:space="0" w:color="auto"/>
            </w:tcBorders>
            <w:shd w:val="clear" w:color="000000" w:fill="FFFFFF"/>
            <w:noWrap/>
            <w:vAlign w:val="center"/>
            <w:hideMark/>
          </w:tcPr>
          <w:p w14:paraId="43A00D89" w14:textId="77777777" w:rsidR="00632442" w:rsidRPr="00632442" w:rsidRDefault="00632442" w:rsidP="00632442">
            <w:pPr>
              <w:spacing w:after="0"/>
              <w:ind w:firstLine="0"/>
              <w:jc w:val="right"/>
              <w:rPr>
                <w:rFonts w:eastAsia="Times New Roman" w:cs="Times New Roman"/>
                <w:b/>
                <w:bCs/>
                <w:sz w:val="18"/>
                <w:szCs w:val="18"/>
              </w:rPr>
            </w:pPr>
            <w:r w:rsidRPr="00632442">
              <w:rPr>
                <w:rFonts w:eastAsia="Calibri" w:cs="Times New Roman"/>
                <w:b/>
                <w:bCs/>
                <w:sz w:val="18"/>
                <w:szCs w:val="18"/>
                <w:lang w:eastAsia="en-US"/>
              </w:rPr>
              <w:t>199 094 397</w:t>
            </w:r>
          </w:p>
        </w:tc>
        <w:tc>
          <w:tcPr>
            <w:tcW w:w="876" w:type="dxa"/>
            <w:tcBorders>
              <w:top w:val="nil"/>
              <w:left w:val="nil"/>
              <w:bottom w:val="single" w:sz="4" w:space="0" w:color="auto"/>
              <w:right w:val="single" w:sz="4" w:space="0" w:color="auto"/>
            </w:tcBorders>
            <w:shd w:val="clear" w:color="000000" w:fill="FFFFFF"/>
            <w:noWrap/>
            <w:vAlign w:val="center"/>
            <w:hideMark/>
          </w:tcPr>
          <w:p w14:paraId="6E341656" w14:textId="77777777" w:rsidR="00632442" w:rsidRPr="00632442" w:rsidRDefault="00632442" w:rsidP="00632442">
            <w:pPr>
              <w:spacing w:after="0"/>
              <w:ind w:firstLine="0"/>
              <w:jc w:val="center"/>
              <w:rPr>
                <w:rFonts w:eastAsia="Times New Roman" w:cs="Times New Roman"/>
                <w:b/>
                <w:bCs/>
                <w:sz w:val="18"/>
                <w:szCs w:val="18"/>
              </w:rPr>
            </w:pPr>
            <w:r w:rsidRPr="00632442">
              <w:rPr>
                <w:rFonts w:eastAsia="Calibri" w:cs="Times New Roman"/>
                <w:b/>
                <w:bCs/>
                <w:sz w:val="18"/>
                <w:szCs w:val="18"/>
                <w:lang w:eastAsia="en-US"/>
              </w:rPr>
              <w:t>x</w:t>
            </w:r>
          </w:p>
        </w:tc>
        <w:tc>
          <w:tcPr>
            <w:tcW w:w="1136" w:type="dxa"/>
            <w:tcBorders>
              <w:top w:val="nil"/>
              <w:left w:val="nil"/>
              <w:bottom w:val="single" w:sz="4" w:space="0" w:color="auto"/>
              <w:right w:val="single" w:sz="4" w:space="0" w:color="auto"/>
            </w:tcBorders>
            <w:shd w:val="clear" w:color="000000" w:fill="FFFFFF"/>
            <w:noWrap/>
            <w:vAlign w:val="center"/>
            <w:hideMark/>
          </w:tcPr>
          <w:p w14:paraId="5F49CBB7" w14:textId="77777777" w:rsidR="00632442" w:rsidRPr="00632442" w:rsidRDefault="00632442" w:rsidP="00632442">
            <w:pPr>
              <w:spacing w:after="0"/>
              <w:ind w:firstLine="0"/>
              <w:jc w:val="center"/>
              <w:rPr>
                <w:rFonts w:eastAsia="Times New Roman" w:cs="Times New Roman"/>
                <w:b/>
                <w:bCs/>
                <w:sz w:val="18"/>
                <w:szCs w:val="18"/>
              </w:rPr>
            </w:pPr>
            <w:r w:rsidRPr="00632442">
              <w:rPr>
                <w:rFonts w:eastAsia="Calibri" w:cs="Times New Roman"/>
                <w:b/>
                <w:bCs/>
                <w:sz w:val="18"/>
                <w:szCs w:val="18"/>
                <w:lang w:eastAsia="en-US"/>
              </w:rPr>
              <w:t>x</w:t>
            </w:r>
          </w:p>
        </w:tc>
        <w:tc>
          <w:tcPr>
            <w:tcW w:w="1238" w:type="dxa"/>
            <w:tcBorders>
              <w:top w:val="nil"/>
              <w:left w:val="nil"/>
              <w:bottom w:val="single" w:sz="4" w:space="0" w:color="auto"/>
              <w:right w:val="single" w:sz="4" w:space="0" w:color="auto"/>
            </w:tcBorders>
            <w:shd w:val="clear" w:color="000000" w:fill="FFFFFF"/>
            <w:noWrap/>
            <w:vAlign w:val="center"/>
            <w:hideMark/>
          </w:tcPr>
          <w:p w14:paraId="2D1909AB" w14:textId="77777777" w:rsidR="00632442" w:rsidRPr="00632442" w:rsidRDefault="00632442" w:rsidP="00632442">
            <w:pPr>
              <w:spacing w:after="0"/>
              <w:ind w:firstLine="0"/>
              <w:jc w:val="right"/>
              <w:rPr>
                <w:rFonts w:eastAsia="Times New Roman" w:cs="Times New Roman"/>
                <w:b/>
                <w:bCs/>
                <w:sz w:val="18"/>
                <w:szCs w:val="18"/>
              </w:rPr>
            </w:pPr>
            <w:r w:rsidRPr="00632442">
              <w:rPr>
                <w:rFonts w:eastAsia="Calibri" w:cs="Times New Roman"/>
                <w:b/>
                <w:bCs/>
                <w:sz w:val="18"/>
                <w:szCs w:val="18"/>
                <w:lang w:eastAsia="en-US"/>
              </w:rPr>
              <w:t>217 783 865</w:t>
            </w:r>
          </w:p>
        </w:tc>
      </w:tr>
    </w:tbl>
    <w:p w14:paraId="458941EA" w14:textId="3973086C" w:rsidR="00632442" w:rsidRPr="00632442" w:rsidRDefault="00632442" w:rsidP="00632442">
      <w:pPr>
        <w:widowControl w:val="0"/>
        <w:spacing w:before="120"/>
        <w:ind w:firstLine="0"/>
        <w:rPr>
          <w:rFonts w:eastAsia="Calibri" w:cs="Times New Roman"/>
          <w:i/>
          <w:sz w:val="20"/>
        </w:rPr>
      </w:pPr>
      <w:r w:rsidRPr="00632442">
        <w:rPr>
          <w:rFonts w:eastAsia="Calibri" w:cs="Times New Roman"/>
          <w:i/>
          <w:sz w:val="20"/>
        </w:rPr>
        <w:t xml:space="preserve">Datu avots: </w:t>
      </w:r>
      <w:r w:rsidR="006836ED">
        <w:rPr>
          <w:rFonts w:eastAsia="Calibri" w:cs="Times New Roman"/>
          <w:i/>
          <w:sz w:val="20"/>
        </w:rPr>
        <w:t>FM</w:t>
      </w:r>
    </w:p>
    <w:p w14:paraId="3DB291F6" w14:textId="77777777" w:rsidR="00632442" w:rsidRPr="00632442" w:rsidRDefault="00632442" w:rsidP="00632442">
      <w:pPr>
        <w:spacing w:after="160" w:line="259" w:lineRule="auto"/>
        <w:ind w:firstLine="0"/>
        <w:jc w:val="left"/>
        <w:rPr>
          <w:rFonts w:eastAsia="Times New Roman" w:cs="Times New Roman"/>
          <w:b/>
          <w:color w:val="000000"/>
          <w:highlight w:val="lightGray"/>
        </w:rPr>
      </w:pPr>
      <w:r w:rsidRPr="00632442">
        <w:rPr>
          <w:rFonts w:eastAsia="Times New Roman" w:cs="Times New Roman"/>
          <w:b/>
          <w:color w:val="000000"/>
          <w:highlight w:val="lightGray"/>
        </w:rPr>
        <w:br w:type="page"/>
      </w:r>
    </w:p>
    <w:p w14:paraId="0696700C" w14:textId="77777777" w:rsidR="00632442" w:rsidRPr="00632442" w:rsidRDefault="00632442" w:rsidP="00632442">
      <w:pPr>
        <w:widowControl w:val="0"/>
        <w:ind w:right="111"/>
        <w:jc w:val="right"/>
        <w:rPr>
          <w:rFonts w:eastAsia="Times New Roman" w:cs="Times New Roman"/>
          <w:color w:val="000000"/>
        </w:rPr>
      </w:pPr>
      <w:r w:rsidRPr="00632442">
        <w:rPr>
          <w:rFonts w:eastAsia="Times New Roman" w:cs="Times New Roman"/>
          <w:color w:val="000000"/>
        </w:rPr>
        <w:lastRenderedPageBreak/>
        <w:t>8. pielikums</w:t>
      </w:r>
    </w:p>
    <w:p w14:paraId="5455427E" w14:textId="04EF3D94" w:rsidR="00632442" w:rsidRPr="00632442" w:rsidRDefault="00632442" w:rsidP="00632442">
      <w:pPr>
        <w:widowControl w:val="0"/>
        <w:jc w:val="right"/>
        <w:rPr>
          <w:rFonts w:eastAsia="Times New Roman" w:cs="Times New Roman"/>
          <w:b/>
          <w:color w:val="000000"/>
        </w:rPr>
      </w:pPr>
      <w:r w:rsidRPr="00632442">
        <w:rPr>
          <w:rFonts w:eastAsia="Times New Roman" w:cs="Times New Roman"/>
          <w:b/>
          <w:color w:val="000000"/>
        </w:rPr>
        <w:t>Valsts sociālās apdrošināšanas speciālā budžeta programma 04.00.00 "Sociālā apdrošināšana"</w:t>
      </w:r>
    </w:p>
    <w:tbl>
      <w:tblPr>
        <w:tblW w:w="20392" w:type="dxa"/>
        <w:tblInd w:w="-5" w:type="dxa"/>
        <w:tblLayout w:type="fixed"/>
        <w:tblLook w:val="04A0" w:firstRow="1" w:lastRow="0" w:firstColumn="1" w:lastColumn="0" w:noHBand="0" w:noVBand="1"/>
      </w:tblPr>
      <w:tblGrid>
        <w:gridCol w:w="4061"/>
        <w:gridCol w:w="1124"/>
        <w:gridCol w:w="983"/>
        <w:gridCol w:w="1262"/>
        <w:gridCol w:w="1122"/>
        <w:gridCol w:w="981"/>
        <w:gridCol w:w="1261"/>
        <w:gridCol w:w="843"/>
        <w:gridCol w:w="961"/>
        <w:gridCol w:w="1315"/>
        <w:gridCol w:w="1261"/>
        <w:gridCol w:w="1261"/>
        <w:gridCol w:w="1261"/>
        <w:gridCol w:w="1261"/>
        <w:gridCol w:w="1435"/>
      </w:tblGrid>
      <w:tr w:rsidR="00632442" w:rsidRPr="00632442" w14:paraId="444579D3" w14:textId="77777777" w:rsidTr="00ED15CD">
        <w:trPr>
          <w:gridAfter w:val="5"/>
          <w:wAfter w:w="6499" w:type="dxa"/>
          <w:trHeight w:val="780"/>
          <w:tblHeader/>
        </w:trPr>
        <w:tc>
          <w:tcPr>
            <w:tcW w:w="4073" w:type="dxa"/>
            <w:vMerge w:val="restart"/>
            <w:tcBorders>
              <w:top w:val="single" w:sz="4" w:space="0" w:color="auto"/>
              <w:left w:val="single" w:sz="4" w:space="0" w:color="auto"/>
              <w:bottom w:val="single" w:sz="4" w:space="0" w:color="auto"/>
              <w:right w:val="single" w:sz="4" w:space="0" w:color="auto"/>
            </w:tcBorders>
            <w:shd w:val="clear" w:color="auto" w:fill="9CC2E5"/>
            <w:noWrap/>
            <w:vAlign w:val="center"/>
            <w:hideMark/>
          </w:tcPr>
          <w:p w14:paraId="65E4B63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Pensijas/pabalsta/atlīdzības veids</w:t>
            </w:r>
          </w:p>
        </w:tc>
        <w:tc>
          <w:tcPr>
            <w:tcW w:w="3377" w:type="dxa"/>
            <w:gridSpan w:val="3"/>
            <w:tcBorders>
              <w:top w:val="single" w:sz="4" w:space="0" w:color="auto"/>
              <w:left w:val="nil"/>
              <w:bottom w:val="single" w:sz="4" w:space="0" w:color="auto"/>
              <w:right w:val="single" w:sz="4" w:space="0" w:color="auto"/>
            </w:tcBorders>
            <w:shd w:val="clear" w:color="auto" w:fill="9CC2E5"/>
            <w:noWrap/>
            <w:vAlign w:val="center"/>
            <w:hideMark/>
          </w:tcPr>
          <w:p w14:paraId="122F18AD"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2024. gada projekts</w:t>
            </w:r>
          </w:p>
        </w:tc>
        <w:tc>
          <w:tcPr>
            <w:tcW w:w="3374" w:type="dxa"/>
            <w:gridSpan w:val="3"/>
            <w:tcBorders>
              <w:top w:val="single" w:sz="4" w:space="0" w:color="auto"/>
              <w:left w:val="nil"/>
              <w:bottom w:val="single" w:sz="4" w:space="0" w:color="auto"/>
              <w:right w:val="single" w:sz="4" w:space="0" w:color="auto"/>
            </w:tcBorders>
            <w:shd w:val="clear" w:color="auto" w:fill="9CC2E5"/>
            <w:noWrap/>
            <w:vAlign w:val="center"/>
            <w:hideMark/>
          </w:tcPr>
          <w:p w14:paraId="33D25D45"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2025. gada projekts</w:t>
            </w:r>
          </w:p>
        </w:tc>
        <w:tc>
          <w:tcPr>
            <w:tcW w:w="3069" w:type="dxa"/>
            <w:gridSpan w:val="3"/>
            <w:tcBorders>
              <w:top w:val="single" w:sz="4" w:space="0" w:color="auto"/>
              <w:left w:val="nil"/>
              <w:bottom w:val="single" w:sz="4" w:space="0" w:color="auto"/>
              <w:right w:val="single" w:sz="4" w:space="0" w:color="auto"/>
            </w:tcBorders>
            <w:shd w:val="clear" w:color="auto" w:fill="9CC2E5"/>
            <w:noWrap/>
            <w:vAlign w:val="center"/>
            <w:hideMark/>
          </w:tcPr>
          <w:p w14:paraId="2850F14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2026. gada projekts</w:t>
            </w:r>
          </w:p>
        </w:tc>
      </w:tr>
      <w:tr w:rsidR="00ED15CD" w:rsidRPr="00632442" w14:paraId="719FA597" w14:textId="77777777" w:rsidTr="00ED15CD">
        <w:trPr>
          <w:gridAfter w:val="5"/>
          <w:wAfter w:w="6440" w:type="dxa"/>
          <w:trHeight w:val="1155"/>
          <w:tblHeader/>
        </w:trPr>
        <w:tc>
          <w:tcPr>
            <w:tcW w:w="4073" w:type="dxa"/>
            <w:vMerge/>
            <w:tcBorders>
              <w:top w:val="single" w:sz="4" w:space="0" w:color="auto"/>
              <w:left w:val="single" w:sz="4" w:space="0" w:color="auto"/>
              <w:bottom w:val="single" w:sz="4" w:space="0" w:color="auto"/>
              <w:right w:val="single" w:sz="4" w:space="0" w:color="auto"/>
            </w:tcBorders>
            <w:vAlign w:val="center"/>
            <w:hideMark/>
          </w:tcPr>
          <w:p w14:paraId="385F7A9B" w14:textId="77777777" w:rsidR="00632442" w:rsidRPr="00632442" w:rsidRDefault="00632442" w:rsidP="00632442">
            <w:pPr>
              <w:spacing w:after="0"/>
              <w:ind w:firstLine="0"/>
              <w:jc w:val="left"/>
              <w:rPr>
                <w:rFonts w:eastAsia="Times New Roman" w:cs="Times New Roman"/>
                <w:sz w:val="18"/>
                <w:szCs w:val="18"/>
              </w:rPr>
            </w:pPr>
          </w:p>
        </w:tc>
        <w:tc>
          <w:tcPr>
            <w:tcW w:w="1126" w:type="dxa"/>
            <w:tcBorders>
              <w:top w:val="nil"/>
              <w:left w:val="nil"/>
              <w:bottom w:val="single" w:sz="4" w:space="0" w:color="auto"/>
              <w:right w:val="single" w:sz="4" w:space="0" w:color="auto"/>
            </w:tcBorders>
            <w:shd w:val="clear" w:color="auto" w:fill="DEEAF6"/>
            <w:vAlign w:val="center"/>
            <w:hideMark/>
          </w:tcPr>
          <w:p w14:paraId="41EF55D0"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 xml:space="preserve">Pensijas/ pabalsta/ atlīdzības apmērs vidēji mēnesī </w:t>
            </w:r>
            <w:r w:rsidRPr="00632442">
              <w:rPr>
                <w:rFonts w:eastAsia="Times New Roman" w:cs="Times New Roman"/>
                <w:i/>
                <w:iCs/>
                <w:sz w:val="18"/>
                <w:szCs w:val="18"/>
              </w:rPr>
              <w:t>(</w:t>
            </w:r>
            <w:proofErr w:type="spellStart"/>
            <w:r w:rsidRPr="00632442">
              <w:rPr>
                <w:rFonts w:eastAsia="Times New Roman" w:cs="Times New Roman"/>
                <w:i/>
                <w:iCs/>
                <w:sz w:val="18"/>
                <w:szCs w:val="18"/>
              </w:rPr>
              <w:t>euro</w:t>
            </w:r>
            <w:proofErr w:type="spellEnd"/>
            <w:r w:rsidRPr="00632442">
              <w:rPr>
                <w:rFonts w:eastAsia="Times New Roman" w:cs="Times New Roman"/>
                <w:i/>
                <w:iCs/>
                <w:sz w:val="18"/>
                <w:szCs w:val="18"/>
              </w:rPr>
              <w:t>)</w:t>
            </w:r>
          </w:p>
        </w:tc>
        <w:tc>
          <w:tcPr>
            <w:tcW w:w="985" w:type="dxa"/>
            <w:tcBorders>
              <w:top w:val="nil"/>
              <w:left w:val="nil"/>
              <w:bottom w:val="single" w:sz="4" w:space="0" w:color="auto"/>
              <w:right w:val="single" w:sz="4" w:space="0" w:color="auto"/>
            </w:tcBorders>
            <w:shd w:val="clear" w:color="auto" w:fill="DEEAF6"/>
            <w:vAlign w:val="center"/>
            <w:hideMark/>
          </w:tcPr>
          <w:p w14:paraId="15BBEDAC"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 skaits (vidēji mēnesī)</w:t>
            </w:r>
          </w:p>
        </w:tc>
        <w:tc>
          <w:tcPr>
            <w:tcW w:w="1266" w:type="dxa"/>
            <w:tcBorders>
              <w:top w:val="nil"/>
              <w:left w:val="nil"/>
              <w:bottom w:val="single" w:sz="4" w:space="0" w:color="auto"/>
              <w:right w:val="single" w:sz="4" w:space="0" w:color="auto"/>
            </w:tcBorders>
            <w:shd w:val="clear" w:color="auto" w:fill="DEEAF6"/>
            <w:vAlign w:val="center"/>
            <w:hideMark/>
          </w:tcPr>
          <w:p w14:paraId="6599A28B"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 xml:space="preserve">Izdevumi kopā </w:t>
            </w:r>
            <w:r w:rsidRPr="00632442">
              <w:rPr>
                <w:rFonts w:eastAsia="Times New Roman" w:cs="Times New Roman"/>
                <w:i/>
                <w:iCs/>
                <w:sz w:val="18"/>
                <w:szCs w:val="18"/>
              </w:rPr>
              <w:t>(</w:t>
            </w:r>
            <w:proofErr w:type="spellStart"/>
            <w:r w:rsidRPr="00632442">
              <w:rPr>
                <w:rFonts w:eastAsia="Times New Roman" w:cs="Times New Roman"/>
                <w:i/>
                <w:iCs/>
                <w:sz w:val="18"/>
                <w:szCs w:val="18"/>
              </w:rPr>
              <w:t>euro</w:t>
            </w:r>
            <w:proofErr w:type="spellEnd"/>
            <w:r w:rsidRPr="00632442">
              <w:rPr>
                <w:rFonts w:eastAsia="Times New Roman" w:cs="Times New Roman"/>
                <w:i/>
                <w:iCs/>
                <w:sz w:val="18"/>
                <w:szCs w:val="18"/>
              </w:rPr>
              <w:t>)</w:t>
            </w:r>
          </w:p>
        </w:tc>
        <w:tc>
          <w:tcPr>
            <w:tcW w:w="1125" w:type="dxa"/>
            <w:tcBorders>
              <w:top w:val="nil"/>
              <w:left w:val="nil"/>
              <w:bottom w:val="single" w:sz="4" w:space="0" w:color="auto"/>
              <w:right w:val="single" w:sz="4" w:space="0" w:color="auto"/>
            </w:tcBorders>
            <w:shd w:val="clear" w:color="auto" w:fill="DEEAF6"/>
            <w:vAlign w:val="center"/>
            <w:hideMark/>
          </w:tcPr>
          <w:p w14:paraId="51FD9E23"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 xml:space="preserve">Pensijas/ pabalsta/ atlīdzības apmērs vidēji mēnesī </w:t>
            </w:r>
            <w:r w:rsidRPr="00632442">
              <w:rPr>
                <w:rFonts w:eastAsia="Times New Roman" w:cs="Times New Roman"/>
                <w:i/>
                <w:iCs/>
                <w:sz w:val="18"/>
                <w:szCs w:val="18"/>
              </w:rPr>
              <w:t>(</w:t>
            </w:r>
            <w:proofErr w:type="spellStart"/>
            <w:r w:rsidRPr="00632442">
              <w:rPr>
                <w:rFonts w:eastAsia="Times New Roman" w:cs="Times New Roman"/>
                <w:i/>
                <w:iCs/>
                <w:sz w:val="18"/>
                <w:szCs w:val="18"/>
              </w:rPr>
              <w:t>euro</w:t>
            </w:r>
            <w:proofErr w:type="spellEnd"/>
            <w:r w:rsidRPr="00632442">
              <w:rPr>
                <w:rFonts w:eastAsia="Times New Roman" w:cs="Times New Roman"/>
                <w:i/>
                <w:iCs/>
                <w:sz w:val="18"/>
                <w:szCs w:val="18"/>
              </w:rPr>
              <w:t>)</w:t>
            </w:r>
          </w:p>
        </w:tc>
        <w:tc>
          <w:tcPr>
            <w:tcW w:w="984" w:type="dxa"/>
            <w:tcBorders>
              <w:top w:val="nil"/>
              <w:left w:val="nil"/>
              <w:bottom w:val="single" w:sz="4" w:space="0" w:color="auto"/>
              <w:right w:val="single" w:sz="4" w:space="0" w:color="auto"/>
            </w:tcBorders>
            <w:shd w:val="clear" w:color="auto" w:fill="DEEAF6"/>
            <w:vAlign w:val="center"/>
            <w:hideMark/>
          </w:tcPr>
          <w:p w14:paraId="09A8974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 skaits (vidēji mēnesī)</w:t>
            </w:r>
          </w:p>
        </w:tc>
        <w:tc>
          <w:tcPr>
            <w:tcW w:w="1265" w:type="dxa"/>
            <w:tcBorders>
              <w:top w:val="nil"/>
              <w:left w:val="nil"/>
              <w:bottom w:val="single" w:sz="4" w:space="0" w:color="auto"/>
              <w:right w:val="single" w:sz="4" w:space="0" w:color="auto"/>
            </w:tcBorders>
            <w:shd w:val="clear" w:color="auto" w:fill="DEEAF6"/>
            <w:vAlign w:val="center"/>
            <w:hideMark/>
          </w:tcPr>
          <w:p w14:paraId="23C07495"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 xml:space="preserve">Izdevumi kopā </w:t>
            </w:r>
            <w:r w:rsidRPr="00632442">
              <w:rPr>
                <w:rFonts w:eastAsia="Times New Roman" w:cs="Times New Roman"/>
                <w:i/>
                <w:iCs/>
                <w:sz w:val="18"/>
                <w:szCs w:val="18"/>
              </w:rPr>
              <w:t>(</w:t>
            </w:r>
            <w:proofErr w:type="spellStart"/>
            <w:r w:rsidRPr="00632442">
              <w:rPr>
                <w:rFonts w:eastAsia="Times New Roman" w:cs="Times New Roman"/>
                <w:i/>
                <w:iCs/>
                <w:sz w:val="18"/>
                <w:szCs w:val="18"/>
              </w:rPr>
              <w:t>euro</w:t>
            </w:r>
            <w:proofErr w:type="spellEnd"/>
            <w:r w:rsidRPr="00632442">
              <w:rPr>
                <w:rFonts w:eastAsia="Times New Roman" w:cs="Times New Roman"/>
                <w:i/>
                <w:iCs/>
                <w:sz w:val="18"/>
                <w:szCs w:val="18"/>
              </w:rPr>
              <w:t>)</w:t>
            </w:r>
          </w:p>
        </w:tc>
        <w:tc>
          <w:tcPr>
            <w:tcW w:w="845" w:type="dxa"/>
            <w:tcBorders>
              <w:top w:val="nil"/>
              <w:left w:val="nil"/>
              <w:bottom w:val="single" w:sz="4" w:space="0" w:color="auto"/>
              <w:right w:val="single" w:sz="4" w:space="0" w:color="auto"/>
            </w:tcBorders>
            <w:shd w:val="clear" w:color="auto" w:fill="DEEAF6"/>
            <w:vAlign w:val="center"/>
            <w:hideMark/>
          </w:tcPr>
          <w:p w14:paraId="2945404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 xml:space="preserve">Pensijas/ pabalsta/ atlīdzības apmērs vidēji mēnesī </w:t>
            </w:r>
            <w:r w:rsidRPr="00632442">
              <w:rPr>
                <w:rFonts w:eastAsia="Times New Roman" w:cs="Times New Roman"/>
                <w:i/>
                <w:iCs/>
                <w:sz w:val="18"/>
                <w:szCs w:val="18"/>
              </w:rPr>
              <w:t>(</w:t>
            </w:r>
            <w:proofErr w:type="spellStart"/>
            <w:r w:rsidRPr="00632442">
              <w:rPr>
                <w:rFonts w:eastAsia="Times New Roman" w:cs="Times New Roman"/>
                <w:i/>
                <w:iCs/>
                <w:sz w:val="18"/>
                <w:szCs w:val="18"/>
              </w:rPr>
              <w:t>euro</w:t>
            </w:r>
            <w:proofErr w:type="spellEnd"/>
            <w:r w:rsidRPr="00632442">
              <w:rPr>
                <w:rFonts w:eastAsia="Times New Roman" w:cs="Times New Roman"/>
                <w:i/>
                <w:iCs/>
                <w:sz w:val="18"/>
                <w:szCs w:val="18"/>
              </w:rPr>
              <w:t>)</w:t>
            </w:r>
          </w:p>
        </w:tc>
        <w:tc>
          <w:tcPr>
            <w:tcW w:w="964" w:type="dxa"/>
            <w:tcBorders>
              <w:top w:val="nil"/>
              <w:left w:val="nil"/>
              <w:bottom w:val="single" w:sz="4" w:space="0" w:color="auto"/>
              <w:right w:val="single" w:sz="4" w:space="0" w:color="auto"/>
            </w:tcBorders>
            <w:shd w:val="clear" w:color="auto" w:fill="DEEAF6"/>
            <w:vAlign w:val="center"/>
            <w:hideMark/>
          </w:tcPr>
          <w:p w14:paraId="60C0074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Saņēmēju skaits (vidēji mēnesī)</w:t>
            </w:r>
          </w:p>
        </w:tc>
        <w:tc>
          <w:tcPr>
            <w:tcW w:w="1319" w:type="dxa"/>
            <w:tcBorders>
              <w:top w:val="nil"/>
              <w:left w:val="nil"/>
              <w:bottom w:val="single" w:sz="4" w:space="0" w:color="auto"/>
              <w:right w:val="single" w:sz="4" w:space="0" w:color="auto"/>
            </w:tcBorders>
            <w:shd w:val="clear" w:color="auto" w:fill="DEEAF6"/>
            <w:vAlign w:val="center"/>
            <w:hideMark/>
          </w:tcPr>
          <w:p w14:paraId="41E46265"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 xml:space="preserve">Izdevumi kopā </w:t>
            </w:r>
            <w:r w:rsidRPr="00632442">
              <w:rPr>
                <w:rFonts w:eastAsia="Times New Roman" w:cs="Times New Roman"/>
                <w:i/>
                <w:iCs/>
                <w:sz w:val="18"/>
                <w:szCs w:val="18"/>
              </w:rPr>
              <w:t>(</w:t>
            </w:r>
            <w:proofErr w:type="spellStart"/>
            <w:r w:rsidRPr="00632442">
              <w:rPr>
                <w:rFonts w:eastAsia="Times New Roman" w:cs="Times New Roman"/>
                <w:i/>
                <w:iCs/>
                <w:sz w:val="18"/>
                <w:szCs w:val="18"/>
              </w:rPr>
              <w:t>euro</w:t>
            </w:r>
            <w:proofErr w:type="spellEnd"/>
            <w:r w:rsidRPr="00632442">
              <w:rPr>
                <w:rFonts w:eastAsia="Times New Roman" w:cs="Times New Roman"/>
                <w:i/>
                <w:iCs/>
                <w:sz w:val="18"/>
                <w:szCs w:val="18"/>
              </w:rPr>
              <w:t>)</w:t>
            </w:r>
          </w:p>
        </w:tc>
      </w:tr>
      <w:tr w:rsidR="00ED15CD" w:rsidRPr="00632442" w14:paraId="4F724EF8" w14:textId="77777777" w:rsidTr="00ED15CD">
        <w:trPr>
          <w:gridAfter w:val="5"/>
          <w:wAfter w:w="6440" w:type="dxa"/>
          <w:trHeight w:val="264"/>
        </w:trPr>
        <w:tc>
          <w:tcPr>
            <w:tcW w:w="4073" w:type="dxa"/>
            <w:tcBorders>
              <w:top w:val="nil"/>
              <w:left w:val="single" w:sz="4" w:space="0" w:color="auto"/>
              <w:bottom w:val="single" w:sz="4" w:space="0" w:color="auto"/>
              <w:right w:val="single" w:sz="4" w:space="0" w:color="auto"/>
            </w:tcBorders>
            <w:shd w:val="clear" w:color="auto" w:fill="auto"/>
            <w:noWrap/>
            <w:vAlign w:val="bottom"/>
            <w:hideMark/>
          </w:tcPr>
          <w:p w14:paraId="14A0771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1</w:t>
            </w:r>
          </w:p>
        </w:tc>
        <w:tc>
          <w:tcPr>
            <w:tcW w:w="1126" w:type="dxa"/>
            <w:tcBorders>
              <w:top w:val="nil"/>
              <w:left w:val="nil"/>
              <w:bottom w:val="single" w:sz="4" w:space="0" w:color="auto"/>
              <w:right w:val="single" w:sz="4" w:space="0" w:color="auto"/>
            </w:tcBorders>
            <w:shd w:val="clear" w:color="auto" w:fill="auto"/>
            <w:noWrap/>
            <w:vAlign w:val="bottom"/>
            <w:hideMark/>
          </w:tcPr>
          <w:p w14:paraId="6B0549C0"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2</w:t>
            </w:r>
          </w:p>
        </w:tc>
        <w:tc>
          <w:tcPr>
            <w:tcW w:w="985" w:type="dxa"/>
            <w:tcBorders>
              <w:top w:val="nil"/>
              <w:left w:val="nil"/>
              <w:bottom w:val="single" w:sz="4" w:space="0" w:color="auto"/>
              <w:right w:val="single" w:sz="4" w:space="0" w:color="auto"/>
            </w:tcBorders>
            <w:shd w:val="clear" w:color="auto" w:fill="auto"/>
            <w:noWrap/>
            <w:vAlign w:val="bottom"/>
            <w:hideMark/>
          </w:tcPr>
          <w:p w14:paraId="44EB44E2"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3</w:t>
            </w:r>
          </w:p>
        </w:tc>
        <w:tc>
          <w:tcPr>
            <w:tcW w:w="1266" w:type="dxa"/>
            <w:tcBorders>
              <w:top w:val="nil"/>
              <w:left w:val="nil"/>
              <w:bottom w:val="single" w:sz="4" w:space="0" w:color="auto"/>
              <w:right w:val="single" w:sz="4" w:space="0" w:color="auto"/>
            </w:tcBorders>
            <w:shd w:val="clear" w:color="auto" w:fill="auto"/>
            <w:noWrap/>
            <w:vAlign w:val="bottom"/>
            <w:hideMark/>
          </w:tcPr>
          <w:p w14:paraId="10BE6EF1"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4</w:t>
            </w:r>
          </w:p>
        </w:tc>
        <w:tc>
          <w:tcPr>
            <w:tcW w:w="1125" w:type="dxa"/>
            <w:tcBorders>
              <w:top w:val="nil"/>
              <w:left w:val="nil"/>
              <w:bottom w:val="single" w:sz="4" w:space="0" w:color="auto"/>
              <w:right w:val="single" w:sz="4" w:space="0" w:color="auto"/>
            </w:tcBorders>
            <w:shd w:val="clear" w:color="auto" w:fill="auto"/>
            <w:noWrap/>
            <w:vAlign w:val="bottom"/>
            <w:hideMark/>
          </w:tcPr>
          <w:p w14:paraId="74B2C90C"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5</w:t>
            </w:r>
          </w:p>
        </w:tc>
        <w:tc>
          <w:tcPr>
            <w:tcW w:w="984" w:type="dxa"/>
            <w:tcBorders>
              <w:top w:val="nil"/>
              <w:left w:val="nil"/>
              <w:bottom w:val="single" w:sz="4" w:space="0" w:color="auto"/>
              <w:right w:val="single" w:sz="4" w:space="0" w:color="auto"/>
            </w:tcBorders>
            <w:shd w:val="clear" w:color="auto" w:fill="auto"/>
            <w:noWrap/>
            <w:vAlign w:val="bottom"/>
            <w:hideMark/>
          </w:tcPr>
          <w:p w14:paraId="09D7C5BA"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6</w:t>
            </w:r>
          </w:p>
        </w:tc>
        <w:tc>
          <w:tcPr>
            <w:tcW w:w="1265" w:type="dxa"/>
            <w:tcBorders>
              <w:top w:val="nil"/>
              <w:left w:val="nil"/>
              <w:bottom w:val="single" w:sz="4" w:space="0" w:color="auto"/>
              <w:right w:val="single" w:sz="4" w:space="0" w:color="auto"/>
            </w:tcBorders>
            <w:shd w:val="clear" w:color="auto" w:fill="auto"/>
            <w:noWrap/>
            <w:vAlign w:val="bottom"/>
            <w:hideMark/>
          </w:tcPr>
          <w:p w14:paraId="35C9277E"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7</w:t>
            </w:r>
          </w:p>
        </w:tc>
        <w:tc>
          <w:tcPr>
            <w:tcW w:w="845" w:type="dxa"/>
            <w:tcBorders>
              <w:top w:val="nil"/>
              <w:left w:val="nil"/>
              <w:bottom w:val="single" w:sz="4" w:space="0" w:color="auto"/>
              <w:right w:val="single" w:sz="4" w:space="0" w:color="auto"/>
            </w:tcBorders>
            <w:shd w:val="clear" w:color="auto" w:fill="auto"/>
            <w:noWrap/>
            <w:vAlign w:val="bottom"/>
            <w:hideMark/>
          </w:tcPr>
          <w:p w14:paraId="00FCEC16"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8</w:t>
            </w:r>
          </w:p>
        </w:tc>
        <w:tc>
          <w:tcPr>
            <w:tcW w:w="964" w:type="dxa"/>
            <w:tcBorders>
              <w:top w:val="nil"/>
              <w:left w:val="nil"/>
              <w:bottom w:val="single" w:sz="4" w:space="0" w:color="auto"/>
              <w:right w:val="single" w:sz="4" w:space="0" w:color="auto"/>
            </w:tcBorders>
            <w:shd w:val="clear" w:color="auto" w:fill="auto"/>
            <w:noWrap/>
            <w:vAlign w:val="bottom"/>
            <w:hideMark/>
          </w:tcPr>
          <w:p w14:paraId="01F9BD45"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9</w:t>
            </w:r>
          </w:p>
        </w:tc>
        <w:tc>
          <w:tcPr>
            <w:tcW w:w="1319" w:type="dxa"/>
            <w:tcBorders>
              <w:top w:val="nil"/>
              <w:left w:val="nil"/>
              <w:bottom w:val="single" w:sz="4" w:space="0" w:color="auto"/>
              <w:right w:val="single" w:sz="4" w:space="0" w:color="auto"/>
            </w:tcBorders>
            <w:shd w:val="clear" w:color="auto" w:fill="auto"/>
            <w:noWrap/>
            <w:vAlign w:val="bottom"/>
            <w:hideMark/>
          </w:tcPr>
          <w:p w14:paraId="64DEB929" w14:textId="77777777" w:rsidR="00632442" w:rsidRPr="00632442" w:rsidRDefault="00632442" w:rsidP="00632442">
            <w:pPr>
              <w:spacing w:after="0"/>
              <w:ind w:firstLine="0"/>
              <w:jc w:val="center"/>
              <w:rPr>
                <w:rFonts w:eastAsia="Times New Roman" w:cs="Times New Roman"/>
                <w:sz w:val="18"/>
                <w:szCs w:val="18"/>
              </w:rPr>
            </w:pPr>
            <w:r w:rsidRPr="00632442">
              <w:rPr>
                <w:rFonts w:eastAsia="Times New Roman" w:cs="Times New Roman"/>
                <w:sz w:val="18"/>
                <w:szCs w:val="18"/>
              </w:rPr>
              <w:t>10</w:t>
            </w:r>
          </w:p>
        </w:tc>
      </w:tr>
      <w:tr w:rsidR="00ED15CD" w:rsidRPr="00632442" w14:paraId="47AD8DD5" w14:textId="77777777" w:rsidTr="00ED15CD">
        <w:trPr>
          <w:gridAfter w:val="5"/>
          <w:wAfter w:w="6440" w:type="dxa"/>
          <w:trHeight w:val="131"/>
        </w:trPr>
        <w:tc>
          <w:tcPr>
            <w:tcW w:w="4073" w:type="dxa"/>
            <w:tcBorders>
              <w:top w:val="nil"/>
              <w:left w:val="single" w:sz="4" w:space="0" w:color="auto"/>
              <w:bottom w:val="single" w:sz="4" w:space="0" w:color="auto"/>
              <w:right w:val="single" w:sz="4" w:space="0" w:color="auto"/>
            </w:tcBorders>
            <w:shd w:val="clear" w:color="auto" w:fill="auto"/>
            <w:noWrap/>
            <w:hideMark/>
          </w:tcPr>
          <w:p w14:paraId="6F4C4EFE" w14:textId="77777777" w:rsidR="00632442" w:rsidRPr="00632442" w:rsidRDefault="00632442" w:rsidP="00632442">
            <w:pPr>
              <w:spacing w:after="0"/>
              <w:ind w:firstLine="0"/>
              <w:jc w:val="left"/>
              <w:rPr>
                <w:rFonts w:eastAsia="Times New Roman" w:cs="Times New Roman"/>
                <w:b/>
                <w:bCs/>
                <w:sz w:val="18"/>
                <w:szCs w:val="18"/>
                <w:highlight w:val="lightGray"/>
              </w:rPr>
            </w:pPr>
            <w:r w:rsidRPr="00632442">
              <w:rPr>
                <w:rFonts w:eastAsia="Calibri" w:cs="Times New Roman"/>
                <w:b/>
                <w:bCs/>
                <w:sz w:val="18"/>
                <w:szCs w:val="18"/>
                <w:lang w:eastAsia="en-US"/>
              </w:rPr>
              <w:t>04.01.00 Valsts pensiju speciālais budžets</w:t>
            </w:r>
          </w:p>
        </w:tc>
        <w:tc>
          <w:tcPr>
            <w:tcW w:w="1126" w:type="dxa"/>
            <w:tcBorders>
              <w:top w:val="nil"/>
              <w:left w:val="nil"/>
              <w:bottom w:val="single" w:sz="4" w:space="0" w:color="auto"/>
              <w:right w:val="single" w:sz="4" w:space="0" w:color="auto"/>
            </w:tcBorders>
            <w:shd w:val="clear" w:color="000000" w:fill="FFFFFF"/>
            <w:noWrap/>
            <w:hideMark/>
          </w:tcPr>
          <w:p w14:paraId="5D7F4A60"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7755387C"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1B64F7AB"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3 171 281 385</w:t>
            </w:r>
          </w:p>
        </w:tc>
        <w:tc>
          <w:tcPr>
            <w:tcW w:w="1125" w:type="dxa"/>
            <w:tcBorders>
              <w:top w:val="nil"/>
              <w:left w:val="nil"/>
              <w:bottom w:val="single" w:sz="4" w:space="0" w:color="auto"/>
              <w:right w:val="single" w:sz="4" w:space="0" w:color="auto"/>
            </w:tcBorders>
            <w:shd w:val="clear" w:color="000000" w:fill="FFFFFF"/>
            <w:noWrap/>
            <w:hideMark/>
          </w:tcPr>
          <w:p w14:paraId="0B7E1019"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7E3C52AA"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6B3C3DD0"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3 424 753 573</w:t>
            </w:r>
          </w:p>
        </w:tc>
        <w:tc>
          <w:tcPr>
            <w:tcW w:w="845" w:type="dxa"/>
            <w:tcBorders>
              <w:top w:val="nil"/>
              <w:left w:val="nil"/>
              <w:bottom w:val="single" w:sz="4" w:space="0" w:color="auto"/>
              <w:right w:val="single" w:sz="4" w:space="0" w:color="auto"/>
            </w:tcBorders>
            <w:shd w:val="clear" w:color="000000" w:fill="FFFFFF"/>
            <w:noWrap/>
            <w:hideMark/>
          </w:tcPr>
          <w:p w14:paraId="011C50B9"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36517BEF"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6F0C588A"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3 741 449 182</w:t>
            </w:r>
          </w:p>
        </w:tc>
      </w:tr>
      <w:tr w:rsidR="00ED15CD" w:rsidRPr="00632442" w14:paraId="349A913D" w14:textId="77777777" w:rsidTr="00ED15CD">
        <w:trPr>
          <w:gridAfter w:val="5"/>
          <w:wAfter w:w="6440" w:type="dxa"/>
          <w:trHeight w:val="191"/>
        </w:trPr>
        <w:tc>
          <w:tcPr>
            <w:tcW w:w="4073" w:type="dxa"/>
            <w:tcBorders>
              <w:top w:val="nil"/>
              <w:left w:val="single" w:sz="4" w:space="0" w:color="auto"/>
              <w:bottom w:val="single" w:sz="4" w:space="0" w:color="auto"/>
              <w:right w:val="single" w:sz="4" w:space="0" w:color="auto"/>
            </w:tcBorders>
            <w:shd w:val="clear" w:color="auto" w:fill="auto"/>
            <w:noWrap/>
            <w:hideMark/>
          </w:tcPr>
          <w:p w14:paraId="68270D34"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Valsts pensijas – kopā</w:t>
            </w:r>
          </w:p>
        </w:tc>
        <w:tc>
          <w:tcPr>
            <w:tcW w:w="1126" w:type="dxa"/>
            <w:tcBorders>
              <w:top w:val="nil"/>
              <w:left w:val="nil"/>
              <w:bottom w:val="single" w:sz="4" w:space="0" w:color="auto"/>
              <w:right w:val="single" w:sz="4" w:space="0" w:color="auto"/>
            </w:tcBorders>
            <w:shd w:val="clear" w:color="000000" w:fill="FFFFFF"/>
            <w:noWrap/>
            <w:hideMark/>
          </w:tcPr>
          <w:p w14:paraId="3D326227"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000000" w:fill="FFFFFF"/>
            <w:noWrap/>
            <w:hideMark/>
          </w:tcPr>
          <w:p w14:paraId="50EC38F9"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11529B4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3 125 695 701</w:t>
            </w:r>
          </w:p>
        </w:tc>
        <w:tc>
          <w:tcPr>
            <w:tcW w:w="1125" w:type="dxa"/>
            <w:tcBorders>
              <w:top w:val="nil"/>
              <w:left w:val="nil"/>
              <w:bottom w:val="single" w:sz="4" w:space="0" w:color="auto"/>
              <w:right w:val="single" w:sz="4" w:space="0" w:color="auto"/>
            </w:tcBorders>
            <w:shd w:val="clear" w:color="000000" w:fill="FFFFFF"/>
            <w:noWrap/>
            <w:hideMark/>
          </w:tcPr>
          <w:p w14:paraId="291AA438"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000000" w:fill="FFFFFF"/>
            <w:noWrap/>
            <w:hideMark/>
          </w:tcPr>
          <w:p w14:paraId="7E1AB422"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617D7A9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3 375 568 344</w:t>
            </w:r>
          </w:p>
        </w:tc>
        <w:tc>
          <w:tcPr>
            <w:tcW w:w="845" w:type="dxa"/>
            <w:tcBorders>
              <w:top w:val="nil"/>
              <w:left w:val="nil"/>
              <w:bottom w:val="single" w:sz="4" w:space="0" w:color="auto"/>
              <w:right w:val="single" w:sz="4" w:space="0" w:color="auto"/>
            </w:tcBorders>
            <w:shd w:val="clear" w:color="000000" w:fill="FFFFFF"/>
            <w:noWrap/>
            <w:hideMark/>
          </w:tcPr>
          <w:p w14:paraId="25D568B2"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000000" w:fill="FFFFFF"/>
            <w:noWrap/>
            <w:hideMark/>
          </w:tcPr>
          <w:p w14:paraId="071E4D15"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307FDEF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3 688 443 867</w:t>
            </w:r>
          </w:p>
        </w:tc>
      </w:tr>
      <w:tr w:rsidR="00ED15CD" w:rsidRPr="00632442" w14:paraId="5B374584" w14:textId="77777777" w:rsidTr="00ED15CD">
        <w:trPr>
          <w:gridAfter w:val="5"/>
          <w:wAfter w:w="6440" w:type="dxa"/>
          <w:trHeight w:val="225"/>
        </w:trPr>
        <w:tc>
          <w:tcPr>
            <w:tcW w:w="4073" w:type="dxa"/>
            <w:tcBorders>
              <w:top w:val="nil"/>
              <w:left w:val="single" w:sz="4" w:space="0" w:color="auto"/>
              <w:bottom w:val="single" w:sz="4" w:space="0" w:color="auto"/>
              <w:right w:val="single" w:sz="4" w:space="0" w:color="auto"/>
            </w:tcBorders>
            <w:shd w:val="clear" w:color="auto" w:fill="auto"/>
            <w:noWrap/>
            <w:hideMark/>
          </w:tcPr>
          <w:p w14:paraId="28C29845" w14:textId="77777777" w:rsidR="00632442" w:rsidRPr="00632442" w:rsidRDefault="00632442" w:rsidP="00632442">
            <w:pPr>
              <w:spacing w:after="0"/>
              <w:ind w:firstLineChars="100" w:firstLine="180"/>
              <w:jc w:val="left"/>
              <w:rPr>
                <w:rFonts w:eastAsia="Times New Roman" w:cs="Times New Roman"/>
                <w:i/>
                <w:iCs/>
                <w:sz w:val="18"/>
                <w:szCs w:val="18"/>
                <w:highlight w:val="lightGray"/>
              </w:rPr>
            </w:pPr>
            <w:r w:rsidRPr="00632442">
              <w:rPr>
                <w:rFonts w:eastAsia="Calibri" w:cs="Times New Roman"/>
                <w:i/>
                <w:iCs/>
                <w:sz w:val="18"/>
                <w:szCs w:val="18"/>
                <w:lang w:eastAsia="en-US"/>
              </w:rPr>
              <w:t>tajā skaitā:</w:t>
            </w:r>
          </w:p>
        </w:tc>
        <w:tc>
          <w:tcPr>
            <w:tcW w:w="1126" w:type="dxa"/>
            <w:tcBorders>
              <w:top w:val="nil"/>
              <w:left w:val="nil"/>
              <w:bottom w:val="single" w:sz="4" w:space="0" w:color="auto"/>
              <w:right w:val="single" w:sz="4" w:space="0" w:color="auto"/>
            </w:tcBorders>
            <w:shd w:val="clear" w:color="auto" w:fill="auto"/>
            <w:noWrap/>
            <w:hideMark/>
          </w:tcPr>
          <w:p w14:paraId="4C585101"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auto" w:fill="auto"/>
            <w:noWrap/>
            <w:hideMark/>
          </w:tcPr>
          <w:p w14:paraId="73286735"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700C3FE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nil"/>
              <w:left w:val="nil"/>
              <w:bottom w:val="single" w:sz="4" w:space="0" w:color="auto"/>
              <w:right w:val="single" w:sz="4" w:space="0" w:color="auto"/>
            </w:tcBorders>
            <w:shd w:val="clear" w:color="auto" w:fill="auto"/>
            <w:noWrap/>
            <w:hideMark/>
          </w:tcPr>
          <w:p w14:paraId="20FC979A"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auto" w:fill="auto"/>
            <w:noWrap/>
            <w:hideMark/>
          </w:tcPr>
          <w:p w14:paraId="1550AD37"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5311C84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nil"/>
              <w:left w:val="nil"/>
              <w:bottom w:val="single" w:sz="4" w:space="0" w:color="auto"/>
              <w:right w:val="single" w:sz="4" w:space="0" w:color="auto"/>
            </w:tcBorders>
            <w:shd w:val="clear" w:color="auto" w:fill="auto"/>
            <w:noWrap/>
            <w:hideMark/>
          </w:tcPr>
          <w:p w14:paraId="6C3D5FE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auto" w:fill="auto"/>
            <w:noWrap/>
            <w:hideMark/>
          </w:tcPr>
          <w:p w14:paraId="0995E4E9"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567B8201"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1363D2AF" w14:textId="77777777" w:rsidTr="00ED15CD">
        <w:trPr>
          <w:gridAfter w:val="5"/>
          <w:wAfter w:w="6440" w:type="dxa"/>
          <w:trHeight w:val="169"/>
        </w:trPr>
        <w:tc>
          <w:tcPr>
            <w:tcW w:w="4073" w:type="dxa"/>
            <w:tcBorders>
              <w:top w:val="nil"/>
              <w:left w:val="single" w:sz="4" w:space="0" w:color="auto"/>
              <w:bottom w:val="single" w:sz="4" w:space="0" w:color="auto"/>
              <w:right w:val="single" w:sz="4" w:space="0" w:color="auto"/>
            </w:tcBorders>
            <w:shd w:val="clear" w:color="auto" w:fill="auto"/>
            <w:noWrap/>
            <w:hideMark/>
          </w:tcPr>
          <w:p w14:paraId="7272BB08"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Vecuma pensijas</w:t>
            </w:r>
          </w:p>
        </w:tc>
        <w:tc>
          <w:tcPr>
            <w:tcW w:w="1126" w:type="dxa"/>
            <w:tcBorders>
              <w:top w:val="nil"/>
              <w:left w:val="nil"/>
              <w:bottom w:val="single" w:sz="4" w:space="0" w:color="auto"/>
              <w:right w:val="single" w:sz="4" w:space="0" w:color="auto"/>
            </w:tcBorders>
            <w:shd w:val="clear" w:color="auto" w:fill="auto"/>
            <w:noWrap/>
            <w:hideMark/>
          </w:tcPr>
          <w:p w14:paraId="367E193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598,38</w:t>
            </w:r>
          </w:p>
        </w:tc>
        <w:tc>
          <w:tcPr>
            <w:tcW w:w="985" w:type="dxa"/>
            <w:tcBorders>
              <w:top w:val="nil"/>
              <w:left w:val="nil"/>
              <w:bottom w:val="single" w:sz="4" w:space="0" w:color="auto"/>
              <w:right w:val="single" w:sz="4" w:space="0" w:color="auto"/>
            </w:tcBorders>
            <w:shd w:val="clear" w:color="auto" w:fill="auto"/>
            <w:noWrap/>
            <w:hideMark/>
          </w:tcPr>
          <w:p w14:paraId="1E994D3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424 747</w:t>
            </w:r>
          </w:p>
        </w:tc>
        <w:tc>
          <w:tcPr>
            <w:tcW w:w="1266" w:type="dxa"/>
            <w:tcBorders>
              <w:top w:val="nil"/>
              <w:left w:val="nil"/>
              <w:bottom w:val="single" w:sz="4" w:space="0" w:color="auto"/>
              <w:right w:val="single" w:sz="4" w:space="0" w:color="auto"/>
            </w:tcBorders>
            <w:shd w:val="clear" w:color="auto" w:fill="auto"/>
            <w:noWrap/>
            <w:hideMark/>
          </w:tcPr>
          <w:p w14:paraId="7A34C7D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3 049 936 715</w:t>
            </w:r>
          </w:p>
        </w:tc>
        <w:tc>
          <w:tcPr>
            <w:tcW w:w="1125" w:type="dxa"/>
            <w:tcBorders>
              <w:top w:val="nil"/>
              <w:left w:val="nil"/>
              <w:bottom w:val="single" w:sz="4" w:space="0" w:color="auto"/>
              <w:right w:val="single" w:sz="4" w:space="0" w:color="auto"/>
            </w:tcBorders>
            <w:shd w:val="clear" w:color="auto" w:fill="auto"/>
            <w:noWrap/>
            <w:hideMark/>
          </w:tcPr>
          <w:p w14:paraId="55E47E0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649,26</w:t>
            </w:r>
          </w:p>
        </w:tc>
        <w:tc>
          <w:tcPr>
            <w:tcW w:w="984" w:type="dxa"/>
            <w:tcBorders>
              <w:top w:val="nil"/>
              <w:left w:val="nil"/>
              <w:bottom w:val="single" w:sz="4" w:space="0" w:color="auto"/>
              <w:right w:val="single" w:sz="4" w:space="0" w:color="auto"/>
            </w:tcBorders>
            <w:shd w:val="clear" w:color="auto" w:fill="auto"/>
            <w:noWrap/>
            <w:hideMark/>
          </w:tcPr>
          <w:p w14:paraId="39C34EB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422 639</w:t>
            </w:r>
          </w:p>
        </w:tc>
        <w:tc>
          <w:tcPr>
            <w:tcW w:w="1265" w:type="dxa"/>
            <w:tcBorders>
              <w:top w:val="nil"/>
              <w:left w:val="nil"/>
              <w:bottom w:val="single" w:sz="4" w:space="0" w:color="auto"/>
              <w:right w:val="single" w:sz="4" w:space="0" w:color="auto"/>
            </w:tcBorders>
            <w:shd w:val="clear" w:color="auto" w:fill="auto"/>
            <w:noWrap/>
            <w:hideMark/>
          </w:tcPr>
          <w:p w14:paraId="14AFDEE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3 292 812 061</w:t>
            </w:r>
          </w:p>
        </w:tc>
        <w:tc>
          <w:tcPr>
            <w:tcW w:w="845" w:type="dxa"/>
            <w:tcBorders>
              <w:top w:val="nil"/>
              <w:left w:val="nil"/>
              <w:bottom w:val="single" w:sz="4" w:space="0" w:color="auto"/>
              <w:right w:val="single" w:sz="4" w:space="0" w:color="auto"/>
            </w:tcBorders>
            <w:shd w:val="clear" w:color="auto" w:fill="auto"/>
            <w:noWrap/>
            <w:hideMark/>
          </w:tcPr>
          <w:p w14:paraId="3A08347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706,47</w:t>
            </w:r>
          </w:p>
        </w:tc>
        <w:tc>
          <w:tcPr>
            <w:tcW w:w="964" w:type="dxa"/>
            <w:tcBorders>
              <w:top w:val="nil"/>
              <w:left w:val="nil"/>
              <w:bottom w:val="single" w:sz="4" w:space="0" w:color="auto"/>
              <w:right w:val="single" w:sz="4" w:space="0" w:color="auto"/>
            </w:tcBorders>
            <w:shd w:val="clear" w:color="auto" w:fill="auto"/>
            <w:noWrap/>
            <w:hideMark/>
          </w:tcPr>
          <w:p w14:paraId="67D28C0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424 330</w:t>
            </w:r>
          </w:p>
        </w:tc>
        <w:tc>
          <w:tcPr>
            <w:tcW w:w="1319" w:type="dxa"/>
            <w:tcBorders>
              <w:top w:val="nil"/>
              <w:left w:val="nil"/>
              <w:bottom w:val="single" w:sz="4" w:space="0" w:color="auto"/>
              <w:right w:val="single" w:sz="4" w:space="0" w:color="auto"/>
            </w:tcBorders>
            <w:shd w:val="clear" w:color="auto" w:fill="auto"/>
            <w:noWrap/>
            <w:hideMark/>
          </w:tcPr>
          <w:p w14:paraId="1353DD7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3 597 316 709</w:t>
            </w:r>
          </w:p>
        </w:tc>
      </w:tr>
      <w:tr w:rsidR="00ED15CD" w:rsidRPr="00632442" w14:paraId="04DE1B08" w14:textId="77777777" w:rsidTr="00ED15CD">
        <w:trPr>
          <w:gridAfter w:val="5"/>
          <w:wAfter w:w="6440" w:type="dxa"/>
          <w:trHeight w:val="244"/>
        </w:trPr>
        <w:tc>
          <w:tcPr>
            <w:tcW w:w="4073" w:type="dxa"/>
            <w:tcBorders>
              <w:top w:val="nil"/>
              <w:left w:val="single" w:sz="4" w:space="0" w:color="auto"/>
              <w:bottom w:val="single" w:sz="4" w:space="0" w:color="auto"/>
              <w:right w:val="single" w:sz="4" w:space="0" w:color="auto"/>
            </w:tcBorders>
            <w:shd w:val="clear" w:color="auto" w:fill="auto"/>
            <w:noWrap/>
            <w:hideMark/>
          </w:tcPr>
          <w:p w14:paraId="77963CBE"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Pensijas apgādnieka zaudējuma gadījumā</w:t>
            </w:r>
          </w:p>
        </w:tc>
        <w:tc>
          <w:tcPr>
            <w:tcW w:w="1126" w:type="dxa"/>
            <w:tcBorders>
              <w:top w:val="nil"/>
              <w:left w:val="nil"/>
              <w:bottom w:val="single" w:sz="4" w:space="0" w:color="auto"/>
              <w:right w:val="single" w:sz="4" w:space="0" w:color="auto"/>
            </w:tcBorders>
            <w:shd w:val="clear" w:color="auto" w:fill="auto"/>
            <w:noWrap/>
            <w:hideMark/>
          </w:tcPr>
          <w:p w14:paraId="59A5359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342,66</w:t>
            </w:r>
          </w:p>
        </w:tc>
        <w:tc>
          <w:tcPr>
            <w:tcW w:w="985" w:type="dxa"/>
            <w:tcBorders>
              <w:top w:val="nil"/>
              <w:left w:val="nil"/>
              <w:bottom w:val="single" w:sz="4" w:space="0" w:color="auto"/>
              <w:right w:val="single" w:sz="4" w:space="0" w:color="auto"/>
            </w:tcBorders>
            <w:shd w:val="clear" w:color="auto" w:fill="auto"/>
            <w:noWrap/>
            <w:hideMark/>
          </w:tcPr>
          <w:p w14:paraId="3204CEE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14 972</w:t>
            </w:r>
          </w:p>
        </w:tc>
        <w:tc>
          <w:tcPr>
            <w:tcW w:w="1266" w:type="dxa"/>
            <w:tcBorders>
              <w:top w:val="nil"/>
              <w:left w:val="nil"/>
              <w:bottom w:val="single" w:sz="4" w:space="0" w:color="auto"/>
              <w:right w:val="single" w:sz="4" w:space="0" w:color="auto"/>
            </w:tcBorders>
            <w:shd w:val="clear" w:color="auto" w:fill="auto"/>
            <w:noWrap/>
            <w:hideMark/>
          </w:tcPr>
          <w:p w14:paraId="7D83060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61 564 022</w:t>
            </w:r>
          </w:p>
        </w:tc>
        <w:tc>
          <w:tcPr>
            <w:tcW w:w="1125" w:type="dxa"/>
            <w:tcBorders>
              <w:top w:val="nil"/>
              <w:left w:val="nil"/>
              <w:bottom w:val="single" w:sz="4" w:space="0" w:color="auto"/>
              <w:right w:val="single" w:sz="4" w:space="0" w:color="auto"/>
            </w:tcBorders>
            <w:shd w:val="clear" w:color="auto" w:fill="auto"/>
            <w:noWrap/>
            <w:hideMark/>
          </w:tcPr>
          <w:p w14:paraId="268A3F2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380,93</w:t>
            </w:r>
          </w:p>
        </w:tc>
        <w:tc>
          <w:tcPr>
            <w:tcW w:w="984" w:type="dxa"/>
            <w:tcBorders>
              <w:top w:val="nil"/>
              <w:left w:val="nil"/>
              <w:bottom w:val="single" w:sz="4" w:space="0" w:color="auto"/>
              <w:right w:val="single" w:sz="4" w:space="0" w:color="auto"/>
            </w:tcBorders>
            <w:shd w:val="clear" w:color="auto" w:fill="auto"/>
            <w:noWrap/>
            <w:hideMark/>
          </w:tcPr>
          <w:p w14:paraId="20A4F56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14 972</w:t>
            </w:r>
          </w:p>
        </w:tc>
        <w:tc>
          <w:tcPr>
            <w:tcW w:w="1265" w:type="dxa"/>
            <w:tcBorders>
              <w:top w:val="nil"/>
              <w:left w:val="nil"/>
              <w:bottom w:val="single" w:sz="4" w:space="0" w:color="auto"/>
              <w:right w:val="single" w:sz="4" w:space="0" w:color="auto"/>
            </w:tcBorders>
            <w:shd w:val="clear" w:color="auto" w:fill="auto"/>
            <w:noWrap/>
            <w:hideMark/>
          </w:tcPr>
          <w:p w14:paraId="736792D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68 439 123</w:t>
            </w:r>
          </w:p>
        </w:tc>
        <w:tc>
          <w:tcPr>
            <w:tcW w:w="845" w:type="dxa"/>
            <w:tcBorders>
              <w:top w:val="nil"/>
              <w:left w:val="nil"/>
              <w:bottom w:val="single" w:sz="4" w:space="0" w:color="auto"/>
              <w:right w:val="single" w:sz="4" w:space="0" w:color="auto"/>
            </w:tcBorders>
            <w:shd w:val="clear" w:color="auto" w:fill="auto"/>
            <w:noWrap/>
            <w:hideMark/>
          </w:tcPr>
          <w:p w14:paraId="6779FA5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427,20</w:t>
            </w:r>
          </w:p>
        </w:tc>
        <w:tc>
          <w:tcPr>
            <w:tcW w:w="964" w:type="dxa"/>
            <w:tcBorders>
              <w:top w:val="nil"/>
              <w:left w:val="nil"/>
              <w:bottom w:val="single" w:sz="4" w:space="0" w:color="auto"/>
              <w:right w:val="single" w:sz="4" w:space="0" w:color="auto"/>
            </w:tcBorders>
            <w:shd w:val="clear" w:color="auto" w:fill="auto"/>
            <w:noWrap/>
            <w:hideMark/>
          </w:tcPr>
          <w:p w14:paraId="4D8564D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14 972</w:t>
            </w:r>
          </w:p>
        </w:tc>
        <w:tc>
          <w:tcPr>
            <w:tcW w:w="1319" w:type="dxa"/>
            <w:tcBorders>
              <w:top w:val="nil"/>
              <w:left w:val="nil"/>
              <w:bottom w:val="single" w:sz="4" w:space="0" w:color="auto"/>
              <w:right w:val="single" w:sz="4" w:space="0" w:color="auto"/>
            </w:tcBorders>
            <w:shd w:val="clear" w:color="auto" w:fill="auto"/>
            <w:noWrap/>
            <w:hideMark/>
          </w:tcPr>
          <w:p w14:paraId="1179B33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76 753 164</w:t>
            </w:r>
          </w:p>
        </w:tc>
      </w:tr>
      <w:tr w:rsidR="00ED15CD" w:rsidRPr="00632442" w14:paraId="0AD5A0D9" w14:textId="77777777" w:rsidTr="00ED15CD">
        <w:trPr>
          <w:gridAfter w:val="5"/>
          <w:wAfter w:w="6440" w:type="dxa"/>
          <w:trHeight w:val="133"/>
        </w:trPr>
        <w:tc>
          <w:tcPr>
            <w:tcW w:w="4073" w:type="dxa"/>
            <w:tcBorders>
              <w:top w:val="nil"/>
              <w:left w:val="single" w:sz="4" w:space="0" w:color="auto"/>
              <w:bottom w:val="single" w:sz="4" w:space="0" w:color="auto"/>
              <w:right w:val="single" w:sz="4" w:space="0" w:color="auto"/>
            </w:tcBorders>
            <w:shd w:val="clear" w:color="auto" w:fill="auto"/>
            <w:noWrap/>
            <w:hideMark/>
          </w:tcPr>
          <w:p w14:paraId="57BFBCA6"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Augstākās padomes deputātu pensijas</w:t>
            </w:r>
          </w:p>
        </w:tc>
        <w:tc>
          <w:tcPr>
            <w:tcW w:w="1126" w:type="dxa"/>
            <w:tcBorders>
              <w:top w:val="nil"/>
              <w:left w:val="nil"/>
              <w:bottom w:val="single" w:sz="4" w:space="0" w:color="auto"/>
              <w:right w:val="single" w:sz="4" w:space="0" w:color="auto"/>
            </w:tcBorders>
            <w:shd w:val="clear" w:color="auto" w:fill="auto"/>
            <w:noWrap/>
            <w:hideMark/>
          </w:tcPr>
          <w:p w14:paraId="71B515B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3 184,80</w:t>
            </w:r>
          </w:p>
        </w:tc>
        <w:tc>
          <w:tcPr>
            <w:tcW w:w="985" w:type="dxa"/>
            <w:tcBorders>
              <w:top w:val="nil"/>
              <w:left w:val="nil"/>
              <w:bottom w:val="single" w:sz="4" w:space="0" w:color="auto"/>
              <w:right w:val="single" w:sz="4" w:space="0" w:color="auto"/>
            </w:tcBorders>
            <w:shd w:val="clear" w:color="auto" w:fill="auto"/>
            <w:noWrap/>
            <w:hideMark/>
          </w:tcPr>
          <w:p w14:paraId="4B0F703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95</w:t>
            </w:r>
          </w:p>
        </w:tc>
        <w:tc>
          <w:tcPr>
            <w:tcW w:w="1266" w:type="dxa"/>
            <w:tcBorders>
              <w:top w:val="nil"/>
              <w:left w:val="nil"/>
              <w:bottom w:val="single" w:sz="4" w:space="0" w:color="auto"/>
              <w:right w:val="single" w:sz="4" w:space="0" w:color="auto"/>
            </w:tcBorders>
            <w:shd w:val="clear" w:color="auto" w:fill="auto"/>
            <w:noWrap/>
            <w:hideMark/>
          </w:tcPr>
          <w:p w14:paraId="2A50BA5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3 630 672</w:t>
            </w:r>
          </w:p>
        </w:tc>
        <w:tc>
          <w:tcPr>
            <w:tcW w:w="1125" w:type="dxa"/>
            <w:tcBorders>
              <w:top w:val="nil"/>
              <w:left w:val="nil"/>
              <w:bottom w:val="single" w:sz="4" w:space="0" w:color="auto"/>
              <w:right w:val="single" w:sz="4" w:space="0" w:color="auto"/>
            </w:tcBorders>
            <w:shd w:val="clear" w:color="auto" w:fill="auto"/>
            <w:noWrap/>
            <w:hideMark/>
          </w:tcPr>
          <w:p w14:paraId="76092C3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3 184,80</w:t>
            </w:r>
          </w:p>
        </w:tc>
        <w:tc>
          <w:tcPr>
            <w:tcW w:w="984" w:type="dxa"/>
            <w:tcBorders>
              <w:top w:val="nil"/>
              <w:left w:val="nil"/>
              <w:bottom w:val="single" w:sz="4" w:space="0" w:color="auto"/>
              <w:right w:val="single" w:sz="4" w:space="0" w:color="auto"/>
            </w:tcBorders>
            <w:shd w:val="clear" w:color="auto" w:fill="auto"/>
            <w:noWrap/>
            <w:hideMark/>
          </w:tcPr>
          <w:p w14:paraId="58F3067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95</w:t>
            </w:r>
          </w:p>
        </w:tc>
        <w:tc>
          <w:tcPr>
            <w:tcW w:w="1265" w:type="dxa"/>
            <w:tcBorders>
              <w:top w:val="nil"/>
              <w:left w:val="nil"/>
              <w:bottom w:val="single" w:sz="4" w:space="0" w:color="auto"/>
              <w:right w:val="single" w:sz="4" w:space="0" w:color="auto"/>
            </w:tcBorders>
            <w:shd w:val="clear" w:color="auto" w:fill="auto"/>
            <w:noWrap/>
            <w:hideMark/>
          </w:tcPr>
          <w:p w14:paraId="7E4ACE4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3 630 672</w:t>
            </w:r>
          </w:p>
        </w:tc>
        <w:tc>
          <w:tcPr>
            <w:tcW w:w="845" w:type="dxa"/>
            <w:tcBorders>
              <w:top w:val="nil"/>
              <w:left w:val="nil"/>
              <w:bottom w:val="single" w:sz="4" w:space="0" w:color="auto"/>
              <w:right w:val="single" w:sz="4" w:space="0" w:color="auto"/>
            </w:tcBorders>
            <w:shd w:val="clear" w:color="auto" w:fill="auto"/>
            <w:noWrap/>
            <w:hideMark/>
          </w:tcPr>
          <w:p w14:paraId="16D8609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3 184,80</w:t>
            </w:r>
          </w:p>
        </w:tc>
        <w:tc>
          <w:tcPr>
            <w:tcW w:w="964" w:type="dxa"/>
            <w:tcBorders>
              <w:top w:val="nil"/>
              <w:left w:val="nil"/>
              <w:bottom w:val="single" w:sz="4" w:space="0" w:color="auto"/>
              <w:right w:val="single" w:sz="4" w:space="0" w:color="auto"/>
            </w:tcBorders>
            <w:shd w:val="clear" w:color="auto" w:fill="auto"/>
            <w:noWrap/>
            <w:hideMark/>
          </w:tcPr>
          <w:p w14:paraId="05FE892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95</w:t>
            </w:r>
          </w:p>
        </w:tc>
        <w:tc>
          <w:tcPr>
            <w:tcW w:w="1319" w:type="dxa"/>
            <w:tcBorders>
              <w:top w:val="nil"/>
              <w:left w:val="nil"/>
              <w:bottom w:val="single" w:sz="4" w:space="0" w:color="auto"/>
              <w:right w:val="single" w:sz="4" w:space="0" w:color="auto"/>
            </w:tcBorders>
            <w:shd w:val="clear" w:color="auto" w:fill="auto"/>
            <w:noWrap/>
            <w:hideMark/>
          </w:tcPr>
          <w:p w14:paraId="10E0602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3 630 672</w:t>
            </w:r>
          </w:p>
        </w:tc>
      </w:tr>
      <w:tr w:rsidR="00ED15CD" w:rsidRPr="00632442" w14:paraId="3C722FD4" w14:textId="77777777" w:rsidTr="00ED15CD">
        <w:trPr>
          <w:gridAfter w:val="5"/>
          <w:wAfter w:w="6440" w:type="dxa"/>
          <w:trHeight w:val="193"/>
        </w:trPr>
        <w:tc>
          <w:tcPr>
            <w:tcW w:w="4073" w:type="dxa"/>
            <w:tcBorders>
              <w:top w:val="nil"/>
              <w:left w:val="single" w:sz="4" w:space="0" w:color="auto"/>
              <w:bottom w:val="single" w:sz="4" w:space="0" w:color="auto"/>
              <w:right w:val="single" w:sz="4" w:space="0" w:color="auto"/>
            </w:tcBorders>
            <w:shd w:val="clear" w:color="auto" w:fill="auto"/>
            <w:noWrap/>
            <w:hideMark/>
          </w:tcPr>
          <w:p w14:paraId="40884ECB"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 xml:space="preserve">Izdienas pensijas </w:t>
            </w:r>
          </w:p>
        </w:tc>
        <w:tc>
          <w:tcPr>
            <w:tcW w:w="1126" w:type="dxa"/>
            <w:tcBorders>
              <w:top w:val="nil"/>
              <w:left w:val="nil"/>
              <w:bottom w:val="single" w:sz="4" w:space="0" w:color="auto"/>
              <w:right w:val="single" w:sz="4" w:space="0" w:color="auto"/>
            </w:tcBorders>
            <w:shd w:val="clear" w:color="auto" w:fill="auto"/>
            <w:noWrap/>
            <w:hideMark/>
          </w:tcPr>
          <w:p w14:paraId="484390C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682,45</w:t>
            </w:r>
          </w:p>
        </w:tc>
        <w:tc>
          <w:tcPr>
            <w:tcW w:w="985" w:type="dxa"/>
            <w:tcBorders>
              <w:top w:val="nil"/>
              <w:left w:val="nil"/>
              <w:bottom w:val="single" w:sz="4" w:space="0" w:color="auto"/>
              <w:right w:val="single" w:sz="4" w:space="0" w:color="auto"/>
            </w:tcBorders>
            <w:shd w:val="clear" w:color="auto" w:fill="auto"/>
            <w:noWrap/>
            <w:hideMark/>
          </w:tcPr>
          <w:p w14:paraId="6316ADC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1 290</w:t>
            </w:r>
          </w:p>
        </w:tc>
        <w:tc>
          <w:tcPr>
            <w:tcW w:w="1266" w:type="dxa"/>
            <w:tcBorders>
              <w:top w:val="nil"/>
              <w:left w:val="nil"/>
              <w:bottom w:val="single" w:sz="4" w:space="0" w:color="auto"/>
              <w:right w:val="single" w:sz="4" w:space="0" w:color="auto"/>
            </w:tcBorders>
            <w:shd w:val="clear" w:color="auto" w:fill="auto"/>
            <w:noWrap/>
            <w:hideMark/>
          </w:tcPr>
          <w:p w14:paraId="7815E36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10 564 292</w:t>
            </w:r>
          </w:p>
        </w:tc>
        <w:tc>
          <w:tcPr>
            <w:tcW w:w="1125" w:type="dxa"/>
            <w:tcBorders>
              <w:top w:val="nil"/>
              <w:left w:val="nil"/>
              <w:bottom w:val="single" w:sz="4" w:space="0" w:color="auto"/>
              <w:right w:val="single" w:sz="4" w:space="0" w:color="auto"/>
            </w:tcBorders>
            <w:shd w:val="clear" w:color="auto" w:fill="auto"/>
            <w:noWrap/>
            <w:hideMark/>
          </w:tcPr>
          <w:p w14:paraId="7AC1585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738,43</w:t>
            </w:r>
          </w:p>
        </w:tc>
        <w:tc>
          <w:tcPr>
            <w:tcW w:w="984" w:type="dxa"/>
            <w:tcBorders>
              <w:top w:val="nil"/>
              <w:left w:val="nil"/>
              <w:bottom w:val="single" w:sz="4" w:space="0" w:color="auto"/>
              <w:right w:val="single" w:sz="4" w:space="0" w:color="auto"/>
            </w:tcBorders>
            <w:shd w:val="clear" w:color="auto" w:fill="auto"/>
            <w:noWrap/>
            <w:hideMark/>
          </w:tcPr>
          <w:p w14:paraId="6666890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1 206</w:t>
            </w:r>
          </w:p>
        </w:tc>
        <w:tc>
          <w:tcPr>
            <w:tcW w:w="1265" w:type="dxa"/>
            <w:tcBorders>
              <w:top w:val="nil"/>
              <w:left w:val="nil"/>
              <w:bottom w:val="single" w:sz="4" w:space="0" w:color="auto"/>
              <w:right w:val="single" w:sz="4" w:space="0" w:color="auto"/>
            </w:tcBorders>
            <w:shd w:val="clear" w:color="auto" w:fill="auto"/>
            <w:noWrap/>
            <w:hideMark/>
          </w:tcPr>
          <w:p w14:paraId="06A3846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10 686 488</w:t>
            </w:r>
          </w:p>
        </w:tc>
        <w:tc>
          <w:tcPr>
            <w:tcW w:w="845" w:type="dxa"/>
            <w:tcBorders>
              <w:top w:val="nil"/>
              <w:left w:val="nil"/>
              <w:bottom w:val="single" w:sz="4" w:space="0" w:color="auto"/>
              <w:right w:val="single" w:sz="4" w:space="0" w:color="auto"/>
            </w:tcBorders>
            <w:shd w:val="clear" w:color="auto" w:fill="auto"/>
            <w:noWrap/>
            <w:hideMark/>
          </w:tcPr>
          <w:p w14:paraId="4A1BE38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793,69</w:t>
            </w:r>
          </w:p>
        </w:tc>
        <w:tc>
          <w:tcPr>
            <w:tcW w:w="964" w:type="dxa"/>
            <w:tcBorders>
              <w:top w:val="nil"/>
              <w:left w:val="nil"/>
              <w:bottom w:val="single" w:sz="4" w:space="0" w:color="auto"/>
              <w:right w:val="single" w:sz="4" w:space="0" w:color="auto"/>
            </w:tcBorders>
            <w:shd w:val="clear" w:color="auto" w:fill="auto"/>
            <w:noWrap/>
            <w:hideMark/>
          </w:tcPr>
          <w:p w14:paraId="2AF45FA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1 128</w:t>
            </w:r>
          </w:p>
        </w:tc>
        <w:tc>
          <w:tcPr>
            <w:tcW w:w="1319" w:type="dxa"/>
            <w:tcBorders>
              <w:top w:val="nil"/>
              <w:left w:val="nil"/>
              <w:bottom w:val="single" w:sz="4" w:space="0" w:color="auto"/>
              <w:right w:val="single" w:sz="4" w:space="0" w:color="auto"/>
            </w:tcBorders>
            <w:shd w:val="clear" w:color="auto" w:fill="auto"/>
            <w:noWrap/>
            <w:hideMark/>
          </w:tcPr>
          <w:p w14:paraId="7C073B1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10 743 322</w:t>
            </w:r>
          </w:p>
        </w:tc>
      </w:tr>
      <w:tr w:rsidR="00ED15CD" w:rsidRPr="00632442" w14:paraId="55F8D9A3" w14:textId="77777777" w:rsidTr="00ED15CD">
        <w:trPr>
          <w:gridAfter w:val="5"/>
          <w:wAfter w:w="6440" w:type="dxa"/>
          <w:trHeight w:val="125"/>
        </w:trPr>
        <w:tc>
          <w:tcPr>
            <w:tcW w:w="4073" w:type="dxa"/>
            <w:tcBorders>
              <w:top w:val="nil"/>
              <w:left w:val="single" w:sz="4" w:space="0" w:color="auto"/>
              <w:bottom w:val="single" w:sz="4" w:space="0" w:color="auto"/>
              <w:right w:val="single" w:sz="4" w:space="0" w:color="auto"/>
            </w:tcBorders>
            <w:shd w:val="clear" w:color="auto" w:fill="auto"/>
            <w:noWrap/>
            <w:hideMark/>
          </w:tcPr>
          <w:p w14:paraId="03A1AF76"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Valsts sociālās apdrošināšanas pabalsti naudā – kopā</w:t>
            </w:r>
          </w:p>
        </w:tc>
        <w:tc>
          <w:tcPr>
            <w:tcW w:w="1126" w:type="dxa"/>
            <w:tcBorders>
              <w:top w:val="nil"/>
              <w:left w:val="nil"/>
              <w:bottom w:val="single" w:sz="4" w:space="0" w:color="auto"/>
              <w:right w:val="single" w:sz="4" w:space="0" w:color="auto"/>
            </w:tcBorders>
            <w:shd w:val="clear" w:color="000000" w:fill="FFFFFF"/>
            <w:noWrap/>
            <w:hideMark/>
          </w:tcPr>
          <w:p w14:paraId="6CD4F45E"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000000" w:fill="FFFFFF"/>
            <w:noWrap/>
            <w:hideMark/>
          </w:tcPr>
          <w:p w14:paraId="40AFA452"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2D3FC67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44 855 156</w:t>
            </w:r>
          </w:p>
        </w:tc>
        <w:tc>
          <w:tcPr>
            <w:tcW w:w="1125" w:type="dxa"/>
            <w:tcBorders>
              <w:top w:val="nil"/>
              <w:left w:val="nil"/>
              <w:bottom w:val="single" w:sz="4" w:space="0" w:color="auto"/>
              <w:right w:val="single" w:sz="4" w:space="0" w:color="auto"/>
            </w:tcBorders>
            <w:shd w:val="clear" w:color="000000" w:fill="FFFFFF"/>
            <w:noWrap/>
            <w:hideMark/>
          </w:tcPr>
          <w:p w14:paraId="02AD938F"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000000" w:fill="FFFFFF"/>
            <w:noWrap/>
            <w:hideMark/>
          </w:tcPr>
          <w:p w14:paraId="58027DA2"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729AA1E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48 453 581</w:t>
            </w:r>
          </w:p>
        </w:tc>
        <w:tc>
          <w:tcPr>
            <w:tcW w:w="845" w:type="dxa"/>
            <w:tcBorders>
              <w:top w:val="nil"/>
              <w:left w:val="nil"/>
              <w:bottom w:val="single" w:sz="4" w:space="0" w:color="auto"/>
              <w:right w:val="single" w:sz="4" w:space="0" w:color="auto"/>
            </w:tcBorders>
            <w:shd w:val="clear" w:color="000000" w:fill="FFFFFF"/>
            <w:noWrap/>
            <w:hideMark/>
          </w:tcPr>
          <w:p w14:paraId="3141AA34"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000000" w:fill="FFFFFF"/>
            <w:noWrap/>
            <w:hideMark/>
          </w:tcPr>
          <w:p w14:paraId="3F2B68D4"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7F6161F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52 271 779</w:t>
            </w:r>
          </w:p>
        </w:tc>
      </w:tr>
      <w:tr w:rsidR="00ED15CD" w:rsidRPr="00632442" w14:paraId="776A52C4" w14:textId="77777777" w:rsidTr="00ED15CD">
        <w:trPr>
          <w:gridAfter w:val="5"/>
          <w:wAfter w:w="6440" w:type="dxa"/>
          <w:trHeight w:val="185"/>
        </w:trPr>
        <w:tc>
          <w:tcPr>
            <w:tcW w:w="4073" w:type="dxa"/>
            <w:tcBorders>
              <w:top w:val="nil"/>
              <w:left w:val="single" w:sz="4" w:space="0" w:color="auto"/>
              <w:bottom w:val="single" w:sz="4" w:space="0" w:color="auto"/>
              <w:right w:val="single" w:sz="4" w:space="0" w:color="auto"/>
            </w:tcBorders>
            <w:shd w:val="clear" w:color="auto" w:fill="auto"/>
            <w:noWrap/>
            <w:hideMark/>
          </w:tcPr>
          <w:p w14:paraId="46C21B01" w14:textId="77777777" w:rsidR="00632442" w:rsidRPr="00632442" w:rsidRDefault="00632442" w:rsidP="00632442">
            <w:pPr>
              <w:spacing w:after="0"/>
              <w:ind w:firstLineChars="100" w:firstLine="180"/>
              <w:jc w:val="left"/>
              <w:rPr>
                <w:rFonts w:eastAsia="Times New Roman" w:cs="Times New Roman"/>
                <w:i/>
                <w:iCs/>
                <w:sz w:val="18"/>
                <w:szCs w:val="18"/>
                <w:highlight w:val="lightGray"/>
              </w:rPr>
            </w:pPr>
            <w:r w:rsidRPr="00632442">
              <w:rPr>
                <w:rFonts w:eastAsia="Calibri" w:cs="Times New Roman"/>
                <w:i/>
                <w:iCs/>
                <w:sz w:val="18"/>
                <w:szCs w:val="18"/>
                <w:lang w:eastAsia="en-US"/>
              </w:rPr>
              <w:t>tajā skaitā:</w:t>
            </w:r>
          </w:p>
        </w:tc>
        <w:tc>
          <w:tcPr>
            <w:tcW w:w="1126" w:type="dxa"/>
            <w:tcBorders>
              <w:top w:val="nil"/>
              <w:left w:val="nil"/>
              <w:bottom w:val="single" w:sz="4" w:space="0" w:color="auto"/>
              <w:right w:val="single" w:sz="4" w:space="0" w:color="auto"/>
            </w:tcBorders>
            <w:shd w:val="clear" w:color="auto" w:fill="auto"/>
            <w:noWrap/>
            <w:hideMark/>
          </w:tcPr>
          <w:p w14:paraId="1F92D892"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5F8B1F65"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7740550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nil"/>
              <w:left w:val="nil"/>
              <w:bottom w:val="single" w:sz="4" w:space="0" w:color="auto"/>
              <w:right w:val="single" w:sz="4" w:space="0" w:color="auto"/>
            </w:tcBorders>
            <w:shd w:val="clear" w:color="auto" w:fill="auto"/>
            <w:noWrap/>
            <w:hideMark/>
          </w:tcPr>
          <w:p w14:paraId="7A0B10F5"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15968D5A"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4BB98365"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nil"/>
              <w:left w:val="nil"/>
              <w:bottom w:val="single" w:sz="4" w:space="0" w:color="auto"/>
              <w:right w:val="single" w:sz="4" w:space="0" w:color="auto"/>
            </w:tcBorders>
            <w:shd w:val="clear" w:color="auto" w:fill="auto"/>
            <w:noWrap/>
            <w:hideMark/>
          </w:tcPr>
          <w:p w14:paraId="26F2A165"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45266227"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6C90506D"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00C700F3" w14:textId="77777777" w:rsidTr="00ED15CD">
        <w:trPr>
          <w:gridAfter w:val="5"/>
          <w:wAfter w:w="6440" w:type="dxa"/>
          <w:trHeight w:val="118"/>
        </w:trPr>
        <w:tc>
          <w:tcPr>
            <w:tcW w:w="4073" w:type="dxa"/>
            <w:tcBorders>
              <w:top w:val="nil"/>
              <w:left w:val="single" w:sz="4" w:space="0" w:color="auto"/>
              <w:bottom w:val="single" w:sz="4" w:space="0" w:color="auto"/>
              <w:right w:val="single" w:sz="4" w:space="0" w:color="auto"/>
            </w:tcBorders>
            <w:shd w:val="clear" w:color="auto" w:fill="auto"/>
            <w:noWrap/>
            <w:hideMark/>
          </w:tcPr>
          <w:p w14:paraId="44F61C11"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Apbedīšanas pabalsts</w:t>
            </w:r>
          </w:p>
        </w:tc>
        <w:tc>
          <w:tcPr>
            <w:tcW w:w="1126" w:type="dxa"/>
            <w:tcBorders>
              <w:top w:val="nil"/>
              <w:left w:val="nil"/>
              <w:bottom w:val="single" w:sz="4" w:space="0" w:color="auto"/>
              <w:right w:val="single" w:sz="4" w:space="0" w:color="auto"/>
            </w:tcBorders>
            <w:shd w:val="clear" w:color="auto" w:fill="auto"/>
            <w:noWrap/>
            <w:hideMark/>
          </w:tcPr>
          <w:p w14:paraId="309FA38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1 019,78</w:t>
            </w:r>
          </w:p>
        </w:tc>
        <w:tc>
          <w:tcPr>
            <w:tcW w:w="985" w:type="dxa"/>
            <w:tcBorders>
              <w:top w:val="nil"/>
              <w:left w:val="nil"/>
              <w:bottom w:val="single" w:sz="4" w:space="0" w:color="auto"/>
              <w:right w:val="single" w:sz="4" w:space="0" w:color="auto"/>
            </w:tcBorders>
            <w:shd w:val="clear" w:color="auto" w:fill="auto"/>
            <w:noWrap/>
            <w:hideMark/>
          </w:tcPr>
          <w:p w14:paraId="775216D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2 000</w:t>
            </w:r>
          </w:p>
        </w:tc>
        <w:tc>
          <w:tcPr>
            <w:tcW w:w="1266" w:type="dxa"/>
            <w:tcBorders>
              <w:top w:val="nil"/>
              <w:left w:val="nil"/>
              <w:bottom w:val="single" w:sz="4" w:space="0" w:color="auto"/>
              <w:right w:val="single" w:sz="4" w:space="0" w:color="auto"/>
            </w:tcBorders>
            <w:shd w:val="clear" w:color="auto" w:fill="auto"/>
            <w:noWrap/>
            <w:hideMark/>
          </w:tcPr>
          <w:p w14:paraId="2343F06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24 474 817</w:t>
            </w:r>
          </w:p>
        </w:tc>
        <w:tc>
          <w:tcPr>
            <w:tcW w:w="1125" w:type="dxa"/>
            <w:tcBorders>
              <w:top w:val="nil"/>
              <w:left w:val="nil"/>
              <w:bottom w:val="single" w:sz="4" w:space="0" w:color="auto"/>
              <w:right w:val="single" w:sz="4" w:space="0" w:color="auto"/>
            </w:tcBorders>
            <w:shd w:val="clear" w:color="auto" w:fill="auto"/>
            <w:noWrap/>
            <w:hideMark/>
          </w:tcPr>
          <w:p w14:paraId="006B853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1 098,25</w:t>
            </w:r>
          </w:p>
        </w:tc>
        <w:tc>
          <w:tcPr>
            <w:tcW w:w="984" w:type="dxa"/>
            <w:tcBorders>
              <w:top w:val="nil"/>
              <w:left w:val="nil"/>
              <w:bottom w:val="single" w:sz="4" w:space="0" w:color="auto"/>
              <w:right w:val="single" w:sz="4" w:space="0" w:color="auto"/>
            </w:tcBorders>
            <w:shd w:val="clear" w:color="auto" w:fill="auto"/>
            <w:noWrap/>
            <w:hideMark/>
          </w:tcPr>
          <w:p w14:paraId="37E1DC2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2 000</w:t>
            </w:r>
          </w:p>
        </w:tc>
        <w:tc>
          <w:tcPr>
            <w:tcW w:w="1265" w:type="dxa"/>
            <w:tcBorders>
              <w:top w:val="nil"/>
              <w:left w:val="nil"/>
              <w:bottom w:val="single" w:sz="4" w:space="0" w:color="auto"/>
              <w:right w:val="single" w:sz="4" w:space="0" w:color="auto"/>
            </w:tcBorders>
            <w:shd w:val="clear" w:color="auto" w:fill="auto"/>
            <w:noWrap/>
            <w:hideMark/>
          </w:tcPr>
          <w:p w14:paraId="6EC8A4B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26 358 075</w:t>
            </w:r>
          </w:p>
        </w:tc>
        <w:tc>
          <w:tcPr>
            <w:tcW w:w="845" w:type="dxa"/>
            <w:tcBorders>
              <w:top w:val="nil"/>
              <w:left w:val="nil"/>
              <w:bottom w:val="single" w:sz="4" w:space="0" w:color="auto"/>
              <w:right w:val="single" w:sz="4" w:space="0" w:color="auto"/>
            </w:tcBorders>
            <w:shd w:val="clear" w:color="auto" w:fill="auto"/>
            <w:noWrap/>
            <w:hideMark/>
          </w:tcPr>
          <w:p w14:paraId="22638A73" w14:textId="77777777" w:rsidR="00632442" w:rsidRPr="00632442" w:rsidRDefault="00632442" w:rsidP="005F7796">
            <w:pPr>
              <w:spacing w:after="0"/>
              <w:ind w:firstLine="0"/>
              <w:rPr>
                <w:rFonts w:eastAsia="Times New Roman" w:cs="Times New Roman"/>
                <w:sz w:val="18"/>
                <w:szCs w:val="18"/>
                <w:highlight w:val="lightGray"/>
              </w:rPr>
            </w:pPr>
            <w:r w:rsidRPr="00632442">
              <w:rPr>
                <w:rFonts w:eastAsia="Calibri" w:cs="Times New Roman"/>
                <w:sz w:val="18"/>
                <w:szCs w:val="18"/>
                <w:lang w:eastAsia="en-US"/>
              </w:rPr>
              <w:t>1 180,96</w:t>
            </w:r>
          </w:p>
        </w:tc>
        <w:tc>
          <w:tcPr>
            <w:tcW w:w="964" w:type="dxa"/>
            <w:tcBorders>
              <w:top w:val="nil"/>
              <w:left w:val="nil"/>
              <w:bottom w:val="single" w:sz="4" w:space="0" w:color="auto"/>
              <w:right w:val="single" w:sz="4" w:space="0" w:color="auto"/>
            </w:tcBorders>
            <w:shd w:val="clear" w:color="auto" w:fill="auto"/>
            <w:noWrap/>
            <w:hideMark/>
          </w:tcPr>
          <w:p w14:paraId="5FC3176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2 000</w:t>
            </w:r>
          </w:p>
        </w:tc>
        <w:tc>
          <w:tcPr>
            <w:tcW w:w="1319" w:type="dxa"/>
            <w:tcBorders>
              <w:top w:val="nil"/>
              <w:left w:val="nil"/>
              <w:bottom w:val="single" w:sz="4" w:space="0" w:color="auto"/>
              <w:right w:val="single" w:sz="4" w:space="0" w:color="auto"/>
            </w:tcBorders>
            <w:shd w:val="clear" w:color="auto" w:fill="auto"/>
            <w:noWrap/>
            <w:hideMark/>
          </w:tcPr>
          <w:p w14:paraId="5A6571A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28 343 040</w:t>
            </w:r>
          </w:p>
        </w:tc>
      </w:tr>
      <w:tr w:rsidR="00ED15CD" w:rsidRPr="00632442" w14:paraId="1C147A16" w14:textId="77777777" w:rsidTr="00ED15CD">
        <w:trPr>
          <w:gridAfter w:val="5"/>
          <w:wAfter w:w="6440" w:type="dxa"/>
          <w:trHeight w:val="383"/>
        </w:trPr>
        <w:tc>
          <w:tcPr>
            <w:tcW w:w="4073" w:type="dxa"/>
            <w:tcBorders>
              <w:top w:val="nil"/>
              <w:left w:val="single" w:sz="4" w:space="0" w:color="auto"/>
              <w:bottom w:val="single" w:sz="4" w:space="0" w:color="auto"/>
              <w:right w:val="single" w:sz="4" w:space="0" w:color="auto"/>
            </w:tcBorders>
            <w:shd w:val="clear" w:color="auto" w:fill="auto"/>
            <w:hideMark/>
          </w:tcPr>
          <w:p w14:paraId="6D7C0A7E"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Kaitējuma atlīdzība Černobiļas AES avārijas rezultātā cietušajām personām</w:t>
            </w:r>
          </w:p>
        </w:tc>
        <w:tc>
          <w:tcPr>
            <w:tcW w:w="1126" w:type="dxa"/>
            <w:tcBorders>
              <w:top w:val="nil"/>
              <w:left w:val="nil"/>
              <w:bottom w:val="single" w:sz="4" w:space="0" w:color="auto"/>
              <w:right w:val="single" w:sz="4" w:space="0" w:color="auto"/>
            </w:tcBorders>
            <w:shd w:val="clear" w:color="auto" w:fill="auto"/>
            <w:noWrap/>
            <w:hideMark/>
          </w:tcPr>
          <w:p w14:paraId="4AAB880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518,55</w:t>
            </w:r>
          </w:p>
        </w:tc>
        <w:tc>
          <w:tcPr>
            <w:tcW w:w="985" w:type="dxa"/>
            <w:tcBorders>
              <w:top w:val="nil"/>
              <w:left w:val="nil"/>
              <w:bottom w:val="single" w:sz="4" w:space="0" w:color="auto"/>
              <w:right w:val="single" w:sz="4" w:space="0" w:color="auto"/>
            </w:tcBorders>
            <w:shd w:val="clear" w:color="auto" w:fill="auto"/>
            <w:noWrap/>
            <w:hideMark/>
          </w:tcPr>
          <w:p w14:paraId="318E242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24</w:t>
            </w:r>
          </w:p>
        </w:tc>
        <w:tc>
          <w:tcPr>
            <w:tcW w:w="1266" w:type="dxa"/>
            <w:tcBorders>
              <w:top w:val="nil"/>
              <w:left w:val="nil"/>
              <w:bottom w:val="single" w:sz="4" w:space="0" w:color="auto"/>
              <w:right w:val="single" w:sz="4" w:space="0" w:color="auto"/>
            </w:tcBorders>
            <w:shd w:val="clear" w:color="auto" w:fill="auto"/>
            <w:noWrap/>
            <w:hideMark/>
          </w:tcPr>
          <w:p w14:paraId="350CA03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149 342</w:t>
            </w:r>
          </w:p>
        </w:tc>
        <w:tc>
          <w:tcPr>
            <w:tcW w:w="1125" w:type="dxa"/>
            <w:tcBorders>
              <w:top w:val="nil"/>
              <w:left w:val="nil"/>
              <w:bottom w:val="single" w:sz="4" w:space="0" w:color="auto"/>
              <w:right w:val="single" w:sz="4" w:space="0" w:color="auto"/>
            </w:tcBorders>
            <w:shd w:val="clear" w:color="auto" w:fill="auto"/>
            <w:noWrap/>
            <w:hideMark/>
          </w:tcPr>
          <w:p w14:paraId="406B277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572,18</w:t>
            </w:r>
          </w:p>
        </w:tc>
        <w:tc>
          <w:tcPr>
            <w:tcW w:w="984" w:type="dxa"/>
            <w:tcBorders>
              <w:top w:val="nil"/>
              <w:left w:val="nil"/>
              <w:bottom w:val="single" w:sz="4" w:space="0" w:color="auto"/>
              <w:right w:val="single" w:sz="4" w:space="0" w:color="auto"/>
            </w:tcBorders>
            <w:shd w:val="clear" w:color="auto" w:fill="auto"/>
            <w:noWrap/>
            <w:hideMark/>
          </w:tcPr>
          <w:p w14:paraId="69D6A12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24</w:t>
            </w:r>
          </w:p>
        </w:tc>
        <w:tc>
          <w:tcPr>
            <w:tcW w:w="1265" w:type="dxa"/>
            <w:tcBorders>
              <w:top w:val="nil"/>
              <w:left w:val="nil"/>
              <w:bottom w:val="single" w:sz="4" w:space="0" w:color="auto"/>
              <w:right w:val="single" w:sz="4" w:space="0" w:color="auto"/>
            </w:tcBorders>
            <w:shd w:val="clear" w:color="auto" w:fill="auto"/>
            <w:noWrap/>
            <w:hideMark/>
          </w:tcPr>
          <w:p w14:paraId="69F13E9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164 788</w:t>
            </w:r>
          </w:p>
        </w:tc>
        <w:tc>
          <w:tcPr>
            <w:tcW w:w="845" w:type="dxa"/>
            <w:tcBorders>
              <w:top w:val="nil"/>
              <w:left w:val="nil"/>
              <w:bottom w:val="single" w:sz="4" w:space="0" w:color="auto"/>
              <w:right w:val="single" w:sz="4" w:space="0" w:color="auto"/>
            </w:tcBorders>
            <w:shd w:val="clear" w:color="auto" w:fill="auto"/>
            <w:noWrap/>
            <w:hideMark/>
          </w:tcPr>
          <w:p w14:paraId="66FB167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617,73</w:t>
            </w:r>
          </w:p>
        </w:tc>
        <w:tc>
          <w:tcPr>
            <w:tcW w:w="964" w:type="dxa"/>
            <w:tcBorders>
              <w:top w:val="nil"/>
              <w:left w:val="nil"/>
              <w:bottom w:val="single" w:sz="4" w:space="0" w:color="auto"/>
              <w:right w:val="single" w:sz="4" w:space="0" w:color="auto"/>
            </w:tcBorders>
            <w:shd w:val="clear" w:color="auto" w:fill="auto"/>
            <w:noWrap/>
            <w:hideMark/>
          </w:tcPr>
          <w:p w14:paraId="499AF8B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24</w:t>
            </w:r>
          </w:p>
        </w:tc>
        <w:tc>
          <w:tcPr>
            <w:tcW w:w="1319" w:type="dxa"/>
            <w:tcBorders>
              <w:top w:val="nil"/>
              <w:left w:val="nil"/>
              <w:bottom w:val="single" w:sz="4" w:space="0" w:color="auto"/>
              <w:right w:val="single" w:sz="4" w:space="0" w:color="auto"/>
            </w:tcBorders>
            <w:shd w:val="clear" w:color="auto" w:fill="auto"/>
            <w:noWrap/>
            <w:hideMark/>
          </w:tcPr>
          <w:p w14:paraId="5943E0D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177 906</w:t>
            </w:r>
          </w:p>
        </w:tc>
      </w:tr>
      <w:tr w:rsidR="00ED15CD" w:rsidRPr="00632442" w14:paraId="10D60944" w14:textId="77777777" w:rsidTr="00ED15CD">
        <w:trPr>
          <w:gridAfter w:val="5"/>
          <w:wAfter w:w="6440" w:type="dxa"/>
          <w:trHeight w:val="375"/>
        </w:trPr>
        <w:tc>
          <w:tcPr>
            <w:tcW w:w="4073" w:type="dxa"/>
            <w:tcBorders>
              <w:top w:val="nil"/>
              <w:left w:val="single" w:sz="4" w:space="0" w:color="auto"/>
              <w:bottom w:val="single" w:sz="4" w:space="0" w:color="auto"/>
              <w:right w:val="single" w:sz="4" w:space="0" w:color="auto"/>
            </w:tcBorders>
            <w:shd w:val="clear" w:color="auto" w:fill="auto"/>
            <w:hideMark/>
          </w:tcPr>
          <w:p w14:paraId="589C4E65"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Pabalsts pensijas saņēmēja nāves gadījumā pārdzīvojušam laulātajam</w:t>
            </w:r>
          </w:p>
        </w:tc>
        <w:tc>
          <w:tcPr>
            <w:tcW w:w="1126" w:type="dxa"/>
            <w:tcBorders>
              <w:top w:val="nil"/>
              <w:left w:val="nil"/>
              <w:bottom w:val="single" w:sz="4" w:space="0" w:color="auto"/>
              <w:right w:val="single" w:sz="4" w:space="0" w:color="auto"/>
            </w:tcBorders>
            <w:shd w:val="clear" w:color="auto" w:fill="auto"/>
            <w:noWrap/>
            <w:hideMark/>
          </w:tcPr>
          <w:p w14:paraId="7F785F9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280,99</w:t>
            </w:r>
          </w:p>
        </w:tc>
        <w:tc>
          <w:tcPr>
            <w:tcW w:w="985" w:type="dxa"/>
            <w:tcBorders>
              <w:top w:val="nil"/>
              <w:left w:val="nil"/>
              <w:bottom w:val="single" w:sz="4" w:space="0" w:color="auto"/>
              <w:right w:val="single" w:sz="4" w:space="0" w:color="auto"/>
            </w:tcBorders>
            <w:shd w:val="clear" w:color="auto" w:fill="auto"/>
            <w:noWrap/>
            <w:hideMark/>
          </w:tcPr>
          <w:p w14:paraId="47F7269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6 000</w:t>
            </w:r>
          </w:p>
        </w:tc>
        <w:tc>
          <w:tcPr>
            <w:tcW w:w="1266" w:type="dxa"/>
            <w:tcBorders>
              <w:top w:val="nil"/>
              <w:left w:val="nil"/>
              <w:bottom w:val="single" w:sz="4" w:space="0" w:color="auto"/>
              <w:right w:val="single" w:sz="4" w:space="0" w:color="auto"/>
            </w:tcBorders>
            <w:shd w:val="clear" w:color="auto" w:fill="auto"/>
            <w:noWrap/>
            <w:hideMark/>
          </w:tcPr>
          <w:p w14:paraId="6F8FBAA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20 230 997</w:t>
            </w:r>
          </w:p>
        </w:tc>
        <w:tc>
          <w:tcPr>
            <w:tcW w:w="1125" w:type="dxa"/>
            <w:tcBorders>
              <w:top w:val="nil"/>
              <w:left w:val="nil"/>
              <w:bottom w:val="single" w:sz="4" w:space="0" w:color="auto"/>
              <w:right w:val="single" w:sz="4" w:space="0" w:color="auto"/>
            </w:tcBorders>
            <w:shd w:val="clear" w:color="auto" w:fill="auto"/>
            <w:noWrap/>
            <w:hideMark/>
          </w:tcPr>
          <w:p w14:paraId="77F79B8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304,59</w:t>
            </w:r>
          </w:p>
        </w:tc>
        <w:tc>
          <w:tcPr>
            <w:tcW w:w="984" w:type="dxa"/>
            <w:tcBorders>
              <w:top w:val="nil"/>
              <w:left w:val="nil"/>
              <w:bottom w:val="single" w:sz="4" w:space="0" w:color="auto"/>
              <w:right w:val="single" w:sz="4" w:space="0" w:color="auto"/>
            </w:tcBorders>
            <w:shd w:val="clear" w:color="auto" w:fill="auto"/>
            <w:noWrap/>
            <w:hideMark/>
          </w:tcPr>
          <w:p w14:paraId="7116CA1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6 000</w:t>
            </w:r>
          </w:p>
        </w:tc>
        <w:tc>
          <w:tcPr>
            <w:tcW w:w="1265" w:type="dxa"/>
            <w:tcBorders>
              <w:top w:val="nil"/>
              <w:left w:val="nil"/>
              <w:bottom w:val="single" w:sz="4" w:space="0" w:color="auto"/>
              <w:right w:val="single" w:sz="4" w:space="0" w:color="auto"/>
            </w:tcBorders>
            <w:shd w:val="clear" w:color="auto" w:fill="auto"/>
            <w:noWrap/>
            <w:hideMark/>
          </w:tcPr>
          <w:p w14:paraId="1253767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21 930 718</w:t>
            </w:r>
          </w:p>
        </w:tc>
        <w:tc>
          <w:tcPr>
            <w:tcW w:w="845" w:type="dxa"/>
            <w:tcBorders>
              <w:top w:val="nil"/>
              <w:left w:val="nil"/>
              <w:bottom w:val="single" w:sz="4" w:space="0" w:color="auto"/>
              <w:right w:val="single" w:sz="4" w:space="0" w:color="auto"/>
            </w:tcBorders>
            <w:shd w:val="clear" w:color="auto" w:fill="auto"/>
            <w:noWrap/>
            <w:hideMark/>
          </w:tcPr>
          <w:p w14:paraId="26F3E62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329,87</w:t>
            </w:r>
          </w:p>
        </w:tc>
        <w:tc>
          <w:tcPr>
            <w:tcW w:w="964" w:type="dxa"/>
            <w:tcBorders>
              <w:top w:val="nil"/>
              <w:left w:val="nil"/>
              <w:bottom w:val="single" w:sz="4" w:space="0" w:color="auto"/>
              <w:right w:val="single" w:sz="4" w:space="0" w:color="auto"/>
            </w:tcBorders>
            <w:shd w:val="clear" w:color="auto" w:fill="auto"/>
            <w:noWrap/>
            <w:hideMark/>
          </w:tcPr>
          <w:p w14:paraId="75D05D5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6 000</w:t>
            </w:r>
          </w:p>
        </w:tc>
        <w:tc>
          <w:tcPr>
            <w:tcW w:w="1319" w:type="dxa"/>
            <w:tcBorders>
              <w:top w:val="nil"/>
              <w:left w:val="nil"/>
              <w:bottom w:val="single" w:sz="4" w:space="0" w:color="auto"/>
              <w:right w:val="single" w:sz="4" w:space="0" w:color="auto"/>
            </w:tcBorders>
            <w:shd w:val="clear" w:color="auto" w:fill="auto"/>
            <w:noWrap/>
            <w:hideMark/>
          </w:tcPr>
          <w:p w14:paraId="559A059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23 750 833</w:t>
            </w:r>
          </w:p>
        </w:tc>
      </w:tr>
      <w:tr w:rsidR="00ED15CD" w:rsidRPr="00632442" w14:paraId="5A08E490" w14:textId="77777777" w:rsidTr="00ED15CD">
        <w:trPr>
          <w:gridAfter w:val="5"/>
          <w:wAfter w:w="6440" w:type="dxa"/>
          <w:trHeight w:val="175"/>
        </w:trPr>
        <w:tc>
          <w:tcPr>
            <w:tcW w:w="4073" w:type="dxa"/>
            <w:tcBorders>
              <w:top w:val="nil"/>
              <w:left w:val="single" w:sz="4" w:space="0" w:color="auto"/>
              <w:bottom w:val="single" w:sz="4" w:space="0" w:color="auto"/>
              <w:right w:val="single" w:sz="4" w:space="0" w:color="auto"/>
            </w:tcBorders>
            <w:shd w:val="clear" w:color="auto" w:fill="auto"/>
            <w:hideMark/>
          </w:tcPr>
          <w:p w14:paraId="7E2E362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Valsts budžeta maksājumi - kopā</w:t>
            </w:r>
          </w:p>
        </w:tc>
        <w:tc>
          <w:tcPr>
            <w:tcW w:w="1126" w:type="dxa"/>
            <w:tcBorders>
              <w:top w:val="nil"/>
              <w:left w:val="nil"/>
              <w:bottom w:val="single" w:sz="4" w:space="0" w:color="auto"/>
              <w:right w:val="single" w:sz="4" w:space="0" w:color="auto"/>
            </w:tcBorders>
            <w:shd w:val="clear" w:color="000000" w:fill="FFFFFF"/>
            <w:noWrap/>
            <w:hideMark/>
          </w:tcPr>
          <w:p w14:paraId="4DDFE502"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000000" w:fill="FFFFFF"/>
            <w:noWrap/>
            <w:hideMark/>
          </w:tcPr>
          <w:p w14:paraId="21616727"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30BF0C7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730 528</w:t>
            </w:r>
          </w:p>
        </w:tc>
        <w:tc>
          <w:tcPr>
            <w:tcW w:w="1125" w:type="dxa"/>
            <w:tcBorders>
              <w:top w:val="nil"/>
              <w:left w:val="nil"/>
              <w:bottom w:val="single" w:sz="4" w:space="0" w:color="auto"/>
              <w:right w:val="single" w:sz="4" w:space="0" w:color="auto"/>
            </w:tcBorders>
            <w:shd w:val="clear" w:color="000000" w:fill="FFFFFF"/>
            <w:noWrap/>
            <w:hideMark/>
          </w:tcPr>
          <w:p w14:paraId="2C4D63FB"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000000" w:fill="FFFFFF"/>
            <w:noWrap/>
            <w:hideMark/>
          </w:tcPr>
          <w:p w14:paraId="3001639C"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40571FD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731 648</w:t>
            </w:r>
          </w:p>
        </w:tc>
        <w:tc>
          <w:tcPr>
            <w:tcW w:w="845" w:type="dxa"/>
            <w:tcBorders>
              <w:top w:val="nil"/>
              <w:left w:val="nil"/>
              <w:bottom w:val="single" w:sz="4" w:space="0" w:color="auto"/>
              <w:right w:val="single" w:sz="4" w:space="0" w:color="auto"/>
            </w:tcBorders>
            <w:shd w:val="clear" w:color="000000" w:fill="FFFFFF"/>
            <w:noWrap/>
            <w:hideMark/>
          </w:tcPr>
          <w:p w14:paraId="696CDEC8"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000000" w:fill="FFFFFF"/>
            <w:noWrap/>
            <w:hideMark/>
          </w:tcPr>
          <w:p w14:paraId="10AB8589"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1F2E9B4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733 536</w:t>
            </w:r>
          </w:p>
        </w:tc>
      </w:tr>
      <w:tr w:rsidR="00ED15CD" w:rsidRPr="00632442" w14:paraId="302BC5E6" w14:textId="77777777" w:rsidTr="00ED15CD">
        <w:trPr>
          <w:gridAfter w:val="5"/>
          <w:wAfter w:w="6440" w:type="dxa"/>
          <w:trHeight w:val="143"/>
        </w:trPr>
        <w:tc>
          <w:tcPr>
            <w:tcW w:w="4073" w:type="dxa"/>
            <w:tcBorders>
              <w:top w:val="nil"/>
              <w:left w:val="single" w:sz="4" w:space="0" w:color="auto"/>
              <w:bottom w:val="single" w:sz="4" w:space="0" w:color="auto"/>
              <w:right w:val="single" w:sz="4" w:space="0" w:color="auto"/>
            </w:tcBorders>
            <w:shd w:val="clear" w:color="auto" w:fill="auto"/>
            <w:noWrap/>
            <w:hideMark/>
          </w:tcPr>
          <w:p w14:paraId="2235515D" w14:textId="77777777" w:rsidR="00632442" w:rsidRPr="00632442" w:rsidRDefault="00632442" w:rsidP="00632442">
            <w:pPr>
              <w:spacing w:after="0"/>
              <w:ind w:firstLineChars="100" w:firstLine="180"/>
              <w:jc w:val="right"/>
              <w:rPr>
                <w:rFonts w:eastAsia="Times New Roman" w:cs="Times New Roman"/>
                <w:i/>
                <w:iCs/>
                <w:sz w:val="18"/>
                <w:szCs w:val="18"/>
                <w:highlight w:val="lightGray"/>
              </w:rPr>
            </w:pPr>
            <w:r w:rsidRPr="00632442">
              <w:rPr>
                <w:rFonts w:eastAsia="Calibri" w:cs="Times New Roman"/>
                <w:sz w:val="18"/>
                <w:szCs w:val="18"/>
                <w:lang w:eastAsia="en-US"/>
              </w:rPr>
              <w:t>tajā skaitā:</w:t>
            </w:r>
          </w:p>
        </w:tc>
        <w:tc>
          <w:tcPr>
            <w:tcW w:w="1126" w:type="dxa"/>
            <w:tcBorders>
              <w:top w:val="nil"/>
              <w:left w:val="nil"/>
              <w:bottom w:val="single" w:sz="4" w:space="0" w:color="auto"/>
              <w:right w:val="single" w:sz="4" w:space="0" w:color="auto"/>
            </w:tcBorders>
            <w:shd w:val="clear" w:color="auto" w:fill="auto"/>
            <w:noWrap/>
            <w:hideMark/>
          </w:tcPr>
          <w:p w14:paraId="727F2995"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136B404D"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148E9787"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nil"/>
              <w:left w:val="nil"/>
              <w:bottom w:val="single" w:sz="4" w:space="0" w:color="auto"/>
              <w:right w:val="single" w:sz="4" w:space="0" w:color="auto"/>
            </w:tcBorders>
            <w:shd w:val="clear" w:color="auto" w:fill="auto"/>
            <w:noWrap/>
            <w:hideMark/>
          </w:tcPr>
          <w:p w14:paraId="3D57C972"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6BD7E51D"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547D8D6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nil"/>
              <w:left w:val="nil"/>
              <w:bottom w:val="single" w:sz="4" w:space="0" w:color="auto"/>
              <w:right w:val="single" w:sz="4" w:space="0" w:color="auto"/>
            </w:tcBorders>
            <w:shd w:val="clear" w:color="auto" w:fill="auto"/>
            <w:noWrap/>
            <w:hideMark/>
          </w:tcPr>
          <w:p w14:paraId="6FA6C2FE"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6B937FE9"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149EEE61"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3B78296C" w14:textId="77777777" w:rsidTr="00ED15CD">
        <w:trPr>
          <w:trHeight w:val="255"/>
        </w:trPr>
        <w:tc>
          <w:tcPr>
            <w:tcW w:w="4073" w:type="dxa"/>
            <w:tcBorders>
              <w:top w:val="nil"/>
              <w:left w:val="single" w:sz="4" w:space="0" w:color="auto"/>
              <w:bottom w:val="single" w:sz="4" w:space="0" w:color="auto"/>
              <w:right w:val="single" w:sz="4" w:space="0" w:color="auto"/>
            </w:tcBorders>
            <w:shd w:val="clear" w:color="auto" w:fill="auto"/>
            <w:noWrap/>
            <w:hideMark/>
          </w:tcPr>
          <w:p w14:paraId="1A53C70C" w14:textId="77777777" w:rsidR="00632442" w:rsidRPr="00632442" w:rsidRDefault="00632442" w:rsidP="00632442">
            <w:pPr>
              <w:spacing w:after="0"/>
              <w:ind w:firstLineChars="100" w:firstLine="180"/>
              <w:jc w:val="right"/>
              <w:rPr>
                <w:rFonts w:eastAsia="Times New Roman" w:cs="Times New Roman"/>
                <w:sz w:val="18"/>
                <w:szCs w:val="18"/>
                <w:highlight w:val="lightGray"/>
              </w:rPr>
            </w:pPr>
            <w:r w:rsidRPr="00632442">
              <w:rPr>
                <w:rFonts w:eastAsia="Calibri" w:cs="Times New Roman"/>
                <w:sz w:val="18"/>
                <w:szCs w:val="18"/>
                <w:lang w:eastAsia="en-US"/>
              </w:rPr>
              <w:t xml:space="preserve">    Pārmaksāto sociālās apdrošināšanas iemaksu atmaksa</w:t>
            </w:r>
          </w:p>
        </w:tc>
        <w:tc>
          <w:tcPr>
            <w:tcW w:w="1126" w:type="dxa"/>
            <w:tcBorders>
              <w:top w:val="nil"/>
              <w:left w:val="nil"/>
              <w:bottom w:val="single" w:sz="4" w:space="0" w:color="auto"/>
              <w:right w:val="single" w:sz="4" w:space="0" w:color="auto"/>
            </w:tcBorders>
            <w:shd w:val="clear" w:color="auto" w:fill="auto"/>
            <w:noWrap/>
            <w:hideMark/>
          </w:tcPr>
          <w:p w14:paraId="1B07DD92"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17CBE516"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0420359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180 100</w:t>
            </w:r>
          </w:p>
        </w:tc>
        <w:tc>
          <w:tcPr>
            <w:tcW w:w="1125" w:type="dxa"/>
            <w:tcBorders>
              <w:top w:val="nil"/>
              <w:left w:val="nil"/>
              <w:bottom w:val="single" w:sz="4" w:space="0" w:color="auto"/>
              <w:right w:val="single" w:sz="4" w:space="0" w:color="auto"/>
            </w:tcBorders>
            <w:shd w:val="clear" w:color="auto" w:fill="auto"/>
            <w:noWrap/>
            <w:hideMark/>
          </w:tcPr>
          <w:p w14:paraId="62B3B47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231F53A9"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03D93BB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180 975</w:t>
            </w:r>
          </w:p>
        </w:tc>
        <w:tc>
          <w:tcPr>
            <w:tcW w:w="845" w:type="dxa"/>
            <w:tcBorders>
              <w:top w:val="nil"/>
              <w:left w:val="nil"/>
              <w:bottom w:val="single" w:sz="4" w:space="0" w:color="auto"/>
              <w:right w:val="single" w:sz="4" w:space="0" w:color="auto"/>
            </w:tcBorders>
            <w:shd w:val="clear" w:color="auto" w:fill="auto"/>
            <w:noWrap/>
            <w:hideMark/>
          </w:tcPr>
          <w:p w14:paraId="3FD55DC2"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777AB9B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3A344E7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182 450</w:t>
            </w:r>
          </w:p>
        </w:tc>
        <w:tc>
          <w:tcPr>
            <w:tcW w:w="1265" w:type="dxa"/>
          </w:tcPr>
          <w:p w14:paraId="03B31E19" w14:textId="77777777" w:rsidR="00632442" w:rsidRPr="00632442" w:rsidRDefault="00632442" w:rsidP="00632442">
            <w:pPr>
              <w:spacing w:after="160" w:line="259" w:lineRule="auto"/>
              <w:ind w:firstLine="0"/>
              <w:jc w:val="left"/>
              <w:rPr>
                <w:rFonts w:eastAsia="Times New Roman" w:cs="Times New Roman"/>
              </w:rPr>
            </w:pPr>
          </w:p>
        </w:tc>
        <w:tc>
          <w:tcPr>
            <w:tcW w:w="1265" w:type="dxa"/>
          </w:tcPr>
          <w:p w14:paraId="09966A05" w14:textId="77777777" w:rsidR="00632442" w:rsidRPr="00632442" w:rsidRDefault="00632442" w:rsidP="00632442">
            <w:pPr>
              <w:spacing w:after="160" w:line="259" w:lineRule="auto"/>
              <w:ind w:firstLine="0"/>
              <w:jc w:val="left"/>
              <w:rPr>
                <w:rFonts w:eastAsia="Times New Roman" w:cs="Times New Roman"/>
              </w:rPr>
            </w:pPr>
          </w:p>
        </w:tc>
        <w:tc>
          <w:tcPr>
            <w:tcW w:w="1265" w:type="dxa"/>
          </w:tcPr>
          <w:p w14:paraId="6A6DF97C" w14:textId="77777777" w:rsidR="00632442" w:rsidRPr="00632442" w:rsidRDefault="00632442" w:rsidP="00632442">
            <w:pPr>
              <w:spacing w:after="160" w:line="259" w:lineRule="auto"/>
              <w:ind w:firstLine="0"/>
              <w:jc w:val="left"/>
              <w:rPr>
                <w:rFonts w:eastAsia="Times New Roman" w:cs="Times New Roman"/>
              </w:rPr>
            </w:pPr>
          </w:p>
        </w:tc>
        <w:tc>
          <w:tcPr>
            <w:tcW w:w="1265" w:type="dxa"/>
          </w:tcPr>
          <w:p w14:paraId="180908AE" w14:textId="77777777" w:rsidR="00632442" w:rsidRPr="00632442" w:rsidRDefault="00632442" w:rsidP="00632442">
            <w:pPr>
              <w:spacing w:after="160" w:line="259" w:lineRule="auto"/>
              <w:ind w:firstLine="0"/>
              <w:jc w:val="left"/>
              <w:rPr>
                <w:rFonts w:eastAsia="Times New Roman" w:cs="Times New Roman"/>
              </w:rPr>
            </w:pPr>
          </w:p>
        </w:tc>
        <w:tc>
          <w:tcPr>
            <w:tcW w:w="1380" w:type="dxa"/>
          </w:tcPr>
          <w:p w14:paraId="2D9EADA4" w14:textId="77777777" w:rsidR="00632442" w:rsidRPr="00632442" w:rsidRDefault="00632442" w:rsidP="00632442">
            <w:pPr>
              <w:spacing w:after="160" w:line="259" w:lineRule="auto"/>
              <w:ind w:firstLine="0"/>
              <w:jc w:val="left"/>
              <w:rPr>
                <w:rFonts w:eastAsia="Times New Roman" w:cs="Times New Roman"/>
              </w:rPr>
            </w:pPr>
          </w:p>
        </w:tc>
      </w:tr>
      <w:tr w:rsidR="00ED15CD" w:rsidRPr="00632442" w14:paraId="396FE43C" w14:textId="77777777" w:rsidTr="00ED15CD">
        <w:trPr>
          <w:gridAfter w:val="5"/>
          <w:wAfter w:w="6440" w:type="dxa"/>
          <w:trHeight w:val="315"/>
        </w:trPr>
        <w:tc>
          <w:tcPr>
            <w:tcW w:w="4073" w:type="dxa"/>
            <w:tcBorders>
              <w:top w:val="nil"/>
              <w:left w:val="single" w:sz="4" w:space="0" w:color="auto"/>
              <w:bottom w:val="single" w:sz="4" w:space="0" w:color="auto"/>
              <w:right w:val="single" w:sz="4" w:space="0" w:color="auto"/>
            </w:tcBorders>
            <w:shd w:val="clear" w:color="auto" w:fill="auto"/>
          </w:tcPr>
          <w:p w14:paraId="0BD9DA9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xml:space="preserve">Eiropas Savienības pensiju shēmai pārskaitītais pensijas </w:t>
            </w:r>
          </w:p>
        </w:tc>
        <w:tc>
          <w:tcPr>
            <w:tcW w:w="1126" w:type="dxa"/>
            <w:tcBorders>
              <w:top w:val="nil"/>
              <w:left w:val="nil"/>
              <w:bottom w:val="single" w:sz="4" w:space="0" w:color="auto"/>
              <w:right w:val="single" w:sz="4" w:space="0" w:color="auto"/>
            </w:tcBorders>
            <w:shd w:val="clear" w:color="000000" w:fill="FFFFFF"/>
            <w:noWrap/>
          </w:tcPr>
          <w:p w14:paraId="3FA3C233"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tcPr>
          <w:p w14:paraId="085DF539"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tcPr>
          <w:p w14:paraId="1795454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550 428</w:t>
            </w:r>
          </w:p>
        </w:tc>
        <w:tc>
          <w:tcPr>
            <w:tcW w:w="1125" w:type="dxa"/>
            <w:tcBorders>
              <w:top w:val="nil"/>
              <w:left w:val="nil"/>
              <w:bottom w:val="single" w:sz="4" w:space="0" w:color="auto"/>
              <w:right w:val="single" w:sz="4" w:space="0" w:color="auto"/>
            </w:tcBorders>
            <w:shd w:val="clear" w:color="000000" w:fill="FFFFFF"/>
            <w:noWrap/>
          </w:tcPr>
          <w:p w14:paraId="548E9545"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tcPr>
          <w:p w14:paraId="7D015CEB"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tcPr>
          <w:p w14:paraId="38568FF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550 673</w:t>
            </w:r>
          </w:p>
        </w:tc>
        <w:tc>
          <w:tcPr>
            <w:tcW w:w="845" w:type="dxa"/>
            <w:tcBorders>
              <w:top w:val="nil"/>
              <w:left w:val="nil"/>
              <w:bottom w:val="single" w:sz="4" w:space="0" w:color="auto"/>
              <w:right w:val="single" w:sz="4" w:space="0" w:color="auto"/>
            </w:tcBorders>
            <w:shd w:val="clear" w:color="000000" w:fill="FFFFFF"/>
            <w:noWrap/>
          </w:tcPr>
          <w:p w14:paraId="6BDCF20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tcPr>
          <w:p w14:paraId="163E02D0"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tcPr>
          <w:p w14:paraId="63FE9A3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551 086</w:t>
            </w:r>
          </w:p>
        </w:tc>
      </w:tr>
      <w:tr w:rsidR="00ED15CD" w:rsidRPr="00632442" w14:paraId="2C6BBB46" w14:textId="77777777" w:rsidTr="00ED15CD">
        <w:trPr>
          <w:gridAfter w:val="5"/>
          <w:wAfter w:w="6440" w:type="dxa"/>
          <w:trHeight w:val="276"/>
        </w:trPr>
        <w:tc>
          <w:tcPr>
            <w:tcW w:w="4073" w:type="dxa"/>
            <w:tcBorders>
              <w:top w:val="nil"/>
              <w:left w:val="single" w:sz="4" w:space="0" w:color="auto"/>
              <w:bottom w:val="single" w:sz="4" w:space="0" w:color="auto"/>
              <w:right w:val="single" w:sz="4" w:space="0" w:color="auto"/>
            </w:tcBorders>
            <w:shd w:val="clear" w:color="auto" w:fill="auto"/>
            <w:noWrap/>
            <w:hideMark/>
          </w:tcPr>
          <w:p w14:paraId="1493B5FB" w14:textId="77777777" w:rsidR="00632442" w:rsidRPr="00632442" w:rsidRDefault="00632442" w:rsidP="00632442">
            <w:pPr>
              <w:spacing w:after="0"/>
              <w:ind w:firstLine="0"/>
              <w:jc w:val="left"/>
              <w:rPr>
                <w:rFonts w:eastAsia="Times New Roman" w:cs="Times New Roman"/>
                <w:b/>
                <w:bCs/>
                <w:sz w:val="18"/>
                <w:szCs w:val="18"/>
                <w:highlight w:val="lightGray"/>
              </w:rPr>
            </w:pPr>
            <w:r w:rsidRPr="00632442">
              <w:rPr>
                <w:rFonts w:eastAsia="Calibri" w:cs="Times New Roman"/>
                <w:b/>
                <w:bCs/>
                <w:sz w:val="18"/>
                <w:szCs w:val="18"/>
                <w:lang w:eastAsia="en-US"/>
              </w:rPr>
              <w:t>04.02.00 Nodarbinātības speciālais budžets</w:t>
            </w:r>
          </w:p>
        </w:tc>
        <w:tc>
          <w:tcPr>
            <w:tcW w:w="1126" w:type="dxa"/>
            <w:tcBorders>
              <w:top w:val="nil"/>
              <w:left w:val="nil"/>
              <w:bottom w:val="single" w:sz="4" w:space="0" w:color="auto"/>
              <w:right w:val="single" w:sz="4" w:space="0" w:color="auto"/>
            </w:tcBorders>
            <w:shd w:val="clear" w:color="000000" w:fill="FFFFFF"/>
            <w:noWrap/>
            <w:hideMark/>
          </w:tcPr>
          <w:p w14:paraId="01B90C0B"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330FBBC4"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7DA329C4"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177 655 086</w:t>
            </w:r>
          </w:p>
        </w:tc>
        <w:tc>
          <w:tcPr>
            <w:tcW w:w="1125" w:type="dxa"/>
            <w:tcBorders>
              <w:top w:val="nil"/>
              <w:left w:val="nil"/>
              <w:bottom w:val="single" w:sz="4" w:space="0" w:color="auto"/>
              <w:right w:val="single" w:sz="4" w:space="0" w:color="auto"/>
            </w:tcBorders>
            <w:shd w:val="clear" w:color="000000" w:fill="FFFFFF"/>
            <w:noWrap/>
            <w:hideMark/>
          </w:tcPr>
          <w:p w14:paraId="778633B1"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727A184A"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5102CCFD"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185 924 283</w:t>
            </w:r>
          </w:p>
        </w:tc>
        <w:tc>
          <w:tcPr>
            <w:tcW w:w="845" w:type="dxa"/>
            <w:tcBorders>
              <w:top w:val="nil"/>
              <w:left w:val="nil"/>
              <w:bottom w:val="single" w:sz="4" w:space="0" w:color="auto"/>
              <w:right w:val="single" w:sz="4" w:space="0" w:color="auto"/>
            </w:tcBorders>
            <w:shd w:val="clear" w:color="000000" w:fill="FFFFFF"/>
            <w:noWrap/>
            <w:hideMark/>
          </w:tcPr>
          <w:p w14:paraId="737ED45B"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63A5AE14"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66141B64"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198 549 054</w:t>
            </w:r>
          </w:p>
        </w:tc>
      </w:tr>
      <w:tr w:rsidR="00ED15CD" w:rsidRPr="00632442" w14:paraId="2B31A829" w14:textId="77777777" w:rsidTr="00ED15CD">
        <w:trPr>
          <w:gridAfter w:val="5"/>
          <w:wAfter w:w="6440" w:type="dxa"/>
          <w:trHeight w:val="276"/>
        </w:trPr>
        <w:tc>
          <w:tcPr>
            <w:tcW w:w="4073" w:type="dxa"/>
            <w:tcBorders>
              <w:top w:val="nil"/>
              <w:left w:val="single" w:sz="4" w:space="0" w:color="auto"/>
              <w:bottom w:val="single" w:sz="4" w:space="0" w:color="auto"/>
              <w:right w:val="single" w:sz="4" w:space="0" w:color="auto"/>
            </w:tcBorders>
            <w:shd w:val="clear" w:color="auto" w:fill="auto"/>
            <w:noWrap/>
            <w:hideMark/>
          </w:tcPr>
          <w:p w14:paraId="3BFC2E24" w14:textId="77777777" w:rsidR="00632442" w:rsidRPr="00632442" w:rsidRDefault="00632442" w:rsidP="00632442">
            <w:pPr>
              <w:spacing w:after="0"/>
              <w:ind w:firstLine="0"/>
              <w:jc w:val="left"/>
              <w:rPr>
                <w:rFonts w:eastAsia="Times New Roman" w:cs="Times New Roman"/>
                <w:b/>
                <w:bCs/>
                <w:sz w:val="18"/>
                <w:szCs w:val="18"/>
                <w:highlight w:val="lightGray"/>
              </w:rPr>
            </w:pPr>
            <w:r w:rsidRPr="00632442">
              <w:rPr>
                <w:rFonts w:eastAsia="Calibri" w:cs="Times New Roman"/>
                <w:sz w:val="18"/>
                <w:szCs w:val="18"/>
                <w:lang w:eastAsia="en-US"/>
              </w:rPr>
              <w:t>Valsts sociālās apdrošināšanas pabalsti naudā – kopā</w:t>
            </w:r>
          </w:p>
        </w:tc>
        <w:tc>
          <w:tcPr>
            <w:tcW w:w="1126" w:type="dxa"/>
            <w:tcBorders>
              <w:top w:val="nil"/>
              <w:left w:val="nil"/>
              <w:bottom w:val="single" w:sz="4" w:space="0" w:color="auto"/>
              <w:right w:val="single" w:sz="4" w:space="0" w:color="auto"/>
            </w:tcBorders>
            <w:shd w:val="clear" w:color="auto" w:fill="auto"/>
            <w:noWrap/>
            <w:hideMark/>
          </w:tcPr>
          <w:p w14:paraId="54830061"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000000" w:fill="FFFFFF"/>
            <w:noWrap/>
            <w:hideMark/>
          </w:tcPr>
          <w:p w14:paraId="40B27942"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19E2A1A9"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sz w:val="18"/>
                <w:szCs w:val="18"/>
                <w:lang w:eastAsia="en-US"/>
              </w:rPr>
              <w:t>59 184</w:t>
            </w:r>
          </w:p>
        </w:tc>
        <w:tc>
          <w:tcPr>
            <w:tcW w:w="1125" w:type="dxa"/>
            <w:tcBorders>
              <w:top w:val="nil"/>
              <w:left w:val="nil"/>
              <w:bottom w:val="single" w:sz="4" w:space="0" w:color="auto"/>
              <w:right w:val="single" w:sz="4" w:space="0" w:color="auto"/>
            </w:tcBorders>
            <w:shd w:val="clear" w:color="auto" w:fill="auto"/>
            <w:noWrap/>
            <w:hideMark/>
          </w:tcPr>
          <w:p w14:paraId="26608B37"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000000" w:fill="FFFFFF"/>
            <w:noWrap/>
            <w:hideMark/>
          </w:tcPr>
          <w:p w14:paraId="60C98702"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2E4D4340"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sz w:val="18"/>
                <w:szCs w:val="18"/>
                <w:lang w:eastAsia="en-US"/>
              </w:rPr>
              <w:t>63 504</w:t>
            </w:r>
          </w:p>
        </w:tc>
        <w:tc>
          <w:tcPr>
            <w:tcW w:w="845" w:type="dxa"/>
            <w:tcBorders>
              <w:top w:val="nil"/>
              <w:left w:val="nil"/>
              <w:bottom w:val="single" w:sz="4" w:space="0" w:color="auto"/>
              <w:right w:val="single" w:sz="4" w:space="0" w:color="auto"/>
            </w:tcBorders>
            <w:shd w:val="clear" w:color="auto" w:fill="auto"/>
            <w:noWrap/>
            <w:hideMark/>
          </w:tcPr>
          <w:p w14:paraId="6519BAD3"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000000" w:fill="FFFFFF"/>
            <w:noWrap/>
            <w:hideMark/>
          </w:tcPr>
          <w:p w14:paraId="272122EB"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3D456B49"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sz w:val="18"/>
                <w:szCs w:val="18"/>
                <w:lang w:eastAsia="en-US"/>
              </w:rPr>
              <w:t>70 848</w:t>
            </w:r>
          </w:p>
        </w:tc>
      </w:tr>
      <w:tr w:rsidR="00ED15CD" w:rsidRPr="00632442" w14:paraId="6DD63C46" w14:textId="77777777" w:rsidTr="00ED15CD">
        <w:trPr>
          <w:gridAfter w:val="5"/>
          <w:wAfter w:w="6440" w:type="dxa"/>
          <w:trHeight w:val="255"/>
        </w:trPr>
        <w:tc>
          <w:tcPr>
            <w:tcW w:w="4073" w:type="dxa"/>
            <w:tcBorders>
              <w:top w:val="nil"/>
              <w:left w:val="single" w:sz="4" w:space="0" w:color="auto"/>
              <w:bottom w:val="single" w:sz="4" w:space="0" w:color="auto"/>
              <w:right w:val="single" w:sz="4" w:space="0" w:color="auto"/>
            </w:tcBorders>
            <w:shd w:val="clear" w:color="auto" w:fill="auto"/>
            <w:noWrap/>
            <w:hideMark/>
          </w:tcPr>
          <w:p w14:paraId="2B0D022A" w14:textId="77777777" w:rsidR="00632442" w:rsidRPr="00632442" w:rsidRDefault="00632442" w:rsidP="00632442">
            <w:pPr>
              <w:spacing w:after="0"/>
              <w:ind w:firstLineChars="100" w:firstLine="180"/>
              <w:jc w:val="left"/>
              <w:rPr>
                <w:rFonts w:eastAsia="Times New Roman" w:cs="Times New Roman"/>
                <w:i/>
                <w:iCs/>
                <w:sz w:val="18"/>
                <w:szCs w:val="18"/>
                <w:highlight w:val="lightGray"/>
              </w:rPr>
            </w:pPr>
            <w:r w:rsidRPr="00632442">
              <w:rPr>
                <w:rFonts w:eastAsia="Calibri" w:cs="Times New Roman"/>
                <w:i/>
                <w:iCs/>
                <w:sz w:val="18"/>
                <w:szCs w:val="18"/>
                <w:lang w:eastAsia="en-US"/>
              </w:rPr>
              <w:lastRenderedPageBreak/>
              <w:t>tajā skaitā:</w:t>
            </w:r>
          </w:p>
        </w:tc>
        <w:tc>
          <w:tcPr>
            <w:tcW w:w="1126" w:type="dxa"/>
            <w:tcBorders>
              <w:top w:val="nil"/>
              <w:left w:val="nil"/>
              <w:bottom w:val="single" w:sz="4" w:space="0" w:color="auto"/>
              <w:right w:val="single" w:sz="4" w:space="0" w:color="auto"/>
            </w:tcBorders>
            <w:shd w:val="clear" w:color="auto" w:fill="auto"/>
            <w:noWrap/>
            <w:hideMark/>
          </w:tcPr>
          <w:p w14:paraId="2D18D3D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auto" w:fill="auto"/>
            <w:noWrap/>
            <w:hideMark/>
          </w:tcPr>
          <w:p w14:paraId="2C846727"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6E7620E7"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nil"/>
              <w:left w:val="nil"/>
              <w:bottom w:val="single" w:sz="4" w:space="0" w:color="auto"/>
              <w:right w:val="single" w:sz="4" w:space="0" w:color="auto"/>
            </w:tcBorders>
            <w:shd w:val="clear" w:color="auto" w:fill="auto"/>
            <w:noWrap/>
            <w:hideMark/>
          </w:tcPr>
          <w:p w14:paraId="44D920A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auto" w:fill="auto"/>
            <w:noWrap/>
            <w:hideMark/>
          </w:tcPr>
          <w:p w14:paraId="58C74FE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715166E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nil"/>
              <w:left w:val="nil"/>
              <w:bottom w:val="single" w:sz="4" w:space="0" w:color="auto"/>
              <w:right w:val="single" w:sz="4" w:space="0" w:color="auto"/>
            </w:tcBorders>
            <w:shd w:val="clear" w:color="auto" w:fill="auto"/>
            <w:noWrap/>
            <w:hideMark/>
          </w:tcPr>
          <w:p w14:paraId="5AE65E4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auto" w:fill="auto"/>
            <w:noWrap/>
            <w:hideMark/>
          </w:tcPr>
          <w:p w14:paraId="52BC7F79"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24731415"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104E1631" w14:textId="77777777" w:rsidTr="00ED15CD">
        <w:trPr>
          <w:gridAfter w:val="5"/>
          <w:wAfter w:w="6440" w:type="dxa"/>
          <w:trHeight w:val="78"/>
        </w:trPr>
        <w:tc>
          <w:tcPr>
            <w:tcW w:w="4073" w:type="dxa"/>
            <w:tcBorders>
              <w:top w:val="nil"/>
              <w:left w:val="single" w:sz="4" w:space="0" w:color="auto"/>
              <w:bottom w:val="single" w:sz="4" w:space="0" w:color="auto"/>
              <w:right w:val="single" w:sz="4" w:space="0" w:color="auto"/>
            </w:tcBorders>
            <w:shd w:val="clear" w:color="auto" w:fill="auto"/>
            <w:noWrap/>
            <w:hideMark/>
          </w:tcPr>
          <w:p w14:paraId="4ED330A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xml:space="preserve">       Apbedīšanas pabalsts, ja miris bezdarbnieks</w:t>
            </w:r>
          </w:p>
        </w:tc>
        <w:tc>
          <w:tcPr>
            <w:tcW w:w="1126" w:type="dxa"/>
            <w:tcBorders>
              <w:top w:val="nil"/>
              <w:left w:val="nil"/>
              <w:bottom w:val="single" w:sz="4" w:space="0" w:color="auto"/>
              <w:right w:val="single" w:sz="4" w:space="0" w:color="auto"/>
            </w:tcBorders>
            <w:shd w:val="clear" w:color="000000" w:fill="FFFFFF"/>
            <w:noWrap/>
            <w:hideMark/>
          </w:tcPr>
          <w:p w14:paraId="16FF68B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411,00</w:t>
            </w:r>
          </w:p>
        </w:tc>
        <w:tc>
          <w:tcPr>
            <w:tcW w:w="985" w:type="dxa"/>
            <w:tcBorders>
              <w:top w:val="nil"/>
              <w:left w:val="nil"/>
              <w:bottom w:val="single" w:sz="4" w:space="0" w:color="auto"/>
              <w:right w:val="single" w:sz="4" w:space="0" w:color="auto"/>
            </w:tcBorders>
            <w:shd w:val="clear" w:color="000000" w:fill="FFFFFF"/>
            <w:noWrap/>
            <w:hideMark/>
          </w:tcPr>
          <w:p w14:paraId="5F61F93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12</w:t>
            </w:r>
          </w:p>
        </w:tc>
        <w:tc>
          <w:tcPr>
            <w:tcW w:w="1266" w:type="dxa"/>
            <w:tcBorders>
              <w:top w:val="nil"/>
              <w:left w:val="nil"/>
              <w:bottom w:val="single" w:sz="4" w:space="0" w:color="auto"/>
              <w:right w:val="single" w:sz="4" w:space="0" w:color="auto"/>
            </w:tcBorders>
            <w:shd w:val="clear" w:color="auto" w:fill="auto"/>
            <w:noWrap/>
            <w:hideMark/>
          </w:tcPr>
          <w:p w14:paraId="4CA2BC0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59 184</w:t>
            </w:r>
          </w:p>
        </w:tc>
        <w:tc>
          <w:tcPr>
            <w:tcW w:w="1125" w:type="dxa"/>
            <w:tcBorders>
              <w:top w:val="nil"/>
              <w:left w:val="nil"/>
              <w:bottom w:val="single" w:sz="4" w:space="0" w:color="auto"/>
              <w:right w:val="single" w:sz="4" w:space="0" w:color="auto"/>
            </w:tcBorders>
            <w:shd w:val="clear" w:color="000000" w:fill="FFFFFF"/>
            <w:noWrap/>
            <w:hideMark/>
          </w:tcPr>
          <w:p w14:paraId="1A14147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441,00</w:t>
            </w:r>
          </w:p>
        </w:tc>
        <w:tc>
          <w:tcPr>
            <w:tcW w:w="984" w:type="dxa"/>
            <w:tcBorders>
              <w:top w:val="nil"/>
              <w:left w:val="nil"/>
              <w:bottom w:val="single" w:sz="4" w:space="0" w:color="auto"/>
              <w:right w:val="single" w:sz="4" w:space="0" w:color="auto"/>
            </w:tcBorders>
            <w:shd w:val="clear" w:color="000000" w:fill="FFFFFF"/>
            <w:noWrap/>
            <w:hideMark/>
          </w:tcPr>
          <w:p w14:paraId="0F62BEE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12</w:t>
            </w:r>
          </w:p>
        </w:tc>
        <w:tc>
          <w:tcPr>
            <w:tcW w:w="1265" w:type="dxa"/>
            <w:tcBorders>
              <w:top w:val="nil"/>
              <w:left w:val="nil"/>
              <w:bottom w:val="single" w:sz="4" w:space="0" w:color="auto"/>
              <w:right w:val="single" w:sz="4" w:space="0" w:color="auto"/>
            </w:tcBorders>
            <w:shd w:val="clear" w:color="auto" w:fill="auto"/>
            <w:noWrap/>
            <w:hideMark/>
          </w:tcPr>
          <w:p w14:paraId="5A416B7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63 504</w:t>
            </w:r>
          </w:p>
        </w:tc>
        <w:tc>
          <w:tcPr>
            <w:tcW w:w="845" w:type="dxa"/>
            <w:tcBorders>
              <w:top w:val="nil"/>
              <w:left w:val="nil"/>
              <w:bottom w:val="single" w:sz="4" w:space="0" w:color="auto"/>
              <w:right w:val="single" w:sz="4" w:space="0" w:color="auto"/>
            </w:tcBorders>
            <w:shd w:val="clear" w:color="000000" w:fill="FFFFFF"/>
            <w:noWrap/>
            <w:hideMark/>
          </w:tcPr>
          <w:p w14:paraId="1AC3C69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492,00</w:t>
            </w:r>
          </w:p>
        </w:tc>
        <w:tc>
          <w:tcPr>
            <w:tcW w:w="964" w:type="dxa"/>
            <w:tcBorders>
              <w:top w:val="nil"/>
              <w:left w:val="nil"/>
              <w:bottom w:val="single" w:sz="4" w:space="0" w:color="auto"/>
              <w:right w:val="single" w:sz="4" w:space="0" w:color="auto"/>
            </w:tcBorders>
            <w:shd w:val="clear" w:color="000000" w:fill="FFFFFF"/>
            <w:noWrap/>
            <w:hideMark/>
          </w:tcPr>
          <w:p w14:paraId="63A7327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12</w:t>
            </w:r>
          </w:p>
        </w:tc>
        <w:tc>
          <w:tcPr>
            <w:tcW w:w="1319" w:type="dxa"/>
            <w:tcBorders>
              <w:top w:val="nil"/>
              <w:left w:val="nil"/>
              <w:bottom w:val="single" w:sz="4" w:space="0" w:color="auto"/>
              <w:right w:val="single" w:sz="4" w:space="0" w:color="auto"/>
            </w:tcBorders>
            <w:shd w:val="clear" w:color="auto" w:fill="auto"/>
            <w:noWrap/>
            <w:hideMark/>
          </w:tcPr>
          <w:p w14:paraId="20484A1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70 848</w:t>
            </w:r>
          </w:p>
        </w:tc>
      </w:tr>
      <w:tr w:rsidR="00ED15CD" w:rsidRPr="00632442" w14:paraId="384F4451" w14:textId="77777777" w:rsidTr="00ED15CD">
        <w:trPr>
          <w:gridAfter w:val="5"/>
          <w:wAfter w:w="6440" w:type="dxa"/>
          <w:trHeight w:val="70"/>
        </w:trPr>
        <w:tc>
          <w:tcPr>
            <w:tcW w:w="4073" w:type="dxa"/>
            <w:tcBorders>
              <w:top w:val="nil"/>
              <w:left w:val="single" w:sz="4" w:space="0" w:color="auto"/>
              <w:bottom w:val="single" w:sz="4" w:space="0" w:color="auto"/>
              <w:right w:val="single" w:sz="4" w:space="0" w:color="auto"/>
            </w:tcBorders>
            <w:shd w:val="clear" w:color="auto" w:fill="auto"/>
            <w:noWrap/>
            <w:hideMark/>
          </w:tcPr>
          <w:p w14:paraId="1EB60921"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Valsts nodarbinātības pabalsti naudā – kopā</w:t>
            </w:r>
          </w:p>
        </w:tc>
        <w:tc>
          <w:tcPr>
            <w:tcW w:w="1126" w:type="dxa"/>
            <w:tcBorders>
              <w:top w:val="nil"/>
              <w:left w:val="nil"/>
              <w:bottom w:val="single" w:sz="4" w:space="0" w:color="auto"/>
              <w:right w:val="single" w:sz="4" w:space="0" w:color="auto"/>
            </w:tcBorders>
            <w:shd w:val="clear" w:color="auto" w:fill="auto"/>
            <w:noWrap/>
            <w:hideMark/>
          </w:tcPr>
          <w:p w14:paraId="4888FAB9"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auto" w:fill="auto"/>
            <w:noWrap/>
            <w:hideMark/>
          </w:tcPr>
          <w:p w14:paraId="4A076CD7"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19E7419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176 238 502</w:t>
            </w:r>
          </w:p>
        </w:tc>
        <w:tc>
          <w:tcPr>
            <w:tcW w:w="1125" w:type="dxa"/>
            <w:tcBorders>
              <w:top w:val="nil"/>
              <w:left w:val="nil"/>
              <w:bottom w:val="single" w:sz="4" w:space="0" w:color="auto"/>
              <w:right w:val="single" w:sz="4" w:space="0" w:color="auto"/>
            </w:tcBorders>
            <w:shd w:val="clear" w:color="auto" w:fill="auto"/>
            <w:noWrap/>
            <w:hideMark/>
          </w:tcPr>
          <w:p w14:paraId="57CBC3EC"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auto" w:fill="auto"/>
            <w:noWrap/>
            <w:hideMark/>
          </w:tcPr>
          <w:p w14:paraId="3F2829EC"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02DD1FE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184 503 699</w:t>
            </w:r>
          </w:p>
        </w:tc>
        <w:tc>
          <w:tcPr>
            <w:tcW w:w="845" w:type="dxa"/>
            <w:tcBorders>
              <w:top w:val="nil"/>
              <w:left w:val="nil"/>
              <w:bottom w:val="single" w:sz="4" w:space="0" w:color="auto"/>
              <w:right w:val="single" w:sz="4" w:space="0" w:color="auto"/>
            </w:tcBorders>
            <w:shd w:val="clear" w:color="auto" w:fill="auto"/>
            <w:noWrap/>
            <w:hideMark/>
          </w:tcPr>
          <w:p w14:paraId="781C7F61"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auto" w:fill="auto"/>
            <w:noWrap/>
            <w:hideMark/>
          </w:tcPr>
          <w:p w14:paraId="784FB67B"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2518826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197 121 222</w:t>
            </w:r>
          </w:p>
        </w:tc>
      </w:tr>
      <w:tr w:rsidR="00ED15CD" w:rsidRPr="00632442" w14:paraId="1990CF98" w14:textId="77777777" w:rsidTr="00ED15CD">
        <w:trPr>
          <w:gridAfter w:val="5"/>
          <w:wAfter w:w="6440" w:type="dxa"/>
          <w:trHeight w:val="70"/>
        </w:trPr>
        <w:tc>
          <w:tcPr>
            <w:tcW w:w="4073" w:type="dxa"/>
            <w:tcBorders>
              <w:top w:val="nil"/>
              <w:left w:val="single" w:sz="4" w:space="0" w:color="auto"/>
              <w:bottom w:val="single" w:sz="4" w:space="0" w:color="auto"/>
              <w:right w:val="single" w:sz="4" w:space="0" w:color="auto"/>
            </w:tcBorders>
            <w:shd w:val="clear" w:color="auto" w:fill="auto"/>
            <w:noWrap/>
            <w:hideMark/>
          </w:tcPr>
          <w:p w14:paraId="53FCB948"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 xml:space="preserve">       Bezdarbnieka pabalsts</w:t>
            </w:r>
          </w:p>
        </w:tc>
        <w:tc>
          <w:tcPr>
            <w:tcW w:w="1126" w:type="dxa"/>
            <w:tcBorders>
              <w:top w:val="nil"/>
              <w:left w:val="nil"/>
              <w:bottom w:val="single" w:sz="4" w:space="0" w:color="auto"/>
              <w:right w:val="single" w:sz="4" w:space="0" w:color="auto"/>
            </w:tcBorders>
            <w:shd w:val="clear" w:color="000000" w:fill="FFFFFF"/>
            <w:noWrap/>
            <w:hideMark/>
          </w:tcPr>
          <w:p w14:paraId="215CE18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470,30</w:t>
            </w:r>
          </w:p>
        </w:tc>
        <w:tc>
          <w:tcPr>
            <w:tcW w:w="985" w:type="dxa"/>
            <w:tcBorders>
              <w:top w:val="nil"/>
              <w:left w:val="nil"/>
              <w:bottom w:val="single" w:sz="4" w:space="0" w:color="auto"/>
              <w:right w:val="single" w:sz="4" w:space="0" w:color="auto"/>
            </w:tcBorders>
            <w:shd w:val="clear" w:color="000000" w:fill="FFFFFF"/>
            <w:noWrap/>
            <w:hideMark/>
          </w:tcPr>
          <w:p w14:paraId="0345319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31 227</w:t>
            </w:r>
          </w:p>
        </w:tc>
        <w:tc>
          <w:tcPr>
            <w:tcW w:w="1266" w:type="dxa"/>
            <w:tcBorders>
              <w:top w:val="nil"/>
              <w:left w:val="nil"/>
              <w:bottom w:val="single" w:sz="4" w:space="0" w:color="auto"/>
              <w:right w:val="single" w:sz="4" w:space="0" w:color="auto"/>
            </w:tcBorders>
            <w:shd w:val="clear" w:color="auto" w:fill="auto"/>
            <w:noWrap/>
            <w:hideMark/>
          </w:tcPr>
          <w:p w14:paraId="108B57A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176 234 002</w:t>
            </w:r>
          </w:p>
        </w:tc>
        <w:tc>
          <w:tcPr>
            <w:tcW w:w="1125" w:type="dxa"/>
            <w:tcBorders>
              <w:top w:val="nil"/>
              <w:left w:val="nil"/>
              <w:bottom w:val="single" w:sz="4" w:space="0" w:color="auto"/>
              <w:right w:val="single" w:sz="4" w:space="0" w:color="auto"/>
            </w:tcBorders>
            <w:shd w:val="clear" w:color="000000" w:fill="FFFFFF"/>
            <w:noWrap/>
            <w:hideMark/>
          </w:tcPr>
          <w:p w14:paraId="4CAD67B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509,85</w:t>
            </w:r>
          </w:p>
        </w:tc>
        <w:tc>
          <w:tcPr>
            <w:tcW w:w="984" w:type="dxa"/>
            <w:tcBorders>
              <w:top w:val="nil"/>
              <w:left w:val="nil"/>
              <w:bottom w:val="single" w:sz="4" w:space="0" w:color="auto"/>
              <w:right w:val="single" w:sz="4" w:space="0" w:color="auto"/>
            </w:tcBorders>
            <w:shd w:val="clear" w:color="000000" w:fill="FFFFFF"/>
            <w:noWrap/>
            <w:hideMark/>
          </w:tcPr>
          <w:p w14:paraId="33700EF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30 156</w:t>
            </w:r>
          </w:p>
        </w:tc>
        <w:tc>
          <w:tcPr>
            <w:tcW w:w="1265" w:type="dxa"/>
            <w:tcBorders>
              <w:top w:val="nil"/>
              <w:left w:val="nil"/>
              <w:bottom w:val="single" w:sz="4" w:space="0" w:color="auto"/>
              <w:right w:val="single" w:sz="4" w:space="0" w:color="auto"/>
            </w:tcBorders>
            <w:shd w:val="clear" w:color="auto" w:fill="auto"/>
            <w:noWrap/>
            <w:hideMark/>
          </w:tcPr>
          <w:p w14:paraId="6CFA60B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184 499 199</w:t>
            </w:r>
          </w:p>
        </w:tc>
        <w:tc>
          <w:tcPr>
            <w:tcW w:w="845" w:type="dxa"/>
            <w:tcBorders>
              <w:top w:val="nil"/>
              <w:left w:val="nil"/>
              <w:bottom w:val="single" w:sz="4" w:space="0" w:color="auto"/>
              <w:right w:val="single" w:sz="4" w:space="0" w:color="auto"/>
            </w:tcBorders>
            <w:shd w:val="clear" w:color="000000" w:fill="FFFFFF"/>
            <w:noWrap/>
            <w:hideMark/>
          </w:tcPr>
          <w:p w14:paraId="5C5CF73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544,61</w:t>
            </w:r>
          </w:p>
        </w:tc>
        <w:tc>
          <w:tcPr>
            <w:tcW w:w="964" w:type="dxa"/>
            <w:tcBorders>
              <w:top w:val="nil"/>
              <w:left w:val="nil"/>
              <w:bottom w:val="single" w:sz="4" w:space="0" w:color="auto"/>
              <w:right w:val="single" w:sz="4" w:space="0" w:color="auto"/>
            </w:tcBorders>
            <w:shd w:val="clear" w:color="000000" w:fill="FFFFFF"/>
            <w:noWrap/>
            <w:hideMark/>
          </w:tcPr>
          <w:p w14:paraId="7583DAF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30 162</w:t>
            </w:r>
          </w:p>
        </w:tc>
        <w:tc>
          <w:tcPr>
            <w:tcW w:w="1319" w:type="dxa"/>
            <w:tcBorders>
              <w:top w:val="nil"/>
              <w:left w:val="nil"/>
              <w:bottom w:val="single" w:sz="4" w:space="0" w:color="auto"/>
              <w:right w:val="single" w:sz="4" w:space="0" w:color="auto"/>
            </w:tcBorders>
            <w:shd w:val="clear" w:color="auto" w:fill="auto"/>
            <w:noWrap/>
            <w:hideMark/>
          </w:tcPr>
          <w:p w14:paraId="5E73BFC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197 116 722</w:t>
            </w:r>
          </w:p>
        </w:tc>
      </w:tr>
      <w:tr w:rsidR="00ED15CD" w:rsidRPr="00632442" w14:paraId="58520C38" w14:textId="77777777" w:rsidTr="00ED15CD">
        <w:trPr>
          <w:gridAfter w:val="5"/>
          <w:wAfter w:w="6440" w:type="dxa"/>
          <w:trHeight w:val="70"/>
        </w:trPr>
        <w:tc>
          <w:tcPr>
            <w:tcW w:w="4073" w:type="dxa"/>
            <w:tcBorders>
              <w:top w:val="nil"/>
              <w:left w:val="single" w:sz="4" w:space="0" w:color="auto"/>
              <w:bottom w:val="single" w:sz="4" w:space="0" w:color="auto"/>
              <w:right w:val="single" w:sz="4" w:space="0" w:color="auto"/>
            </w:tcBorders>
            <w:shd w:val="clear" w:color="auto" w:fill="auto"/>
            <w:noWrap/>
          </w:tcPr>
          <w:p w14:paraId="6378CAB1" w14:textId="77777777" w:rsidR="00632442" w:rsidRPr="00632442" w:rsidRDefault="00632442" w:rsidP="00632442">
            <w:pPr>
              <w:spacing w:after="0"/>
              <w:ind w:firstLine="0"/>
              <w:jc w:val="left"/>
              <w:rPr>
                <w:rFonts w:eastAsia="Calibri" w:cs="Times New Roman"/>
                <w:sz w:val="18"/>
                <w:szCs w:val="18"/>
                <w:lang w:eastAsia="en-US"/>
              </w:rPr>
            </w:pPr>
            <w:r w:rsidRPr="00632442">
              <w:rPr>
                <w:rFonts w:eastAsia="Calibri" w:cs="Times New Roman"/>
                <w:sz w:val="18"/>
                <w:szCs w:val="18"/>
                <w:lang w:eastAsia="en-US"/>
              </w:rPr>
              <w:t xml:space="preserve">       Bezdarbnieka stipendija</w:t>
            </w:r>
          </w:p>
        </w:tc>
        <w:tc>
          <w:tcPr>
            <w:tcW w:w="1126" w:type="dxa"/>
            <w:tcBorders>
              <w:top w:val="nil"/>
              <w:left w:val="nil"/>
              <w:bottom w:val="single" w:sz="4" w:space="0" w:color="auto"/>
              <w:right w:val="single" w:sz="4" w:space="0" w:color="auto"/>
            </w:tcBorders>
            <w:shd w:val="clear" w:color="000000" w:fill="FFFFFF"/>
            <w:noWrap/>
          </w:tcPr>
          <w:p w14:paraId="2C04C54A" w14:textId="77777777" w:rsidR="00632442" w:rsidRPr="00632442" w:rsidRDefault="00632442" w:rsidP="00632442">
            <w:pPr>
              <w:spacing w:after="0"/>
              <w:ind w:firstLine="0"/>
              <w:jc w:val="right"/>
              <w:rPr>
                <w:rFonts w:eastAsia="Calibri" w:cs="Times New Roman"/>
                <w:sz w:val="18"/>
                <w:szCs w:val="18"/>
                <w:lang w:eastAsia="en-US"/>
              </w:rPr>
            </w:pPr>
            <w:r w:rsidRPr="00632442">
              <w:rPr>
                <w:rFonts w:eastAsia="Calibri" w:cs="Times New Roman"/>
                <w:sz w:val="18"/>
                <w:szCs w:val="18"/>
                <w:lang w:eastAsia="en-US"/>
              </w:rPr>
              <w:t>150,00</w:t>
            </w:r>
          </w:p>
        </w:tc>
        <w:tc>
          <w:tcPr>
            <w:tcW w:w="985" w:type="dxa"/>
            <w:tcBorders>
              <w:top w:val="nil"/>
              <w:left w:val="nil"/>
              <w:bottom w:val="single" w:sz="4" w:space="0" w:color="auto"/>
              <w:right w:val="single" w:sz="4" w:space="0" w:color="auto"/>
            </w:tcBorders>
            <w:shd w:val="clear" w:color="000000" w:fill="FFFFFF"/>
            <w:noWrap/>
          </w:tcPr>
          <w:p w14:paraId="4E116B51" w14:textId="77777777" w:rsidR="00632442" w:rsidRPr="00632442" w:rsidRDefault="00632442" w:rsidP="00632442">
            <w:pPr>
              <w:spacing w:after="0"/>
              <w:ind w:firstLine="0"/>
              <w:jc w:val="right"/>
              <w:rPr>
                <w:rFonts w:eastAsia="Calibri" w:cs="Times New Roman"/>
                <w:sz w:val="18"/>
                <w:szCs w:val="18"/>
                <w:lang w:eastAsia="en-US"/>
              </w:rPr>
            </w:pPr>
            <w:r w:rsidRPr="00632442">
              <w:rPr>
                <w:rFonts w:eastAsia="Calibri" w:cs="Times New Roman"/>
                <w:sz w:val="18"/>
                <w:szCs w:val="18"/>
                <w:lang w:eastAsia="en-US"/>
              </w:rPr>
              <w:t>3</w:t>
            </w:r>
          </w:p>
        </w:tc>
        <w:tc>
          <w:tcPr>
            <w:tcW w:w="1266" w:type="dxa"/>
            <w:tcBorders>
              <w:top w:val="nil"/>
              <w:left w:val="nil"/>
              <w:bottom w:val="single" w:sz="4" w:space="0" w:color="auto"/>
              <w:right w:val="single" w:sz="4" w:space="0" w:color="auto"/>
            </w:tcBorders>
            <w:shd w:val="clear" w:color="auto" w:fill="auto"/>
            <w:noWrap/>
          </w:tcPr>
          <w:p w14:paraId="0D4EEE8D" w14:textId="77777777" w:rsidR="00632442" w:rsidRPr="00632442" w:rsidRDefault="00632442" w:rsidP="00632442">
            <w:pPr>
              <w:spacing w:after="0"/>
              <w:ind w:firstLine="0"/>
              <w:jc w:val="right"/>
              <w:rPr>
                <w:rFonts w:eastAsia="Calibri" w:cs="Times New Roman"/>
                <w:sz w:val="18"/>
                <w:szCs w:val="18"/>
                <w:lang w:eastAsia="en-US"/>
              </w:rPr>
            </w:pPr>
            <w:r w:rsidRPr="00632442">
              <w:rPr>
                <w:rFonts w:eastAsia="Calibri" w:cs="Times New Roman"/>
                <w:sz w:val="18"/>
                <w:szCs w:val="18"/>
                <w:lang w:eastAsia="en-US"/>
              </w:rPr>
              <w:t>4 500</w:t>
            </w:r>
          </w:p>
        </w:tc>
        <w:tc>
          <w:tcPr>
            <w:tcW w:w="1125" w:type="dxa"/>
            <w:tcBorders>
              <w:top w:val="nil"/>
              <w:left w:val="nil"/>
              <w:bottom w:val="single" w:sz="4" w:space="0" w:color="auto"/>
              <w:right w:val="single" w:sz="4" w:space="0" w:color="auto"/>
            </w:tcBorders>
            <w:shd w:val="clear" w:color="000000" w:fill="FFFFFF"/>
            <w:noWrap/>
          </w:tcPr>
          <w:p w14:paraId="28224ED2" w14:textId="292AF1BB" w:rsidR="00632442" w:rsidRPr="00632442" w:rsidRDefault="00900618" w:rsidP="00632442">
            <w:pPr>
              <w:spacing w:after="0"/>
              <w:ind w:firstLine="0"/>
              <w:jc w:val="right"/>
              <w:rPr>
                <w:rFonts w:eastAsia="Calibri" w:cs="Times New Roman"/>
                <w:sz w:val="18"/>
                <w:szCs w:val="18"/>
                <w:lang w:eastAsia="en-US"/>
              </w:rPr>
            </w:pPr>
            <w:r>
              <w:rPr>
                <w:rFonts w:eastAsia="Calibri" w:cs="Times New Roman"/>
                <w:sz w:val="18"/>
                <w:szCs w:val="18"/>
                <w:lang w:eastAsia="en-US"/>
              </w:rPr>
              <w:t>150,00</w:t>
            </w:r>
          </w:p>
        </w:tc>
        <w:tc>
          <w:tcPr>
            <w:tcW w:w="984" w:type="dxa"/>
            <w:tcBorders>
              <w:top w:val="nil"/>
              <w:left w:val="nil"/>
              <w:bottom w:val="single" w:sz="4" w:space="0" w:color="auto"/>
              <w:right w:val="single" w:sz="4" w:space="0" w:color="auto"/>
            </w:tcBorders>
            <w:shd w:val="clear" w:color="000000" w:fill="FFFFFF"/>
            <w:noWrap/>
          </w:tcPr>
          <w:p w14:paraId="47369F96" w14:textId="7AEACE87" w:rsidR="00632442" w:rsidRPr="00632442" w:rsidRDefault="00900618" w:rsidP="00632442">
            <w:pPr>
              <w:spacing w:after="0"/>
              <w:ind w:firstLine="0"/>
              <w:jc w:val="right"/>
              <w:rPr>
                <w:rFonts w:eastAsia="Calibri" w:cs="Times New Roman"/>
                <w:sz w:val="18"/>
                <w:szCs w:val="18"/>
                <w:lang w:eastAsia="en-US"/>
              </w:rPr>
            </w:pPr>
            <w:r>
              <w:rPr>
                <w:rFonts w:eastAsia="Calibri" w:cs="Times New Roman"/>
                <w:sz w:val="18"/>
                <w:szCs w:val="18"/>
                <w:lang w:eastAsia="en-US"/>
              </w:rPr>
              <w:t>3</w:t>
            </w:r>
          </w:p>
        </w:tc>
        <w:tc>
          <w:tcPr>
            <w:tcW w:w="1265" w:type="dxa"/>
            <w:tcBorders>
              <w:top w:val="nil"/>
              <w:left w:val="nil"/>
              <w:bottom w:val="single" w:sz="4" w:space="0" w:color="auto"/>
              <w:right w:val="single" w:sz="4" w:space="0" w:color="auto"/>
            </w:tcBorders>
            <w:shd w:val="clear" w:color="auto" w:fill="auto"/>
            <w:noWrap/>
          </w:tcPr>
          <w:p w14:paraId="15951A68" w14:textId="77777777" w:rsidR="00632442" w:rsidRPr="00632442" w:rsidRDefault="00632442" w:rsidP="00632442">
            <w:pPr>
              <w:spacing w:after="0"/>
              <w:ind w:firstLine="0"/>
              <w:jc w:val="right"/>
              <w:rPr>
                <w:rFonts w:eastAsia="Calibri" w:cs="Times New Roman"/>
                <w:sz w:val="18"/>
                <w:szCs w:val="18"/>
                <w:lang w:eastAsia="en-US"/>
              </w:rPr>
            </w:pPr>
            <w:r w:rsidRPr="00632442">
              <w:rPr>
                <w:rFonts w:eastAsia="Calibri" w:cs="Times New Roman"/>
                <w:sz w:val="18"/>
                <w:szCs w:val="18"/>
                <w:lang w:eastAsia="en-US"/>
              </w:rPr>
              <w:t>4 500</w:t>
            </w:r>
          </w:p>
        </w:tc>
        <w:tc>
          <w:tcPr>
            <w:tcW w:w="845" w:type="dxa"/>
            <w:tcBorders>
              <w:top w:val="nil"/>
              <w:left w:val="nil"/>
              <w:bottom w:val="single" w:sz="4" w:space="0" w:color="auto"/>
              <w:right w:val="single" w:sz="4" w:space="0" w:color="auto"/>
            </w:tcBorders>
            <w:shd w:val="clear" w:color="000000" w:fill="FFFFFF"/>
            <w:noWrap/>
          </w:tcPr>
          <w:p w14:paraId="1422C440" w14:textId="5E09ED63" w:rsidR="00632442" w:rsidRPr="00632442" w:rsidRDefault="00900618" w:rsidP="00632442">
            <w:pPr>
              <w:spacing w:after="0"/>
              <w:ind w:firstLine="0"/>
              <w:jc w:val="right"/>
              <w:rPr>
                <w:rFonts w:eastAsia="Calibri" w:cs="Times New Roman"/>
                <w:sz w:val="18"/>
                <w:szCs w:val="18"/>
                <w:lang w:eastAsia="en-US"/>
              </w:rPr>
            </w:pPr>
            <w:r>
              <w:rPr>
                <w:rFonts w:eastAsia="Calibri" w:cs="Times New Roman"/>
                <w:sz w:val="18"/>
                <w:szCs w:val="18"/>
                <w:lang w:eastAsia="en-US"/>
              </w:rPr>
              <w:t>150,00</w:t>
            </w:r>
          </w:p>
        </w:tc>
        <w:tc>
          <w:tcPr>
            <w:tcW w:w="964" w:type="dxa"/>
            <w:tcBorders>
              <w:top w:val="nil"/>
              <w:left w:val="nil"/>
              <w:bottom w:val="single" w:sz="4" w:space="0" w:color="auto"/>
              <w:right w:val="single" w:sz="4" w:space="0" w:color="auto"/>
            </w:tcBorders>
            <w:shd w:val="clear" w:color="000000" w:fill="FFFFFF"/>
            <w:noWrap/>
          </w:tcPr>
          <w:p w14:paraId="14CF9522" w14:textId="34D4AA70" w:rsidR="00632442" w:rsidRPr="00632442" w:rsidRDefault="00900618" w:rsidP="00632442">
            <w:pPr>
              <w:spacing w:after="0"/>
              <w:ind w:firstLine="0"/>
              <w:jc w:val="right"/>
              <w:rPr>
                <w:rFonts w:eastAsia="Calibri" w:cs="Times New Roman"/>
                <w:sz w:val="18"/>
                <w:szCs w:val="18"/>
                <w:lang w:eastAsia="en-US"/>
              </w:rPr>
            </w:pPr>
            <w:r>
              <w:rPr>
                <w:rFonts w:eastAsia="Calibri" w:cs="Times New Roman"/>
                <w:sz w:val="18"/>
                <w:szCs w:val="18"/>
                <w:lang w:eastAsia="en-US"/>
              </w:rPr>
              <w:t>3</w:t>
            </w:r>
          </w:p>
        </w:tc>
        <w:tc>
          <w:tcPr>
            <w:tcW w:w="1319" w:type="dxa"/>
            <w:tcBorders>
              <w:top w:val="nil"/>
              <w:left w:val="nil"/>
              <w:bottom w:val="single" w:sz="4" w:space="0" w:color="auto"/>
              <w:right w:val="single" w:sz="4" w:space="0" w:color="auto"/>
            </w:tcBorders>
            <w:shd w:val="clear" w:color="auto" w:fill="auto"/>
            <w:noWrap/>
          </w:tcPr>
          <w:p w14:paraId="7A98F092" w14:textId="77777777" w:rsidR="00632442" w:rsidRPr="00632442" w:rsidRDefault="00632442" w:rsidP="00632442">
            <w:pPr>
              <w:spacing w:after="0"/>
              <w:ind w:firstLine="0"/>
              <w:jc w:val="right"/>
              <w:rPr>
                <w:rFonts w:eastAsia="Calibri" w:cs="Times New Roman"/>
                <w:sz w:val="18"/>
                <w:szCs w:val="18"/>
                <w:lang w:eastAsia="en-US"/>
              </w:rPr>
            </w:pPr>
            <w:r w:rsidRPr="00632442">
              <w:rPr>
                <w:rFonts w:eastAsia="Calibri" w:cs="Times New Roman"/>
                <w:sz w:val="18"/>
                <w:szCs w:val="18"/>
                <w:lang w:eastAsia="en-US"/>
              </w:rPr>
              <w:t>4 500</w:t>
            </w:r>
          </w:p>
        </w:tc>
      </w:tr>
      <w:tr w:rsidR="00ED15CD" w:rsidRPr="00632442" w14:paraId="62CE7021" w14:textId="77777777" w:rsidTr="00ED15CD">
        <w:trPr>
          <w:gridAfter w:val="5"/>
          <w:wAfter w:w="6440" w:type="dxa"/>
          <w:trHeight w:val="144"/>
        </w:trPr>
        <w:tc>
          <w:tcPr>
            <w:tcW w:w="4073" w:type="dxa"/>
            <w:tcBorders>
              <w:top w:val="nil"/>
              <w:left w:val="single" w:sz="4" w:space="0" w:color="auto"/>
              <w:bottom w:val="single" w:sz="4" w:space="0" w:color="auto"/>
              <w:right w:val="single" w:sz="4" w:space="0" w:color="auto"/>
            </w:tcBorders>
            <w:shd w:val="clear" w:color="auto" w:fill="auto"/>
            <w:hideMark/>
          </w:tcPr>
          <w:p w14:paraId="5EABB1DC"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Valsts budžeta maksājumi - kopā</w:t>
            </w:r>
          </w:p>
        </w:tc>
        <w:tc>
          <w:tcPr>
            <w:tcW w:w="1126" w:type="dxa"/>
            <w:tcBorders>
              <w:top w:val="nil"/>
              <w:left w:val="nil"/>
              <w:bottom w:val="single" w:sz="4" w:space="0" w:color="auto"/>
              <w:right w:val="single" w:sz="4" w:space="0" w:color="auto"/>
            </w:tcBorders>
            <w:shd w:val="clear" w:color="auto" w:fill="auto"/>
            <w:noWrap/>
            <w:hideMark/>
          </w:tcPr>
          <w:p w14:paraId="7BD325E0"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000000" w:fill="FFFFFF"/>
            <w:noWrap/>
            <w:hideMark/>
          </w:tcPr>
          <w:p w14:paraId="6E610439"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1AEBF6A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1 357 400</w:t>
            </w:r>
          </w:p>
        </w:tc>
        <w:tc>
          <w:tcPr>
            <w:tcW w:w="1125" w:type="dxa"/>
            <w:tcBorders>
              <w:top w:val="nil"/>
              <w:left w:val="nil"/>
              <w:bottom w:val="single" w:sz="4" w:space="0" w:color="auto"/>
              <w:right w:val="single" w:sz="4" w:space="0" w:color="auto"/>
            </w:tcBorders>
            <w:shd w:val="clear" w:color="auto" w:fill="auto"/>
            <w:noWrap/>
            <w:hideMark/>
          </w:tcPr>
          <w:p w14:paraId="6962D09D"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000000" w:fill="FFFFFF"/>
            <w:noWrap/>
            <w:hideMark/>
          </w:tcPr>
          <w:p w14:paraId="0EEA16B7"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457631B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1 357 080</w:t>
            </w:r>
          </w:p>
        </w:tc>
        <w:tc>
          <w:tcPr>
            <w:tcW w:w="845" w:type="dxa"/>
            <w:tcBorders>
              <w:top w:val="nil"/>
              <w:left w:val="nil"/>
              <w:bottom w:val="single" w:sz="4" w:space="0" w:color="auto"/>
              <w:right w:val="single" w:sz="4" w:space="0" w:color="auto"/>
            </w:tcBorders>
            <w:shd w:val="clear" w:color="auto" w:fill="auto"/>
            <w:noWrap/>
            <w:hideMark/>
          </w:tcPr>
          <w:p w14:paraId="625EEF88"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000000" w:fill="FFFFFF"/>
            <w:noWrap/>
            <w:hideMark/>
          </w:tcPr>
          <w:p w14:paraId="6F18265F" w14:textId="4CDE8343" w:rsidR="00632442" w:rsidRPr="00632442" w:rsidRDefault="007E1FAD" w:rsidP="00632442">
            <w:pPr>
              <w:spacing w:after="0"/>
              <w:ind w:firstLine="0"/>
              <w:jc w:val="center"/>
              <w:rPr>
                <w:rFonts w:eastAsia="Times New Roman" w:cs="Times New Roman"/>
                <w:sz w:val="18"/>
                <w:szCs w:val="18"/>
                <w:highlight w:val="lightGray"/>
              </w:rPr>
            </w:pPr>
            <w:r>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0C84EEE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1 356 984</w:t>
            </w:r>
          </w:p>
        </w:tc>
      </w:tr>
      <w:tr w:rsidR="00ED15CD" w:rsidRPr="00632442" w14:paraId="10AFB041" w14:textId="77777777" w:rsidTr="00ED15CD">
        <w:trPr>
          <w:gridAfter w:val="5"/>
          <w:wAfter w:w="6440" w:type="dxa"/>
          <w:trHeight w:val="70"/>
        </w:trPr>
        <w:tc>
          <w:tcPr>
            <w:tcW w:w="4073" w:type="dxa"/>
            <w:tcBorders>
              <w:top w:val="nil"/>
              <w:left w:val="single" w:sz="4" w:space="0" w:color="auto"/>
              <w:bottom w:val="single" w:sz="4" w:space="0" w:color="auto"/>
              <w:right w:val="single" w:sz="4" w:space="0" w:color="auto"/>
            </w:tcBorders>
            <w:shd w:val="clear" w:color="auto" w:fill="auto"/>
            <w:noWrap/>
            <w:hideMark/>
          </w:tcPr>
          <w:p w14:paraId="24B09C20" w14:textId="77777777" w:rsidR="00632442" w:rsidRPr="00632442" w:rsidRDefault="00632442" w:rsidP="00632442">
            <w:pPr>
              <w:spacing w:after="0"/>
              <w:ind w:firstLineChars="100" w:firstLine="180"/>
              <w:jc w:val="left"/>
              <w:rPr>
                <w:rFonts w:eastAsia="Times New Roman" w:cs="Times New Roman"/>
                <w:i/>
                <w:iCs/>
                <w:sz w:val="18"/>
                <w:szCs w:val="18"/>
                <w:highlight w:val="lightGray"/>
              </w:rPr>
            </w:pPr>
            <w:r w:rsidRPr="00632442">
              <w:rPr>
                <w:rFonts w:eastAsia="Calibri" w:cs="Times New Roman"/>
                <w:i/>
                <w:iCs/>
                <w:sz w:val="18"/>
                <w:szCs w:val="18"/>
                <w:lang w:eastAsia="en-US"/>
              </w:rPr>
              <w:t>tajā skaitā:</w:t>
            </w:r>
          </w:p>
        </w:tc>
        <w:tc>
          <w:tcPr>
            <w:tcW w:w="1126" w:type="dxa"/>
            <w:tcBorders>
              <w:top w:val="nil"/>
              <w:left w:val="nil"/>
              <w:bottom w:val="single" w:sz="4" w:space="0" w:color="auto"/>
              <w:right w:val="single" w:sz="4" w:space="0" w:color="auto"/>
            </w:tcBorders>
            <w:shd w:val="clear" w:color="auto" w:fill="auto"/>
            <w:noWrap/>
            <w:hideMark/>
          </w:tcPr>
          <w:p w14:paraId="26622DF3"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1F899134"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7B944E21"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nil"/>
              <w:left w:val="nil"/>
              <w:bottom w:val="single" w:sz="4" w:space="0" w:color="auto"/>
              <w:right w:val="single" w:sz="4" w:space="0" w:color="auto"/>
            </w:tcBorders>
            <w:shd w:val="clear" w:color="auto" w:fill="auto"/>
            <w:noWrap/>
            <w:hideMark/>
          </w:tcPr>
          <w:p w14:paraId="03864AD1"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51F0ED1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22C4A243"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nil"/>
              <w:left w:val="nil"/>
              <w:bottom w:val="single" w:sz="4" w:space="0" w:color="auto"/>
              <w:right w:val="single" w:sz="4" w:space="0" w:color="auto"/>
            </w:tcBorders>
            <w:shd w:val="clear" w:color="auto" w:fill="auto"/>
            <w:noWrap/>
            <w:hideMark/>
          </w:tcPr>
          <w:p w14:paraId="6C91B76F"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2D370806"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333B9AD5"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70782BF0" w14:textId="77777777" w:rsidTr="00ED15CD">
        <w:trPr>
          <w:gridAfter w:val="5"/>
          <w:wAfter w:w="6440" w:type="dxa"/>
          <w:trHeight w:val="255"/>
        </w:trPr>
        <w:tc>
          <w:tcPr>
            <w:tcW w:w="4073" w:type="dxa"/>
            <w:tcBorders>
              <w:top w:val="nil"/>
              <w:left w:val="single" w:sz="4" w:space="0" w:color="auto"/>
              <w:bottom w:val="single" w:sz="4" w:space="0" w:color="auto"/>
              <w:right w:val="single" w:sz="4" w:space="0" w:color="auto"/>
            </w:tcBorders>
            <w:shd w:val="clear" w:color="auto" w:fill="auto"/>
            <w:noWrap/>
            <w:hideMark/>
          </w:tcPr>
          <w:p w14:paraId="3F095D0B" w14:textId="77777777" w:rsidR="00632442" w:rsidRPr="00632442" w:rsidRDefault="00632442" w:rsidP="00632442">
            <w:pPr>
              <w:spacing w:after="0"/>
              <w:ind w:left="321" w:hanging="284"/>
              <w:jc w:val="right"/>
              <w:rPr>
                <w:rFonts w:eastAsia="Times New Roman" w:cs="Times New Roman"/>
                <w:sz w:val="18"/>
                <w:szCs w:val="18"/>
                <w:highlight w:val="lightGray"/>
              </w:rPr>
            </w:pPr>
            <w:r w:rsidRPr="00632442">
              <w:rPr>
                <w:rFonts w:eastAsia="Calibri" w:cs="Times New Roman"/>
                <w:sz w:val="18"/>
                <w:szCs w:val="18"/>
                <w:lang w:eastAsia="en-US"/>
              </w:rPr>
              <w:t xml:space="preserve">      Pārmaksāto sociālās apdrošināšanas iemaksu atmaksa</w:t>
            </w:r>
          </w:p>
        </w:tc>
        <w:tc>
          <w:tcPr>
            <w:tcW w:w="1126" w:type="dxa"/>
            <w:tcBorders>
              <w:top w:val="nil"/>
              <w:left w:val="nil"/>
              <w:bottom w:val="single" w:sz="4" w:space="0" w:color="auto"/>
              <w:right w:val="single" w:sz="4" w:space="0" w:color="auto"/>
            </w:tcBorders>
            <w:shd w:val="clear" w:color="auto" w:fill="auto"/>
            <w:noWrap/>
            <w:hideMark/>
          </w:tcPr>
          <w:p w14:paraId="65434802"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612E6CD6"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4D122E1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10 875</w:t>
            </w:r>
          </w:p>
        </w:tc>
        <w:tc>
          <w:tcPr>
            <w:tcW w:w="1125" w:type="dxa"/>
            <w:tcBorders>
              <w:top w:val="nil"/>
              <w:left w:val="nil"/>
              <w:bottom w:val="single" w:sz="4" w:space="0" w:color="auto"/>
              <w:right w:val="single" w:sz="4" w:space="0" w:color="auto"/>
            </w:tcBorders>
            <w:shd w:val="clear" w:color="auto" w:fill="auto"/>
            <w:noWrap/>
            <w:hideMark/>
          </w:tcPr>
          <w:p w14:paraId="4D7F658D"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2B679E5A"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4132AB2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10 625</w:t>
            </w:r>
          </w:p>
        </w:tc>
        <w:tc>
          <w:tcPr>
            <w:tcW w:w="845" w:type="dxa"/>
            <w:tcBorders>
              <w:top w:val="nil"/>
              <w:left w:val="nil"/>
              <w:bottom w:val="single" w:sz="4" w:space="0" w:color="auto"/>
              <w:right w:val="single" w:sz="4" w:space="0" w:color="auto"/>
            </w:tcBorders>
            <w:shd w:val="clear" w:color="auto" w:fill="auto"/>
            <w:noWrap/>
            <w:hideMark/>
          </w:tcPr>
          <w:p w14:paraId="4FDCC372"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6342C2CE"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1338433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10 550</w:t>
            </w:r>
          </w:p>
        </w:tc>
      </w:tr>
      <w:tr w:rsidR="00ED15CD" w:rsidRPr="00632442" w14:paraId="676CE2D1" w14:textId="77777777" w:rsidTr="00ED15CD">
        <w:trPr>
          <w:gridAfter w:val="5"/>
          <w:wAfter w:w="6440" w:type="dxa"/>
          <w:trHeight w:val="429"/>
        </w:trPr>
        <w:tc>
          <w:tcPr>
            <w:tcW w:w="4073" w:type="dxa"/>
            <w:tcBorders>
              <w:top w:val="nil"/>
              <w:left w:val="single" w:sz="4" w:space="0" w:color="auto"/>
              <w:bottom w:val="single" w:sz="4" w:space="0" w:color="auto"/>
              <w:right w:val="single" w:sz="4" w:space="0" w:color="auto"/>
            </w:tcBorders>
            <w:shd w:val="clear" w:color="auto" w:fill="auto"/>
          </w:tcPr>
          <w:p w14:paraId="4D3A798B" w14:textId="77777777" w:rsidR="00632442" w:rsidRPr="00632442" w:rsidRDefault="00632442" w:rsidP="00632442">
            <w:pPr>
              <w:spacing w:after="0"/>
              <w:ind w:firstLine="0"/>
              <w:jc w:val="right"/>
              <w:rPr>
                <w:rFonts w:eastAsia="Calibri" w:cs="Times New Roman"/>
                <w:sz w:val="18"/>
                <w:szCs w:val="18"/>
                <w:lang w:eastAsia="en-US"/>
              </w:rPr>
            </w:pPr>
            <w:r w:rsidRPr="00632442">
              <w:rPr>
                <w:rFonts w:eastAsia="Calibri" w:cs="Times New Roman"/>
                <w:sz w:val="18"/>
                <w:szCs w:val="18"/>
                <w:lang w:eastAsia="en-US"/>
              </w:rPr>
              <w:t xml:space="preserve">       Eiropas Savienības pensiju shēmai pārskaitītais</w:t>
            </w:r>
          </w:p>
          <w:p w14:paraId="57559DF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 xml:space="preserve">       pensijas kapitāls</w:t>
            </w:r>
          </w:p>
        </w:tc>
        <w:tc>
          <w:tcPr>
            <w:tcW w:w="1126" w:type="dxa"/>
            <w:tcBorders>
              <w:top w:val="nil"/>
              <w:left w:val="nil"/>
              <w:bottom w:val="single" w:sz="4" w:space="0" w:color="auto"/>
              <w:right w:val="single" w:sz="4" w:space="0" w:color="auto"/>
            </w:tcBorders>
            <w:shd w:val="clear" w:color="000000" w:fill="FFFFFF"/>
            <w:noWrap/>
          </w:tcPr>
          <w:p w14:paraId="0A98F53B"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tcPr>
          <w:p w14:paraId="29048145"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tcPr>
          <w:p w14:paraId="2CE00DA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3 045</w:t>
            </w:r>
          </w:p>
        </w:tc>
        <w:tc>
          <w:tcPr>
            <w:tcW w:w="1125" w:type="dxa"/>
            <w:tcBorders>
              <w:top w:val="nil"/>
              <w:left w:val="nil"/>
              <w:bottom w:val="single" w:sz="4" w:space="0" w:color="auto"/>
              <w:right w:val="single" w:sz="4" w:space="0" w:color="auto"/>
            </w:tcBorders>
            <w:shd w:val="clear" w:color="000000" w:fill="FFFFFF"/>
            <w:noWrap/>
          </w:tcPr>
          <w:p w14:paraId="2A79AF5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tcPr>
          <w:p w14:paraId="1948825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tcPr>
          <w:p w14:paraId="0DBDD08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2 975</w:t>
            </w:r>
          </w:p>
        </w:tc>
        <w:tc>
          <w:tcPr>
            <w:tcW w:w="845" w:type="dxa"/>
            <w:tcBorders>
              <w:top w:val="nil"/>
              <w:left w:val="nil"/>
              <w:bottom w:val="single" w:sz="4" w:space="0" w:color="auto"/>
              <w:right w:val="single" w:sz="4" w:space="0" w:color="auto"/>
            </w:tcBorders>
            <w:shd w:val="clear" w:color="000000" w:fill="FFFFFF"/>
            <w:noWrap/>
          </w:tcPr>
          <w:p w14:paraId="45F57AFF"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tcPr>
          <w:p w14:paraId="757C6C10"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tcPr>
          <w:p w14:paraId="414AA37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2 954</w:t>
            </w:r>
          </w:p>
        </w:tc>
      </w:tr>
      <w:tr w:rsidR="00ED15CD" w:rsidRPr="00632442" w14:paraId="3DF33C34" w14:textId="77777777" w:rsidTr="00ED15CD">
        <w:trPr>
          <w:gridAfter w:val="5"/>
          <w:wAfter w:w="6440" w:type="dxa"/>
          <w:trHeight w:val="556"/>
        </w:trPr>
        <w:tc>
          <w:tcPr>
            <w:tcW w:w="4073" w:type="dxa"/>
            <w:tcBorders>
              <w:top w:val="nil"/>
              <w:left w:val="single" w:sz="4" w:space="0" w:color="auto"/>
              <w:bottom w:val="single" w:sz="4" w:space="0" w:color="auto"/>
              <w:right w:val="single" w:sz="4" w:space="0" w:color="auto"/>
            </w:tcBorders>
            <w:shd w:val="clear" w:color="auto" w:fill="auto"/>
            <w:hideMark/>
          </w:tcPr>
          <w:p w14:paraId="574651AD" w14:textId="77777777" w:rsidR="00632442" w:rsidRPr="00632442" w:rsidRDefault="00632442" w:rsidP="00632442">
            <w:pPr>
              <w:spacing w:after="0"/>
              <w:ind w:left="321" w:firstLine="0"/>
              <w:jc w:val="right"/>
              <w:rPr>
                <w:rFonts w:eastAsia="Times New Roman" w:cs="Times New Roman"/>
                <w:sz w:val="18"/>
                <w:szCs w:val="18"/>
              </w:rPr>
            </w:pPr>
            <w:r w:rsidRPr="00632442">
              <w:rPr>
                <w:rFonts w:eastAsia="Calibri" w:cs="Times New Roman"/>
                <w:sz w:val="18"/>
                <w:szCs w:val="18"/>
                <w:lang w:eastAsia="en-US"/>
              </w:rPr>
              <w:t xml:space="preserve">Pārējie klasifikācijā neminētie no valsts un pašvaldību budžeta veiktie maksājumi iedzīvotājiem naudā  </w:t>
            </w:r>
          </w:p>
        </w:tc>
        <w:tc>
          <w:tcPr>
            <w:tcW w:w="1126" w:type="dxa"/>
            <w:tcBorders>
              <w:top w:val="nil"/>
              <w:left w:val="nil"/>
              <w:bottom w:val="single" w:sz="4" w:space="0" w:color="auto"/>
              <w:right w:val="single" w:sz="4" w:space="0" w:color="auto"/>
            </w:tcBorders>
            <w:shd w:val="clear" w:color="000000" w:fill="FFFFFF"/>
            <w:noWrap/>
            <w:hideMark/>
          </w:tcPr>
          <w:p w14:paraId="3FB84D5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167,94</w:t>
            </w:r>
          </w:p>
        </w:tc>
        <w:tc>
          <w:tcPr>
            <w:tcW w:w="985" w:type="dxa"/>
            <w:tcBorders>
              <w:top w:val="nil"/>
              <w:left w:val="nil"/>
              <w:bottom w:val="single" w:sz="4" w:space="0" w:color="auto"/>
              <w:right w:val="single" w:sz="4" w:space="0" w:color="auto"/>
            </w:tcBorders>
            <w:shd w:val="clear" w:color="000000" w:fill="FFFFFF"/>
            <w:noWrap/>
            <w:hideMark/>
          </w:tcPr>
          <w:p w14:paraId="1C7ACC6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667</w:t>
            </w:r>
          </w:p>
        </w:tc>
        <w:tc>
          <w:tcPr>
            <w:tcW w:w="1266" w:type="dxa"/>
            <w:tcBorders>
              <w:top w:val="nil"/>
              <w:left w:val="nil"/>
              <w:bottom w:val="single" w:sz="4" w:space="0" w:color="auto"/>
              <w:right w:val="single" w:sz="4" w:space="0" w:color="auto"/>
            </w:tcBorders>
            <w:shd w:val="clear" w:color="auto" w:fill="auto"/>
            <w:noWrap/>
            <w:hideMark/>
          </w:tcPr>
          <w:p w14:paraId="2DFF88A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1 343 480</w:t>
            </w:r>
          </w:p>
        </w:tc>
        <w:tc>
          <w:tcPr>
            <w:tcW w:w="1125" w:type="dxa"/>
            <w:tcBorders>
              <w:top w:val="nil"/>
              <w:left w:val="nil"/>
              <w:bottom w:val="single" w:sz="4" w:space="0" w:color="auto"/>
              <w:right w:val="single" w:sz="4" w:space="0" w:color="auto"/>
            </w:tcBorders>
            <w:shd w:val="clear" w:color="000000" w:fill="FFFFFF"/>
            <w:noWrap/>
            <w:hideMark/>
          </w:tcPr>
          <w:p w14:paraId="3F2AE36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167,94</w:t>
            </w:r>
          </w:p>
        </w:tc>
        <w:tc>
          <w:tcPr>
            <w:tcW w:w="984" w:type="dxa"/>
            <w:tcBorders>
              <w:top w:val="nil"/>
              <w:left w:val="nil"/>
              <w:bottom w:val="single" w:sz="4" w:space="0" w:color="auto"/>
              <w:right w:val="single" w:sz="4" w:space="0" w:color="auto"/>
            </w:tcBorders>
            <w:shd w:val="clear" w:color="000000" w:fill="FFFFFF"/>
            <w:noWrap/>
            <w:hideMark/>
          </w:tcPr>
          <w:p w14:paraId="6B62099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667</w:t>
            </w:r>
          </w:p>
        </w:tc>
        <w:tc>
          <w:tcPr>
            <w:tcW w:w="1265" w:type="dxa"/>
            <w:tcBorders>
              <w:top w:val="nil"/>
              <w:left w:val="nil"/>
              <w:bottom w:val="single" w:sz="4" w:space="0" w:color="auto"/>
              <w:right w:val="single" w:sz="4" w:space="0" w:color="auto"/>
            </w:tcBorders>
            <w:shd w:val="clear" w:color="auto" w:fill="auto"/>
            <w:noWrap/>
            <w:hideMark/>
          </w:tcPr>
          <w:p w14:paraId="2B1670F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1 343 480</w:t>
            </w:r>
          </w:p>
        </w:tc>
        <w:tc>
          <w:tcPr>
            <w:tcW w:w="845" w:type="dxa"/>
            <w:tcBorders>
              <w:top w:val="nil"/>
              <w:left w:val="nil"/>
              <w:bottom w:val="single" w:sz="4" w:space="0" w:color="auto"/>
              <w:right w:val="single" w:sz="4" w:space="0" w:color="auto"/>
            </w:tcBorders>
            <w:shd w:val="clear" w:color="000000" w:fill="FFFFFF"/>
            <w:noWrap/>
            <w:hideMark/>
          </w:tcPr>
          <w:p w14:paraId="16F7C94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167,94</w:t>
            </w:r>
          </w:p>
        </w:tc>
        <w:tc>
          <w:tcPr>
            <w:tcW w:w="964" w:type="dxa"/>
            <w:tcBorders>
              <w:top w:val="nil"/>
              <w:left w:val="nil"/>
              <w:bottom w:val="single" w:sz="4" w:space="0" w:color="auto"/>
              <w:right w:val="single" w:sz="4" w:space="0" w:color="auto"/>
            </w:tcBorders>
            <w:shd w:val="clear" w:color="000000" w:fill="FFFFFF"/>
            <w:noWrap/>
            <w:hideMark/>
          </w:tcPr>
          <w:p w14:paraId="3AF0BE8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667</w:t>
            </w:r>
          </w:p>
        </w:tc>
        <w:tc>
          <w:tcPr>
            <w:tcW w:w="1319" w:type="dxa"/>
            <w:tcBorders>
              <w:top w:val="nil"/>
              <w:left w:val="nil"/>
              <w:bottom w:val="single" w:sz="4" w:space="0" w:color="auto"/>
              <w:right w:val="single" w:sz="4" w:space="0" w:color="auto"/>
            </w:tcBorders>
            <w:shd w:val="clear" w:color="auto" w:fill="auto"/>
            <w:noWrap/>
            <w:hideMark/>
          </w:tcPr>
          <w:p w14:paraId="40CAC4F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1 343 480</w:t>
            </w:r>
          </w:p>
        </w:tc>
      </w:tr>
      <w:tr w:rsidR="00ED15CD" w:rsidRPr="00632442" w14:paraId="522607A9" w14:textId="77777777" w:rsidTr="00ED15CD">
        <w:trPr>
          <w:gridAfter w:val="5"/>
          <w:wAfter w:w="6440" w:type="dxa"/>
          <w:trHeight w:val="149"/>
        </w:trPr>
        <w:tc>
          <w:tcPr>
            <w:tcW w:w="4073" w:type="dxa"/>
            <w:tcBorders>
              <w:top w:val="nil"/>
              <w:left w:val="single" w:sz="4" w:space="0" w:color="auto"/>
              <w:bottom w:val="single" w:sz="4" w:space="0" w:color="auto"/>
              <w:right w:val="single" w:sz="4" w:space="0" w:color="auto"/>
            </w:tcBorders>
            <w:shd w:val="clear" w:color="auto" w:fill="auto"/>
            <w:noWrap/>
            <w:hideMark/>
          </w:tcPr>
          <w:p w14:paraId="37597620" w14:textId="77777777" w:rsidR="00632442" w:rsidRPr="00632442" w:rsidRDefault="00632442" w:rsidP="00632442">
            <w:pPr>
              <w:spacing w:after="0"/>
              <w:ind w:firstLine="0"/>
              <w:jc w:val="left"/>
              <w:rPr>
                <w:rFonts w:eastAsia="Times New Roman" w:cs="Times New Roman"/>
                <w:b/>
                <w:bCs/>
                <w:sz w:val="18"/>
                <w:szCs w:val="18"/>
              </w:rPr>
            </w:pPr>
            <w:r w:rsidRPr="00632442">
              <w:rPr>
                <w:rFonts w:eastAsia="Calibri" w:cs="Times New Roman"/>
                <w:b/>
                <w:bCs/>
                <w:sz w:val="18"/>
                <w:szCs w:val="18"/>
                <w:lang w:eastAsia="en-US"/>
              </w:rPr>
              <w:t>04.03.00 Darba negadījumu speciālais budžets</w:t>
            </w:r>
          </w:p>
        </w:tc>
        <w:tc>
          <w:tcPr>
            <w:tcW w:w="1126" w:type="dxa"/>
            <w:tcBorders>
              <w:top w:val="nil"/>
              <w:left w:val="nil"/>
              <w:bottom w:val="single" w:sz="4" w:space="0" w:color="auto"/>
              <w:right w:val="single" w:sz="4" w:space="0" w:color="auto"/>
            </w:tcBorders>
            <w:shd w:val="clear" w:color="auto" w:fill="auto"/>
            <w:noWrap/>
            <w:hideMark/>
          </w:tcPr>
          <w:p w14:paraId="7E157E4A"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199AE6D4"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669615ED"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106 184 321</w:t>
            </w:r>
          </w:p>
        </w:tc>
        <w:tc>
          <w:tcPr>
            <w:tcW w:w="1125" w:type="dxa"/>
            <w:tcBorders>
              <w:top w:val="nil"/>
              <w:left w:val="nil"/>
              <w:bottom w:val="single" w:sz="4" w:space="0" w:color="auto"/>
              <w:right w:val="single" w:sz="4" w:space="0" w:color="auto"/>
            </w:tcBorders>
            <w:shd w:val="clear" w:color="auto" w:fill="auto"/>
            <w:noWrap/>
            <w:hideMark/>
          </w:tcPr>
          <w:p w14:paraId="26D406CE"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2F15E148"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757055D4"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121 014 496</w:t>
            </w:r>
          </w:p>
        </w:tc>
        <w:tc>
          <w:tcPr>
            <w:tcW w:w="845" w:type="dxa"/>
            <w:tcBorders>
              <w:top w:val="nil"/>
              <w:left w:val="nil"/>
              <w:bottom w:val="single" w:sz="4" w:space="0" w:color="auto"/>
              <w:right w:val="single" w:sz="4" w:space="0" w:color="auto"/>
            </w:tcBorders>
            <w:shd w:val="clear" w:color="auto" w:fill="auto"/>
            <w:noWrap/>
            <w:hideMark/>
          </w:tcPr>
          <w:p w14:paraId="71999B93"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2CF25675"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67EB8A50"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137 093 278</w:t>
            </w:r>
          </w:p>
        </w:tc>
      </w:tr>
      <w:tr w:rsidR="00ED15CD" w:rsidRPr="00632442" w14:paraId="2D11022A" w14:textId="77777777" w:rsidTr="00ED15CD">
        <w:trPr>
          <w:gridAfter w:val="5"/>
          <w:wAfter w:w="6440" w:type="dxa"/>
          <w:trHeight w:val="139"/>
        </w:trPr>
        <w:tc>
          <w:tcPr>
            <w:tcW w:w="4073" w:type="dxa"/>
            <w:tcBorders>
              <w:top w:val="nil"/>
              <w:left w:val="single" w:sz="4" w:space="0" w:color="auto"/>
              <w:bottom w:val="single" w:sz="4" w:space="0" w:color="auto"/>
              <w:right w:val="single" w:sz="4" w:space="0" w:color="auto"/>
            </w:tcBorders>
            <w:shd w:val="clear" w:color="auto" w:fill="auto"/>
            <w:noWrap/>
            <w:hideMark/>
          </w:tcPr>
          <w:p w14:paraId="1800CE1E" w14:textId="77777777" w:rsidR="00632442" w:rsidRPr="00632442" w:rsidRDefault="00632442" w:rsidP="00632442">
            <w:pPr>
              <w:spacing w:after="0"/>
              <w:ind w:firstLine="0"/>
              <w:jc w:val="left"/>
              <w:rPr>
                <w:rFonts w:eastAsia="Times New Roman" w:cs="Times New Roman"/>
                <w:sz w:val="18"/>
                <w:szCs w:val="18"/>
              </w:rPr>
            </w:pPr>
            <w:r w:rsidRPr="00632442">
              <w:rPr>
                <w:rFonts w:eastAsia="Calibri" w:cs="Times New Roman"/>
                <w:sz w:val="18"/>
                <w:szCs w:val="18"/>
                <w:lang w:eastAsia="en-US"/>
              </w:rPr>
              <w:t>Valsts sociālās apdrošināšanas pabalsti naudā – kopā</w:t>
            </w:r>
          </w:p>
        </w:tc>
        <w:tc>
          <w:tcPr>
            <w:tcW w:w="1126" w:type="dxa"/>
            <w:tcBorders>
              <w:top w:val="nil"/>
              <w:left w:val="nil"/>
              <w:bottom w:val="single" w:sz="4" w:space="0" w:color="auto"/>
              <w:right w:val="single" w:sz="4" w:space="0" w:color="auto"/>
            </w:tcBorders>
            <w:shd w:val="clear" w:color="auto" w:fill="auto"/>
            <w:noWrap/>
            <w:hideMark/>
          </w:tcPr>
          <w:p w14:paraId="71F001B4"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000000" w:fill="FFFFFF"/>
            <w:noWrap/>
            <w:hideMark/>
          </w:tcPr>
          <w:p w14:paraId="1F7E480F"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4A9F300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106 177 153</w:t>
            </w:r>
          </w:p>
        </w:tc>
        <w:tc>
          <w:tcPr>
            <w:tcW w:w="1125" w:type="dxa"/>
            <w:tcBorders>
              <w:top w:val="nil"/>
              <w:left w:val="nil"/>
              <w:bottom w:val="single" w:sz="4" w:space="0" w:color="auto"/>
              <w:right w:val="single" w:sz="4" w:space="0" w:color="auto"/>
            </w:tcBorders>
            <w:shd w:val="clear" w:color="auto" w:fill="auto"/>
            <w:noWrap/>
            <w:hideMark/>
          </w:tcPr>
          <w:p w14:paraId="5803634C"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000000" w:fill="FFFFFF"/>
            <w:noWrap/>
            <w:hideMark/>
          </w:tcPr>
          <w:p w14:paraId="15054F20"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07B9436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121 006 880</w:t>
            </w:r>
          </w:p>
        </w:tc>
        <w:tc>
          <w:tcPr>
            <w:tcW w:w="845" w:type="dxa"/>
            <w:tcBorders>
              <w:top w:val="nil"/>
              <w:left w:val="nil"/>
              <w:bottom w:val="single" w:sz="4" w:space="0" w:color="auto"/>
              <w:right w:val="single" w:sz="4" w:space="0" w:color="auto"/>
            </w:tcBorders>
            <w:shd w:val="clear" w:color="auto" w:fill="auto"/>
            <w:noWrap/>
            <w:hideMark/>
          </w:tcPr>
          <w:p w14:paraId="695BE33E"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000000" w:fill="FFFFFF"/>
            <w:noWrap/>
            <w:hideMark/>
          </w:tcPr>
          <w:p w14:paraId="0529A209"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2939E4F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137 085 278</w:t>
            </w:r>
          </w:p>
        </w:tc>
      </w:tr>
      <w:tr w:rsidR="00ED15CD" w:rsidRPr="00632442" w14:paraId="65CDE7F3" w14:textId="77777777" w:rsidTr="00ED15CD">
        <w:trPr>
          <w:gridAfter w:val="5"/>
          <w:wAfter w:w="6440" w:type="dxa"/>
          <w:trHeight w:val="203"/>
        </w:trPr>
        <w:tc>
          <w:tcPr>
            <w:tcW w:w="4073" w:type="dxa"/>
            <w:tcBorders>
              <w:top w:val="nil"/>
              <w:left w:val="single" w:sz="4" w:space="0" w:color="auto"/>
              <w:bottom w:val="single" w:sz="4" w:space="0" w:color="auto"/>
              <w:right w:val="single" w:sz="4" w:space="0" w:color="auto"/>
            </w:tcBorders>
            <w:shd w:val="clear" w:color="auto" w:fill="auto"/>
            <w:noWrap/>
            <w:hideMark/>
          </w:tcPr>
          <w:p w14:paraId="008CCE78" w14:textId="77777777" w:rsidR="00632442" w:rsidRPr="00632442" w:rsidRDefault="00632442" w:rsidP="00632442">
            <w:pPr>
              <w:spacing w:after="0"/>
              <w:ind w:firstLineChars="100" w:firstLine="180"/>
              <w:jc w:val="left"/>
              <w:rPr>
                <w:rFonts w:eastAsia="Times New Roman" w:cs="Times New Roman"/>
                <w:i/>
                <w:iCs/>
                <w:sz w:val="18"/>
                <w:szCs w:val="18"/>
              </w:rPr>
            </w:pPr>
            <w:r w:rsidRPr="00632442">
              <w:rPr>
                <w:rFonts w:eastAsia="Calibri" w:cs="Times New Roman"/>
                <w:i/>
                <w:iCs/>
                <w:sz w:val="18"/>
                <w:szCs w:val="18"/>
                <w:lang w:eastAsia="en-US"/>
              </w:rPr>
              <w:t>tajā skaitā:</w:t>
            </w:r>
          </w:p>
        </w:tc>
        <w:tc>
          <w:tcPr>
            <w:tcW w:w="1126" w:type="dxa"/>
            <w:tcBorders>
              <w:top w:val="nil"/>
              <w:left w:val="nil"/>
              <w:bottom w:val="single" w:sz="4" w:space="0" w:color="auto"/>
              <w:right w:val="single" w:sz="4" w:space="0" w:color="auto"/>
            </w:tcBorders>
            <w:shd w:val="clear" w:color="auto" w:fill="auto"/>
            <w:noWrap/>
            <w:hideMark/>
          </w:tcPr>
          <w:p w14:paraId="34D97077"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14BC58C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18A69D94"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nil"/>
              <w:left w:val="nil"/>
              <w:bottom w:val="single" w:sz="4" w:space="0" w:color="auto"/>
              <w:right w:val="single" w:sz="4" w:space="0" w:color="auto"/>
            </w:tcBorders>
            <w:shd w:val="clear" w:color="auto" w:fill="auto"/>
            <w:noWrap/>
            <w:hideMark/>
          </w:tcPr>
          <w:p w14:paraId="4AF7F957"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26255423"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0119967D"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nil"/>
              <w:left w:val="nil"/>
              <w:bottom w:val="single" w:sz="4" w:space="0" w:color="auto"/>
              <w:right w:val="single" w:sz="4" w:space="0" w:color="auto"/>
            </w:tcBorders>
            <w:shd w:val="clear" w:color="auto" w:fill="auto"/>
            <w:noWrap/>
            <w:hideMark/>
          </w:tcPr>
          <w:p w14:paraId="4DAEEFB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4B2FCD39"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03E0E56B"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7F974D5E" w14:textId="77777777" w:rsidTr="00ED15CD">
        <w:trPr>
          <w:gridAfter w:val="5"/>
          <w:wAfter w:w="6440" w:type="dxa"/>
          <w:trHeight w:val="264"/>
        </w:trPr>
        <w:tc>
          <w:tcPr>
            <w:tcW w:w="4073" w:type="dxa"/>
            <w:tcBorders>
              <w:top w:val="nil"/>
              <w:left w:val="single" w:sz="4" w:space="0" w:color="auto"/>
              <w:bottom w:val="single" w:sz="4" w:space="0" w:color="auto"/>
              <w:right w:val="single" w:sz="4" w:space="0" w:color="auto"/>
            </w:tcBorders>
            <w:shd w:val="clear" w:color="auto" w:fill="auto"/>
            <w:noWrap/>
            <w:hideMark/>
          </w:tcPr>
          <w:p w14:paraId="27484A51"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Slimības pabalsts</w:t>
            </w:r>
          </w:p>
        </w:tc>
        <w:tc>
          <w:tcPr>
            <w:tcW w:w="1126" w:type="dxa"/>
            <w:tcBorders>
              <w:top w:val="nil"/>
              <w:left w:val="nil"/>
              <w:bottom w:val="single" w:sz="4" w:space="0" w:color="auto"/>
              <w:right w:val="single" w:sz="4" w:space="0" w:color="auto"/>
            </w:tcBorders>
            <w:shd w:val="clear" w:color="auto" w:fill="auto"/>
            <w:noWrap/>
            <w:hideMark/>
          </w:tcPr>
          <w:p w14:paraId="1B57D4A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2 035,18</w:t>
            </w:r>
          </w:p>
        </w:tc>
        <w:tc>
          <w:tcPr>
            <w:tcW w:w="985" w:type="dxa"/>
            <w:tcBorders>
              <w:top w:val="nil"/>
              <w:left w:val="nil"/>
              <w:bottom w:val="single" w:sz="4" w:space="0" w:color="auto"/>
              <w:right w:val="single" w:sz="4" w:space="0" w:color="auto"/>
            </w:tcBorders>
            <w:shd w:val="clear" w:color="000000" w:fill="FFFFFF"/>
            <w:noWrap/>
            <w:hideMark/>
          </w:tcPr>
          <w:p w14:paraId="1384D7B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630</w:t>
            </w:r>
          </w:p>
        </w:tc>
        <w:tc>
          <w:tcPr>
            <w:tcW w:w="1266" w:type="dxa"/>
            <w:tcBorders>
              <w:top w:val="nil"/>
              <w:left w:val="nil"/>
              <w:bottom w:val="single" w:sz="4" w:space="0" w:color="auto"/>
              <w:right w:val="single" w:sz="4" w:space="0" w:color="auto"/>
            </w:tcBorders>
            <w:shd w:val="clear" w:color="auto" w:fill="auto"/>
            <w:noWrap/>
            <w:hideMark/>
          </w:tcPr>
          <w:p w14:paraId="6A5550C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15 385 961</w:t>
            </w:r>
          </w:p>
        </w:tc>
        <w:tc>
          <w:tcPr>
            <w:tcW w:w="1125" w:type="dxa"/>
            <w:tcBorders>
              <w:top w:val="nil"/>
              <w:left w:val="nil"/>
              <w:bottom w:val="single" w:sz="4" w:space="0" w:color="auto"/>
              <w:right w:val="single" w:sz="4" w:space="0" w:color="auto"/>
            </w:tcBorders>
            <w:shd w:val="clear" w:color="auto" w:fill="auto"/>
            <w:noWrap/>
            <w:hideMark/>
          </w:tcPr>
          <w:p w14:paraId="66093B2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2 174,95</w:t>
            </w:r>
          </w:p>
        </w:tc>
        <w:tc>
          <w:tcPr>
            <w:tcW w:w="984" w:type="dxa"/>
            <w:tcBorders>
              <w:top w:val="nil"/>
              <w:left w:val="nil"/>
              <w:bottom w:val="single" w:sz="4" w:space="0" w:color="auto"/>
              <w:right w:val="single" w:sz="4" w:space="0" w:color="auto"/>
            </w:tcBorders>
            <w:shd w:val="clear" w:color="000000" w:fill="FFFFFF"/>
            <w:noWrap/>
            <w:hideMark/>
          </w:tcPr>
          <w:p w14:paraId="0B2E7AD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660</w:t>
            </w:r>
          </w:p>
        </w:tc>
        <w:tc>
          <w:tcPr>
            <w:tcW w:w="1265" w:type="dxa"/>
            <w:tcBorders>
              <w:top w:val="nil"/>
              <w:left w:val="nil"/>
              <w:bottom w:val="single" w:sz="4" w:space="0" w:color="auto"/>
              <w:right w:val="single" w:sz="4" w:space="0" w:color="auto"/>
            </w:tcBorders>
            <w:shd w:val="clear" w:color="auto" w:fill="auto"/>
            <w:noWrap/>
            <w:hideMark/>
          </w:tcPr>
          <w:p w14:paraId="112A7A3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17 225 604</w:t>
            </w:r>
          </w:p>
        </w:tc>
        <w:tc>
          <w:tcPr>
            <w:tcW w:w="845" w:type="dxa"/>
            <w:tcBorders>
              <w:top w:val="nil"/>
              <w:left w:val="nil"/>
              <w:bottom w:val="single" w:sz="4" w:space="0" w:color="auto"/>
              <w:right w:val="single" w:sz="4" w:space="0" w:color="auto"/>
            </w:tcBorders>
            <w:shd w:val="clear" w:color="auto" w:fill="auto"/>
            <w:noWrap/>
            <w:hideMark/>
          </w:tcPr>
          <w:p w14:paraId="25A07FF5" w14:textId="77777777" w:rsidR="00632442" w:rsidRPr="00632442" w:rsidRDefault="00632442" w:rsidP="005F7796">
            <w:pPr>
              <w:spacing w:after="0"/>
              <w:ind w:firstLine="0"/>
              <w:rPr>
                <w:rFonts w:eastAsia="Times New Roman" w:cs="Times New Roman"/>
                <w:sz w:val="18"/>
                <w:szCs w:val="18"/>
                <w:highlight w:val="lightGray"/>
              </w:rPr>
            </w:pPr>
            <w:r w:rsidRPr="00632442">
              <w:rPr>
                <w:rFonts w:eastAsia="Calibri" w:cs="Times New Roman"/>
                <w:sz w:val="18"/>
                <w:szCs w:val="18"/>
                <w:lang w:eastAsia="en-US"/>
              </w:rPr>
              <w:t>2 316,25</w:t>
            </w:r>
          </w:p>
        </w:tc>
        <w:tc>
          <w:tcPr>
            <w:tcW w:w="964" w:type="dxa"/>
            <w:tcBorders>
              <w:top w:val="nil"/>
              <w:left w:val="nil"/>
              <w:bottom w:val="single" w:sz="4" w:space="0" w:color="auto"/>
              <w:right w:val="single" w:sz="4" w:space="0" w:color="auto"/>
            </w:tcBorders>
            <w:shd w:val="clear" w:color="000000" w:fill="FFFFFF"/>
            <w:noWrap/>
            <w:hideMark/>
          </w:tcPr>
          <w:p w14:paraId="19598EE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690</w:t>
            </w:r>
          </w:p>
        </w:tc>
        <w:tc>
          <w:tcPr>
            <w:tcW w:w="1319" w:type="dxa"/>
            <w:tcBorders>
              <w:top w:val="nil"/>
              <w:left w:val="nil"/>
              <w:bottom w:val="single" w:sz="4" w:space="0" w:color="auto"/>
              <w:right w:val="single" w:sz="4" w:space="0" w:color="auto"/>
            </w:tcBorders>
            <w:shd w:val="clear" w:color="auto" w:fill="auto"/>
            <w:noWrap/>
            <w:hideMark/>
          </w:tcPr>
          <w:p w14:paraId="1BCC16E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19 178 550</w:t>
            </w:r>
          </w:p>
        </w:tc>
      </w:tr>
      <w:tr w:rsidR="00ED15CD" w:rsidRPr="00632442" w14:paraId="00FEF4DD" w14:textId="77777777" w:rsidTr="00ED15CD">
        <w:trPr>
          <w:gridAfter w:val="5"/>
          <w:wAfter w:w="6440" w:type="dxa"/>
          <w:trHeight w:val="139"/>
        </w:trPr>
        <w:tc>
          <w:tcPr>
            <w:tcW w:w="4073" w:type="dxa"/>
            <w:tcBorders>
              <w:top w:val="nil"/>
              <w:left w:val="single" w:sz="4" w:space="0" w:color="auto"/>
              <w:bottom w:val="single" w:sz="4" w:space="0" w:color="auto"/>
              <w:right w:val="single" w:sz="4" w:space="0" w:color="auto"/>
            </w:tcBorders>
            <w:shd w:val="clear" w:color="auto" w:fill="auto"/>
            <w:noWrap/>
            <w:hideMark/>
          </w:tcPr>
          <w:p w14:paraId="6A800ADA"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Atlīdzība par darbspēju zaudējumu</w:t>
            </w:r>
          </w:p>
        </w:tc>
        <w:tc>
          <w:tcPr>
            <w:tcW w:w="1126" w:type="dxa"/>
            <w:tcBorders>
              <w:top w:val="nil"/>
              <w:left w:val="nil"/>
              <w:bottom w:val="single" w:sz="4" w:space="0" w:color="auto"/>
              <w:right w:val="single" w:sz="4" w:space="0" w:color="auto"/>
            </w:tcBorders>
            <w:shd w:val="clear" w:color="auto" w:fill="auto"/>
            <w:noWrap/>
            <w:hideMark/>
          </w:tcPr>
          <w:p w14:paraId="4D2D493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539,61</w:t>
            </w:r>
          </w:p>
        </w:tc>
        <w:tc>
          <w:tcPr>
            <w:tcW w:w="985" w:type="dxa"/>
            <w:tcBorders>
              <w:top w:val="nil"/>
              <w:left w:val="nil"/>
              <w:bottom w:val="single" w:sz="4" w:space="0" w:color="auto"/>
              <w:right w:val="single" w:sz="4" w:space="0" w:color="auto"/>
            </w:tcBorders>
            <w:shd w:val="clear" w:color="000000" w:fill="FFFFFF"/>
            <w:noWrap/>
            <w:hideMark/>
          </w:tcPr>
          <w:p w14:paraId="5D5E1AF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13 716</w:t>
            </w:r>
          </w:p>
        </w:tc>
        <w:tc>
          <w:tcPr>
            <w:tcW w:w="1266" w:type="dxa"/>
            <w:tcBorders>
              <w:top w:val="nil"/>
              <w:left w:val="nil"/>
              <w:bottom w:val="single" w:sz="4" w:space="0" w:color="auto"/>
              <w:right w:val="single" w:sz="4" w:space="0" w:color="auto"/>
            </w:tcBorders>
            <w:shd w:val="clear" w:color="auto" w:fill="auto"/>
            <w:noWrap/>
            <w:hideMark/>
          </w:tcPr>
          <w:p w14:paraId="7E3D761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88 816 215</w:t>
            </w:r>
          </w:p>
        </w:tc>
        <w:tc>
          <w:tcPr>
            <w:tcW w:w="1125" w:type="dxa"/>
            <w:tcBorders>
              <w:top w:val="nil"/>
              <w:left w:val="nil"/>
              <w:bottom w:val="single" w:sz="4" w:space="0" w:color="auto"/>
              <w:right w:val="single" w:sz="4" w:space="0" w:color="auto"/>
            </w:tcBorders>
            <w:shd w:val="clear" w:color="auto" w:fill="auto"/>
            <w:noWrap/>
            <w:hideMark/>
          </w:tcPr>
          <w:p w14:paraId="16E7E33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582,58</w:t>
            </w:r>
          </w:p>
        </w:tc>
        <w:tc>
          <w:tcPr>
            <w:tcW w:w="984" w:type="dxa"/>
            <w:tcBorders>
              <w:top w:val="nil"/>
              <w:left w:val="nil"/>
              <w:bottom w:val="single" w:sz="4" w:space="0" w:color="auto"/>
              <w:right w:val="single" w:sz="4" w:space="0" w:color="auto"/>
            </w:tcBorders>
            <w:shd w:val="clear" w:color="000000" w:fill="FFFFFF"/>
            <w:noWrap/>
            <w:hideMark/>
          </w:tcPr>
          <w:p w14:paraId="59056C4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14 539</w:t>
            </w:r>
          </w:p>
        </w:tc>
        <w:tc>
          <w:tcPr>
            <w:tcW w:w="1265" w:type="dxa"/>
            <w:tcBorders>
              <w:top w:val="nil"/>
              <w:left w:val="nil"/>
              <w:bottom w:val="single" w:sz="4" w:space="0" w:color="auto"/>
              <w:right w:val="single" w:sz="4" w:space="0" w:color="auto"/>
            </w:tcBorders>
            <w:shd w:val="clear" w:color="auto" w:fill="auto"/>
            <w:noWrap/>
            <w:hideMark/>
          </w:tcPr>
          <w:p w14:paraId="4018E1A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101 641 335</w:t>
            </w:r>
          </w:p>
        </w:tc>
        <w:tc>
          <w:tcPr>
            <w:tcW w:w="845" w:type="dxa"/>
            <w:tcBorders>
              <w:top w:val="nil"/>
              <w:left w:val="nil"/>
              <w:bottom w:val="single" w:sz="4" w:space="0" w:color="auto"/>
              <w:right w:val="single" w:sz="4" w:space="0" w:color="auto"/>
            </w:tcBorders>
            <w:shd w:val="clear" w:color="auto" w:fill="auto"/>
            <w:noWrap/>
            <w:hideMark/>
          </w:tcPr>
          <w:p w14:paraId="15966E8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624,99</w:t>
            </w:r>
          </w:p>
        </w:tc>
        <w:tc>
          <w:tcPr>
            <w:tcW w:w="964" w:type="dxa"/>
            <w:tcBorders>
              <w:top w:val="nil"/>
              <w:left w:val="nil"/>
              <w:bottom w:val="single" w:sz="4" w:space="0" w:color="auto"/>
              <w:right w:val="single" w:sz="4" w:space="0" w:color="auto"/>
            </w:tcBorders>
            <w:shd w:val="clear" w:color="000000" w:fill="FFFFFF"/>
            <w:noWrap/>
            <w:hideMark/>
          </w:tcPr>
          <w:p w14:paraId="471C2D1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15 412</w:t>
            </w:r>
          </w:p>
        </w:tc>
        <w:tc>
          <w:tcPr>
            <w:tcW w:w="1319" w:type="dxa"/>
            <w:tcBorders>
              <w:top w:val="nil"/>
              <w:left w:val="nil"/>
              <w:bottom w:val="single" w:sz="4" w:space="0" w:color="auto"/>
              <w:right w:val="single" w:sz="4" w:space="0" w:color="auto"/>
            </w:tcBorders>
            <w:shd w:val="clear" w:color="auto" w:fill="auto"/>
            <w:noWrap/>
            <w:hideMark/>
          </w:tcPr>
          <w:p w14:paraId="1EFA3CE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115 587 686</w:t>
            </w:r>
          </w:p>
        </w:tc>
      </w:tr>
      <w:tr w:rsidR="00ED15CD" w:rsidRPr="00632442" w14:paraId="30020630" w14:textId="77777777" w:rsidTr="00ED15CD">
        <w:trPr>
          <w:gridAfter w:val="5"/>
          <w:wAfter w:w="6440" w:type="dxa"/>
          <w:trHeight w:val="143"/>
        </w:trPr>
        <w:tc>
          <w:tcPr>
            <w:tcW w:w="4073" w:type="dxa"/>
            <w:tcBorders>
              <w:top w:val="nil"/>
              <w:left w:val="single" w:sz="4" w:space="0" w:color="auto"/>
              <w:bottom w:val="single" w:sz="4" w:space="0" w:color="auto"/>
              <w:right w:val="single" w:sz="4" w:space="0" w:color="auto"/>
            </w:tcBorders>
            <w:shd w:val="clear" w:color="auto" w:fill="auto"/>
            <w:noWrap/>
            <w:hideMark/>
          </w:tcPr>
          <w:p w14:paraId="50046354"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Atlīdzība par apgādnieka zaudējumu</w:t>
            </w:r>
          </w:p>
        </w:tc>
        <w:tc>
          <w:tcPr>
            <w:tcW w:w="1126" w:type="dxa"/>
            <w:tcBorders>
              <w:top w:val="nil"/>
              <w:left w:val="nil"/>
              <w:bottom w:val="single" w:sz="4" w:space="0" w:color="auto"/>
              <w:right w:val="single" w:sz="4" w:space="0" w:color="auto"/>
            </w:tcBorders>
            <w:shd w:val="clear" w:color="auto" w:fill="auto"/>
            <w:noWrap/>
            <w:hideMark/>
          </w:tcPr>
          <w:p w14:paraId="53636B5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489,37</w:t>
            </w:r>
          </w:p>
        </w:tc>
        <w:tc>
          <w:tcPr>
            <w:tcW w:w="985" w:type="dxa"/>
            <w:tcBorders>
              <w:top w:val="nil"/>
              <w:left w:val="nil"/>
              <w:bottom w:val="single" w:sz="4" w:space="0" w:color="auto"/>
              <w:right w:val="single" w:sz="4" w:space="0" w:color="auto"/>
            </w:tcBorders>
            <w:shd w:val="clear" w:color="000000" w:fill="FFFFFF"/>
            <w:noWrap/>
            <w:hideMark/>
          </w:tcPr>
          <w:p w14:paraId="2819445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54</w:t>
            </w:r>
          </w:p>
        </w:tc>
        <w:tc>
          <w:tcPr>
            <w:tcW w:w="1266" w:type="dxa"/>
            <w:tcBorders>
              <w:top w:val="nil"/>
              <w:left w:val="nil"/>
              <w:bottom w:val="single" w:sz="4" w:space="0" w:color="auto"/>
              <w:right w:val="single" w:sz="4" w:space="0" w:color="auto"/>
            </w:tcBorders>
            <w:shd w:val="clear" w:color="auto" w:fill="auto"/>
            <w:noWrap/>
            <w:hideMark/>
          </w:tcPr>
          <w:p w14:paraId="6C5F9AB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317 114</w:t>
            </w:r>
          </w:p>
        </w:tc>
        <w:tc>
          <w:tcPr>
            <w:tcW w:w="1125" w:type="dxa"/>
            <w:tcBorders>
              <w:top w:val="nil"/>
              <w:left w:val="nil"/>
              <w:bottom w:val="single" w:sz="4" w:space="0" w:color="auto"/>
              <w:right w:val="single" w:sz="4" w:space="0" w:color="auto"/>
            </w:tcBorders>
            <w:shd w:val="clear" w:color="auto" w:fill="auto"/>
            <w:noWrap/>
            <w:hideMark/>
          </w:tcPr>
          <w:p w14:paraId="2AC03C6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523,81</w:t>
            </w:r>
          </w:p>
        </w:tc>
        <w:tc>
          <w:tcPr>
            <w:tcW w:w="984" w:type="dxa"/>
            <w:tcBorders>
              <w:top w:val="nil"/>
              <w:left w:val="nil"/>
              <w:bottom w:val="single" w:sz="4" w:space="0" w:color="auto"/>
              <w:right w:val="single" w:sz="4" w:space="0" w:color="auto"/>
            </w:tcBorders>
            <w:shd w:val="clear" w:color="000000" w:fill="FFFFFF"/>
            <w:noWrap/>
            <w:hideMark/>
          </w:tcPr>
          <w:p w14:paraId="2BD9D2B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57</w:t>
            </w:r>
          </w:p>
        </w:tc>
        <w:tc>
          <w:tcPr>
            <w:tcW w:w="1265" w:type="dxa"/>
            <w:tcBorders>
              <w:top w:val="nil"/>
              <w:left w:val="nil"/>
              <w:bottom w:val="single" w:sz="4" w:space="0" w:color="auto"/>
              <w:right w:val="single" w:sz="4" w:space="0" w:color="auto"/>
            </w:tcBorders>
            <w:shd w:val="clear" w:color="auto" w:fill="auto"/>
            <w:noWrap/>
            <w:hideMark/>
          </w:tcPr>
          <w:p w14:paraId="5E75C97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358 283</w:t>
            </w:r>
          </w:p>
        </w:tc>
        <w:tc>
          <w:tcPr>
            <w:tcW w:w="845" w:type="dxa"/>
            <w:tcBorders>
              <w:top w:val="nil"/>
              <w:left w:val="nil"/>
              <w:bottom w:val="single" w:sz="4" w:space="0" w:color="auto"/>
              <w:right w:val="single" w:sz="4" w:space="0" w:color="auto"/>
            </w:tcBorders>
            <w:shd w:val="clear" w:color="auto" w:fill="auto"/>
            <w:noWrap/>
            <w:hideMark/>
          </w:tcPr>
          <w:p w14:paraId="67BFA8C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560,52</w:t>
            </w:r>
          </w:p>
        </w:tc>
        <w:tc>
          <w:tcPr>
            <w:tcW w:w="964" w:type="dxa"/>
            <w:tcBorders>
              <w:top w:val="nil"/>
              <w:left w:val="nil"/>
              <w:bottom w:val="single" w:sz="4" w:space="0" w:color="auto"/>
              <w:right w:val="single" w:sz="4" w:space="0" w:color="auto"/>
            </w:tcBorders>
            <w:shd w:val="clear" w:color="000000" w:fill="FFFFFF"/>
            <w:noWrap/>
            <w:hideMark/>
          </w:tcPr>
          <w:p w14:paraId="3EBB01D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60</w:t>
            </w:r>
          </w:p>
        </w:tc>
        <w:tc>
          <w:tcPr>
            <w:tcW w:w="1319" w:type="dxa"/>
            <w:tcBorders>
              <w:top w:val="nil"/>
              <w:left w:val="nil"/>
              <w:bottom w:val="single" w:sz="4" w:space="0" w:color="auto"/>
              <w:right w:val="single" w:sz="4" w:space="0" w:color="auto"/>
            </w:tcBorders>
            <w:shd w:val="clear" w:color="auto" w:fill="auto"/>
            <w:noWrap/>
            <w:hideMark/>
          </w:tcPr>
          <w:p w14:paraId="274227E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403 573</w:t>
            </w:r>
          </w:p>
        </w:tc>
      </w:tr>
      <w:tr w:rsidR="00ED15CD" w:rsidRPr="00632442" w14:paraId="4C07E368" w14:textId="77777777" w:rsidTr="00ED15CD">
        <w:trPr>
          <w:gridAfter w:val="5"/>
          <w:wAfter w:w="6440" w:type="dxa"/>
          <w:trHeight w:val="117"/>
        </w:trPr>
        <w:tc>
          <w:tcPr>
            <w:tcW w:w="4073" w:type="dxa"/>
            <w:tcBorders>
              <w:top w:val="nil"/>
              <w:left w:val="single" w:sz="4" w:space="0" w:color="auto"/>
              <w:bottom w:val="single" w:sz="4" w:space="0" w:color="auto"/>
              <w:right w:val="single" w:sz="4" w:space="0" w:color="auto"/>
            </w:tcBorders>
            <w:shd w:val="clear" w:color="auto" w:fill="auto"/>
            <w:noWrap/>
            <w:hideMark/>
          </w:tcPr>
          <w:p w14:paraId="58B43288"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Apbedīšanas pabalsts</w:t>
            </w:r>
          </w:p>
        </w:tc>
        <w:tc>
          <w:tcPr>
            <w:tcW w:w="1126" w:type="dxa"/>
            <w:tcBorders>
              <w:top w:val="nil"/>
              <w:left w:val="nil"/>
              <w:bottom w:val="single" w:sz="4" w:space="0" w:color="auto"/>
              <w:right w:val="single" w:sz="4" w:space="0" w:color="auto"/>
            </w:tcBorders>
            <w:shd w:val="clear" w:color="auto" w:fill="auto"/>
            <w:noWrap/>
            <w:hideMark/>
          </w:tcPr>
          <w:p w14:paraId="1403761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1 565,96</w:t>
            </w:r>
          </w:p>
        </w:tc>
        <w:tc>
          <w:tcPr>
            <w:tcW w:w="985" w:type="dxa"/>
            <w:tcBorders>
              <w:top w:val="nil"/>
              <w:left w:val="nil"/>
              <w:bottom w:val="single" w:sz="4" w:space="0" w:color="auto"/>
              <w:right w:val="single" w:sz="4" w:space="0" w:color="auto"/>
            </w:tcBorders>
            <w:shd w:val="clear" w:color="auto" w:fill="auto"/>
            <w:noWrap/>
            <w:hideMark/>
          </w:tcPr>
          <w:p w14:paraId="63D6B67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w:t>
            </w:r>
          </w:p>
        </w:tc>
        <w:tc>
          <w:tcPr>
            <w:tcW w:w="1266" w:type="dxa"/>
            <w:tcBorders>
              <w:top w:val="nil"/>
              <w:left w:val="nil"/>
              <w:bottom w:val="single" w:sz="4" w:space="0" w:color="auto"/>
              <w:right w:val="single" w:sz="4" w:space="0" w:color="auto"/>
            </w:tcBorders>
            <w:shd w:val="clear" w:color="auto" w:fill="auto"/>
            <w:noWrap/>
            <w:hideMark/>
          </w:tcPr>
          <w:p w14:paraId="3F229FB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112 749</w:t>
            </w:r>
          </w:p>
        </w:tc>
        <w:tc>
          <w:tcPr>
            <w:tcW w:w="1125" w:type="dxa"/>
            <w:tcBorders>
              <w:top w:val="nil"/>
              <w:left w:val="nil"/>
              <w:bottom w:val="single" w:sz="4" w:space="0" w:color="auto"/>
              <w:right w:val="single" w:sz="4" w:space="0" w:color="auto"/>
            </w:tcBorders>
            <w:shd w:val="clear" w:color="auto" w:fill="auto"/>
            <w:noWrap/>
            <w:hideMark/>
          </w:tcPr>
          <w:p w14:paraId="2E56EB7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1 763,49</w:t>
            </w:r>
          </w:p>
        </w:tc>
        <w:tc>
          <w:tcPr>
            <w:tcW w:w="984" w:type="dxa"/>
            <w:tcBorders>
              <w:top w:val="nil"/>
              <w:left w:val="nil"/>
              <w:bottom w:val="single" w:sz="4" w:space="0" w:color="auto"/>
              <w:right w:val="single" w:sz="4" w:space="0" w:color="auto"/>
            </w:tcBorders>
            <w:shd w:val="clear" w:color="auto" w:fill="auto"/>
            <w:noWrap/>
            <w:hideMark/>
          </w:tcPr>
          <w:p w14:paraId="57939A2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w:t>
            </w:r>
          </w:p>
        </w:tc>
        <w:tc>
          <w:tcPr>
            <w:tcW w:w="1265" w:type="dxa"/>
            <w:tcBorders>
              <w:top w:val="nil"/>
              <w:left w:val="nil"/>
              <w:bottom w:val="single" w:sz="4" w:space="0" w:color="auto"/>
              <w:right w:val="single" w:sz="4" w:space="0" w:color="auto"/>
            </w:tcBorders>
            <w:shd w:val="clear" w:color="auto" w:fill="auto"/>
            <w:noWrap/>
            <w:hideMark/>
          </w:tcPr>
          <w:p w14:paraId="548DC24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126 971</w:t>
            </w:r>
          </w:p>
        </w:tc>
        <w:tc>
          <w:tcPr>
            <w:tcW w:w="845" w:type="dxa"/>
            <w:tcBorders>
              <w:top w:val="nil"/>
              <w:left w:val="nil"/>
              <w:bottom w:val="single" w:sz="4" w:space="0" w:color="auto"/>
              <w:right w:val="single" w:sz="4" w:space="0" w:color="auto"/>
            </w:tcBorders>
            <w:shd w:val="clear" w:color="auto" w:fill="auto"/>
            <w:noWrap/>
            <w:hideMark/>
          </w:tcPr>
          <w:p w14:paraId="5D62FE26" w14:textId="77777777" w:rsidR="00632442" w:rsidRPr="00632442" w:rsidRDefault="00632442" w:rsidP="005F7796">
            <w:pPr>
              <w:spacing w:after="0"/>
              <w:ind w:firstLine="0"/>
              <w:rPr>
                <w:rFonts w:eastAsia="Times New Roman" w:cs="Times New Roman"/>
                <w:sz w:val="18"/>
                <w:szCs w:val="18"/>
                <w:highlight w:val="lightGray"/>
              </w:rPr>
            </w:pPr>
            <w:r w:rsidRPr="00632442">
              <w:rPr>
                <w:rFonts w:eastAsia="Calibri" w:cs="Times New Roman"/>
                <w:sz w:val="18"/>
                <w:szCs w:val="18"/>
                <w:lang w:eastAsia="en-US"/>
              </w:rPr>
              <w:t>1 967,94</w:t>
            </w:r>
          </w:p>
        </w:tc>
        <w:tc>
          <w:tcPr>
            <w:tcW w:w="964" w:type="dxa"/>
            <w:tcBorders>
              <w:top w:val="nil"/>
              <w:left w:val="nil"/>
              <w:bottom w:val="single" w:sz="4" w:space="0" w:color="auto"/>
              <w:right w:val="single" w:sz="4" w:space="0" w:color="auto"/>
            </w:tcBorders>
            <w:shd w:val="clear" w:color="auto" w:fill="auto"/>
            <w:noWrap/>
            <w:hideMark/>
          </w:tcPr>
          <w:p w14:paraId="39BCE84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w:t>
            </w:r>
          </w:p>
        </w:tc>
        <w:tc>
          <w:tcPr>
            <w:tcW w:w="1319" w:type="dxa"/>
            <w:tcBorders>
              <w:top w:val="nil"/>
              <w:left w:val="nil"/>
              <w:bottom w:val="single" w:sz="4" w:space="0" w:color="auto"/>
              <w:right w:val="single" w:sz="4" w:space="0" w:color="auto"/>
            </w:tcBorders>
            <w:shd w:val="clear" w:color="auto" w:fill="auto"/>
            <w:noWrap/>
            <w:hideMark/>
          </w:tcPr>
          <w:p w14:paraId="1F27918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141 692</w:t>
            </w:r>
          </w:p>
        </w:tc>
      </w:tr>
      <w:tr w:rsidR="00ED15CD" w:rsidRPr="00632442" w14:paraId="1C2DA0AF" w14:textId="77777777" w:rsidTr="00ED15CD">
        <w:trPr>
          <w:gridAfter w:val="5"/>
          <w:wAfter w:w="6440" w:type="dxa"/>
          <w:trHeight w:val="191"/>
        </w:trPr>
        <w:tc>
          <w:tcPr>
            <w:tcW w:w="4073" w:type="dxa"/>
            <w:tcBorders>
              <w:top w:val="nil"/>
              <w:left w:val="single" w:sz="4" w:space="0" w:color="auto"/>
              <w:bottom w:val="single" w:sz="4" w:space="0" w:color="auto"/>
              <w:right w:val="single" w:sz="4" w:space="0" w:color="auto"/>
            </w:tcBorders>
            <w:shd w:val="clear" w:color="auto" w:fill="auto"/>
            <w:noWrap/>
            <w:hideMark/>
          </w:tcPr>
          <w:p w14:paraId="65ABD90E"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Pārējie pabalsti</w:t>
            </w:r>
          </w:p>
        </w:tc>
        <w:tc>
          <w:tcPr>
            <w:tcW w:w="1126" w:type="dxa"/>
            <w:tcBorders>
              <w:top w:val="nil"/>
              <w:left w:val="nil"/>
              <w:bottom w:val="single" w:sz="4" w:space="0" w:color="auto"/>
              <w:right w:val="single" w:sz="4" w:space="0" w:color="auto"/>
            </w:tcBorders>
            <w:shd w:val="clear" w:color="auto" w:fill="auto"/>
            <w:noWrap/>
            <w:hideMark/>
          </w:tcPr>
          <w:p w14:paraId="0CB2EAD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239,33</w:t>
            </w:r>
          </w:p>
        </w:tc>
        <w:tc>
          <w:tcPr>
            <w:tcW w:w="985" w:type="dxa"/>
            <w:tcBorders>
              <w:top w:val="nil"/>
              <w:left w:val="nil"/>
              <w:bottom w:val="single" w:sz="4" w:space="0" w:color="auto"/>
              <w:right w:val="single" w:sz="4" w:space="0" w:color="auto"/>
            </w:tcBorders>
            <w:shd w:val="clear" w:color="000000" w:fill="FFFFFF"/>
            <w:noWrap/>
            <w:hideMark/>
          </w:tcPr>
          <w:p w14:paraId="46E8248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538</w:t>
            </w:r>
          </w:p>
        </w:tc>
        <w:tc>
          <w:tcPr>
            <w:tcW w:w="1266" w:type="dxa"/>
            <w:tcBorders>
              <w:top w:val="nil"/>
              <w:left w:val="nil"/>
              <w:bottom w:val="single" w:sz="4" w:space="0" w:color="auto"/>
              <w:right w:val="single" w:sz="4" w:space="0" w:color="auto"/>
            </w:tcBorders>
            <w:shd w:val="clear" w:color="auto" w:fill="auto"/>
            <w:noWrap/>
            <w:hideMark/>
          </w:tcPr>
          <w:p w14:paraId="52CD400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1 545 114</w:t>
            </w:r>
          </w:p>
        </w:tc>
        <w:tc>
          <w:tcPr>
            <w:tcW w:w="1125" w:type="dxa"/>
            <w:tcBorders>
              <w:top w:val="nil"/>
              <w:left w:val="nil"/>
              <w:bottom w:val="single" w:sz="4" w:space="0" w:color="auto"/>
              <w:right w:val="single" w:sz="4" w:space="0" w:color="auto"/>
            </w:tcBorders>
            <w:shd w:val="clear" w:color="auto" w:fill="auto"/>
            <w:noWrap/>
            <w:hideMark/>
          </w:tcPr>
          <w:p w14:paraId="271D49B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248,90</w:t>
            </w:r>
          </w:p>
        </w:tc>
        <w:tc>
          <w:tcPr>
            <w:tcW w:w="984" w:type="dxa"/>
            <w:tcBorders>
              <w:top w:val="nil"/>
              <w:left w:val="nil"/>
              <w:bottom w:val="single" w:sz="4" w:space="0" w:color="auto"/>
              <w:right w:val="single" w:sz="4" w:space="0" w:color="auto"/>
            </w:tcBorders>
            <w:shd w:val="clear" w:color="000000" w:fill="FFFFFF"/>
            <w:noWrap/>
            <w:hideMark/>
          </w:tcPr>
          <w:p w14:paraId="29A1EC2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554</w:t>
            </w:r>
          </w:p>
        </w:tc>
        <w:tc>
          <w:tcPr>
            <w:tcW w:w="1265" w:type="dxa"/>
            <w:tcBorders>
              <w:top w:val="nil"/>
              <w:left w:val="nil"/>
              <w:bottom w:val="single" w:sz="4" w:space="0" w:color="auto"/>
              <w:right w:val="single" w:sz="4" w:space="0" w:color="auto"/>
            </w:tcBorders>
            <w:shd w:val="clear" w:color="auto" w:fill="auto"/>
            <w:noWrap/>
            <w:hideMark/>
          </w:tcPr>
          <w:p w14:paraId="43ECE1D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1 654 687</w:t>
            </w:r>
          </w:p>
        </w:tc>
        <w:tc>
          <w:tcPr>
            <w:tcW w:w="845" w:type="dxa"/>
            <w:tcBorders>
              <w:top w:val="nil"/>
              <w:left w:val="nil"/>
              <w:bottom w:val="single" w:sz="4" w:space="0" w:color="auto"/>
              <w:right w:val="single" w:sz="4" w:space="0" w:color="auto"/>
            </w:tcBorders>
            <w:shd w:val="clear" w:color="auto" w:fill="auto"/>
            <w:noWrap/>
            <w:hideMark/>
          </w:tcPr>
          <w:p w14:paraId="719FE65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258,87</w:t>
            </w:r>
          </w:p>
        </w:tc>
        <w:tc>
          <w:tcPr>
            <w:tcW w:w="964" w:type="dxa"/>
            <w:tcBorders>
              <w:top w:val="nil"/>
              <w:left w:val="nil"/>
              <w:bottom w:val="single" w:sz="4" w:space="0" w:color="auto"/>
              <w:right w:val="single" w:sz="4" w:space="0" w:color="auto"/>
            </w:tcBorders>
            <w:shd w:val="clear" w:color="000000" w:fill="FFFFFF"/>
            <w:noWrap/>
            <w:hideMark/>
          </w:tcPr>
          <w:p w14:paraId="1E557D0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571</w:t>
            </w:r>
          </w:p>
        </w:tc>
        <w:tc>
          <w:tcPr>
            <w:tcW w:w="1319" w:type="dxa"/>
            <w:tcBorders>
              <w:top w:val="nil"/>
              <w:left w:val="nil"/>
              <w:bottom w:val="single" w:sz="4" w:space="0" w:color="auto"/>
              <w:right w:val="single" w:sz="4" w:space="0" w:color="auto"/>
            </w:tcBorders>
            <w:shd w:val="clear" w:color="auto" w:fill="auto"/>
            <w:noWrap/>
            <w:hideMark/>
          </w:tcPr>
          <w:p w14:paraId="50A9C66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1 773 777</w:t>
            </w:r>
          </w:p>
        </w:tc>
      </w:tr>
      <w:tr w:rsidR="00ED15CD" w:rsidRPr="00632442" w14:paraId="45D9F345" w14:textId="77777777" w:rsidTr="00ED15CD">
        <w:trPr>
          <w:gridAfter w:val="5"/>
          <w:wAfter w:w="6440" w:type="dxa"/>
          <w:trHeight w:val="110"/>
        </w:trPr>
        <w:tc>
          <w:tcPr>
            <w:tcW w:w="4073" w:type="dxa"/>
            <w:tcBorders>
              <w:top w:val="nil"/>
              <w:left w:val="single" w:sz="4" w:space="0" w:color="auto"/>
              <w:bottom w:val="single" w:sz="4" w:space="0" w:color="auto"/>
              <w:right w:val="single" w:sz="4" w:space="0" w:color="auto"/>
            </w:tcBorders>
            <w:shd w:val="clear" w:color="auto" w:fill="auto"/>
            <w:hideMark/>
          </w:tcPr>
          <w:p w14:paraId="1D7A1AB0"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Valsts budžeta maksājumi - kopā</w:t>
            </w:r>
          </w:p>
        </w:tc>
        <w:tc>
          <w:tcPr>
            <w:tcW w:w="1126" w:type="dxa"/>
            <w:tcBorders>
              <w:top w:val="nil"/>
              <w:left w:val="nil"/>
              <w:bottom w:val="single" w:sz="4" w:space="0" w:color="auto"/>
              <w:right w:val="single" w:sz="4" w:space="0" w:color="auto"/>
            </w:tcBorders>
            <w:shd w:val="clear" w:color="auto" w:fill="auto"/>
            <w:noWrap/>
            <w:hideMark/>
          </w:tcPr>
          <w:p w14:paraId="705EA5DB"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000000" w:fill="FFFFFF"/>
            <w:noWrap/>
            <w:hideMark/>
          </w:tcPr>
          <w:p w14:paraId="7A0DAD2E"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79B9A9D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7 168</w:t>
            </w:r>
          </w:p>
        </w:tc>
        <w:tc>
          <w:tcPr>
            <w:tcW w:w="1125" w:type="dxa"/>
            <w:tcBorders>
              <w:top w:val="nil"/>
              <w:left w:val="nil"/>
              <w:bottom w:val="single" w:sz="4" w:space="0" w:color="auto"/>
              <w:right w:val="single" w:sz="4" w:space="0" w:color="auto"/>
            </w:tcBorders>
            <w:shd w:val="clear" w:color="auto" w:fill="auto"/>
            <w:noWrap/>
            <w:hideMark/>
          </w:tcPr>
          <w:p w14:paraId="62B52E6A"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000000" w:fill="FFFFFF"/>
            <w:noWrap/>
            <w:hideMark/>
          </w:tcPr>
          <w:p w14:paraId="5BC270D9"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4D70149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7 616</w:t>
            </w:r>
          </w:p>
        </w:tc>
        <w:tc>
          <w:tcPr>
            <w:tcW w:w="845" w:type="dxa"/>
            <w:tcBorders>
              <w:top w:val="nil"/>
              <w:left w:val="nil"/>
              <w:bottom w:val="single" w:sz="4" w:space="0" w:color="auto"/>
              <w:right w:val="single" w:sz="4" w:space="0" w:color="auto"/>
            </w:tcBorders>
            <w:shd w:val="clear" w:color="auto" w:fill="auto"/>
            <w:noWrap/>
            <w:hideMark/>
          </w:tcPr>
          <w:p w14:paraId="5FD2C3F0"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000000" w:fill="FFFFFF"/>
            <w:noWrap/>
            <w:hideMark/>
          </w:tcPr>
          <w:p w14:paraId="33B3BB49"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1124A4F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8 000</w:t>
            </w:r>
          </w:p>
        </w:tc>
      </w:tr>
      <w:tr w:rsidR="00ED15CD" w:rsidRPr="00632442" w14:paraId="00FE3892" w14:textId="77777777" w:rsidTr="00ED15CD">
        <w:trPr>
          <w:gridAfter w:val="5"/>
          <w:wAfter w:w="6440" w:type="dxa"/>
          <w:trHeight w:val="70"/>
        </w:trPr>
        <w:tc>
          <w:tcPr>
            <w:tcW w:w="4073" w:type="dxa"/>
            <w:tcBorders>
              <w:top w:val="nil"/>
              <w:left w:val="single" w:sz="4" w:space="0" w:color="auto"/>
              <w:bottom w:val="single" w:sz="4" w:space="0" w:color="auto"/>
              <w:right w:val="single" w:sz="4" w:space="0" w:color="auto"/>
            </w:tcBorders>
            <w:shd w:val="clear" w:color="auto" w:fill="auto"/>
            <w:noWrap/>
            <w:hideMark/>
          </w:tcPr>
          <w:p w14:paraId="55567FD9" w14:textId="77777777" w:rsidR="00632442" w:rsidRPr="00632442" w:rsidRDefault="00632442" w:rsidP="00632442">
            <w:pPr>
              <w:spacing w:after="0"/>
              <w:ind w:firstLineChars="100" w:firstLine="180"/>
              <w:jc w:val="left"/>
              <w:rPr>
                <w:rFonts w:eastAsia="Times New Roman" w:cs="Times New Roman"/>
                <w:i/>
                <w:iCs/>
                <w:sz w:val="18"/>
                <w:szCs w:val="18"/>
                <w:highlight w:val="lightGray"/>
              </w:rPr>
            </w:pPr>
            <w:r w:rsidRPr="00632442">
              <w:rPr>
                <w:rFonts w:eastAsia="Calibri" w:cs="Times New Roman"/>
                <w:i/>
                <w:iCs/>
                <w:sz w:val="18"/>
                <w:szCs w:val="18"/>
                <w:lang w:eastAsia="en-US"/>
              </w:rPr>
              <w:t>tajā skaitā:</w:t>
            </w:r>
          </w:p>
        </w:tc>
        <w:tc>
          <w:tcPr>
            <w:tcW w:w="1126" w:type="dxa"/>
            <w:tcBorders>
              <w:top w:val="nil"/>
              <w:left w:val="nil"/>
              <w:bottom w:val="single" w:sz="4" w:space="0" w:color="auto"/>
              <w:right w:val="single" w:sz="4" w:space="0" w:color="auto"/>
            </w:tcBorders>
            <w:shd w:val="clear" w:color="auto" w:fill="auto"/>
            <w:noWrap/>
            <w:hideMark/>
          </w:tcPr>
          <w:p w14:paraId="7273833E"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547ED271"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205C08B4"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nil"/>
              <w:left w:val="nil"/>
              <w:bottom w:val="single" w:sz="4" w:space="0" w:color="auto"/>
              <w:right w:val="single" w:sz="4" w:space="0" w:color="auto"/>
            </w:tcBorders>
            <w:shd w:val="clear" w:color="auto" w:fill="auto"/>
            <w:noWrap/>
            <w:hideMark/>
          </w:tcPr>
          <w:p w14:paraId="05C6981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2EC574C3"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681D1E7A"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nil"/>
              <w:left w:val="nil"/>
              <w:bottom w:val="single" w:sz="4" w:space="0" w:color="auto"/>
              <w:right w:val="single" w:sz="4" w:space="0" w:color="auto"/>
            </w:tcBorders>
            <w:shd w:val="clear" w:color="auto" w:fill="auto"/>
            <w:noWrap/>
            <w:hideMark/>
          </w:tcPr>
          <w:p w14:paraId="40270CA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351D56CF"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41980B81"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60CADA7F" w14:textId="77777777" w:rsidTr="00ED15CD">
        <w:trPr>
          <w:gridAfter w:val="5"/>
          <w:wAfter w:w="6440" w:type="dxa"/>
          <w:trHeight w:val="255"/>
        </w:trPr>
        <w:tc>
          <w:tcPr>
            <w:tcW w:w="4073" w:type="dxa"/>
            <w:tcBorders>
              <w:top w:val="nil"/>
              <w:left w:val="single" w:sz="4" w:space="0" w:color="auto"/>
              <w:bottom w:val="single" w:sz="4" w:space="0" w:color="auto"/>
              <w:right w:val="single" w:sz="4" w:space="0" w:color="auto"/>
            </w:tcBorders>
            <w:shd w:val="clear" w:color="auto" w:fill="auto"/>
            <w:noWrap/>
            <w:hideMark/>
          </w:tcPr>
          <w:p w14:paraId="33CCF150" w14:textId="77777777" w:rsidR="00632442" w:rsidRPr="00632442" w:rsidRDefault="00632442" w:rsidP="00632442">
            <w:pPr>
              <w:spacing w:after="0"/>
              <w:ind w:left="37" w:firstLine="0"/>
              <w:jc w:val="right"/>
              <w:rPr>
                <w:rFonts w:eastAsia="Calibri" w:cs="Times New Roman"/>
                <w:sz w:val="18"/>
                <w:szCs w:val="18"/>
                <w:lang w:eastAsia="en-US"/>
              </w:rPr>
            </w:pPr>
            <w:r w:rsidRPr="00632442">
              <w:rPr>
                <w:rFonts w:eastAsia="Calibri" w:cs="Times New Roman"/>
                <w:sz w:val="18"/>
                <w:szCs w:val="18"/>
                <w:lang w:eastAsia="en-US"/>
              </w:rPr>
              <w:t xml:space="preserve">    Pārmaksāto sociālās apdrošināšanas iemaksu    </w:t>
            </w:r>
          </w:p>
          <w:p w14:paraId="58524D59" w14:textId="77777777" w:rsidR="00632442" w:rsidRPr="00632442" w:rsidRDefault="00632442" w:rsidP="00632442">
            <w:pPr>
              <w:spacing w:after="0"/>
              <w:ind w:left="37" w:firstLine="0"/>
              <w:jc w:val="right"/>
              <w:rPr>
                <w:rFonts w:eastAsia="Times New Roman" w:cs="Times New Roman"/>
                <w:sz w:val="18"/>
                <w:szCs w:val="18"/>
                <w:highlight w:val="lightGray"/>
              </w:rPr>
            </w:pPr>
            <w:r w:rsidRPr="00632442">
              <w:rPr>
                <w:rFonts w:eastAsia="Calibri" w:cs="Times New Roman"/>
                <w:sz w:val="18"/>
                <w:szCs w:val="18"/>
                <w:lang w:eastAsia="en-US"/>
              </w:rPr>
              <w:t xml:space="preserve">    atmaksa</w:t>
            </w:r>
          </w:p>
        </w:tc>
        <w:tc>
          <w:tcPr>
            <w:tcW w:w="1126" w:type="dxa"/>
            <w:tcBorders>
              <w:top w:val="nil"/>
              <w:left w:val="nil"/>
              <w:bottom w:val="single" w:sz="4" w:space="0" w:color="auto"/>
              <w:right w:val="single" w:sz="4" w:space="0" w:color="auto"/>
            </w:tcBorders>
            <w:shd w:val="clear" w:color="000000" w:fill="FFFFFF"/>
            <w:noWrap/>
            <w:hideMark/>
          </w:tcPr>
          <w:p w14:paraId="686E3904"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678E4357"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57BA483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5 600</w:t>
            </w:r>
          </w:p>
        </w:tc>
        <w:tc>
          <w:tcPr>
            <w:tcW w:w="1125" w:type="dxa"/>
            <w:tcBorders>
              <w:top w:val="nil"/>
              <w:left w:val="nil"/>
              <w:bottom w:val="single" w:sz="4" w:space="0" w:color="auto"/>
              <w:right w:val="single" w:sz="4" w:space="0" w:color="auto"/>
            </w:tcBorders>
            <w:shd w:val="clear" w:color="000000" w:fill="FFFFFF"/>
            <w:noWrap/>
            <w:hideMark/>
          </w:tcPr>
          <w:p w14:paraId="2071E14B"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4BDCB643"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6D49152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5 950</w:t>
            </w:r>
          </w:p>
        </w:tc>
        <w:tc>
          <w:tcPr>
            <w:tcW w:w="845" w:type="dxa"/>
            <w:tcBorders>
              <w:top w:val="nil"/>
              <w:left w:val="nil"/>
              <w:bottom w:val="single" w:sz="4" w:space="0" w:color="auto"/>
              <w:right w:val="single" w:sz="4" w:space="0" w:color="auto"/>
            </w:tcBorders>
            <w:shd w:val="clear" w:color="000000" w:fill="FFFFFF"/>
            <w:noWrap/>
            <w:hideMark/>
          </w:tcPr>
          <w:p w14:paraId="27BCAFAA"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0CABDF68"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38A659A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6 250</w:t>
            </w:r>
          </w:p>
        </w:tc>
      </w:tr>
      <w:tr w:rsidR="00ED15CD" w:rsidRPr="00632442" w14:paraId="06FD79CF" w14:textId="77777777" w:rsidTr="00ED15CD">
        <w:trPr>
          <w:gridAfter w:val="5"/>
          <w:wAfter w:w="6440" w:type="dxa"/>
          <w:trHeight w:val="261"/>
        </w:trPr>
        <w:tc>
          <w:tcPr>
            <w:tcW w:w="4073" w:type="dxa"/>
            <w:tcBorders>
              <w:top w:val="nil"/>
              <w:left w:val="single" w:sz="4" w:space="0" w:color="auto"/>
              <w:bottom w:val="single" w:sz="4" w:space="0" w:color="auto"/>
              <w:right w:val="single" w:sz="4" w:space="0" w:color="auto"/>
            </w:tcBorders>
            <w:shd w:val="clear" w:color="auto" w:fill="auto"/>
          </w:tcPr>
          <w:p w14:paraId="612D311F" w14:textId="77777777" w:rsidR="00632442" w:rsidRPr="00632442" w:rsidRDefault="00632442" w:rsidP="00632442">
            <w:pPr>
              <w:spacing w:after="0"/>
              <w:ind w:left="321" w:hanging="284"/>
              <w:jc w:val="right"/>
              <w:rPr>
                <w:rFonts w:eastAsia="Calibri" w:cs="Times New Roman"/>
                <w:sz w:val="18"/>
                <w:szCs w:val="18"/>
                <w:lang w:eastAsia="en-US"/>
              </w:rPr>
            </w:pPr>
            <w:r w:rsidRPr="00632442">
              <w:rPr>
                <w:rFonts w:eastAsia="Calibri" w:cs="Times New Roman"/>
                <w:sz w:val="18"/>
                <w:szCs w:val="18"/>
                <w:lang w:eastAsia="en-US"/>
              </w:rPr>
              <w:t xml:space="preserve">   Eiropas Savienības pensiju shēmai pārskaitītais</w:t>
            </w:r>
          </w:p>
          <w:p w14:paraId="1DC25D30" w14:textId="77777777" w:rsidR="00632442" w:rsidRPr="00632442" w:rsidRDefault="00632442" w:rsidP="00632442">
            <w:pPr>
              <w:spacing w:after="0"/>
              <w:ind w:firstLine="0"/>
              <w:jc w:val="right"/>
              <w:rPr>
                <w:rFonts w:eastAsia="Calibri" w:cs="Times New Roman"/>
                <w:sz w:val="18"/>
                <w:szCs w:val="18"/>
                <w:lang w:eastAsia="en-US"/>
              </w:rPr>
            </w:pPr>
            <w:r w:rsidRPr="00632442">
              <w:rPr>
                <w:rFonts w:eastAsia="Calibri" w:cs="Times New Roman"/>
                <w:sz w:val="18"/>
                <w:szCs w:val="18"/>
                <w:lang w:eastAsia="en-US"/>
              </w:rPr>
              <w:t xml:space="preserve">    pensijas kapitāls</w:t>
            </w:r>
          </w:p>
        </w:tc>
        <w:tc>
          <w:tcPr>
            <w:tcW w:w="1126" w:type="dxa"/>
            <w:tcBorders>
              <w:top w:val="nil"/>
              <w:left w:val="nil"/>
              <w:bottom w:val="single" w:sz="4" w:space="0" w:color="auto"/>
              <w:right w:val="single" w:sz="4" w:space="0" w:color="auto"/>
            </w:tcBorders>
            <w:shd w:val="clear" w:color="auto" w:fill="auto"/>
            <w:noWrap/>
          </w:tcPr>
          <w:p w14:paraId="447DB5A2"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tcPr>
          <w:p w14:paraId="25ADCE5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tcPr>
          <w:p w14:paraId="17D2765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1 568</w:t>
            </w:r>
          </w:p>
        </w:tc>
        <w:tc>
          <w:tcPr>
            <w:tcW w:w="1125" w:type="dxa"/>
            <w:tcBorders>
              <w:top w:val="nil"/>
              <w:left w:val="nil"/>
              <w:bottom w:val="single" w:sz="4" w:space="0" w:color="auto"/>
              <w:right w:val="single" w:sz="4" w:space="0" w:color="auto"/>
            </w:tcBorders>
            <w:shd w:val="clear" w:color="auto" w:fill="auto"/>
            <w:noWrap/>
          </w:tcPr>
          <w:p w14:paraId="0012B60F"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tcPr>
          <w:p w14:paraId="68DF17BE"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tcPr>
          <w:p w14:paraId="519EBA0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1 666</w:t>
            </w:r>
          </w:p>
        </w:tc>
        <w:tc>
          <w:tcPr>
            <w:tcW w:w="845" w:type="dxa"/>
            <w:tcBorders>
              <w:top w:val="nil"/>
              <w:left w:val="nil"/>
              <w:bottom w:val="single" w:sz="4" w:space="0" w:color="auto"/>
              <w:right w:val="single" w:sz="4" w:space="0" w:color="auto"/>
            </w:tcBorders>
            <w:shd w:val="clear" w:color="auto" w:fill="auto"/>
            <w:noWrap/>
          </w:tcPr>
          <w:p w14:paraId="515281A4"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tcPr>
          <w:p w14:paraId="65446324"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tcPr>
          <w:p w14:paraId="0B9C51D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1 750</w:t>
            </w:r>
          </w:p>
        </w:tc>
      </w:tr>
      <w:tr w:rsidR="00ED15CD" w:rsidRPr="00632442" w14:paraId="29703C49" w14:textId="77777777" w:rsidTr="00ED15CD">
        <w:trPr>
          <w:gridAfter w:val="5"/>
          <w:wAfter w:w="6440" w:type="dxa"/>
          <w:trHeight w:val="267"/>
        </w:trPr>
        <w:tc>
          <w:tcPr>
            <w:tcW w:w="4073" w:type="dxa"/>
            <w:tcBorders>
              <w:top w:val="nil"/>
              <w:left w:val="single" w:sz="4" w:space="0" w:color="auto"/>
              <w:bottom w:val="single" w:sz="4" w:space="0" w:color="auto"/>
              <w:right w:val="single" w:sz="4" w:space="0" w:color="auto"/>
            </w:tcBorders>
            <w:shd w:val="clear" w:color="auto" w:fill="auto"/>
            <w:hideMark/>
          </w:tcPr>
          <w:p w14:paraId="4536AA9A" w14:textId="77777777" w:rsidR="00632442" w:rsidRPr="00632442" w:rsidRDefault="00632442" w:rsidP="00632442">
            <w:pPr>
              <w:spacing w:after="0"/>
              <w:ind w:firstLine="0"/>
              <w:jc w:val="left"/>
              <w:rPr>
                <w:rFonts w:eastAsia="Times New Roman" w:cs="Times New Roman"/>
                <w:b/>
                <w:bCs/>
                <w:sz w:val="18"/>
                <w:szCs w:val="18"/>
                <w:highlight w:val="lightGray"/>
              </w:rPr>
            </w:pPr>
            <w:r w:rsidRPr="00632442">
              <w:rPr>
                <w:rFonts w:eastAsia="Calibri" w:cs="Times New Roman"/>
                <w:b/>
                <w:bCs/>
                <w:sz w:val="18"/>
                <w:szCs w:val="18"/>
                <w:lang w:eastAsia="en-US"/>
              </w:rPr>
              <w:lastRenderedPageBreak/>
              <w:t>04.04.00 Invaliditātes, maternitātes un slimības speciālais budžets</w:t>
            </w:r>
          </w:p>
        </w:tc>
        <w:tc>
          <w:tcPr>
            <w:tcW w:w="1126" w:type="dxa"/>
            <w:tcBorders>
              <w:top w:val="nil"/>
              <w:left w:val="nil"/>
              <w:bottom w:val="single" w:sz="4" w:space="0" w:color="auto"/>
              <w:right w:val="single" w:sz="4" w:space="0" w:color="auto"/>
            </w:tcBorders>
            <w:shd w:val="clear" w:color="auto" w:fill="auto"/>
            <w:noWrap/>
            <w:hideMark/>
          </w:tcPr>
          <w:p w14:paraId="5D3BBCD2"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57C7AD30"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224BEFAB"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864 361 703</w:t>
            </w:r>
          </w:p>
        </w:tc>
        <w:tc>
          <w:tcPr>
            <w:tcW w:w="1125" w:type="dxa"/>
            <w:tcBorders>
              <w:top w:val="nil"/>
              <w:left w:val="nil"/>
              <w:bottom w:val="single" w:sz="4" w:space="0" w:color="auto"/>
              <w:right w:val="single" w:sz="4" w:space="0" w:color="auto"/>
            </w:tcBorders>
            <w:shd w:val="clear" w:color="auto" w:fill="auto"/>
            <w:noWrap/>
            <w:hideMark/>
          </w:tcPr>
          <w:p w14:paraId="563635CE"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78BB12FF"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3BD4C7CF"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924 364 137</w:t>
            </w:r>
          </w:p>
        </w:tc>
        <w:tc>
          <w:tcPr>
            <w:tcW w:w="845" w:type="dxa"/>
            <w:tcBorders>
              <w:top w:val="nil"/>
              <w:left w:val="nil"/>
              <w:bottom w:val="single" w:sz="4" w:space="0" w:color="auto"/>
              <w:right w:val="single" w:sz="4" w:space="0" w:color="auto"/>
            </w:tcBorders>
            <w:shd w:val="clear" w:color="auto" w:fill="auto"/>
            <w:noWrap/>
            <w:hideMark/>
          </w:tcPr>
          <w:p w14:paraId="6D021DBF"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053C2885" w14:textId="77777777" w:rsidR="00632442" w:rsidRPr="00632442" w:rsidRDefault="00632442" w:rsidP="00632442">
            <w:pPr>
              <w:spacing w:after="0"/>
              <w:ind w:firstLine="0"/>
              <w:jc w:val="center"/>
              <w:rPr>
                <w:rFonts w:eastAsia="Times New Roman" w:cs="Times New Roman"/>
                <w:b/>
                <w:bCs/>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6FEB1ACE" w14:textId="77777777" w:rsidR="00632442" w:rsidRPr="00632442" w:rsidRDefault="00632442" w:rsidP="00632442">
            <w:pPr>
              <w:spacing w:after="0"/>
              <w:ind w:firstLine="0"/>
              <w:jc w:val="right"/>
              <w:rPr>
                <w:rFonts w:eastAsia="Times New Roman" w:cs="Times New Roman"/>
                <w:b/>
                <w:bCs/>
                <w:sz w:val="18"/>
                <w:szCs w:val="18"/>
                <w:highlight w:val="lightGray"/>
              </w:rPr>
            </w:pPr>
            <w:r w:rsidRPr="00632442">
              <w:rPr>
                <w:rFonts w:eastAsia="Calibri" w:cs="Times New Roman"/>
                <w:b/>
                <w:bCs/>
                <w:sz w:val="18"/>
                <w:szCs w:val="18"/>
                <w:lang w:eastAsia="en-US"/>
              </w:rPr>
              <w:t>976 877 959</w:t>
            </w:r>
          </w:p>
        </w:tc>
      </w:tr>
      <w:tr w:rsidR="00ED15CD" w:rsidRPr="00632442" w14:paraId="78926D33" w14:textId="77777777" w:rsidTr="00ED15CD">
        <w:trPr>
          <w:gridAfter w:val="5"/>
          <w:wAfter w:w="6440" w:type="dxa"/>
          <w:trHeight w:val="131"/>
        </w:trPr>
        <w:tc>
          <w:tcPr>
            <w:tcW w:w="4073" w:type="dxa"/>
            <w:tcBorders>
              <w:top w:val="nil"/>
              <w:left w:val="single" w:sz="4" w:space="0" w:color="auto"/>
              <w:bottom w:val="single" w:sz="4" w:space="0" w:color="auto"/>
              <w:right w:val="single" w:sz="4" w:space="0" w:color="auto"/>
            </w:tcBorders>
            <w:shd w:val="clear" w:color="auto" w:fill="auto"/>
            <w:noWrap/>
            <w:hideMark/>
          </w:tcPr>
          <w:p w14:paraId="51C58247" w14:textId="77777777" w:rsidR="00632442" w:rsidRPr="00632442" w:rsidRDefault="00632442" w:rsidP="00632442">
            <w:pPr>
              <w:spacing w:after="0"/>
              <w:ind w:firstLine="0"/>
              <w:jc w:val="left"/>
              <w:rPr>
                <w:rFonts w:eastAsia="Times New Roman" w:cs="Times New Roman"/>
                <w:sz w:val="18"/>
                <w:szCs w:val="18"/>
              </w:rPr>
            </w:pPr>
            <w:r w:rsidRPr="00632442">
              <w:rPr>
                <w:rFonts w:eastAsia="Calibri" w:cs="Times New Roman"/>
                <w:sz w:val="18"/>
                <w:szCs w:val="18"/>
                <w:lang w:eastAsia="en-US"/>
              </w:rPr>
              <w:t>Valsts pensijas – kopā</w:t>
            </w:r>
          </w:p>
        </w:tc>
        <w:tc>
          <w:tcPr>
            <w:tcW w:w="1126" w:type="dxa"/>
            <w:tcBorders>
              <w:top w:val="nil"/>
              <w:left w:val="nil"/>
              <w:bottom w:val="single" w:sz="4" w:space="0" w:color="auto"/>
              <w:right w:val="single" w:sz="4" w:space="0" w:color="auto"/>
            </w:tcBorders>
            <w:shd w:val="clear" w:color="auto" w:fill="auto"/>
            <w:noWrap/>
            <w:hideMark/>
          </w:tcPr>
          <w:p w14:paraId="2123BBC1"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000000" w:fill="FFFFFF"/>
            <w:noWrap/>
            <w:hideMark/>
          </w:tcPr>
          <w:p w14:paraId="72E6AC68"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1671150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297 657 510</w:t>
            </w:r>
          </w:p>
        </w:tc>
        <w:tc>
          <w:tcPr>
            <w:tcW w:w="1125" w:type="dxa"/>
            <w:tcBorders>
              <w:top w:val="nil"/>
              <w:left w:val="nil"/>
              <w:bottom w:val="single" w:sz="4" w:space="0" w:color="auto"/>
              <w:right w:val="single" w:sz="4" w:space="0" w:color="auto"/>
            </w:tcBorders>
            <w:shd w:val="clear" w:color="auto" w:fill="auto"/>
            <w:noWrap/>
            <w:hideMark/>
          </w:tcPr>
          <w:p w14:paraId="0B419CEB"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000000" w:fill="FFFFFF"/>
            <w:noWrap/>
            <w:hideMark/>
          </w:tcPr>
          <w:p w14:paraId="6F2DAD3F"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465C4DD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318 997 311</w:t>
            </w:r>
          </w:p>
        </w:tc>
        <w:tc>
          <w:tcPr>
            <w:tcW w:w="845" w:type="dxa"/>
            <w:tcBorders>
              <w:top w:val="nil"/>
              <w:left w:val="nil"/>
              <w:bottom w:val="single" w:sz="4" w:space="0" w:color="auto"/>
              <w:right w:val="single" w:sz="4" w:space="0" w:color="auto"/>
            </w:tcBorders>
            <w:shd w:val="clear" w:color="auto" w:fill="auto"/>
            <w:noWrap/>
            <w:hideMark/>
          </w:tcPr>
          <w:p w14:paraId="5E22DFA2"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000000" w:fill="FFFFFF"/>
            <w:noWrap/>
            <w:hideMark/>
          </w:tcPr>
          <w:p w14:paraId="7AEA4255"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07FFBA1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339 125 326</w:t>
            </w:r>
          </w:p>
        </w:tc>
      </w:tr>
      <w:tr w:rsidR="00ED15CD" w:rsidRPr="00632442" w14:paraId="4D26559D" w14:textId="77777777" w:rsidTr="00ED15CD">
        <w:trPr>
          <w:gridAfter w:val="5"/>
          <w:wAfter w:w="6440" w:type="dxa"/>
          <w:trHeight w:val="70"/>
        </w:trPr>
        <w:tc>
          <w:tcPr>
            <w:tcW w:w="4073" w:type="dxa"/>
            <w:tcBorders>
              <w:top w:val="nil"/>
              <w:left w:val="single" w:sz="4" w:space="0" w:color="auto"/>
              <w:bottom w:val="single" w:sz="4" w:space="0" w:color="auto"/>
              <w:right w:val="single" w:sz="4" w:space="0" w:color="auto"/>
            </w:tcBorders>
            <w:shd w:val="clear" w:color="auto" w:fill="auto"/>
            <w:noWrap/>
            <w:hideMark/>
          </w:tcPr>
          <w:p w14:paraId="247438DD" w14:textId="77777777" w:rsidR="00632442" w:rsidRPr="00632442" w:rsidRDefault="00632442" w:rsidP="00632442">
            <w:pPr>
              <w:spacing w:after="0"/>
              <w:ind w:firstLineChars="100" w:firstLine="180"/>
              <w:jc w:val="left"/>
              <w:rPr>
                <w:rFonts w:eastAsia="Times New Roman" w:cs="Times New Roman"/>
                <w:i/>
                <w:iCs/>
                <w:sz w:val="18"/>
                <w:szCs w:val="18"/>
              </w:rPr>
            </w:pPr>
            <w:r w:rsidRPr="00632442">
              <w:rPr>
                <w:rFonts w:eastAsia="Calibri" w:cs="Times New Roman"/>
                <w:i/>
                <w:iCs/>
                <w:sz w:val="18"/>
                <w:szCs w:val="18"/>
                <w:lang w:eastAsia="en-US"/>
              </w:rPr>
              <w:t>tajā skaitā:</w:t>
            </w:r>
          </w:p>
        </w:tc>
        <w:tc>
          <w:tcPr>
            <w:tcW w:w="1126" w:type="dxa"/>
            <w:tcBorders>
              <w:top w:val="nil"/>
              <w:left w:val="nil"/>
              <w:bottom w:val="single" w:sz="4" w:space="0" w:color="auto"/>
              <w:right w:val="single" w:sz="4" w:space="0" w:color="auto"/>
            </w:tcBorders>
            <w:shd w:val="clear" w:color="000000" w:fill="FFFFFF"/>
            <w:noWrap/>
            <w:hideMark/>
          </w:tcPr>
          <w:p w14:paraId="19B6292A"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5" w:type="dxa"/>
            <w:tcBorders>
              <w:top w:val="nil"/>
              <w:left w:val="nil"/>
              <w:bottom w:val="single" w:sz="4" w:space="0" w:color="auto"/>
              <w:right w:val="single" w:sz="4" w:space="0" w:color="auto"/>
            </w:tcBorders>
            <w:shd w:val="clear" w:color="000000" w:fill="FFFFFF"/>
            <w:noWrap/>
            <w:hideMark/>
          </w:tcPr>
          <w:p w14:paraId="7C55F08B"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07F9FEDC"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nil"/>
              <w:left w:val="nil"/>
              <w:bottom w:val="single" w:sz="4" w:space="0" w:color="auto"/>
              <w:right w:val="single" w:sz="4" w:space="0" w:color="auto"/>
            </w:tcBorders>
            <w:shd w:val="clear" w:color="000000" w:fill="FFFFFF"/>
            <w:noWrap/>
            <w:hideMark/>
          </w:tcPr>
          <w:p w14:paraId="1CB2E2DD"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84" w:type="dxa"/>
            <w:tcBorders>
              <w:top w:val="nil"/>
              <w:left w:val="nil"/>
              <w:bottom w:val="single" w:sz="4" w:space="0" w:color="auto"/>
              <w:right w:val="single" w:sz="4" w:space="0" w:color="auto"/>
            </w:tcBorders>
            <w:shd w:val="clear" w:color="000000" w:fill="FFFFFF"/>
            <w:noWrap/>
            <w:hideMark/>
          </w:tcPr>
          <w:p w14:paraId="15B600D2"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024A252D"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nil"/>
              <w:left w:val="nil"/>
              <w:bottom w:val="single" w:sz="4" w:space="0" w:color="auto"/>
              <w:right w:val="single" w:sz="4" w:space="0" w:color="auto"/>
            </w:tcBorders>
            <w:shd w:val="clear" w:color="000000" w:fill="FFFFFF"/>
            <w:noWrap/>
            <w:hideMark/>
          </w:tcPr>
          <w:p w14:paraId="7180DB41"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964" w:type="dxa"/>
            <w:tcBorders>
              <w:top w:val="nil"/>
              <w:left w:val="nil"/>
              <w:bottom w:val="single" w:sz="4" w:space="0" w:color="auto"/>
              <w:right w:val="single" w:sz="4" w:space="0" w:color="auto"/>
            </w:tcBorders>
            <w:shd w:val="clear" w:color="000000" w:fill="FFFFFF"/>
            <w:noWrap/>
            <w:hideMark/>
          </w:tcPr>
          <w:p w14:paraId="77683763"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7421BB96"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724B47EC" w14:textId="77777777" w:rsidTr="00ED15CD">
        <w:trPr>
          <w:gridAfter w:val="5"/>
          <w:wAfter w:w="6440" w:type="dxa"/>
          <w:trHeight w:val="123"/>
        </w:trPr>
        <w:tc>
          <w:tcPr>
            <w:tcW w:w="4073" w:type="dxa"/>
            <w:tcBorders>
              <w:top w:val="nil"/>
              <w:left w:val="single" w:sz="4" w:space="0" w:color="auto"/>
              <w:bottom w:val="single" w:sz="4" w:space="0" w:color="auto"/>
              <w:right w:val="single" w:sz="4" w:space="0" w:color="auto"/>
            </w:tcBorders>
            <w:shd w:val="clear" w:color="auto" w:fill="auto"/>
            <w:noWrap/>
            <w:hideMark/>
          </w:tcPr>
          <w:p w14:paraId="52AF4612"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Invaliditātes pensijas</w:t>
            </w:r>
          </w:p>
        </w:tc>
        <w:tc>
          <w:tcPr>
            <w:tcW w:w="1126" w:type="dxa"/>
            <w:tcBorders>
              <w:top w:val="nil"/>
              <w:left w:val="nil"/>
              <w:bottom w:val="single" w:sz="4" w:space="0" w:color="auto"/>
              <w:right w:val="single" w:sz="4" w:space="0" w:color="auto"/>
            </w:tcBorders>
            <w:shd w:val="clear" w:color="auto" w:fill="auto"/>
            <w:noWrap/>
            <w:hideMark/>
          </w:tcPr>
          <w:p w14:paraId="291FF8C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336,62</w:t>
            </w:r>
          </w:p>
        </w:tc>
        <w:tc>
          <w:tcPr>
            <w:tcW w:w="985" w:type="dxa"/>
            <w:tcBorders>
              <w:top w:val="nil"/>
              <w:left w:val="nil"/>
              <w:bottom w:val="single" w:sz="4" w:space="0" w:color="auto"/>
              <w:right w:val="single" w:sz="4" w:space="0" w:color="auto"/>
            </w:tcBorders>
            <w:shd w:val="clear" w:color="auto" w:fill="auto"/>
            <w:noWrap/>
            <w:hideMark/>
          </w:tcPr>
          <w:p w14:paraId="4A98CFA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73 512</w:t>
            </w:r>
          </w:p>
        </w:tc>
        <w:tc>
          <w:tcPr>
            <w:tcW w:w="1266" w:type="dxa"/>
            <w:tcBorders>
              <w:top w:val="nil"/>
              <w:left w:val="nil"/>
              <w:bottom w:val="single" w:sz="4" w:space="0" w:color="auto"/>
              <w:right w:val="single" w:sz="4" w:space="0" w:color="auto"/>
            </w:tcBorders>
            <w:shd w:val="clear" w:color="auto" w:fill="auto"/>
            <w:noWrap/>
            <w:hideMark/>
          </w:tcPr>
          <w:p w14:paraId="6362105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296 950 625</w:t>
            </w:r>
          </w:p>
        </w:tc>
        <w:tc>
          <w:tcPr>
            <w:tcW w:w="1125" w:type="dxa"/>
            <w:tcBorders>
              <w:top w:val="nil"/>
              <w:left w:val="nil"/>
              <w:bottom w:val="single" w:sz="4" w:space="0" w:color="auto"/>
              <w:right w:val="single" w:sz="4" w:space="0" w:color="auto"/>
            </w:tcBorders>
            <w:shd w:val="clear" w:color="auto" w:fill="auto"/>
            <w:noWrap/>
            <w:hideMark/>
          </w:tcPr>
          <w:p w14:paraId="4419533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359,43</w:t>
            </w:r>
          </w:p>
        </w:tc>
        <w:tc>
          <w:tcPr>
            <w:tcW w:w="984" w:type="dxa"/>
            <w:tcBorders>
              <w:top w:val="nil"/>
              <w:left w:val="nil"/>
              <w:bottom w:val="single" w:sz="4" w:space="0" w:color="auto"/>
              <w:right w:val="single" w:sz="4" w:space="0" w:color="auto"/>
            </w:tcBorders>
            <w:shd w:val="clear" w:color="auto" w:fill="auto"/>
            <w:noWrap/>
            <w:hideMark/>
          </w:tcPr>
          <w:p w14:paraId="1A9B142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73 805</w:t>
            </w:r>
          </w:p>
        </w:tc>
        <w:tc>
          <w:tcPr>
            <w:tcW w:w="1265" w:type="dxa"/>
            <w:tcBorders>
              <w:top w:val="nil"/>
              <w:left w:val="nil"/>
              <w:bottom w:val="single" w:sz="4" w:space="0" w:color="auto"/>
              <w:right w:val="single" w:sz="4" w:space="0" w:color="auto"/>
            </w:tcBorders>
            <w:shd w:val="clear" w:color="auto" w:fill="auto"/>
            <w:noWrap/>
            <w:hideMark/>
          </w:tcPr>
          <w:p w14:paraId="4A607FC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318 335 667</w:t>
            </w:r>
          </w:p>
        </w:tc>
        <w:tc>
          <w:tcPr>
            <w:tcW w:w="845" w:type="dxa"/>
            <w:tcBorders>
              <w:top w:val="nil"/>
              <w:left w:val="nil"/>
              <w:bottom w:val="single" w:sz="4" w:space="0" w:color="auto"/>
              <w:right w:val="single" w:sz="4" w:space="0" w:color="auto"/>
            </w:tcBorders>
            <w:shd w:val="clear" w:color="auto" w:fill="auto"/>
            <w:noWrap/>
            <w:hideMark/>
          </w:tcPr>
          <w:p w14:paraId="7312887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380,69</w:t>
            </w:r>
          </w:p>
        </w:tc>
        <w:tc>
          <w:tcPr>
            <w:tcW w:w="964" w:type="dxa"/>
            <w:tcBorders>
              <w:top w:val="nil"/>
              <w:left w:val="nil"/>
              <w:bottom w:val="single" w:sz="4" w:space="0" w:color="auto"/>
              <w:right w:val="single" w:sz="4" w:space="0" w:color="auto"/>
            </w:tcBorders>
            <w:shd w:val="clear" w:color="auto" w:fill="auto"/>
            <w:noWrap/>
            <w:hideMark/>
          </w:tcPr>
          <w:p w14:paraId="290A76F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74 101</w:t>
            </w:r>
          </w:p>
        </w:tc>
        <w:tc>
          <w:tcPr>
            <w:tcW w:w="1319" w:type="dxa"/>
            <w:tcBorders>
              <w:top w:val="nil"/>
              <w:left w:val="nil"/>
              <w:bottom w:val="single" w:sz="4" w:space="0" w:color="auto"/>
              <w:right w:val="single" w:sz="4" w:space="0" w:color="auto"/>
            </w:tcBorders>
            <w:shd w:val="clear" w:color="auto" w:fill="auto"/>
            <w:noWrap/>
            <w:hideMark/>
          </w:tcPr>
          <w:p w14:paraId="118339C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338 513 926</w:t>
            </w:r>
          </w:p>
        </w:tc>
      </w:tr>
      <w:tr w:rsidR="00ED15CD" w:rsidRPr="00632442" w14:paraId="36F66FC6" w14:textId="77777777" w:rsidTr="00ED15CD">
        <w:trPr>
          <w:gridAfter w:val="5"/>
          <w:wAfter w:w="6440" w:type="dxa"/>
          <w:trHeight w:val="409"/>
        </w:trPr>
        <w:tc>
          <w:tcPr>
            <w:tcW w:w="4073" w:type="dxa"/>
            <w:tcBorders>
              <w:top w:val="nil"/>
              <w:left w:val="single" w:sz="4" w:space="0" w:color="auto"/>
              <w:bottom w:val="single" w:sz="4" w:space="0" w:color="auto"/>
              <w:right w:val="single" w:sz="4" w:space="0" w:color="auto"/>
            </w:tcBorders>
            <w:shd w:val="clear" w:color="auto" w:fill="auto"/>
            <w:hideMark/>
          </w:tcPr>
          <w:p w14:paraId="4D132C62" w14:textId="77777777" w:rsidR="00632442" w:rsidRPr="00632442" w:rsidRDefault="00632442" w:rsidP="00632442">
            <w:pPr>
              <w:spacing w:after="0"/>
              <w:ind w:left="321" w:firstLine="0"/>
              <w:jc w:val="right"/>
              <w:rPr>
                <w:rFonts w:eastAsia="Times New Roman" w:cs="Times New Roman"/>
                <w:sz w:val="18"/>
                <w:szCs w:val="18"/>
                <w:highlight w:val="lightGray"/>
              </w:rPr>
            </w:pPr>
            <w:r w:rsidRPr="00632442">
              <w:rPr>
                <w:rFonts w:eastAsia="Calibri" w:cs="Times New Roman"/>
                <w:sz w:val="18"/>
                <w:szCs w:val="18"/>
                <w:lang w:eastAsia="en-US"/>
              </w:rPr>
              <w:t>Pensijas saskaņā ar speciāliem lēmumiem</w:t>
            </w:r>
          </w:p>
        </w:tc>
        <w:tc>
          <w:tcPr>
            <w:tcW w:w="1126" w:type="dxa"/>
            <w:tcBorders>
              <w:top w:val="nil"/>
              <w:left w:val="nil"/>
              <w:bottom w:val="single" w:sz="4" w:space="0" w:color="auto"/>
              <w:right w:val="single" w:sz="4" w:space="0" w:color="auto"/>
            </w:tcBorders>
            <w:shd w:val="clear" w:color="auto" w:fill="auto"/>
            <w:noWrap/>
            <w:hideMark/>
          </w:tcPr>
          <w:p w14:paraId="739A8AF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79,18</w:t>
            </w:r>
          </w:p>
        </w:tc>
        <w:tc>
          <w:tcPr>
            <w:tcW w:w="985" w:type="dxa"/>
            <w:tcBorders>
              <w:top w:val="nil"/>
              <w:left w:val="nil"/>
              <w:bottom w:val="single" w:sz="4" w:space="0" w:color="auto"/>
              <w:right w:val="single" w:sz="4" w:space="0" w:color="auto"/>
            </w:tcBorders>
            <w:shd w:val="clear" w:color="auto" w:fill="auto"/>
            <w:noWrap/>
            <w:hideMark/>
          </w:tcPr>
          <w:p w14:paraId="0AD2C82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744</w:t>
            </w:r>
          </w:p>
        </w:tc>
        <w:tc>
          <w:tcPr>
            <w:tcW w:w="1266" w:type="dxa"/>
            <w:tcBorders>
              <w:top w:val="nil"/>
              <w:left w:val="nil"/>
              <w:bottom w:val="single" w:sz="4" w:space="0" w:color="auto"/>
              <w:right w:val="single" w:sz="4" w:space="0" w:color="auto"/>
            </w:tcBorders>
            <w:shd w:val="clear" w:color="auto" w:fill="auto"/>
            <w:noWrap/>
            <w:hideMark/>
          </w:tcPr>
          <w:p w14:paraId="53555B8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706 885</w:t>
            </w:r>
          </w:p>
        </w:tc>
        <w:tc>
          <w:tcPr>
            <w:tcW w:w="1125" w:type="dxa"/>
            <w:tcBorders>
              <w:top w:val="nil"/>
              <w:left w:val="nil"/>
              <w:bottom w:val="single" w:sz="4" w:space="0" w:color="auto"/>
              <w:right w:val="single" w:sz="4" w:space="0" w:color="auto"/>
            </w:tcBorders>
            <w:shd w:val="clear" w:color="auto" w:fill="auto"/>
            <w:noWrap/>
            <w:hideMark/>
          </w:tcPr>
          <w:p w14:paraId="0CA44DD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84,57</w:t>
            </w:r>
          </w:p>
        </w:tc>
        <w:tc>
          <w:tcPr>
            <w:tcW w:w="984" w:type="dxa"/>
            <w:tcBorders>
              <w:top w:val="nil"/>
              <w:left w:val="nil"/>
              <w:bottom w:val="single" w:sz="4" w:space="0" w:color="auto"/>
              <w:right w:val="single" w:sz="4" w:space="0" w:color="auto"/>
            </w:tcBorders>
            <w:shd w:val="clear" w:color="auto" w:fill="auto"/>
            <w:noWrap/>
            <w:hideMark/>
          </w:tcPr>
          <w:p w14:paraId="1649F84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652</w:t>
            </w:r>
          </w:p>
        </w:tc>
        <w:tc>
          <w:tcPr>
            <w:tcW w:w="1265" w:type="dxa"/>
            <w:tcBorders>
              <w:top w:val="nil"/>
              <w:left w:val="nil"/>
              <w:bottom w:val="single" w:sz="4" w:space="0" w:color="auto"/>
              <w:right w:val="single" w:sz="4" w:space="0" w:color="auto"/>
            </w:tcBorders>
            <w:shd w:val="clear" w:color="auto" w:fill="auto"/>
            <w:noWrap/>
            <w:hideMark/>
          </w:tcPr>
          <w:p w14:paraId="2EC5D1B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661 644</w:t>
            </w:r>
          </w:p>
        </w:tc>
        <w:tc>
          <w:tcPr>
            <w:tcW w:w="845" w:type="dxa"/>
            <w:tcBorders>
              <w:top w:val="nil"/>
              <w:left w:val="nil"/>
              <w:bottom w:val="single" w:sz="4" w:space="0" w:color="auto"/>
              <w:right w:val="single" w:sz="4" w:space="0" w:color="auto"/>
            </w:tcBorders>
            <w:shd w:val="clear" w:color="auto" w:fill="auto"/>
            <w:noWrap/>
            <w:hideMark/>
          </w:tcPr>
          <w:p w14:paraId="760A6BB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89,23</w:t>
            </w:r>
          </w:p>
        </w:tc>
        <w:tc>
          <w:tcPr>
            <w:tcW w:w="964" w:type="dxa"/>
            <w:tcBorders>
              <w:top w:val="nil"/>
              <w:left w:val="nil"/>
              <w:bottom w:val="single" w:sz="4" w:space="0" w:color="auto"/>
              <w:right w:val="single" w:sz="4" w:space="0" w:color="auto"/>
            </w:tcBorders>
            <w:shd w:val="clear" w:color="auto" w:fill="auto"/>
            <w:noWrap/>
            <w:hideMark/>
          </w:tcPr>
          <w:p w14:paraId="08D2FAF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571</w:t>
            </w:r>
          </w:p>
        </w:tc>
        <w:tc>
          <w:tcPr>
            <w:tcW w:w="1319" w:type="dxa"/>
            <w:tcBorders>
              <w:top w:val="nil"/>
              <w:left w:val="nil"/>
              <w:bottom w:val="single" w:sz="4" w:space="0" w:color="auto"/>
              <w:right w:val="single" w:sz="4" w:space="0" w:color="auto"/>
            </w:tcBorders>
            <w:shd w:val="clear" w:color="auto" w:fill="auto"/>
            <w:noWrap/>
            <w:hideMark/>
          </w:tcPr>
          <w:p w14:paraId="20F375A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611 400</w:t>
            </w:r>
          </w:p>
        </w:tc>
      </w:tr>
      <w:tr w:rsidR="00ED15CD" w:rsidRPr="00632442" w14:paraId="5F57D065" w14:textId="77777777" w:rsidTr="00ED15CD">
        <w:trPr>
          <w:gridAfter w:val="5"/>
          <w:wAfter w:w="6440" w:type="dxa"/>
          <w:trHeight w:val="108"/>
        </w:trPr>
        <w:tc>
          <w:tcPr>
            <w:tcW w:w="4073" w:type="dxa"/>
            <w:tcBorders>
              <w:top w:val="nil"/>
              <w:left w:val="single" w:sz="4" w:space="0" w:color="auto"/>
              <w:bottom w:val="single" w:sz="4" w:space="0" w:color="auto"/>
              <w:right w:val="single" w:sz="4" w:space="0" w:color="auto"/>
            </w:tcBorders>
            <w:shd w:val="clear" w:color="auto" w:fill="auto"/>
            <w:noWrap/>
            <w:hideMark/>
          </w:tcPr>
          <w:p w14:paraId="272AD76C"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Valsts sociālās apdrošināšanas pabalsti naudā – kopā</w:t>
            </w:r>
          </w:p>
        </w:tc>
        <w:tc>
          <w:tcPr>
            <w:tcW w:w="1126" w:type="dxa"/>
            <w:tcBorders>
              <w:top w:val="nil"/>
              <w:left w:val="nil"/>
              <w:bottom w:val="single" w:sz="4" w:space="0" w:color="auto"/>
              <w:right w:val="single" w:sz="4" w:space="0" w:color="auto"/>
            </w:tcBorders>
            <w:shd w:val="clear" w:color="auto" w:fill="auto"/>
            <w:noWrap/>
            <w:hideMark/>
          </w:tcPr>
          <w:p w14:paraId="31971191"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single" w:sz="4" w:space="0" w:color="auto"/>
              <w:right w:val="single" w:sz="4" w:space="0" w:color="auto"/>
            </w:tcBorders>
            <w:shd w:val="clear" w:color="auto" w:fill="auto"/>
            <w:noWrap/>
            <w:hideMark/>
          </w:tcPr>
          <w:p w14:paraId="0B89BE85"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single" w:sz="4" w:space="0" w:color="auto"/>
              <w:right w:val="single" w:sz="4" w:space="0" w:color="auto"/>
            </w:tcBorders>
            <w:shd w:val="clear" w:color="auto" w:fill="auto"/>
            <w:noWrap/>
            <w:hideMark/>
          </w:tcPr>
          <w:p w14:paraId="3E5EBBC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566 635 809</w:t>
            </w:r>
          </w:p>
        </w:tc>
        <w:tc>
          <w:tcPr>
            <w:tcW w:w="1125" w:type="dxa"/>
            <w:tcBorders>
              <w:top w:val="nil"/>
              <w:left w:val="nil"/>
              <w:bottom w:val="single" w:sz="4" w:space="0" w:color="auto"/>
              <w:right w:val="single" w:sz="4" w:space="0" w:color="auto"/>
            </w:tcBorders>
            <w:shd w:val="clear" w:color="auto" w:fill="auto"/>
            <w:noWrap/>
            <w:hideMark/>
          </w:tcPr>
          <w:p w14:paraId="535765E3"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single" w:sz="4" w:space="0" w:color="auto"/>
              <w:right w:val="single" w:sz="4" w:space="0" w:color="auto"/>
            </w:tcBorders>
            <w:shd w:val="clear" w:color="auto" w:fill="auto"/>
            <w:noWrap/>
            <w:hideMark/>
          </w:tcPr>
          <w:p w14:paraId="5AEC9B11"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single" w:sz="4" w:space="0" w:color="auto"/>
              <w:right w:val="single" w:sz="4" w:space="0" w:color="auto"/>
            </w:tcBorders>
            <w:shd w:val="clear" w:color="auto" w:fill="auto"/>
            <w:noWrap/>
            <w:hideMark/>
          </w:tcPr>
          <w:p w14:paraId="4205C0B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605 299 690</w:t>
            </w:r>
          </w:p>
        </w:tc>
        <w:tc>
          <w:tcPr>
            <w:tcW w:w="845" w:type="dxa"/>
            <w:tcBorders>
              <w:top w:val="nil"/>
              <w:left w:val="nil"/>
              <w:bottom w:val="single" w:sz="4" w:space="0" w:color="auto"/>
              <w:right w:val="single" w:sz="4" w:space="0" w:color="auto"/>
            </w:tcBorders>
            <w:shd w:val="clear" w:color="auto" w:fill="auto"/>
            <w:noWrap/>
            <w:hideMark/>
          </w:tcPr>
          <w:p w14:paraId="71BE97F3"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single" w:sz="4" w:space="0" w:color="auto"/>
              <w:right w:val="single" w:sz="4" w:space="0" w:color="auto"/>
            </w:tcBorders>
            <w:shd w:val="clear" w:color="auto" w:fill="auto"/>
            <w:noWrap/>
            <w:hideMark/>
          </w:tcPr>
          <w:p w14:paraId="37D827F5"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319" w:type="dxa"/>
            <w:tcBorders>
              <w:top w:val="nil"/>
              <w:left w:val="nil"/>
              <w:bottom w:val="single" w:sz="4" w:space="0" w:color="auto"/>
              <w:right w:val="single" w:sz="4" w:space="0" w:color="auto"/>
            </w:tcBorders>
            <w:shd w:val="clear" w:color="auto" w:fill="auto"/>
            <w:noWrap/>
            <w:hideMark/>
          </w:tcPr>
          <w:p w14:paraId="7A81C46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637 687 673</w:t>
            </w:r>
          </w:p>
        </w:tc>
      </w:tr>
      <w:tr w:rsidR="00ED15CD" w:rsidRPr="00632442" w14:paraId="5E67BCBD" w14:textId="77777777" w:rsidTr="00ED15CD">
        <w:trPr>
          <w:gridAfter w:val="5"/>
          <w:wAfter w:w="6440" w:type="dxa"/>
          <w:trHeight w:val="270"/>
        </w:trPr>
        <w:tc>
          <w:tcPr>
            <w:tcW w:w="4073" w:type="dxa"/>
            <w:tcBorders>
              <w:top w:val="nil"/>
              <w:left w:val="single" w:sz="4" w:space="0" w:color="auto"/>
              <w:bottom w:val="single" w:sz="4" w:space="0" w:color="auto"/>
              <w:right w:val="single" w:sz="4" w:space="0" w:color="auto"/>
            </w:tcBorders>
            <w:shd w:val="clear" w:color="auto" w:fill="auto"/>
            <w:noWrap/>
            <w:hideMark/>
          </w:tcPr>
          <w:p w14:paraId="46E2A901" w14:textId="77777777" w:rsidR="00632442" w:rsidRPr="00632442" w:rsidRDefault="00632442" w:rsidP="00632442">
            <w:pPr>
              <w:spacing w:after="0"/>
              <w:ind w:firstLineChars="100" w:firstLine="180"/>
              <w:jc w:val="left"/>
              <w:rPr>
                <w:rFonts w:eastAsia="Times New Roman" w:cs="Times New Roman"/>
                <w:i/>
                <w:iCs/>
                <w:sz w:val="18"/>
                <w:szCs w:val="18"/>
                <w:highlight w:val="lightGray"/>
              </w:rPr>
            </w:pPr>
            <w:r w:rsidRPr="00632442">
              <w:rPr>
                <w:rFonts w:eastAsia="Calibri" w:cs="Times New Roman"/>
                <w:i/>
                <w:iCs/>
                <w:sz w:val="18"/>
                <w:szCs w:val="18"/>
                <w:lang w:eastAsia="en-US"/>
              </w:rPr>
              <w:t>tajā skaitā:</w:t>
            </w:r>
          </w:p>
        </w:tc>
        <w:tc>
          <w:tcPr>
            <w:tcW w:w="1126" w:type="dxa"/>
            <w:tcBorders>
              <w:top w:val="nil"/>
              <w:left w:val="nil"/>
              <w:bottom w:val="single" w:sz="4" w:space="0" w:color="auto"/>
              <w:right w:val="single" w:sz="4" w:space="0" w:color="auto"/>
            </w:tcBorders>
            <w:shd w:val="clear" w:color="auto" w:fill="auto"/>
            <w:noWrap/>
            <w:hideMark/>
          </w:tcPr>
          <w:p w14:paraId="007A5DF0"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85" w:type="dxa"/>
            <w:tcBorders>
              <w:top w:val="nil"/>
              <w:left w:val="nil"/>
              <w:bottom w:val="single" w:sz="4" w:space="0" w:color="auto"/>
              <w:right w:val="single" w:sz="4" w:space="0" w:color="auto"/>
            </w:tcBorders>
            <w:shd w:val="clear" w:color="auto" w:fill="auto"/>
            <w:noWrap/>
            <w:hideMark/>
          </w:tcPr>
          <w:p w14:paraId="71727A1B"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266" w:type="dxa"/>
            <w:tcBorders>
              <w:top w:val="nil"/>
              <w:left w:val="nil"/>
              <w:bottom w:val="single" w:sz="4" w:space="0" w:color="auto"/>
              <w:right w:val="single" w:sz="4" w:space="0" w:color="auto"/>
            </w:tcBorders>
            <w:shd w:val="clear" w:color="auto" w:fill="auto"/>
            <w:noWrap/>
            <w:hideMark/>
          </w:tcPr>
          <w:p w14:paraId="4FC3474F"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nil"/>
              <w:left w:val="nil"/>
              <w:bottom w:val="single" w:sz="4" w:space="0" w:color="auto"/>
              <w:right w:val="single" w:sz="4" w:space="0" w:color="auto"/>
            </w:tcBorders>
            <w:shd w:val="clear" w:color="auto" w:fill="auto"/>
            <w:noWrap/>
            <w:hideMark/>
          </w:tcPr>
          <w:p w14:paraId="11937D7D"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84" w:type="dxa"/>
            <w:tcBorders>
              <w:top w:val="nil"/>
              <w:left w:val="nil"/>
              <w:bottom w:val="single" w:sz="4" w:space="0" w:color="auto"/>
              <w:right w:val="single" w:sz="4" w:space="0" w:color="auto"/>
            </w:tcBorders>
            <w:shd w:val="clear" w:color="auto" w:fill="auto"/>
            <w:noWrap/>
            <w:hideMark/>
          </w:tcPr>
          <w:p w14:paraId="6241EB71"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265" w:type="dxa"/>
            <w:tcBorders>
              <w:top w:val="nil"/>
              <w:left w:val="nil"/>
              <w:bottom w:val="single" w:sz="4" w:space="0" w:color="auto"/>
              <w:right w:val="single" w:sz="4" w:space="0" w:color="auto"/>
            </w:tcBorders>
            <w:shd w:val="clear" w:color="auto" w:fill="auto"/>
            <w:noWrap/>
            <w:hideMark/>
          </w:tcPr>
          <w:p w14:paraId="15F22F63"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nil"/>
              <w:left w:val="nil"/>
              <w:bottom w:val="single" w:sz="4" w:space="0" w:color="auto"/>
              <w:right w:val="single" w:sz="4" w:space="0" w:color="auto"/>
            </w:tcBorders>
            <w:shd w:val="clear" w:color="auto" w:fill="auto"/>
            <w:noWrap/>
            <w:hideMark/>
          </w:tcPr>
          <w:p w14:paraId="07109A92"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64" w:type="dxa"/>
            <w:tcBorders>
              <w:top w:val="nil"/>
              <w:left w:val="nil"/>
              <w:bottom w:val="single" w:sz="4" w:space="0" w:color="auto"/>
              <w:right w:val="single" w:sz="4" w:space="0" w:color="auto"/>
            </w:tcBorders>
            <w:shd w:val="clear" w:color="auto" w:fill="auto"/>
            <w:noWrap/>
            <w:hideMark/>
          </w:tcPr>
          <w:p w14:paraId="23068FF5"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319" w:type="dxa"/>
            <w:tcBorders>
              <w:top w:val="nil"/>
              <w:left w:val="nil"/>
              <w:bottom w:val="single" w:sz="4" w:space="0" w:color="auto"/>
              <w:right w:val="single" w:sz="4" w:space="0" w:color="auto"/>
            </w:tcBorders>
            <w:shd w:val="clear" w:color="auto" w:fill="auto"/>
            <w:noWrap/>
            <w:hideMark/>
          </w:tcPr>
          <w:p w14:paraId="4DCD7754"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6B9019EC" w14:textId="77777777" w:rsidTr="00ED15CD">
        <w:trPr>
          <w:gridAfter w:val="5"/>
          <w:wAfter w:w="6440" w:type="dxa"/>
          <w:trHeight w:val="276"/>
        </w:trPr>
        <w:tc>
          <w:tcPr>
            <w:tcW w:w="4073" w:type="dxa"/>
            <w:tcBorders>
              <w:top w:val="nil"/>
              <w:left w:val="single" w:sz="4" w:space="0" w:color="auto"/>
              <w:bottom w:val="single" w:sz="4" w:space="0" w:color="auto"/>
              <w:right w:val="single" w:sz="4" w:space="0" w:color="auto"/>
            </w:tcBorders>
            <w:shd w:val="clear" w:color="auto" w:fill="auto"/>
            <w:noWrap/>
            <w:hideMark/>
          </w:tcPr>
          <w:p w14:paraId="4CC075BA"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Slimības pabalsts</w:t>
            </w:r>
          </w:p>
        </w:tc>
        <w:tc>
          <w:tcPr>
            <w:tcW w:w="1126" w:type="dxa"/>
            <w:tcBorders>
              <w:top w:val="nil"/>
              <w:left w:val="nil"/>
              <w:bottom w:val="single" w:sz="4" w:space="0" w:color="auto"/>
              <w:right w:val="single" w:sz="4" w:space="0" w:color="auto"/>
            </w:tcBorders>
            <w:shd w:val="clear" w:color="auto" w:fill="auto"/>
            <w:noWrap/>
            <w:hideMark/>
          </w:tcPr>
          <w:p w14:paraId="0E713CF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1 311,06</w:t>
            </w:r>
          </w:p>
        </w:tc>
        <w:tc>
          <w:tcPr>
            <w:tcW w:w="985" w:type="dxa"/>
            <w:tcBorders>
              <w:top w:val="nil"/>
              <w:left w:val="nil"/>
              <w:bottom w:val="single" w:sz="4" w:space="0" w:color="auto"/>
              <w:right w:val="single" w:sz="4" w:space="0" w:color="auto"/>
            </w:tcBorders>
            <w:shd w:val="clear" w:color="auto" w:fill="auto"/>
            <w:noWrap/>
            <w:hideMark/>
          </w:tcPr>
          <w:p w14:paraId="293C5B6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20 733</w:t>
            </w:r>
          </w:p>
        </w:tc>
        <w:tc>
          <w:tcPr>
            <w:tcW w:w="1266" w:type="dxa"/>
            <w:tcBorders>
              <w:top w:val="nil"/>
              <w:left w:val="nil"/>
              <w:bottom w:val="single" w:sz="4" w:space="0" w:color="auto"/>
              <w:right w:val="single" w:sz="4" w:space="0" w:color="auto"/>
            </w:tcBorders>
            <w:shd w:val="clear" w:color="auto" w:fill="auto"/>
            <w:noWrap/>
            <w:hideMark/>
          </w:tcPr>
          <w:p w14:paraId="0B8BFE9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326 187 715</w:t>
            </w:r>
          </w:p>
        </w:tc>
        <w:tc>
          <w:tcPr>
            <w:tcW w:w="1125" w:type="dxa"/>
            <w:tcBorders>
              <w:top w:val="nil"/>
              <w:left w:val="nil"/>
              <w:bottom w:val="single" w:sz="4" w:space="0" w:color="auto"/>
              <w:right w:val="single" w:sz="4" w:space="0" w:color="auto"/>
            </w:tcBorders>
            <w:shd w:val="clear" w:color="auto" w:fill="auto"/>
            <w:noWrap/>
            <w:hideMark/>
          </w:tcPr>
          <w:p w14:paraId="14B30E8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1 421,29</w:t>
            </w:r>
          </w:p>
        </w:tc>
        <w:tc>
          <w:tcPr>
            <w:tcW w:w="984" w:type="dxa"/>
            <w:tcBorders>
              <w:top w:val="nil"/>
              <w:left w:val="nil"/>
              <w:bottom w:val="single" w:sz="4" w:space="0" w:color="auto"/>
              <w:right w:val="single" w:sz="4" w:space="0" w:color="auto"/>
            </w:tcBorders>
            <w:shd w:val="clear" w:color="auto" w:fill="auto"/>
            <w:noWrap/>
            <w:hideMark/>
          </w:tcPr>
          <w:p w14:paraId="3441D7F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20 122</w:t>
            </w:r>
          </w:p>
        </w:tc>
        <w:tc>
          <w:tcPr>
            <w:tcW w:w="1265" w:type="dxa"/>
            <w:tcBorders>
              <w:top w:val="nil"/>
              <w:left w:val="nil"/>
              <w:bottom w:val="single" w:sz="4" w:space="0" w:color="auto"/>
              <w:right w:val="single" w:sz="4" w:space="0" w:color="auto"/>
            </w:tcBorders>
            <w:shd w:val="clear" w:color="auto" w:fill="auto"/>
            <w:noWrap/>
            <w:hideMark/>
          </w:tcPr>
          <w:p w14:paraId="5D07070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343 191 199</w:t>
            </w:r>
          </w:p>
        </w:tc>
        <w:tc>
          <w:tcPr>
            <w:tcW w:w="845" w:type="dxa"/>
            <w:tcBorders>
              <w:top w:val="nil"/>
              <w:left w:val="nil"/>
              <w:bottom w:val="single" w:sz="4" w:space="0" w:color="auto"/>
              <w:right w:val="single" w:sz="4" w:space="0" w:color="auto"/>
            </w:tcBorders>
            <w:shd w:val="clear" w:color="auto" w:fill="auto"/>
            <w:noWrap/>
            <w:hideMark/>
          </w:tcPr>
          <w:p w14:paraId="71A591C0" w14:textId="77777777" w:rsidR="00632442" w:rsidRPr="00632442" w:rsidRDefault="00632442" w:rsidP="005F7796">
            <w:pPr>
              <w:spacing w:after="0"/>
              <w:ind w:firstLine="0"/>
              <w:rPr>
                <w:rFonts w:eastAsia="Times New Roman" w:cs="Times New Roman"/>
                <w:sz w:val="18"/>
                <w:szCs w:val="18"/>
                <w:highlight w:val="lightGray"/>
              </w:rPr>
            </w:pPr>
            <w:r w:rsidRPr="00632442">
              <w:rPr>
                <w:rFonts w:eastAsia="Calibri" w:cs="Times New Roman"/>
                <w:sz w:val="18"/>
                <w:szCs w:val="18"/>
                <w:lang w:eastAsia="en-US"/>
              </w:rPr>
              <w:t>1 518,18</w:t>
            </w:r>
          </w:p>
        </w:tc>
        <w:tc>
          <w:tcPr>
            <w:tcW w:w="964" w:type="dxa"/>
            <w:tcBorders>
              <w:top w:val="nil"/>
              <w:left w:val="nil"/>
              <w:bottom w:val="single" w:sz="4" w:space="0" w:color="auto"/>
              <w:right w:val="single" w:sz="4" w:space="0" w:color="auto"/>
            </w:tcBorders>
            <w:shd w:val="clear" w:color="auto" w:fill="auto"/>
            <w:noWrap/>
            <w:hideMark/>
          </w:tcPr>
          <w:p w14:paraId="77D5566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19 527</w:t>
            </w:r>
          </w:p>
        </w:tc>
        <w:tc>
          <w:tcPr>
            <w:tcW w:w="1319" w:type="dxa"/>
            <w:tcBorders>
              <w:top w:val="nil"/>
              <w:left w:val="nil"/>
              <w:bottom w:val="single" w:sz="4" w:space="0" w:color="auto"/>
              <w:right w:val="single" w:sz="4" w:space="0" w:color="auto"/>
            </w:tcBorders>
            <w:shd w:val="clear" w:color="auto" w:fill="auto"/>
            <w:noWrap/>
            <w:hideMark/>
          </w:tcPr>
          <w:p w14:paraId="4E609DB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355 746 720</w:t>
            </w:r>
          </w:p>
        </w:tc>
      </w:tr>
      <w:tr w:rsidR="00ED15CD" w:rsidRPr="00632442" w14:paraId="333E8334" w14:textId="77777777" w:rsidTr="00ED15CD">
        <w:trPr>
          <w:gridAfter w:val="5"/>
          <w:wAfter w:w="6440" w:type="dxa"/>
          <w:trHeight w:val="70"/>
        </w:trPr>
        <w:tc>
          <w:tcPr>
            <w:tcW w:w="4073" w:type="dxa"/>
            <w:tcBorders>
              <w:top w:val="nil"/>
              <w:left w:val="single" w:sz="4" w:space="0" w:color="auto"/>
              <w:bottom w:val="single" w:sz="4" w:space="0" w:color="auto"/>
              <w:right w:val="single" w:sz="4" w:space="0" w:color="auto"/>
            </w:tcBorders>
            <w:shd w:val="clear" w:color="auto" w:fill="auto"/>
            <w:noWrap/>
            <w:hideMark/>
          </w:tcPr>
          <w:p w14:paraId="123F70C4"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Maternitātes pabalsts</w:t>
            </w:r>
          </w:p>
        </w:tc>
        <w:tc>
          <w:tcPr>
            <w:tcW w:w="1126" w:type="dxa"/>
            <w:tcBorders>
              <w:top w:val="nil"/>
              <w:left w:val="nil"/>
              <w:bottom w:val="single" w:sz="4" w:space="0" w:color="auto"/>
              <w:right w:val="single" w:sz="4" w:space="0" w:color="auto"/>
            </w:tcBorders>
            <w:shd w:val="clear" w:color="auto" w:fill="auto"/>
            <w:noWrap/>
            <w:hideMark/>
          </w:tcPr>
          <w:p w14:paraId="26D5D6C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4 877,51</w:t>
            </w:r>
          </w:p>
        </w:tc>
        <w:tc>
          <w:tcPr>
            <w:tcW w:w="985" w:type="dxa"/>
            <w:tcBorders>
              <w:top w:val="nil"/>
              <w:left w:val="nil"/>
              <w:bottom w:val="single" w:sz="4" w:space="0" w:color="auto"/>
              <w:right w:val="single" w:sz="4" w:space="0" w:color="auto"/>
            </w:tcBorders>
            <w:shd w:val="clear" w:color="auto" w:fill="auto"/>
            <w:noWrap/>
            <w:hideMark/>
          </w:tcPr>
          <w:p w14:paraId="749CBC3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1 125</w:t>
            </w:r>
          </w:p>
        </w:tc>
        <w:tc>
          <w:tcPr>
            <w:tcW w:w="1266" w:type="dxa"/>
            <w:tcBorders>
              <w:top w:val="nil"/>
              <w:left w:val="nil"/>
              <w:bottom w:val="single" w:sz="4" w:space="0" w:color="auto"/>
              <w:right w:val="single" w:sz="4" w:space="0" w:color="auto"/>
            </w:tcBorders>
            <w:shd w:val="clear" w:color="auto" w:fill="auto"/>
            <w:noWrap/>
            <w:hideMark/>
          </w:tcPr>
          <w:p w14:paraId="3BEDB83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65 846 385</w:t>
            </w:r>
          </w:p>
        </w:tc>
        <w:tc>
          <w:tcPr>
            <w:tcW w:w="1125" w:type="dxa"/>
            <w:tcBorders>
              <w:top w:val="nil"/>
              <w:left w:val="nil"/>
              <w:bottom w:val="single" w:sz="4" w:space="0" w:color="auto"/>
              <w:right w:val="single" w:sz="4" w:space="0" w:color="auto"/>
            </w:tcBorders>
            <w:shd w:val="clear" w:color="auto" w:fill="auto"/>
            <w:noWrap/>
            <w:hideMark/>
          </w:tcPr>
          <w:p w14:paraId="29BFEF6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5 297,32</w:t>
            </w:r>
          </w:p>
        </w:tc>
        <w:tc>
          <w:tcPr>
            <w:tcW w:w="984" w:type="dxa"/>
            <w:tcBorders>
              <w:top w:val="nil"/>
              <w:left w:val="nil"/>
              <w:bottom w:val="single" w:sz="4" w:space="0" w:color="auto"/>
              <w:right w:val="single" w:sz="4" w:space="0" w:color="auto"/>
            </w:tcBorders>
            <w:shd w:val="clear" w:color="auto" w:fill="auto"/>
            <w:noWrap/>
            <w:hideMark/>
          </w:tcPr>
          <w:p w14:paraId="4350978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1 125</w:t>
            </w:r>
          </w:p>
        </w:tc>
        <w:tc>
          <w:tcPr>
            <w:tcW w:w="1265" w:type="dxa"/>
            <w:tcBorders>
              <w:top w:val="nil"/>
              <w:left w:val="nil"/>
              <w:bottom w:val="single" w:sz="4" w:space="0" w:color="auto"/>
              <w:right w:val="single" w:sz="4" w:space="0" w:color="auto"/>
            </w:tcBorders>
            <w:shd w:val="clear" w:color="auto" w:fill="auto"/>
            <w:noWrap/>
            <w:hideMark/>
          </w:tcPr>
          <w:p w14:paraId="05D16CE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71 513 820</w:t>
            </w:r>
          </w:p>
        </w:tc>
        <w:tc>
          <w:tcPr>
            <w:tcW w:w="845" w:type="dxa"/>
            <w:tcBorders>
              <w:top w:val="nil"/>
              <w:left w:val="nil"/>
              <w:bottom w:val="single" w:sz="4" w:space="0" w:color="auto"/>
              <w:right w:val="single" w:sz="4" w:space="0" w:color="auto"/>
            </w:tcBorders>
            <w:shd w:val="clear" w:color="auto" w:fill="auto"/>
            <w:noWrap/>
            <w:hideMark/>
          </w:tcPr>
          <w:p w14:paraId="4E4BE4D6" w14:textId="77777777" w:rsidR="00632442" w:rsidRPr="00632442" w:rsidRDefault="00632442" w:rsidP="005F7796">
            <w:pPr>
              <w:spacing w:after="0"/>
              <w:ind w:firstLine="0"/>
              <w:rPr>
                <w:rFonts w:eastAsia="Times New Roman" w:cs="Times New Roman"/>
                <w:sz w:val="18"/>
                <w:szCs w:val="18"/>
                <w:highlight w:val="lightGray"/>
              </w:rPr>
            </w:pPr>
            <w:r w:rsidRPr="00632442">
              <w:rPr>
                <w:rFonts w:eastAsia="Calibri" w:cs="Times New Roman"/>
                <w:sz w:val="18"/>
                <w:szCs w:val="18"/>
                <w:lang w:eastAsia="en-US"/>
              </w:rPr>
              <w:t>5 669,04</w:t>
            </w:r>
          </w:p>
        </w:tc>
        <w:tc>
          <w:tcPr>
            <w:tcW w:w="964" w:type="dxa"/>
            <w:tcBorders>
              <w:top w:val="nil"/>
              <w:left w:val="nil"/>
              <w:bottom w:val="single" w:sz="4" w:space="0" w:color="auto"/>
              <w:right w:val="single" w:sz="4" w:space="0" w:color="auto"/>
            </w:tcBorders>
            <w:shd w:val="clear" w:color="auto" w:fill="auto"/>
            <w:noWrap/>
            <w:hideMark/>
          </w:tcPr>
          <w:p w14:paraId="5096B67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1 125</w:t>
            </w:r>
          </w:p>
        </w:tc>
        <w:tc>
          <w:tcPr>
            <w:tcW w:w="1319" w:type="dxa"/>
            <w:tcBorders>
              <w:top w:val="nil"/>
              <w:left w:val="nil"/>
              <w:bottom w:val="single" w:sz="4" w:space="0" w:color="auto"/>
              <w:right w:val="single" w:sz="4" w:space="0" w:color="auto"/>
            </w:tcBorders>
            <w:shd w:val="clear" w:color="auto" w:fill="auto"/>
            <w:noWrap/>
            <w:hideMark/>
          </w:tcPr>
          <w:p w14:paraId="40E1D89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76 532 040</w:t>
            </w:r>
          </w:p>
        </w:tc>
      </w:tr>
      <w:tr w:rsidR="00ED15CD" w:rsidRPr="00632442" w14:paraId="54150638" w14:textId="77777777" w:rsidTr="00ED15CD">
        <w:trPr>
          <w:gridAfter w:val="5"/>
          <w:wAfter w:w="6440" w:type="dxa"/>
          <w:trHeight w:val="120"/>
        </w:trPr>
        <w:tc>
          <w:tcPr>
            <w:tcW w:w="4073" w:type="dxa"/>
            <w:tcBorders>
              <w:top w:val="nil"/>
              <w:left w:val="single" w:sz="4" w:space="0" w:color="auto"/>
              <w:bottom w:val="single" w:sz="4" w:space="0" w:color="auto"/>
              <w:right w:val="single" w:sz="4" w:space="0" w:color="auto"/>
            </w:tcBorders>
            <w:shd w:val="clear" w:color="auto" w:fill="auto"/>
            <w:noWrap/>
            <w:hideMark/>
          </w:tcPr>
          <w:p w14:paraId="003C28C7"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Apbedīšanas pabalsts</w:t>
            </w:r>
          </w:p>
        </w:tc>
        <w:tc>
          <w:tcPr>
            <w:tcW w:w="1126" w:type="dxa"/>
            <w:tcBorders>
              <w:top w:val="nil"/>
              <w:left w:val="nil"/>
              <w:bottom w:val="single" w:sz="4" w:space="0" w:color="auto"/>
              <w:right w:val="single" w:sz="4" w:space="0" w:color="auto"/>
            </w:tcBorders>
            <w:shd w:val="clear" w:color="auto" w:fill="auto"/>
            <w:noWrap/>
            <w:hideMark/>
          </w:tcPr>
          <w:p w14:paraId="1EF5075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2 189,68</w:t>
            </w:r>
          </w:p>
        </w:tc>
        <w:tc>
          <w:tcPr>
            <w:tcW w:w="985" w:type="dxa"/>
            <w:tcBorders>
              <w:top w:val="nil"/>
              <w:left w:val="nil"/>
              <w:bottom w:val="single" w:sz="4" w:space="0" w:color="auto"/>
              <w:right w:val="single" w:sz="4" w:space="0" w:color="auto"/>
            </w:tcBorders>
            <w:shd w:val="clear" w:color="auto" w:fill="auto"/>
            <w:noWrap/>
            <w:hideMark/>
          </w:tcPr>
          <w:p w14:paraId="3926DB5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230</w:t>
            </w:r>
          </w:p>
        </w:tc>
        <w:tc>
          <w:tcPr>
            <w:tcW w:w="1266" w:type="dxa"/>
            <w:tcBorders>
              <w:top w:val="nil"/>
              <w:left w:val="nil"/>
              <w:bottom w:val="single" w:sz="4" w:space="0" w:color="auto"/>
              <w:right w:val="single" w:sz="4" w:space="0" w:color="auto"/>
            </w:tcBorders>
            <w:shd w:val="clear" w:color="auto" w:fill="auto"/>
            <w:noWrap/>
            <w:hideMark/>
          </w:tcPr>
          <w:p w14:paraId="22BA495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6 043 517</w:t>
            </w:r>
          </w:p>
        </w:tc>
        <w:tc>
          <w:tcPr>
            <w:tcW w:w="1125" w:type="dxa"/>
            <w:tcBorders>
              <w:top w:val="nil"/>
              <w:left w:val="nil"/>
              <w:bottom w:val="single" w:sz="4" w:space="0" w:color="auto"/>
              <w:right w:val="single" w:sz="4" w:space="0" w:color="auto"/>
            </w:tcBorders>
            <w:shd w:val="clear" w:color="auto" w:fill="auto"/>
            <w:noWrap/>
            <w:hideMark/>
          </w:tcPr>
          <w:p w14:paraId="5F9C5E2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2 321,32</w:t>
            </w:r>
          </w:p>
        </w:tc>
        <w:tc>
          <w:tcPr>
            <w:tcW w:w="984" w:type="dxa"/>
            <w:tcBorders>
              <w:top w:val="nil"/>
              <w:left w:val="nil"/>
              <w:bottom w:val="single" w:sz="4" w:space="0" w:color="auto"/>
              <w:right w:val="single" w:sz="4" w:space="0" w:color="auto"/>
            </w:tcBorders>
            <w:shd w:val="clear" w:color="auto" w:fill="auto"/>
            <w:noWrap/>
            <w:hideMark/>
          </w:tcPr>
          <w:p w14:paraId="0CD5E0C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240</w:t>
            </w:r>
          </w:p>
        </w:tc>
        <w:tc>
          <w:tcPr>
            <w:tcW w:w="1265" w:type="dxa"/>
            <w:tcBorders>
              <w:top w:val="nil"/>
              <w:left w:val="nil"/>
              <w:bottom w:val="single" w:sz="4" w:space="0" w:color="auto"/>
              <w:right w:val="single" w:sz="4" w:space="0" w:color="auto"/>
            </w:tcBorders>
            <w:shd w:val="clear" w:color="auto" w:fill="auto"/>
            <w:noWrap/>
            <w:hideMark/>
          </w:tcPr>
          <w:p w14:paraId="041E0D5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6 685 402</w:t>
            </w:r>
          </w:p>
        </w:tc>
        <w:tc>
          <w:tcPr>
            <w:tcW w:w="845" w:type="dxa"/>
            <w:tcBorders>
              <w:top w:val="nil"/>
              <w:left w:val="nil"/>
              <w:bottom w:val="single" w:sz="4" w:space="0" w:color="auto"/>
              <w:right w:val="single" w:sz="4" w:space="0" w:color="auto"/>
            </w:tcBorders>
            <w:shd w:val="clear" w:color="auto" w:fill="auto"/>
            <w:noWrap/>
            <w:hideMark/>
          </w:tcPr>
          <w:p w14:paraId="0FF36A0D" w14:textId="77777777" w:rsidR="00632442" w:rsidRPr="00632442" w:rsidRDefault="00632442" w:rsidP="005F7796">
            <w:pPr>
              <w:spacing w:after="0"/>
              <w:ind w:firstLine="0"/>
              <w:rPr>
                <w:rFonts w:eastAsia="Times New Roman" w:cs="Times New Roman"/>
                <w:sz w:val="18"/>
                <w:szCs w:val="18"/>
                <w:highlight w:val="lightGray"/>
              </w:rPr>
            </w:pPr>
            <w:r w:rsidRPr="00632442">
              <w:rPr>
                <w:rFonts w:eastAsia="Calibri" w:cs="Times New Roman"/>
                <w:sz w:val="18"/>
                <w:szCs w:val="18"/>
                <w:lang w:eastAsia="en-US"/>
              </w:rPr>
              <w:t>2 438,40</w:t>
            </w:r>
          </w:p>
        </w:tc>
        <w:tc>
          <w:tcPr>
            <w:tcW w:w="964" w:type="dxa"/>
            <w:tcBorders>
              <w:top w:val="nil"/>
              <w:left w:val="nil"/>
              <w:bottom w:val="single" w:sz="4" w:space="0" w:color="auto"/>
              <w:right w:val="single" w:sz="4" w:space="0" w:color="auto"/>
            </w:tcBorders>
            <w:shd w:val="clear" w:color="auto" w:fill="auto"/>
            <w:noWrap/>
            <w:hideMark/>
          </w:tcPr>
          <w:p w14:paraId="0838303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250</w:t>
            </w:r>
          </w:p>
        </w:tc>
        <w:tc>
          <w:tcPr>
            <w:tcW w:w="1319" w:type="dxa"/>
            <w:tcBorders>
              <w:top w:val="nil"/>
              <w:left w:val="nil"/>
              <w:bottom w:val="single" w:sz="4" w:space="0" w:color="auto"/>
              <w:right w:val="single" w:sz="4" w:space="0" w:color="auto"/>
            </w:tcBorders>
            <w:shd w:val="clear" w:color="auto" w:fill="auto"/>
            <w:noWrap/>
            <w:hideMark/>
          </w:tcPr>
          <w:p w14:paraId="6E9E905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7 315 200</w:t>
            </w:r>
          </w:p>
        </w:tc>
      </w:tr>
      <w:tr w:rsidR="00ED15CD" w:rsidRPr="00632442" w14:paraId="102C110B" w14:textId="77777777" w:rsidTr="00ED15CD">
        <w:trPr>
          <w:gridAfter w:val="5"/>
          <w:wAfter w:w="6440" w:type="dxa"/>
          <w:trHeight w:val="401"/>
        </w:trPr>
        <w:tc>
          <w:tcPr>
            <w:tcW w:w="4073" w:type="dxa"/>
            <w:tcBorders>
              <w:top w:val="nil"/>
              <w:left w:val="single" w:sz="4" w:space="0" w:color="auto"/>
              <w:bottom w:val="single" w:sz="4" w:space="0" w:color="auto"/>
              <w:right w:val="single" w:sz="4" w:space="0" w:color="auto"/>
            </w:tcBorders>
            <w:shd w:val="clear" w:color="auto" w:fill="auto"/>
            <w:hideMark/>
          </w:tcPr>
          <w:p w14:paraId="459C624B" w14:textId="77777777" w:rsidR="00632442" w:rsidRPr="00632442" w:rsidRDefault="00632442" w:rsidP="00632442">
            <w:pPr>
              <w:spacing w:after="0"/>
              <w:ind w:left="321" w:firstLine="0"/>
              <w:jc w:val="right"/>
              <w:rPr>
                <w:rFonts w:eastAsia="Times New Roman" w:cs="Times New Roman"/>
                <w:sz w:val="18"/>
                <w:szCs w:val="18"/>
                <w:highlight w:val="lightGray"/>
              </w:rPr>
            </w:pPr>
            <w:r w:rsidRPr="00632442">
              <w:rPr>
                <w:rFonts w:eastAsia="Calibri" w:cs="Times New Roman"/>
                <w:sz w:val="18"/>
                <w:szCs w:val="18"/>
                <w:lang w:eastAsia="en-US"/>
              </w:rPr>
              <w:t>Kaitējuma atlīdzība ČAES avārijas rezultātā cietušajām personām</w:t>
            </w:r>
          </w:p>
        </w:tc>
        <w:tc>
          <w:tcPr>
            <w:tcW w:w="1126" w:type="dxa"/>
            <w:tcBorders>
              <w:top w:val="nil"/>
              <w:left w:val="nil"/>
              <w:bottom w:val="single" w:sz="4" w:space="0" w:color="auto"/>
              <w:right w:val="single" w:sz="4" w:space="0" w:color="auto"/>
            </w:tcBorders>
            <w:shd w:val="clear" w:color="auto" w:fill="auto"/>
            <w:noWrap/>
            <w:hideMark/>
          </w:tcPr>
          <w:p w14:paraId="1B73A9D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406,07</w:t>
            </w:r>
          </w:p>
        </w:tc>
        <w:tc>
          <w:tcPr>
            <w:tcW w:w="985" w:type="dxa"/>
            <w:tcBorders>
              <w:top w:val="nil"/>
              <w:left w:val="nil"/>
              <w:bottom w:val="single" w:sz="4" w:space="0" w:color="auto"/>
              <w:right w:val="single" w:sz="4" w:space="0" w:color="auto"/>
            </w:tcBorders>
            <w:shd w:val="clear" w:color="auto" w:fill="auto"/>
            <w:noWrap/>
            <w:hideMark/>
          </w:tcPr>
          <w:p w14:paraId="3F46973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2 202</w:t>
            </w:r>
          </w:p>
        </w:tc>
        <w:tc>
          <w:tcPr>
            <w:tcW w:w="1266" w:type="dxa"/>
            <w:tcBorders>
              <w:top w:val="nil"/>
              <w:left w:val="nil"/>
              <w:bottom w:val="single" w:sz="4" w:space="0" w:color="auto"/>
              <w:right w:val="single" w:sz="4" w:space="0" w:color="auto"/>
            </w:tcBorders>
            <w:shd w:val="clear" w:color="auto" w:fill="auto"/>
            <w:noWrap/>
            <w:hideMark/>
          </w:tcPr>
          <w:p w14:paraId="1223B5C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10 729 994</w:t>
            </w:r>
          </w:p>
        </w:tc>
        <w:tc>
          <w:tcPr>
            <w:tcW w:w="1125" w:type="dxa"/>
            <w:tcBorders>
              <w:top w:val="nil"/>
              <w:left w:val="nil"/>
              <w:bottom w:val="single" w:sz="4" w:space="0" w:color="auto"/>
              <w:right w:val="single" w:sz="4" w:space="0" w:color="auto"/>
            </w:tcBorders>
            <w:shd w:val="clear" w:color="auto" w:fill="auto"/>
            <w:noWrap/>
            <w:hideMark/>
          </w:tcPr>
          <w:p w14:paraId="7F007D5C"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428,52</w:t>
            </w:r>
          </w:p>
        </w:tc>
        <w:tc>
          <w:tcPr>
            <w:tcW w:w="984" w:type="dxa"/>
            <w:tcBorders>
              <w:top w:val="nil"/>
              <w:left w:val="nil"/>
              <w:bottom w:val="single" w:sz="4" w:space="0" w:color="auto"/>
              <w:right w:val="single" w:sz="4" w:space="0" w:color="auto"/>
            </w:tcBorders>
            <w:shd w:val="clear" w:color="auto" w:fill="auto"/>
            <w:noWrap/>
            <w:hideMark/>
          </w:tcPr>
          <w:p w14:paraId="50D620D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2 224</w:t>
            </w:r>
          </w:p>
        </w:tc>
        <w:tc>
          <w:tcPr>
            <w:tcW w:w="1265" w:type="dxa"/>
            <w:tcBorders>
              <w:top w:val="nil"/>
              <w:left w:val="nil"/>
              <w:bottom w:val="single" w:sz="4" w:space="0" w:color="auto"/>
              <w:right w:val="single" w:sz="4" w:space="0" w:color="auto"/>
            </w:tcBorders>
            <w:shd w:val="clear" w:color="auto" w:fill="auto"/>
            <w:noWrap/>
            <w:hideMark/>
          </w:tcPr>
          <w:p w14:paraId="41B7B49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11 436 342</w:t>
            </w:r>
          </w:p>
        </w:tc>
        <w:tc>
          <w:tcPr>
            <w:tcW w:w="845" w:type="dxa"/>
            <w:tcBorders>
              <w:top w:val="nil"/>
              <w:left w:val="nil"/>
              <w:bottom w:val="single" w:sz="4" w:space="0" w:color="auto"/>
              <w:right w:val="single" w:sz="4" w:space="0" w:color="auto"/>
            </w:tcBorders>
            <w:shd w:val="clear" w:color="auto" w:fill="auto"/>
            <w:noWrap/>
            <w:hideMark/>
          </w:tcPr>
          <w:p w14:paraId="3F98242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447,97</w:t>
            </w:r>
          </w:p>
        </w:tc>
        <w:tc>
          <w:tcPr>
            <w:tcW w:w="964" w:type="dxa"/>
            <w:tcBorders>
              <w:top w:val="nil"/>
              <w:left w:val="nil"/>
              <w:bottom w:val="single" w:sz="4" w:space="0" w:color="auto"/>
              <w:right w:val="single" w:sz="4" w:space="0" w:color="auto"/>
            </w:tcBorders>
            <w:shd w:val="clear" w:color="auto" w:fill="auto"/>
            <w:noWrap/>
            <w:hideMark/>
          </w:tcPr>
          <w:p w14:paraId="4AAFCC73"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2 246</w:t>
            </w:r>
          </w:p>
        </w:tc>
        <w:tc>
          <w:tcPr>
            <w:tcW w:w="1319" w:type="dxa"/>
            <w:tcBorders>
              <w:top w:val="nil"/>
              <w:left w:val="nil"/>
              <w:bottom w:val="single" w:sz="4" w:space="0" w:color="auto"/>
              <w:right w:val="single" w:sz="4" w:space="0" w:color="auto"/>
            </w:tcBorders>
            <w:shd w:val="clear" w:color="auto" w:fill="auto"/>
            <w:noWrap/>
            <w:hideMark/>
          </w:tcPr>
          <w:p w14:paraId="5543414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12 073 687</w:t>
            </w:r>
          </w:p>
        </w:tc>
      </w:tr>
      <w:tr w:rsidR="00ED15CD" w:rsidRPr="00632442" w14:paraId="68A7740D" w14:textId="77777777" w:rsidTr="00ED15CD">
        <w:trPr>
          <w:gridAfter w:val="5"/>
          <w:wAfter w:w="6440" w:type="dxa"/>
          <w:trHeight w:val="70"/>
        </w:trPr>
        <w:tc>
          <w:tcPr>
            <w:tcW w:w="4073" w:type="dxa"/>
            <w:tcBorders>
              <w:top w:val="nil"/>
              <w:left w:val="single" w:sz="4" w:space="0" w:color="auto"/>
              <w:bottom w:val="single" w:sz="4" w:space="0" w:color="auto"/>
              <w:right w:val="single" w:sz="4" w:space="0" w:color="auto"/>
            </w:tcBorders>
            <w:shd w:val="clear" w:color="auto" w:fill="auto"/>
            <w:hideMark/>
          </w:tcPr>
          <w:p w14:paraId="05969B15"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Paternitātes pabalsts</w:t>
            </w:r>
          </w:p>
        </w:tc>
        <w:tc>
          <w:tcPr>
            <w:tcW w:w="1126" w:type="dxa"/>
            <w:tcBorders>
              <w:top w:val="nil"/>
              <w:left w:val="nil"/>
              <w:bottom w:val="single" w:sz="4" w:space="0" w:color="auto"/>
              <w:right w:val="single" w:sz="4" w:space="0" w:color="auto"/>
            </w:tcBorders>
            <w:shd w:val="clear" w:color="auto" w:fill="auto"/>
            <w:noWrap/>
            <w:hideMark/>
          </w:tcPr>
          <w:p w14:paraId="7DC81E1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748,47</w:t>
            </w:r>
          </w:p>
        </w:tc>
        <w:tc>
          <w:tcPr>
            <w:tcW w:w="985" w:type="dxa"/>
            <w:tcBorders>
              <w:top w:val="nil"/>
              <w:left w:val="nil"/>
              <w:bottom w:val="single" w:sz="4" w:space="0" w:color="auto"/>
              <w:right w:val="single" w:sz="4" w:space="0" w:color="auto"/>
            </w:tcBorders>
            <w:shd w:val="clear" w:color="auto" w:fill="auto"/>
            <w:noWrap/>
            <w:hideMark/>
          </w:tcPr>
          <w:p w14:paraId="013636D0"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800</w:t>
            </w:r>
          </w:p>
        </w:tc>
        <w:tc>
          <w:tcPr>
            <w:tcW w:w="1266" w:type="dxa"/>
            <w:tcBorders>
              <w:top w:val="nil"/>
              <w:left w:val="nil"/>
              <w:bottom w:val="single" w:sz="4" w:space="0" w:color="auto"/>
              <w:right w:val="single" w:sz="4" w:space="0" w:color="auto"/>
            </w:tcBorders>
            <w:shd w:val="clear" w:color="auto" w:fill="auto"/>
            <w:noWrap/>
            <w:hideMark/>
          </w:tcPr>
          <w:p w14:paraId="17E18BB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7 185 312</w:t>
            </w:r>
          </w:p>
        </w:tc>
        <w:tc>
          <w:tcPr>
            <w:tcW w:w="1125" w:type="dxa"/>
            <w:tcBorders>
              <w:top w:val="nil"/>
              <w:left w:val="nil"/>
              <w:bottom w:val="single" w:sz="4" w:space="0" w:color="auto"/>
              <w:right w:val="single" w:sz="4" w:space="0" w:color="auto"/>
            </w:tcBorders>
            <w:shd w:val="clear" w:color="auto" w:fill="auto"/>
            <w:noWrap/>
            <w:hideMark/>
          </w:tcPr>
          <w:p w14:paraId="42BA20F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800,82</w:t>
            </w:r>
          </w:p>
        </w:tc>
        <w:tc>
          <w:tcPr>
            <w:tcW w:w="984" w:type="dxa"/>
            <w:tcBorders>
              <w:top w:val="nil"/>
              <w:left w:val="nil"/>
              <w:bottom w:val="single" w:sz="4" w:space="0" w:color="auto"/>
              <w:right w:val="single" w:sz="4" w:space="0" w:color="auto"/>
            </w:tcBorders>
            <w:shd w:val="clear" w:color="auto" w:fill="auto"/>
            <w:noWrap/>
            <w:hideMark/>
          </w:tcPr>
          <w:p w14:paraId="798F39C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827</w:t>
            </w:r>
          </w:p>
        </w:tc>
        <w:tc>
          <w:tcPr>
            <w:tcW w:w="1265" w:type="dxa"/>
            <w:tcBorders>
              <w:top w:val="nil"/>
              <w:left w:val="nil"/>
              <w:bottom w:val="single" w:sz="4" w:space="0" w:color="auto"/>
              <w:right w:val="single" w:sz="4" w:space="0" w:color="auto"/>
            </w:tcBorders>
            <w:shd w:val="clear" w:color="auto" w:fill="auto"/>
            <w:noWrap/>
            <w:hideMark/>
          </w:tcPr>
          <w:p w14:paraId="06A920B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7 947 338</w:t>
            </w:r>
          </w:p>
        </w:tc>
        <w:tc>
          <w:tcPr>
            <w:tcW w:w="845" w:type="dxa"/>
            <w:tcBorders>
              <w:top w:val="nil"/>
              <w:left w:val="nil"/>
              <w:bottom w:val="single" w:sz="4" w:space="0" w:color="auto"/>
              <w:right w:val="single" w:sz="4" w:space="0" w:color="auto"/>
            </w:tcBorders>
            <w:shd w:val="clear" w:color="auto" w:fill="auto"/>
            <w:noWrap/>
            <w:hideMark/>
          </w:tcPr>
          <w:p w14:paraId="21593C5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843,89</w:t>
            </w:r>
          </w:p>
        </w:tc>
        <w:tc>
          <w:tcPr>
            <w:tcW w:w="964" w:type="dxa"/>
            <w:tcBorders>
              <w:top w:val="nil"/>
              <w:left w:val="nil"/>
              <w:bottom w:val="single" w:sz="4" w:space="0" w:color="auto"/>
              <w:right w:val="single" w:sz="4" w:space="0" w:color="auto"/>
            </w:tcBorders>
            <w:shd w:val="clear" w:color="auto" w:fill="auto"/>
            <w:noWrap/>
            <w:hideMark/>
          </w:tcPr>
          <w:p w14:paraId="776C94F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856</w:t>
            </w:r>
          </w:p>
        </w:tc>
        <w:tc>
          <w:tcPr>
            <w:tcW w:w="1319" w:type="dxa"/>
            <w:tcBorders>
              <w:top w:val="nil"/>
              <w:left w:val="nil"/>
              <w:bottom w:val="single" w:sz="4" w:space="0" w:color="auto"/>
              <w:right w:val="single" w:sz="4" w:space="0" w:color="auto"/>
            </w:tcBorders>
            <w:shd w:val="clear" w:color="auto" w:fill="auto"/>
            <w:noWrap/>
            <w:hideMark/>
          </w:tcPr>
          <w:p w14:paraId="1B9CC7B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8 668 438</w:t>
            </w:r>
          </w:p>
        </w:tc>
      </w:tr>
      <w:tr w:rsidR="00ED15CD" w:rsidRPr="00632442" w14:paraId="717E94CA" w14:textId="77777777" w:rsidTr="00ED15CD">
        <w:trPr>
          <w:gridAfter w:val="5"/>
          <w:wAfter w:w="6440" w:type="dxa"/>
          <w:trHeight w:val="118"/>
        </w:trPr>
        <w:tc>
          <w:tcPr>
            <w:tcW w:w="4073" w:type="dxa"/>
            <w:tcBorders>
              <w:top w:val="nil"/>
              <w:left w:val="single" w:sz="4" w:space="0" w:color="auto"/>
              <w:bottom w:val="single" w:sz="4" w:space="0" w:color="auto"/>
              <w:right w:val="single" w:sz="4" w:space="0" w:color="auto"/>
            </w:tcBorders>
            <w:shd w:val="clear" w:color="auto" w:fill="auto"/>
            <w:hideMark/>
          </w:tcPr>
          <w:p w14:paraId="7B1C011E"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Darbā nodarītā kaitējuma atlīdzība</w:t>
            </w:r>
          </w:p>
        </w:tc>
        <w:tc>
          <w:tcPr>
            <w:tcW w:w="1126" w:type="dxa"/>
            <w:tcBorders>
              <w:top w:val="nil"/>
              <w:left w:val="nil"/>
              <w:bottom w:val="single" w:sz="4" w:space="0" w:color="auto"/>
              <w:right w:val="single" w:sz="4" w:space="0" w:color="auto"/>
            </w:tcBorders>
            <w:shd w:val="clear" w:color="000000" w:fill="FFFFFF"/>
            <w:noWrap/>
            <w:hideMark/>
          </w:tcPr>
          <w:p w14:paraId="7C63D96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171,86</w:t>
            </w:r>
          </w:p>
        </w:tc>
        <w:tc>
          <w:tcPr>
            <w:tcW w:w="985" w:type="dxa"/>
            <w:tcBorders>
              <w:top w:val="nil"/>
              <w:left w:val="nil"/>
              <w:bottom w:val="single" w:sz="4" w:space="0" w:color="auto"/>
              <w:right w:val="single" w:sz="4" w:space="0" w:color="auto"/>
            </w:tcBorders>
            <w:shd w:val="clear" w:color="000000" w:fill="FFFFFF"/>
            <w:noWrap/>
            <w:hideMark/>
          </w:tcPr>
          <w:p w14:paraId="1D9827DA"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1 020</w:t>
            </w:r>
          </w:p>
        </w:tc>
        <w:tc>
          <w:tcPr>
            <w:tcW w:w="1266" w:type="dxa"/>
            <w:tcBorders>
              <w:top w:val="nil"/>
              <w:left w:val="nil"/>
              <w:bottom w:val="single" w:sz="4" w:space="0" w:color="auto"/>
              <w:right w:val="single" w:sz="4" w:space="0" w:color="auto"/>
            </w:tcBorders>
            <w:shd w:val="clear" w:color="auto" w:fill="auto"/>
            <w:noWrap/>
            <w:hideMark/>
          </w:tcPr>
          <w:p w14:paraId="713D8B2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2 103 577</w:t>
            </w:r>
          </w:p>
        </w:tc>
        <w:tc>
          <w:tcPr>
            <w:tcW w:w="1125" w:type="dxa"/>
            <w:tcBorders>
              <w:top w:val="nil"/>
              <w:left w:val="nil"/>
              <w:bottom w:val="single" w:sz="4" w:space="0" w:color="auto"/>
              <w:right w:val="single" w:sz="4" w:space="0" w:color="auto"/>
            </w:tcBorders>
            <w:shd w:val="clear" w:color="000000" w:fill="FFFFFF"/>
            <w:noWrap/>
            <w:hideMark/>
          </w:tcPr>
          <w:p w14:paraId="6110DA9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176,61</w:t>
            </w:r>
          </w:p>
        </w:tc>
        <w:tc>
          <w:tcPr>
            <w:tcW w:w="984" w:type="dxa"/>
            <w:tcBorders>
              <w:top w:val="nil"/>
              <w:left w:val="nil"/>
              <w:bottom w:val="single" w:sz="4" w:space="0" w:color="auto"/>
              <w:right w:val="single" w:sz="4" w:space="0" w:color="auto"/>
            </w:tcBorders>
            <w:shd w:val="clear" w:color="000000" w:fill="FFFFFF"/>
            <w:noWrap/>
            <w:hideMark/>
          </w:tcPr>
          <w:p w14:paraId="5E9DE6E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1 020</w:t>
            </w:r>
          </w:p>
        </w:tc>
        <w:tc>
          <w:tcPr>
            <w:tcW w:w="1265" w:type="dxa"/>
            <w:tcBorders>
              <w:top w:val="nil"/>
              <w:left w:val="nil"/>
              <w:bottom w:val="single" w:sz="4" w:space="0" w:color="auto"/>
              <w:right w:val="single" w:sz="4" w:space="0" w:color="auto"/>
            </w:tcBorders>
            <w:shd w:val="clear" w:color="auto" w:fill="auto"/>
            <w:noWrap/>
            <w:hideMark/>
          </w:tcPr>
          <w:p w14:paraId="6AAF4FC1"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2 161 761</w:t>
            </w:r>
          </w:p>
        </w:tc>
        <w:tc>
          <w:tcPr>
            <w:tcW w:w="845" w:type="dxa"/>
            <w:tcBorders>
              <w:top w:val="nil"/>
              <w:left w:val="nil"/>
              <w:bottom w:val="single" w:sz="4" w:space="0" w:color="auto"/>
              <w:right w:val="single" w:sz="4" w:space="0" w:color="auto"/>
            </w:tcBorders>
            <w:shd w:val="clear" w:color="000000" w:fill="FFFFFF"/>
            <w:noWrap/>
            <w:hideMark/>
          </w:tcPr>
          <w:p w14:paraId="62938F4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181,55</w:t>
            </w:r>
          </w:p>
        </w:tc>
        <w:tc>
          <w:tcPr>
            <w:tcW w:w="964" w:type="dxa"/>
            <w:tcBorders>
              <w:top w:val="nil"/>
              <w:left w:val="nil"/>
              <w:bottom w:val="single" w:sz="4" w:space="0" w:color="auto"/>
              <w:right w:val="single" w:sz="4" w:space="0" w:color="auto"/>
            </w:tcBorders>
            <w:shd w:val="clear" w:color="000000" w:fill="FFFFFF"/>
            <w:noWrap/>
            <w:hideMark/>
          </w:tcPr>
          <w:p w14:paraId="51EC93C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1 020</w:t>
            </w:r>
          </w:p>
        </w:tc>
        <w:tc>
          <w:tcPr>
            <w:tcW w:w="1319" w:type="dxa"/>
            <w:tcBorders>
              <w:top w:val="nil"/>
              <w:left w:val="nil"/>
              <w:bottom w:val="single" w:sz="4" w:space="0" w:color="auto"/>
              <w:right w:val="single" w:sz="4" w:space="0" w:color="auto"/>
            </w:tcBorders>
            <w:shd w:val="clear" w:color="auto" w:fill="auto"/>
            <w:noWrap/>
            <w:hideMark/>
          </w:tcPr>
          <w:p w14:paraId="7BEDEBD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2 222 172</w:t>
            </w:r>
          </w:p>
        </w:tc>
      </w:tr>
      <w:tr w:rsidR="00ED15CD" w:rsidRPr="00632442" w14:paraId="3B31D5B9" w14:textId="77777777" w:rsidTr="00ED15CD">
        <w:trPr>
          <w:gridAfter w:val="5"/>
          <w:wAfter w:w="6440" w:type="dxa"/>
          <w:trHeight w:val="177"/>
        </w:trPr>
        <w:tc>
          <w:tcPr>
            <w:tcW w:w="4073" w:type="dxa"/>
            <w:tcBorders>
              <w:top w:val="nil"/>
              <w:left w:val="single" w:sz="4" w:space="0" w:color="auto"/>
              <w:bottom w:val="single" w:sz="4" w:space="0" w:color="auto"/>
              <w:right w:val="single" w:sz="4" w:space="0" w:color="auto"/>
            </w:tcBorders>
            <w:shd w:val="clear" w:color="auto" w:fill="auto"/>
            <w:hideMark/>
          </w:tcPr>
          <w:p w14:paraId="201EEE04" w14:textId="77777777" w:rsidR="00632442" w:rsidRPr="00632442" w:rsidRDefault="00632442" w:rsidP="00632442">
            <w:pPr>
              <w:spacing w:after="0"/>
              <w:ind w:firstLineChars="200" w:firstLine="360"/>
              <w:jc w:val="right"/>
              <w:rPr>
                <w:rFonts w:eastAsia="Times New Roman" w:cs="Times New Roman"/>
                <w:sz w:val="18"/>
                <w:szCs w:val="18"/>
                <w:highlight w:val="lightGray"/>
              </w:rPr>
            </w:pPr>
            <w:r w:rsidRPr="00632442">
              <w:rPr>
                <w:rFonts w:eastAsia="Calibri" w:cs="Times New Roman"/>
                <w:sz w:val="18"/>
                <w:szCs w:val="18"/>
                <w:lang w:eastAsia="en-US"/>
              </w:rPr>
              <w:t>Vecāku pabalsts</w:t>
            </w:r>
          </w:p>
        </w:tc>
        <w:tc>
          <w:tcPr>
            <w:tcW w:w="1126" w:type="dxa"/>
            <w:tcBorders>
              <w:top w:val="nil"/>
              <w:left w:val="nil"/>
              <w:bottom w:val="single" w:sz="4" w:space="0" w:color="auto"/>
              <w:right w:val="single" w:sz="4" w:space="0" w:color="auto"/>
            </w:tcBorders>
            <w:shd w:val="clear" w:color="auto" w:fill="auto"/>
            <w:noWrap/>
            <w:hideMark/>
          </w:tcPr>
          <w:p w14:paraId="5D9DC0D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672,02</w:t>
            </w:r>
          </w:p>
        </w:tc>
        <w:tc>
          <w:tcPr>
            <w:tcW w:w="985" w:type="dxa"/>
            <w:tcBorders>
              <w:top w:val="nil"/>
              <w:left w:val="nil"/>
              <w:bottom w:val="single" w:sz="4" w:space="0" w:color="auto"/>
              <w:right w:val="single" w:sz="4" w:space="0" w:color="auto"/>
            </w:tcBorders>
            <w:shd w:val="clear" w:color="auto" w:fill="auto"/>
            <w:noWrap/>
            <w:hideMark/>
          </w:tcPr>
          <w:p w14:paraId="07FB79C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18 350</w:t>
            </w:r>
          </w:p>
        </w:tc>
        <w:tc>
          <w:tcPr>
            <w:tcW w:w="1266" w:type="dxa"/>
            <w:tcBorders>
              <w:top w:val="nil"/>
              <w:left w:val="nil"/>
              <w:bottom w:val="single" w:sz="4" w:space="0" w:color="auto"/>
              <w:right w:val="single" w:sz="4" w:space="0" w:color="auto"/>
            </w:tcBorders>
            <w:shd w:val="clear" w:color="auto" w:fill="auto"/>
            <w:noWrap/>
            <w:hideMark/>
          </w:tcPr>
          <w:p w14:paraId="557ABAC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147 978 804</w:t>
            </w:r>
          </w:p>
        </w:tc>
        <w:tc>
          <w:tcPr>
            <w:tcW w:w="1125" w:type="dxa"/>
            <w:tcBorders>
              <w:top w:val="nil"/>
              <w:left w:val="nil"/>
              <w:bottom w:val="single" w:sz="4" w:space="0" w:color="auto"/>
              <w:right w:val="single" w:sz="4" w:space="0" w:color="auto"/>
            </w:tcBorders>
            <w:shd w:val="clear" w:color="auto" w:fill="auto"/>
            <w:noWrap/>
            <w:hideMark/>
          </w:tcPr>
          <w:p w14:paraId="605D349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734,64</w:t>
            </w:r>
          </w:p>
        </w:tc>
        <w:tc>
          <w:tcPr>
            <w:tcW w:w="984" w:type="dxa"/>
            <w:tcBorders>
              <w:top w:val="nil"/>
              <w:left w:val="nil"/>
              <w:bottom w:val="single" w:sz="4" w:space="0" w:color="auto"/>
              <w:right w:val="single" w:sz="4" w:space="0" w:color="auto"/>
            </w:tcBorders>
            <w:shd w:val="clear" w:color="auto" w:fill="auto"/>
            <w:noWrap/>
            <w:hideMark/>
          </w:tcPr>
          <w:p w14:paraId="72B6A6A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18 350</w:t>
            </w:r>
          </w:p>
        </w:tc>
        <w:tc>
          <w:tcPr>
            <w:tcW w:w="1265" w:type="dxa"/>
            <w:tcBorders>
              <w:top w:val="nil"/>
              <w:left w:val="nil"/>
              <w:bottom w:val="single" w:sz="4" w:space="0" w:color="auto"/>
              <w:right w:val="single" w:sz="4" w:space="0" w:color="auto"/>
            </w:tcBorders>
            <w:shd w:val="clear" w:color="auto" w:fill="auto"/>
            <w:noWrap/>
            <w:hideMark/>
          </w:tcPr>
          <w:p w14:paraId="6424E1F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161 767 728</w:t>
            </w:r>
          </w:p>
        </w:tc>
        <w:tc>
          <w:tcPr>
            <w:tcW w:w="845" w:type="dxa"/>
            <w:tcBorders>
              <w:top w:val="nil"/>
              <w:left w:val="nil"/>
              <w:bottom w:val="single" w:sz="4" w:space="0" w:color="auto"/>
              <w:right w:val="single" w:sz="4" w:space="0" w:color="auto"/>
            </w:tcBorders>
            <w:shd w:val="clear" w:color="auto" w:fill="auto"/>
            <w:noWrap/>
            <w:hideMark/>
          </w:tcPr>
          <w:p w14:paraId="75FD6D4F"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792,38</w:t>
            </w:r>
          </w:p>
        </w:tc>
        <w:tc>
          <w:tcPr>
            <w:tcW w:w="964" w:type="dxa"/>
            <w:tcBorders>
              <w:top w:val="nil"/>
              <w:left w:val="nil"/>
              <w:bottom w:val="single" w:sz="4" w:space="0" w:color="auto"/>
              <w:right w:val="single" w:sz="4" w:space="0" w:color="auto"/>
            </w:tcBorders>
            <w:shd w:val="clear" w:color="auto" w:fill="auto"/>
            <w:noWrap/>
            <w:hideMark/>
          </w:tcPr>
          <w:p w14:paraId="165772D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18 350</w:t>
            </w:r>
          </w:p>
        </w:tc>
        <w:tc>
          <w:tcPr>
            <w:tcW w:w="1319" w:type="dxa"/>
            <w:tcBorders>
              <w:top w:val="nil"/>
              <w:left w:val="nil"/>
              <w:bottom w:val="single" w:sz="4" w:space="0" w:color="auto"/>
              <w:right w:val="single" w:sz="4" w:space="0" w:color="auto"/>
            </w:tcBorders>
            <w:shd w:val="clear" w:color="auto" w:fill="auto"/>
            <w:noWrap/>
            <w:hideMark/>
          </w:tcPr>
          <w:p w14:paraId="33DCDDB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174 482 076</w:t>
            </w:r>
          </w:p>
        </w:tc>
      </w:tr>
      <w:tr w:rsidR="00ED15CD" w:rsidRPr="00632442" w14:paraId="7070D0B8" w14:textId="77777777" w:rsidTr="00ED15CD">
        <w:trPr>
          <w:gridAfter w:val="5"/>
          <w:wAfter w:w="6440" w:type="dxa"/>
          <w:trHeight w:val="251"/>
        </w:trPr>
        <w:tc>
          <w:tcPr>
            <w:tcW w:w="4073" w:type="dxa"/>
            <w:tcBorders>
              <w:top w:val="nil"/>
              <w:left w:val="single" w:sz="4" w:space="0" w:color="auto"/>
              <w:bottom w:val="single" w:sz="4" w:space="0" w:color="auto"/>
              <w:right w:val="single" w:sz="4" w:space="0" w:color="auto"/>
            </w:tcBorders>
            <w:shd w:val="clear" w:color="auto" w:fill="auto"/>
            <w:hideMark/>
          </w:tcPr>
          <w:p w14:paraId="01E0EECE" w14:textId="77777777" w:rsidR="00632442" w:rsidRPr="00632442" w:rsidRDefault="00632442" w:rsidP="00632442">
            <w:pPr>
              <w:spacing w:after="0"/>
              <w:ind w:left="321" w:firstLineChars="21" w:firstLine="38"/>
              <w:jc w:val="right"/>
              <w:rPr>
                <w:rFonts w:eastAsia="Times New Roman" w:cs="Times New Roman"/>
                <w:sz w:val="18"/>
                <w:szCs w:val="18"/>
                <w:highlight w:val="lightGray"/>
              </w:rPr>
            </w:pPr>
            <w:r w:rsidRPr="00632442">
              <w:rPr>
                <w:rFonts w:eastAsia="Calibri" w:cs="Times New Roman"/>
                <w:sz w:val="18"/>
                <w:szCs w:val="18"/>
                <w:lang w:eastAsia="en-US"/>
              </w:rPr>
              <w:t>Pabalsts pensijas saņēmēja nāves gadījumā pārdzīvojušam laulātajam</w:t>
            </w:r>
          </w:p>
        </w:tc>
        <w:tc>
          <w:tcPr>
            <w:tcW w:w="1126" w:type="dxa"/>
            <w:tcBorders>
              <w:top w:val="nil"/>
              <w:left w:val="nil"/>
              <w:bottom w:val="single" w:sz="4" w:space="0" w:color="auto"/>
              <w:right w:val="single" w:sz="4" w:space="0" w:color="auto"/>
            </w:tcBorders>
            <w:shd w:val="clear" w:color="auto" w:fill="auto"/>
            <w:noWrap/>
            <w:hideMark/>
          </w:tcPr>
          <w:p w14:paraId="2D360B1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186,84</w:t>
            </w:r>
          </w:p>
        </w:tc>
        <w:tc>
          <w:tcPr>
            <w:tcW w:w="985" w:type="dxa"/>
            <w:tcBorders>
              <w:top w:val="nil"/>
              <w:left w:val="nil"/>
              <w:bottom w:val="single" w:sz="4" w:space="0" w:color="auto"/>
              <w:right w:val="single" w:sz="4" w:space="0" w:color="auto"/>
            </w:tcBorders>
            <w:shd w:val="clear" w:color="auto" w:fill="auto"/>
            <w:noWrap/>
            <w:hideMark/>
          </w:tcPr>
          <w:p w14:paraId="0D5411F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250</w:t>
            </w:r>
          </w:p>
        </w:tc>
        <w:tc>
          <w:tcPr>
            <w:tcW w:w="1266" w:type="dxa"/>
            <w:tcBorders>
              <w:top w:val="nil"/>
              <w:left w:val="nil"/>
              <w:bottom w:val="single" w:sz="4" w:space="0" w:color="auto"/>
              <w:right w:val="single" w:sz="4" w:space="0" w:color="auto"/>
            </w:tcBorders>
            <w:shd w:val="clear" w:color="auto" w:fill="auto"/>
            <w:noWrap/>
            <w:hideMark/>
          </w:tcPr>
          <w:p w14:paraId="6D4188A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560 505</w:t>
            </w:r>
          </w:p>
        </w:tc>
        <w:tc>
          <w:tcPr>
            <w:tcW w:w="1125" w:type="dxa"/>
            <w:tcBorders>
              <w:top w:val="nil"/>
              <w:left w:val="nil"/>
              <w:bottom w:val="single" w:sz="4" w:space="0" w:color="auto"/>
              <w:right w:val="single" w:sz="4" w:space="0" w:color="auto"/>
            </w:tcBorders>
            <w:shd w:val="clear" w:color="auto" w:fill="auto"/>
            <w:noWrap/>
            <w:hideMark/>
          </w:tcPr>
          <w:p w14:paraId="0623F4F7"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198,70</w:t>
            </w:r>
          </w:p>
        </w:tc>
        <w:tc>
          <w:tcPr>
            <w:tcW w:w="984" w:type="dxa"/>
            <w:tcBorders>
              <w:top w:val="nil"/>
              <w:left w:val="nil"/>
              <w:bottom w:val="single" w:sz="4" w:space="0" w:color="auto"/>
              <w:right w:val="single" w:sz="4" w:space="0" w:color="auto"/>
            </w:tcBorders>
            <w:shd w:val="clear" w:color="auto" w:fill="auto"/>
            <w:noWrap/>
            <w:hideMark/>
          </w:tcPr>
          <w:p w14:paraId="2C79651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250</w:t>
            </w:r>
          </w:p>
        </w:tc>
        <w:tc>
          <w:tcPr>
            <w:tcW w:w="1265" w:type="dxa"/>
            <w:tcBorders>
              <w:top w:val="nil"/>
              <w:left w:val="nil"/>
              <w:bottom w:val="single" w:sz="4" w:space="0" w:color="auto"/>
              <w:right w:val="single" w:sz="4" w:space="0" w:color="auto"/>
            </w:tcBorders>
            <w:shd w:val="clear" w:color="auto" w:fill="auto"/>
            <w:noWrap/>
            <w:hideMark/>
          </w:tcPr>
          <w:p w14:paraId="482840DB"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596 100</w:t>
            </w:r>
          </w:p>
        </w:tc>
        <w:tc>
          <w:tcPr>
            <w:tcW w:w="845" w:type="dxa"/>
            <w:tcBorders>
              <w:top w:val="nil"/>
              <w:left w:val="nil"/>
              <w:bottom w:val="single" w:sz="4" w:space="0" w:color="auto"/>
              <w:right w:val="single" w:sz="4" w:space="0" w:color="auto"/>
            </w:tcBorders>
            <w:shd w:val="clear" w:color="auto" w:fill="auto"/>
            <w:noWrap/>
            <w:hideMark/>
          </w:tcPr>
          <w:p w14:paraId="4B4CE40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215,78</w:t>
            </w:r>
          </w:p>
        </w:tc>
        <w:tc>
          <w:tcPr>
            <w:tcW w:w="964" w:type="dxa"/>
            <w:tcBorders>
              <w:top w:val="nil"/>
              <w:left w:val="nil"/>
              <w:bottom w:val="single" w:sz="4" w:space="0" w:color="auto"/>
              <w:right w:val="single" w:sz="4" w:space="0" w:color="auto"/>
            </w:tcBorders>
            <w:shd w:val="clear" w:color="auto" w:fill="auto"/>
            <w:noWrap/>
            <w:hideMark/>
          </w:tcPr>
          <w:p w14:paraId="5FD5C66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250</w:t>
            </w:r>
          </w:p>
        </w:tc>
        <w:tc>
          <w:tcPr>
            <w:tcW w:w="1319" w:type="dxa"/>
            <w:tcBorders>
              <w:top w:val="nil"/>
              <w:left w:val="nil"/>
              <w:bottom w:val="single" w:sz="4" w:space="0" w:color="auto"/>
              <w:right w:val="single" w:sz="4" w:space="0" w:color="auto"/>
            </w:tcBorders>
            <w:shd w:val="clear" w:color="auto" w:fill="auto"/>
            <w:noWrap/>
            <w:hideMark/>
          </w:tcPr>
          <w:p w14:paraId="272924AD"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647 340</w:t>
            </w:r>
          </w:p>
        </w:tc>
      </w:tr>
      <w:tr w:rsidR="00ED15CD" w:rsidRPr="00632442" w14:paraId="68F4CF20" w14:textId="77777777" w:rsidTr="00ED15CD">
        <w:trPr>
          <w:gridAfter w:val="5"/>
          <w:wAfter w:w="6440" w:type="dxa"/>
          <w:trHeight w:val="155"/>
        </w:trPr>
        <w:tc>
          <w:tcPr>
            <w:tcW w:w="4073" w:type="dxa"/>
            <w:tcBorders>
              <w:top w:val="nil"/>
              <w:left w:val="single" w:sz="4" w:space="0" w:color="auto"/>
              <w:bottom w:val="nil"/>
              <w:right w:val="single" w:sz="4" w:space="0" w:color="auto"/>
            </w:tcBorders>
            <w:shd w:val="clear" w:color="auto" w:fill="auto"/>
            <w:hideMark/>
          </w:tcPr>
          <w:p w14:paraId="330414D0"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Valsts budžeta maksājumi - kopā</w:t>
            </w:r>
          </w:p>
        </w:tc>
        <w:tc>
          <w:tcPr>
            <w:tcW w:w="1126" w:type="dxa"/>
            <w:tcBorders>
              <w:top w:val="nil"/>
              <w:left w:val="nil"/>
              <w:bottom w:val="nil"/>
              <w:right w:val="single" w:sz="4" w:space="0" w:color="auto"/>
            </w:tcBorders>
            <w:shd w:val="clear" w:color="auto" w:fill="auto"/>
            <w:noWrap/>
            <w:hideMark/>
          </w:tcPr>
          <w:p w14:paraId="3E9F2DAE"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5" w:type="dxa"/>
            <w:tcBorders>
              <w:top w:val="nil"/>
              <w:left w:val="nil"/>
              <w:bottom w:val="nil"/>
              <w:right w:val="single" w:sz="4" w:space="0" w:color="auto"/>
            </w:tcBorders>
            <w:shd w:val="clear" w:color="auto" w:fill="auto"/>
            <w:noWrap/>
            <w:hideMark/>
          </w:tcPr>
          <w:p w14:paraId="7BA835F0"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6" w:type="dxa"/>
            <w:tcBorders>
              <w:top w:val="nil"/>
              <w:left w:val="nil"/>
              <w:bottom w:val="nil"/>
              <w:right w:val="single" w:sz="4" w:space="0" w:color="auto"/>
            </w:tcBorders>
            <w:shd w:val="clear" w:color="auto" w:fill="auto"/>
            <w:noWrap/>
            <w:hideMark/>
          </w:tcPr>
          <w:p w14:paraId="7F2A2E32"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68 384</w:t>
            </w:r>
          </w:p>
        </w:tc>
        <w:tc>
          <w:tcPr>
            <w:tcW w:w="1125" w:type="dxa"/>
            <w:tcBorders>
              <w:top w:val="nil"/>
              <w:left w:val="nil"/>
              <w:bottom w:val="nil"/>
              <w:right w:val="single" w:sz="4" w:space="0" w:color="auto"/>
            </w:tcBorders>
            <w:shd w:val="clear" w:color="auto" w:fill="auto"/>
            <w:noWrap/>
            <w:hideMark/>
          </w:tcPr>
          <w:p w14:paraId="103B37AB"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84" w:type="dxa"/>
            <w:tcBorders>
              <w:top w:val="nil"/>
              <w:left w:val="nil"/>
              <w:bottom w:val="nil"/>
              <w:right w:val="single" w:sz="4" w:space="0" w:color="auto"/>
            </w:tcBorders>
            <w:shd w:val="clear" w:color="auto" w:fill="auto"/>
            <w:noWrap/>
            <w:hideMark/>
          </w:tcPr>
          <w:p w14:paraId="4AD34634"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265" w:type="dxa"/>
            <w:tcBorders>
              <w:top w:val="nil"/>
              <w:left w:val="nil"/>
              <w:bottom w:val="nil"/>
              <w:right w:val="single" w:sz="4" w:space="0" w:color="auto"/>
            </w:tcBorders>
            <w:shd w:val="clear" w:color="auto" w:fill="auto"/>
            <w:noWrap/>
            <w:hideMark/>
          </w:tcPr>
          <w:p w14:paraId="263923BE"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67 136</w:t>
            </w:r>
          </w:p>
        </w:tc>
        <w:tc>
          <w:tcPr>
            <w:tcW w:w="845" w:type="dxa"/>
            <w:tcBorders>
              <w:top w:val="nil"/>
              <w:left w:val="nil"/>
              <w:bottom w:val="nil"/>
              <w:right w:val="single" w:sz="4" w:space="0" w:color="auto"/>
            </w:tcBorders>
            <w:shd w:val="clear" w:color="auto" w:fill="auto"/>
            <w:noWrap/>
            <w:hideMark/>
          </w:tcPr>
          <w:p w14:paraId="791CE43F"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964" w:type="dxa"/>
            <w:tcBorders>
              <w:top w:val="nil"/>
              <w:left w:val="nil"/>
              <w:bottom w:val="nil"/>
              <w:right w:val="single" w:sz="4" w:space="0" w:color="auto"/>
            </w:tcBorders>
            <w:shd w:val="clear" w:color="auto" w:fill="auto"/>
            <w:noWrap/>
            <w:hideMark/>
          </w:tcPr>
          <w:p w14:paraId="646D35E0" w14:textId="77777777" w:rsidR="00632442" w:rsidRPr="00632442" w:rsidRDefault="00632442" w:rsidP="00632442">
            <w:pPr>
              <w:spacing w:after="0"/>
              <w:ind w:firstLine="0"/>
              <w:jc w:val="center"/>
              <w:rPr>
                <w:rFonts w:eastAsia="Times New Roman" w:cs="Times New Roman"/>
                <w:sz w:val="18"/>
                <w:szCs w:val="18"/>
                <w:highlight w:val="lightGray"/>
              </w:rPr>
            </w:pPr>
            <w:r w:rsidRPr="00632442">
              <w:rPr>
                <w:rFonts w:eastAsia="Calibri" w:cs="Times New Roman"/>
                <w:sz w:val="18"/>
                <w:szCs w:val="18"/>
                <w:lang w:eastAsia="en-US"/>
              </w:rPr>
              <w:t>x</w:t>
            </w:r>
          </w:p>
        </w:tc>
        <w:tc>
          <w:tcPr>
            <w:tcW w:w="1319" w:type="dxa"/>
            <w:tcBorders>
              <w:top w:val="nil"/>
              <w:left w:val="nil"/>
              <w:bottom w:val="nil"/>
              <w:right w:val="single" w:sz="4" w:space="0" w:color="auto"/>
            </w:tcBorders>
            <w:shd w:val="clear" w:color="auto" w:fill="auto"/>
            <w:noWrap/>
            <w:hideMark/>
          </w:tcPr>
          <w:p w14:paraId="4CB8CF4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64 960</w:t>
            </w:r>
          </w:p>
        </w:tc>
      </w:tr>
      <w:tr w:rsidR="00ED15CD" w:rsidRPr="00632442" w14:paraId="7FF9C933" w14:textId="77777777" w:rsidTr="00ED15CD">
        <w:trPr>
          <w:gridAfter w:val="5"/>
          <w:wAfter w:w="6440" w:type="dxa"/>
          <w:trHeight w:val="175"/>
        </w:trPr>
        <w:tc>
          <w:tcPr>
            <w:tcW w:w="4073" w:type="dxa"/>
            <w:tcBorders>
              <w:top w:val="single" w:sz="4" w:space="0" w:color="auto"/>
              <w:left w:val="single" w:sz="4" w:space="0" w:color="auto"/>
              <w:bottom w:val="single" w:sz="4" w:space="0" w:color="auto"/>
              <w:right w:val="single" w:sz="4" w:space="0" w:color="auto"/>
            </w:tcBorders>
            <w:shd w:val="clear" w:color="auto" w:fill="auto"/>
            <w:noWrap/>
            <w:hideMark/>
          </w:tcPr>
          <w:p w14:paraId="12BAF3E4" w14:textId="77777777" w:rsidR="00632442" w:rsidRPr="00632442" w:rsidRDefault="00632442" w:rsidP="00632442">
            <w:pPr>
              <w:spacing w:after="0"/>
              <w:ind w:firstLineChars="100" w:firstLine="180"/>
              <w:jc w:val="left"/>
              <w:rPr>
                <w:rFonts w:eastAsia="Times New Roman" w:cs="Times New Roman"/>
                <w:i/>
                <w:iCs/>
                <w:sz w:val="18"/>
                <w:szCs w:val="18"/>
                <w:highlight w:val="lightGray"/>
              </w:rPr>
            </w:pPr>
            <w:r w:rsidRPr="00632442">
              <w:rPr>
                <w:rFonts w:eastAsia="Calibri" w:cs="Times New Roman"/>
                <w:i/>
                <w:iCs/>
                <w:sz w:val="18"/>
                <w:szCs w:val="18"/>
                <w:lang w:eastAsia="en-US"/>
              </w:rPr>
              <w:t>tajā skaitā:</w:t>
            </w:r>
          </w:p>
        </w:tc>
        <w:tc>
          <w:tcPr>
            <w:tcW w:w="1126" w:type="dxa"/>
            <w:tcBorders>
              <w:top w:val="single" w:sz="4" w:space="0" w:color="auto"/>
              <w:left w:val="nil"/>
              <w:bottom w:val="single" w:sz="4" w:space="0" w:color="auto"/>
              <w:right w:val="single" w:sz="4" w:space="0" w:color="auto"/>
            </w:tcBorders>
            <w:shd w:val="clear" w:color="000000" w:fill="FFFFFF"/>
            <w:noWrap/>
            <w:hideMark/>
          </w:tcPr>
          <w:p w14:paraId="292B2F92"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85" w:type="dxa"/>
            <w:tcBorders>
              <w:top w:val="single" w:sz="4" w:space="0" w:color="auto"/>
              <w:left w:val="nil"/>
              <w:bottom w:val="single" w:sz="4" w:space="0" w:color="auto"/>
              <w:right w:val="single" w:sz="4" w:space="0" w:color="auto"/>
            </w:tcBorders>
            <w:shd w:val="clear" w:color="000000" w:fill="FFFFFF"/>
            <w:noWrap/>
            <w:hideMark/>
          </w:tcPr>
          <w:p w14:paraId="78CCC149"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266" w:type="dxa"/>
            <w:tcBorders>
              <w:top w:val="single" w:sz="4" w:space="0" w:color="auto"/>
              <w:left w:val="nil"/>
              <w:bottom w:val="single" w:sz="4" w:space="0" w:color="auto"/>
              <w:right w:val="single" w:sz="4" w:space="0" w:color="auto"/>
            </w:tcBorders>
            <w:shd w:val="clear" w:color="000000" w:fill="FFFFFF"/>
            <w:noWrap/>
            <w:hideMark/>
          </w:tcPr>
          <w:p w14:paraId="62201823"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1125" w:type="dxa"/>
            <w:tcBorders>
              <w:top w:val="single" w:sz="4" w:space="0" w:color="auto"/>
              <w:left w:val="nil"/>
              <w:bottom w:val="single" w:sz="4" w:space="0" w:color="auto"/>
              <w:right w:val="single" w:sz="4" w:space="0" w:color="auto"/>
            </w:tcBorders>
            <w:shd w:val="clear" w:color="000000" w:fill="FFFFFF"/>
            <w:noWrap/>
            <w:hideMark/>
          </w:tcPr>
          <w:p w14:paraId="044AD20E"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84" w:type="dxa"/>
            <w:tcBorders>
              <w:top w:val="single" w:sz="4" w:space="0" w:color="auto"/>
              <w:left w:val="nil"/>
              <w:bottom w:val="single" w:sz="4" w:space="0" w:color="auto"/>
              <w:right w:val="single" w:sz="4" w:space="0" w:color="auto"/>
            </w:tcBorders>
            <w:shd w:val="clear" w:color="000000" w:fill="FFFFFF"/>
            <w:noWrap/>
            <w:hideMark/>
          </w:tcPr>
          <w:p w14:paraId="456926AC"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265" w:type="dxa"/>
            <w:tcBorders>
              <w:top w:val="single" w:sz="4" w:space="0" w:color="auto"/>
              <w:left w:val="nil"/>
              <w:bottom w:val="single" w:sz="4" w:space="0" w:color="auto"/>
              <w:right w:val="single" w:sz="4" w:space="0" w:color="auto"/>
            </w:tcBorders>
            <w:shd w:val="clear" w:color="000000" w:fill="FFFFFF"/>
            <w:noWrap/>
            <w:hideMark/>
          </w:tcPr>
          <w:p w14:paraId="6DFD682D" w14:textId="77777777" w:rsidR="00632442" w:rsidRPr="00632442" w:rsidRDefault="00632442" w:rsidP="00632442">
            <w:pPr>
              <w:spacing w:after="0"/>
              <w:ind w:firstLine="0"/>
              <w:jc w:val="right"/>
              <w:rPr>
                <w:rFonts w:eastAsia="Times New Roman" w:cs="Times New Roman"/>
                <w:sz w:val="18"/>
                <w:szCs w:val="18"/>
                <w:highlight w:val="lightGray"/>
              </w:rPr>
            </w:pPr>
          </w:p>
        </w:tc>
        <w:tc>
          <w:tcPr>
            <w:tcW w:w="845" w:type="dxa"/>
            <w:tcBorders>
              <w:top w:val="single" w:sz="4" w:space="0" w:color="auto"/>
              <w:left w:val="nil"/>
              <w:bottom w:val="single" w:sz="4" w:space="0" w:color="auto"/>
              <w:right w:val="single" w:sz="4" w:space="0" w:color="auto"/>
            </w:tcBorders>
            <w:shd w:val="clear" w:color="000000" w:fill="FFFFFF"/>
            <w:noWrap/>
            <w:hideMark/>
          </w:tcPr>
          <w:p w14:paraId="2D92826E"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64" w:type="dxa"/>
            <w:tcBorders>
              <w:top w:val="single" w:sz="4" w:space="0" w:color="auto"/>
              <w:left w:val="nil"/>
              <w:bottom w:val="single" w:sz="4" w:space="0" w:color="auto"/>
              <w:right w:val="single" w:sz="4" w:space="0" w:color="auto"/>
            </w:tcBorders>
            <w:shd w:val="clear" w:color="000000" w:fill="FFFFFF"/>
            <w:noWrap/>
            <w:hideMark/>
          </w:tcPr>
          <w:p w14:paraId="68A28801"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319" w:type="dxa"/>
            <w:tcBorders>
              <w:top w:val="single" w:sz="4" w:space="0" w:color="auto"/>
              <w:left w:val="nil"/>
              <w:bottom w:val="single" w:sz="4" w:space="0" w:color="auto"/>
              <w:right w:val="single" w:sz="4" w:space="0" w:color="auto"/>
            </w:tcBorders>
            <w:shd w:val="clear" w:color="000000" w:fill="FFFFFF"/>
            <w:noWrap/>
            <w:hideMark/>
          </w:tcPr>
          <w:p w14:paraId="3E488A98" w14:textId="77777777" w:rsidR="00632442" w:rsidRPr="00632442" w:rsidRDefault="00632442" w:rsidP="00632442">
            <w:pPr>
              <w:spacing w:after="0"/>
              <w:ind w:firstLine="0"/>
              <w:jc w:val="right"/>
              <w:rPr>
                <w:rFonts w:eastAsia="Times New Roman" w:cs="Times New Roman"/>
                <w:sz w:val="18"/>
                <w:szCs w:val="18"/>
                <w:highlight w:val="lightGray"/>
              </w:rPr>
            </w:pPr>
          </w:p>
        </w:tc>
      </w:tr>
      <w:tr w:rsidR="00ED15CD" w:rsidRPr="00632442" w14:paraId="40587DB0" w14:textId="77777777" w:rsidTr="00ED15CD">
        <w:trPr>
          <w:gridAfter w:val="5"/>
          <w:wAfter w:w="6440" w:type="dxa"/>
          <w:trHeight w:val="107"/>
        </w:trPr>
        <w:tc>
          <w:tcPr>
            <w:tcW w:w="4073" w:type="dxa"/>
            <w:tcBorders>
              <w:top w:val="single" w:sz="4" w:space="0" w:color="auto"/>
              <w:left w:val="single" w:sz="4" w:space="0" w:color="auto"/>
              <w:bottom w:val="single" w:sz="4" w:space="0" w:color="auto"/>
              <w:right w:val="single" w:sz="4" w:space="0" w:color="auto"/>
            </w:tcBorders>
            <w:shd w:val="clear" w:color="auto" w:fill="auto"/>
            <w:noWrap/>
            <w:hideMark/>
          </w:tcPr>
          <w:p w14:paraId="2CA89D85"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 xml:space="preserve">    Pārmaksāto sociālās apdrošināšanas iemaksu atmaksa</w:t>
            </w:r>
          </w:p>
        </w:tc>
        <w:tc>
          <w:tcPr>
            <w:tcW w:w="1126" w:type="dxa"/>
            <w:tcBorders>
              <w:top w:val="single" w:sz="4" w:space="0" w:color="auto"/>
              <w:left w:val="nil"/>
              <w:bottom w:val="single" w:sz="4" w:space="0" w:color="auto"/>
              <w:right w:val="single" w:sz="4" w:space="0" w:color="auto"/>
            </w:tcBorders>
            <w:shd w:val="clear" w:color="000000" w:fill="FFFFFF"/>
            <w:noWrap/>
            <w:hideMark/>
          </w:tcPr>
          <w:p w14:paraId="5BAFB1AF"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85" w:type="dxa"/>
            <w:tcBorders>
              <w:top w:val="single" w:sz="4" w:space="0" w:color="auto"/>
              <w:left w:val="nil"/>
              <w:bottom w:val="single" w:sz="4" w:space="0" w:color="auto"/>
              <w:right w:val="single" w:sz="4" w:space="0" w:color="auto"/>
            </w:tcBorders>
            <w:shd w:val="clear" w:color="000000" w:fill="FFFFFF"/>
            <w:noWrap/>
            <w:hideMark/>
          </w:tcPr>
          <w:p w14:paraId="7E407384"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266" w:type="dxa"/>
            <w:tcBorders>
              <w:top w:val="single" w:sz="4" w:space="0" w:color="auto"/>
              <w:left w:val="nil"/>
              <w:bottom w:val="single" w:sz="4" w:space="0" w:color="auto"/>
              <w:right w:val="single" w:sz="4" w:space="0" w:color="auto"/>
            </w:tcBorders>
            <w:shd w:val="clear" w:color="000000" w:fill="FFFFFF"/>
            <w:noWrap/>
            <w:hideMark/>
          </w:tcPr>
          <w:p w14:paraId="099C933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53 425</w:t>
            </w:r>
          </w:p>
        </w:tc>
        <w:tc>
          <w:tcPr>
            <w:tcW w:w="1125" w:type="dxa"/>
            <w:tcBorders>
              <w:top w:val="single" w:sz="4" w:space="0" w:color="auto"/>
              <w:left w:val="nil"/>
              <w:bottom w:val="single" w:sz="4" w:space="0" w:color="auto"/>
              <w:right w:val="single" w:sz="4" w:space="0" w:color="auto"/>
            </w:tcBorders>
            <w:shd w:val="clear" w:color="000000" w:fill="FFFFFF"/>
            <w:noWrap/>
            <w:hideMark/>
          </w:tcPr>
          <w:p w14:paraId="56C7FC4B"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84" w:type="dxa"/>
            <w:tcBorders>
              <w:top w:val="single" w:sz="4" w:space="0" w:color="auto"/>
              <w:left w:val="nil"/>
              <w:bottom w:val="single" w:sz="4" w:space="0" w:color="auto"/>
              <w:right w:val="single" w:sz="4" w:space="0" w:color="auto"/>
            </w:tcBorders>
            <w:shd w:val="clear" w:color="000000" w:fill="FFFFFF"/>
            <w:noWrap/>
            <w:hideMark/>
          </w:tcPr>
          <w:p w14:paraId="5126B13F"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265" w:type="dxa"/>
            <w:tcBorders>
              <w:top w:val="single" w:sz="4" w:space="0" w:color="auto"/>
              <w:left w:val="nil"/>
              <w:bottom w:val="single" w:sz="4" w:space="0" w:color="auto"/>
              <w:right w:val="single" w:sz="4" w:space="0" w:color="auto"/>
            </w:tcBorders>
            <w:shd w:val="clear" w:color="000000" w:fill="FFFFFF"/>
            <w:noWrap/>
            <w:hideMark/>
          </w:tcPr>
          <w:p w14:paraId="546A9C38"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52 450</w:t>
            </w:r>
          </w:p>
        </w:tc>
        <w:tc>
          <w:tcPr>
            <w:tcW w:w="845" w:type="dxa"/>
            <w:tcBorders>
              <w:top w:val="single" w:sz="4" w:space="0" w:color="auto"/>
              <w:left w:val="nil"/>
              <w:bottom w:val="single" w:sz="4" w:space="0" w:color="auto"/>
              <w:right w:val="single" w:sz="4" w:space="0" w:color="auto"/>
            </w:tcBorders>
            <w:shd w:val="clear" w:color="000000" w:fill="FFFFFF"/>
            <w:noWrap/>
            <w:hideMark/>
          </w:tcPr>
          <w:p w14:paraId="18F8047C"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64" w:type="dxa"/>
            <w:tcBorders>
              <w:top w:val="single" w:sz="4" w:space="0" w:color="auto"/>
              <w:left w:val="nil"/>
              <w:bottom w:val="single" w:sz="4" w:space="0" w:color="auto"/>
              <w:right w:val="single" w:sz="4" w:space="0" w:color="auto"/>
            </w:tcBorders>
            <w:shd w:val="clear" w:color="000000" w:fill="FFFFFF"/>
            <w:noWrap/>
            <w:hideMark/>
          </w:tcPr>
          <w:p w14:paraId="7DD0D159"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319" w:type="dxa"/>
            <w:tcBorders>
              <w:top w:val="single" w:sz="4" w:space="0" w:color="auto"/>
              <w:left w:val="nil"/>
              <w:bottom w:val="single" w:sz="4" w:space="0" w:color="auto"/>
              <w:right w:val="single" w:sz="4" w:space="0" w:color="auto"/>
            </w:tcBorders>
            <w:shd w:val="clear" w:color="000000" w:fill="FFFFFF"/>
            <w:noWrap/>
            <w:hideMark/>
          </w:tcPr>
          <w:p w14:paraId="4EFC4E66"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50 750</w:t>
            </w:r>
          </w:p>
        </w:tc>
      </w:tr>
      <w:tr w:rsidR="00ED15CD" w:rsidRPr="00632442" w14:paraId="5925D53C" w14:textId="77777777" w:rsidTr="00ED15CD">
        <w:trPr>
          <w:gridAfter w:val="5"/>
          <w:wAfter w:w="6440" w:type="dxa"/>
          <w:trHeight w:val="167"/>
        </w:trPr>
        <w:tc>
          <w:tcPr>
            <w:tcW w:w="4073" w:type="dxa"/>
            <w:tcBorders>
              <w:top w:val="single" w:sz="4" w:space="0" w:color="auto"/>
              <w:left w:val="single" w:sz="4" w:space="0" w:color="auto"/>
              <w:bottom w:val="single" w:sz="4" w:space="0" w:color="auto"/>
              <w:right w:val="single" w:sz="4" w:space="0" w:color="auto"/>
            </w:tcBorders>
            <w:shd w:val="clear" w:color="auto" w:fill="auto"/>
            <w:hideMark/>
          </w:tcPr>
          <w:p w14:paraId="1DDAB297" w14:textId="77777777" w:rsidR="00632442" w:rsidRPr="00632442" w:rsidRDefault="00632442" w:rsidP="00632442">
            <w:pPr>
              <w:spacing w:after="0"/>
              <w:ind w:left="179" w:firstLine="0"/>
              <w:jc w:val="left"/>
              <w:rPr>
                <w:rFonts w:eastAsia="Calibri" w:cs="Times New Roman"/>
                <w:sz w:val="18"/>
                <w:szCs w:val="18"/>
                <w:lang w:eastAsia="en-US"/>
              </w:rPr>
            </w:pPr>
            <w:r w:rsidRPr="00632442">
              <w:rPr>
                <w:rFonts w:eastAsia="Calibri" w:cs="Times New Roman"/>
                <w:sz w:val="18"/>
                <w:szCs w:val="18"/>
                <w:lang w:eastAsia="en-US"/>
              </w:rPr>
              <w:t>Eiropas Savienības pensiju shēmai pārskaitītais</w:t>
            </w:r>
          </w:p>
          <w:p w14:paraId="6A0202AD" w14:textId="77777777" w:rsidR="00632442" w:rsidRPr="00632442" w:rsidRDefault="00632442" w:rsidP="00632442">
            <w:pPr>
              <w:spacing w:after="0"/>
              <w:ind w:firstLine="0"/>
              <w:jc w:val="left"/>
              <w:rPr>
                <w:rFonts w:eastAsia="Times New Roman" w:cs="Times New Roman"/>
                <w:sz w:val="18"/>
                <w:szCs w:val="18"/>
                <w:highlight w:val="lightGray"/>
              </w:rPr>
            </w:pPr>
            <w:r w:rsidRPr="00632442">
              <w:rPr>
                <w:rFonts w:eastAsia="Calibri" w:cs="Times New Roman"/>
                <w:sz w:val="18"/>
                <w:szCs w:val="18"/>
                <w:lang w:eastAsia="en-US"/>
              </w:rPr>
              <w:t xml:space="preserve">pensijas </w:t>
            </w:r>
          </w:p>
        </w:tc>
        <w:tc>
          <w:tcPr>
            <w:tcW w:w="1126" w:type="dxa"/>
            <w:tcBorders>
              <w:top w:val="single" w:sz="4" w:space="0" w:color="auto"/>
              <w:left w:val="nil"/>
              <w:bottom w:val="single" w:sz="4" w:space="0" w:color="auto"/>
              <w:right w:val="single" w:sz="4" w:space="0" w:color="auto"/>
            </w:tcBorders>
            <w:shd w:val="clear" w:color="000000" w:fill="FFFFFF"/>
            <w:noWrap/>
            <w:hideMark/>
          </w:tcPr>
          <w:p w14:paraId="6A2D8D0C"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85" w:type="dxa"/>
            <w:tcBorders>
              <w:top w:val="single" w:sz="4" w:space="0" w:color="auto"/>
              <w:left w:val="nil"/>
              <w:bottom w:val="single" w:sz="4" w:space="0" w:color="auto"/>
              <w:right w:val="single" w:sz="4" w:space="0" w:color="auto"/>
            </w:tcBorders>
            <w:shd w:val="clear" w:color="000000" w:fill="FFFFFF"/>
            <w:noWrap/>
            <w:hideMark/>
          </w:tcPr>
          <w:p w14:paraId="7088FC45"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266" w:type="dxa"/>
            <w:tcBorders>
              <w:top w:val="single" w:sz="4" w:space="0" w:color="auto"/>
              <w:left w:val="nil"/>
              <w:bottom w:val="single" w:sz="4" w:space="0" w:color="auto"/>
              <w:right w:val="single" w:sz="4" w:space="0" w:color="auto"/>
            </w:tcBorders>
            <w:shd w:val="clear" w:color="000000" w:fill="FFFFFF"/>
            <w:noWrap/>
            <w:hideMark/>
          </w:tcPr>
          <w:p w14:paraId="5242C705"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14 959</w:t>
            </w:r>
          </w:p>
        </w:tc>
        <w:tc>
          <w:tcPr>
            <w:tcW w:w="1125" w:type="dxa"/>
            <w:tcBorders>
              <w:top w:val="single" w:sz="4" w:space="0" w:color="auto"/>
              <w:left w:val="nil"/>
              <w:bottom w:val="single" w:sz="4" w:space="0" w:color="auto"/>
              <w:right w:val="single" w:sz="4" w:space="0" w:color="auto"/>
            </w:tcBorders>
            <w:shd w:val="clear" w:color="000000" w:fill="FFFFFF"/>
            <w:noWrap/>
            <w:hideMark/>
          </w:tcPr>
          <w:p w14:paraId="66D9F0A4"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84" w:type="dxa"/>
            <w:tcBorders>
              <w:top w:val="single" w:sz="4" w:space="0" w:color="auto"/>
              <w:left w:val="nil"/>
              <w:bottom w:val="single" w:sz="4" w:space="0" w:color="auto"/>
              <w:right w:val="single" w:sz="4" w:space="0" w:color="auto"/>
            </w:tcBorders>
            <w:shd w:val="clear" w:color="000000" w:fill="FFFFFF"/>
            <w:noWrap/>
            <w:hideMark/>
          </w:tcPr>
          <w:p w14:paraId="51F1BE03"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265" w:type="dxa"/>
            <w:tcBorders>
              <w:top w:val="single" w:sz="4" w:space="0" w:color="auto"/>
              <w:left w:val="nil"/>
              <w:bottom w:val="single" w:sz="4" w:space="0" w:color="auto"/>
              <w:right w:val="single" w:sz="4" w:space="0" w:color="auto"/>
            </w:tcBorders>
            <w:shd w:val="clear" w:color="000000" w:fill="FFFFFF"/>
            <w:noWrap/>
            <w:hideMark/>
          </w:tcPr>
          <w:p w14:paraId="42134B49"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14 686</w:t>
            </w:r>
          </w:p>
        </w:tc>
        <w:tc>
          <w:tcPr>
            <w:tcW w:w="845" w:type="dxa"/>
            <w:tcBorders>
              <w:top w:val="single" w:sz="4" w:space="0" w:color="auto"/>
              <w:left w:val="nil"/>
              <w:bottom w:val="single" w:sz="4" w:space="0" w:color="auto"/>
              <w:right w:val="single" w:sz="4" w:space="0" w:color="auto"/>
            </w:tcBorders>
            <w:shd w:val="clear" w:color="000000" w:fill="FFFFFF"/>
            <w:noWrap/>
            <w:hideMark/>
          </w:tcPr>
          <w:p w14:paraId="793C1352"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964" w:type="dxa"/>
            <w:tcBorders>
              <w:top w:val="single" w:sz="4" w:space="0" w:color="auto"/>
              <w:left w:val="nil"/>
              <w:bottom w:val="single" w:sz="4" w:space="0" w:color="auto"/>
              <w:right w:val="single" w:sz="4" w:space="0" w:color="auto"/>
            </w:tcBorders>
            <w:shd w:val="clear" w:color="000000" w:fill="FFFFFF"/>
            <w:noWrap/>
            <w:hideMark/>
          </w:tcPr>
          <w:p w14:paraId="10BE2EE6" w14:textId="77777777" w:rsidR="00632442" w:rsidRPr="00632442" w:rsidRDefault="00632442" w:rsidP="00632442">
            <w:pPr>
              <w:spacing w:after="0"/>
              <w:ind w:firstLine="0"/>
              <w:jc w:val="right"/>
              <w:rPr>
                <w:rFonts w:eastAsia="Times New Roman" w:cs="Times New Roman"/>
                <w:b/>
                <w:bCs/>
                <w:sz w:val="18"/>
                <w:szCs w:val="18"/>
                <w:highlight w:val="lightGray"/>
              </w:rPr>
            </w:pPr>
          </w:p>
        </w:tc>
        <w:tc>
          <w:tcPr>
            <w:tcW w:w="1319" w:type="dxa"/>
            <w:tcBorders>
              <w:top w:val="single" w:sz="4" w:space="0" w:color="auto"/>
              <w:left w:val="nil"/>
              <w:bottom w:val="single" w:sz="4" w:space="0" w:color="auto"/>
              <w:right w:val="single" w:sz="4" w:space="0" w:color="auto"/>
            </w:tcBorders>
            <w:shd w:val="clear" w:color="000000" w:fill="FFFFFF"/>
            <w:noWrap/>
            <w:hideMark/>
          </w:tcPr>
          <w:p w14:paraId="6B19D5A4" w14:textId="77777777" w:rsidR="00632442" w:rsidRPr="00632442" w:rsidRDefault="00632442" w:rsidP="00632442">
            <w:pPr>
              <w:spacing w:after="0"/>
              <w:ind w:firstLine="0"/>
              <w:jc w:val="right"/>
              <w:rPr>
                <w:rFonts w:eastAsia="Times New Roman" w:cs="Times New Roman"/>
                <w:sz w:val="18"/>
                <w:szCs w:val="18"/>
                <w:highlight w:val="lightGray"/>
              </w:rPr>
            </w:pPr>
            <w:r w:rsidRPr="00632442">
              <w:rPr>
                <w:rFonts w:eastAsia="Calibri" w:cs="Times New Roman"/>
                <w:sz w:val="18"/>
                <w:szCs w:val="18"/>
                <w:lang w:eastAsia="en-US"/>
              </w:rPr>
              <w:t>14 210</w:t>
            </w:r>
          </w:p>
        </w:tc>
      </w:tr>
      <w:tr w:rsidR="00ED15CD" w:rsidRPr="00632442" w14:paraId="503893E7" w14:textId="77777777" w:rsidTr="00ED15CD">
        <w:trPr>
          <w:gridAfter w:val="5"/>
          <w:wAfter w:w="6440" w:type="dxa"/>
          <w:trHeight w:val="187"/>
        </w:trPr>
        <w:tc>
          <w:tcPr>
            <w:tcW w:w="4073" w:type="dxa"/>
            <w:tcBorders>
              <w:top w:val="single" w:sz="4" w:space="0" w:color="auto"/>
              <w:left w:val="single" w:sz="4" w:space="0" w:color="auto"/>
              <w:bottom w:val="single" w:sz="4" w:space="0" w:color="auto"/>
              <w:right w:val="single" w:sz="4" w:space="0" w:color="auto"/>
            </w:tcBorders>
            <w:shd w:val="clear" w:color="auto" w:fill="auto"/>
            <w:hideMark/>
          </w:tcPr>
          <w:p w14:paraId="1B7244ED" w14:textId="77777777" w:rsidR="00632442" w:rsidRPr="00632442" w:rsidRDefault="00632442" w:rsidP="00632442">
            <w:pPr>
              <w:spacing w:after="0"/>
              <w:ind w:firstLine="0"/>
              <w:jc w:val="center"/>
              <w:rPr>
                <w:rFonts w:eastAsia="Times New Roman" w:cs="Times New Roman"/>
                <w:b/>
                <w:bCs/>
                <w:sz w:val="18"/>
                <w:szCs w:val="18"/>
                <w:highlight w:val="lightGray"/>
              </w:rPr>
            </w:pPr>
            <w:r w:rsidRPr="00632442">
              <w:rPr>
                <w:rFonts w:eastAsia="Calibri" w:cs="Times New Roman"/>
                <w:b/>
                <w:bCs/>
                <w:sz w:val="18"/>
                <w:szCs w:val="18"/>
                <w:lang w:eastAsia="en-US"/>
              </w:rPr>
              <w:t>KOPĀ</w:t>
            </w:r>
          </w:p>
        </w:tc>
        <w:tc>
          <w:tcPr>
            <w:tcW w:w="1126" w:type="dxa"/>
            <w:tcBorders>
              <w:top w:val="single" w:sz="4" w:space="0" w:color="auto"/>
              <w:left w:val="nil"/>
              <w:bottom w:val="single" w:sz="4" w:space="0" w:color="auto"/>
              <w:right w:val="single" w:sz="4" w:space="0" w:color="auto"/>
            </w:tcBorders>
            <w:shd w:val="clear" w:color="000000" w:fill="FFFFFF"/>
            <w:noWrap/>
            <w:hideMark/>
          </w:tcPr>
          <w:p w14:paraId="09CB01AE" w14:textId="3F070016" w:rsidR="00632442" w:rsidRPr="00632442" w:rsidRDefault="00632442" w:rsidP="00632442">
            <w:pPr>
              <w:spacing w:after="0"/>
              <w:ind w:firstLine="0"/>
              <w:jc w:val="center"/>
              <w:rPr>
                <w:rFonts w:eastAsia="Times New Roman" w:cs="Times New Roman"/>
                <w:b/>
                <w:bCs/>
                <w:sz w:val="18"/>
                <w:szCs w:val="18"/>
              </w:rPr>
            </w:pPr>
            <w:r w:rsidRPr="00632442">
              <w:rPr>
                <w:rFonts w:eastAsia="Times New Roman" w:cs="Times New Roman"/>
                <w:b/>
                <w:bCs/>
                <w:sz w:val="18"/>
                <w:szCs w:val="18"/>
              </w:rPr>
              <w:t>x</w:t>
            </w:r>
          </w:p>
        </w:tc>
        <w:tc>
          <w:tcPr>
            <w:tcW w:w="985" w:type="dxa"/>
            <w:tcBorders>
              <w:top w:val="single" w:sz="4" w:space="0" w:color="auto"/>
              <w:left w:val="nil"/>
              <w:bottom w:val="single" w:sz="4" w:space="0" w:color="auto"/>
              <w:right w:val="single" w:sz="4" w:space="0" w:color="auto"/>
            </w:tcBorders>
            <w:shd w:val="clear" w:color="000000" w:fill="FFFFFF"/>
            <w:noWrap/>
            <w:hideMark/>
          </w:tcPr>
          <w:p w14:paraId="4C0C31EC" w14:textId="0A9B1247" w:rsidR="00632442" w:rsidRPr="00632442" w:rsidRDefault="00632442" w:rsidP="00632442">
            <w:pPr>
              <w:spacing w:after="0"/>
              <w:ind w:firstLine="0"/>
              <w:jc w:val="center"/>
              <w:rPr>
                <w:rFonts w:eastAsia="Times New Roman" w:cs="Times New Roman"/>
                <w:b/>
                <w:bCs/>
                <w:sz w:val="18"/>
                <w:szCs w:val="18"/>
              </w:rPr>
            </w:pPr>
            <w:r w:rsidRPr="00632442">
              <w:rPr>
                <w:rFonts w:eastAsia="Times New Roman" w:cs="Times New Roman"/>
                <w:b/>
                <w:bCs/>
                <w:sz w:val="18"/>
                <w:szCs w:val="18"/>
              </w:rPr>
              <w:t>x</w:t>
            </w:r>
          </w:p>
        </w:tc>
        <w:tc>
          <w:tcPr>
            <w:tcW w:w="1266" w:type="dxa"/>
            <w:tcBorders>
              <w:top w:val="single" w:sz="4" w:space="0" w:color="auto"/>
              <w:left w:val="nil"/>
              <w:bottom w:val="single" w:sz="4" w:space="0" w:color="auto"/>
              <w:right w:val="single" w:sz="4" w:space="0" w:color="auto"/>
            </w:tcBorders>
            <w:shd w:val="clear" w:color="000000" w:fill="FFFFFF"/>
            <w:noWrap/>
            <w:hideMark/>
          </w:tcPr>
          <w:p w14:paraId="0AE4100A" w14:textId="77777777" w:rsidR="00632442" w:rsidRPr="00632442" w:rsidRDefault="00632442" w:rsidP="00632442">
            <w:pPr>
              <w:spacing w:after="0"/>
              <w:ind w:firstLine="0"/>
              <w:jc w:val="right"/>
              <w:rPr>
                <w:rFonts w:eastAsia="Times New Roman" w:cs="Times New Roman"/>
                <w:b/>
                <w:bCs/>
                <w:sz w:val="18"/>
                <w:szCs w:val="18"/>
              </w:rPr>
            </w:pPr>
            <w:r w:rsidRPr="00632442">
              <w:rPr>
                <w:rFonts w:eastAsia="Calibri" w:cs="Times New Roman"/>
                <w:b/>
                <w:bCs/>
                <w:sz w:val="18"/>
                <w:szCs w:val="18"/>
                <w:lang w:eastAsia="en-US"/>
              </w:rPr>
              <w:t>4 319 482 495</w:t>
            </w:r>
          </w:p>
        </w:tc>
        <w:tc>
          <w:tcPr>
            <w:tcW w:w="1125" w:type="dxa"/>
            <w:tcBorders>
              <w:top w:val="single" w:sz="4" w:space="0" w:color="auto"/>
              <w:left w:val="nil"/>
              <w:bottom w:val="single" w:sz="4" w:space="0" w:color="auto"/>
              <w:right w:val="single" w:sz="4" w:space="0" w:color="auto"/>
            </w:tcBorders>
            <w:shd w:val="clear" w:color="000000" w:fill="FFFFFF"/>
            <w:noWrap/>
            <w:hideMark/>
          </w:tcPr>
          <w:p w14:paraId="6A481949" w14:textId="7A18EFCD" w:rsidR="00632442" w:rsidRPr="00632442" w:rsidRDefault="00632442" w:rsidP="00632442">
            <w:pPr>
              <w:spacing w:after="0"/>
              <w:ind w:firstLine="0"/>
              <w:jc w:val="center"/>
              <w:rPr>
                <w:rFonts w:eastAsia="Times New Roman" w:cs="Times New Roman"/>
                <w:b/>
                <w:bCs/>
                <w:sz w:val="18"/>
                <w:szCs w:val="18"/>
              </w:rPr>
            </w:pPr>
            <w:r w:rsidRPr="00632442">
              <w:rPr>
                <w:rFonts w:eastAsia="Times New Roman" w:cs="Times New Roman"/>
                <w:b/>
                <w:bCs/>
                <w:sz w:val="18"/>
                <w:szCs w:val="18"/>
              </w:rPr>
              <w:t>x</w:t>
            </w:r>
          </w:p>
        </w:tc>
        <w:tc>
          <w:tcPr>
            <w:tcW w:w="984" w:type="dxa"/>
            <w:tcBorders>
              <w:top w:val="single" w:sz="4" w:space="0" w:color="auto"/>
              <w:left w:val="nil"/>
              <w:bottom w:val="single" w:sz="4" w:space="0" w:color="auto"/>
              <w:right w:val="single" w:sz="4" w:space="0" w:color="auto"/>
            </w:tcBorders>
            <w:shd w:val="clear" w:color="000000" w:fill="FFFFFF"/>
            <w:noWrap/>
            <w:hideMark/>
          </w:tcPr>
          <w:p w14:paraId="6AFEF490" w14:textId="29B48CA7" w:rsidR="00632442" w:rsidRPr="00632442" w:rsidRDefault="00632442" w:rsidP="00632442">
            <w:pPr>
              <w:spacing w:after="0"/>
              <w:ind w:firstLine="0"/>
              <w:jc w:val="center"/>
              <w:rPr>
                <w:rFonts w:eastAsia="Times New Roman" w:cs="Times New Roman"/>
                <w:b/>
                <w:bCs/>
                <w:sz w:val="18"/>
                <w:szCs w:val="18"/>
              </w:rPr>
            </w:pPr>
            <w:r w:rsidRPr="00632442">
              <w:rPr>
                <w:rFonts w:eastAsia="Times New Roman" w:cs="Times New Roman"/>
                <w:b/>
                <w:bCs/>
                <w:sz w:val="18"/>
                <w:szCs w:val="18"/>
              </w:rPr>
              <w:t>x</w:t>
            </w:r>
          </w:p>
        </w:tc>
        <w:tc>
          <w:tcPr>
            <w:tcW w:w="1265" w:type="dxa"/>
            <w:tcBorders>
              <w:top w:val="single" w:sz="4" w:space="0" w:color="auto"/>
              <w:left w:val="nil"/>
              <w:bottom w:val="single" w:sz="4" w:space="0" w:color="auto"/>
              <w:right w:val="single" w:sz="4" w:space="0" w:color="auto"/>
            </w:tcBorders>
            <w:shd w:val="clear" w:color="000000" w:fill="FFFFFF"/>
            <w:noWrap/>
            <w:hideMark/>
          </w:tcPr>
          <w:p w14:paraId="51F9197E" w14:textId="77777777" w:rsidR="00632442" w:rsidRPr="00632442" w:rsidRDefault="00632442" w:rsidP="00632442">
            <w:pPr>
              <w:spacing w:after="0"/>
              <w:ind w:firstLine="0"/>
              <w:jc w:val="right"/>
              <w:rPr>
                <w:rFonts w:eastAsia="Times New Roman" w:cs="Times New Roman"/>
                <w:b/>
                <w:bCs/>
                <w:sz w:val="18"/>
                <w:szCs w:val="18"/>
              </w:rPr>
            </w:pPr>
            <w:r w:rsidRPr="00632442">
              <w:rPr>
                <w:rFonts w:eastAsia="Calibri" w:cs="Times New Roman"/>
                <w:b/>
                <w:bCs/>
                <w:sz w:val="18"/>
                <w:szCs w:val="18"/>
                <w:lang w:eastAsia="en-US"/>
              </w:rPr>
              <w:t>4 656 056 489</w:t>
            </w:r>
          </w:p>
        </w:tc>
        <w:tc>
          <w:tcPr>
            <w:tcW w:w="845" w:type="dxa"/>
            <w:tcBorders>
              <w:top w:val="single" w:sz="4" w:space="0" w:color="auto"/>
              <w:left w:val="nil"/>
              <w:bottom w:val="single" w:sz="4" w:space="0" w:color="auto"/>
              <w:right w:val="single" w:sz="4" w:space="0" w:color="auto"/>
            </w:tcBorders>
            <w:shd w:val="clear" w:color="000000" w:fill="FFFFFF"/>
            <w:noWrap/>
            <w:hideMark/>
          </w:tcPr>
          <w:p w14:paraId="5C53E73D" w14:textId="0E849BD7" w:rsidR="00632442" w:rsidRPr="00632442" w:rsidRDefault="00632442" w:rsidP="00632442">
            <w:pPr>
              <w:spacing w:after="0"/>
              <w:ind w:firstLine="0"/>
              <w:jc w:val="center"/>
              <w:rPr>
                <w:rFonts w:eastAsia="Times New Roman" w:cs="Times New Roman"/>
                <w:b/>
                <w:bCs/>
                <w:sz w:val="18"/>
                <w:szCs w:val="18"/>
              </w:rPr>
            </w:pPr>
            <w:r w:rsidRPr="00632442">
              <w:rPr>
                <w:rFonts w:eastAsia="Times New Roman" w:cs="Times New Roman"/>
                <w:b/>
                <w:bCs/>
                <w:sz w:val="18"/>
                <w:szCs w:val="18"/>
              </w:rPr>
              <w:t>x</w:t>
            </w:r>
          </w:p>
        </w:tc>
        <w:tc>
          <w:tcPr>
            <w:tcW w:w="964" w:type="dxa"/>
            <w:tcBorders>
              <w:top w:val="single" w:sz="4" w:space="0" w:color="auto"/>
              <w:left w:val="nil"/>
              <w:bottom w:val="single" w:sz="4" w:space="0" w:color="auto"/>
              <w:right w:val="single" w:sz="4" w:space="0" w:color="auto"/>
            </w:tcBorders>
            <w:shd w:val="clear" w:color="000000" w:fill="FFFFFF"/>
            <w:noWrap/>
            <w:hideMark/>
          </w:tcPr>
          <w:p w14:paraId="19DB01A7" w14:textId="105B514A" w:rsidR="00632442" w:rsidRPr="00632442" w:rsidRDefault="00632442" w:rsidP="00632442">
            <w:pPr>
              <w:spacing w:after="0"/>
              <w:ind w:firstLine="0"/>
              <w:jc w:val="center"/>
              <w:rPr>
                <w:rFonts w:eastAsia="Times New Roman" w:cs="Times New Roman"/>
                <w:b/>
                <w:bCs/>
                <w:sz w:val="18"/>
                <w:szCs w:val="18"/>
              </w:rPr>
            </w:pPr>
            <w:r w:rsidRPr="00632442">
              <w:rPr>
                <w:rFonts w:eastAsia="Times New Roman" w:cs="Times New Roman"/>
                <w:b/>
                <w:bCs/>
                <w:sz w:val="18"/>
                <w:szCs w:val="18"/>
              </w:rPr>
              <w:t>x</w:t>
            </w:r>
          </w:p>
        </w:tc>
        <w:tc>
          <w:tcPr>
            <w:tcW w:w="1319" w:type="dxa"/>
            <w:tcBorders>
              <w:top w:val="single" w:sz="4" w:space="0" w:color="auto"/>
              <w:left w:val="nil"/>
              <w:bottom w:val="single" w:sz="4" w:space="0" w:color="auto"/>
              <w:right w:val="single" w:sz="4" w:space="0" w:color="auto"/>
            </w:tcBorders>
            <w:shd w:val="clear" w:color="000000" w:fill="FFFFFF"/>
            <w:noWrap/>
            <w:hideMark/>
          </w:tcPr>
          <w:p w14:paraId="01DB2C21" w14:textId="77777777" w:rsidR="00632442" w:rsidRPr="00632442" w:rsidRDefault="00632442" w:rsidP="00632442">
            <w:pPr>
              <w:spacing w:after="0"/>
              <w:ind w:firstLine="0"/>
              <w:jc w:val="right"/>
              <w:rPr>
                <w:rFonts w:eastAsia="Times New Roman" w:cs="Times New Roman"/>
                <w:b/>
                <w:bCs/>
                <w:sz w:val="18"/>
                <w:szCs w:val="18"/>
              </w:rPr>
            </w:pPr>
            <w:r w:rsidRPr="00632442">
              <w:rPr>
                <w:rFonts w:eastAsia="Calibri" w:cs="Times New Roman"/>
                <w:b/>
                <w:bCs/>
                <w:sz w:val="18"/>
                <w:szCs w:val="18"/>
                <w:lang w:eastAsia="en-US"/>
              </w:rPr>
              <w:t>5 053 969 473</w:t>
            </w:r>
          </w:p>
        </w:tc>
      </w:tr>
    </w:tbl>
    <w:p w14:paraId="3496CBDB" w14:textId="3B0621EF" w:rsidR="00407269" w:rsidRPr="0038459F" w:rsidRDefault="00632442" w:rsidP="00407269">
      <w:pPr>
        <w:widowControl w:val="0"/>
        <w:spacing w:before="120"/>
        <w:ind w:firstLine="0"/>
        <w:rPr>
          <w:rFonts w:eastAsia="Calibri" w:cs="Times New Roman"/>
          <w:i/>
          <w:sz w:val="20"/>
          <w:highlight w:val="lightGray"/>
        </w:rPr>
      </w:pPr>
      <w:r w:rsidRPr="00632442">
        <w:rPr>
          <w:rFonts w:eastAsia="Calibri" w:cs="Times New Roman"/>
          <w:i/>
          <w:sz w:val="20"/>
        </w:rPr>
        <w:t xml:space="preserve">Datu avots: </w:t>
      </w:r>
      <w:r w:rsidR="006836ED">
        <w:rPr>
          <w:rFonts w:eastAsia="Calibri" w:cs="Times New Roman"/>
          <w:i/>
          <w:sz w:val="20"/>
        </w:rPr>
        <w:t>FM</w:t>
      </w:r>
    </w:p>
    <w:sectPr w:rsidR="00407269" w:rsidRPr="0038459F" w:rsidSect="003347CE">
      <w:pgSz w:w="16838" w:h="11906" w:orient="landscape" w:code="9"/>
      <w:pgMar w:top="1418"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64DAD" w14:textId="77777777" w:rsidR="009B2FAA" w:rsidRDefault="009B2FAA" w:rsidP="00383CEF">
      <w:r>
        <w:separator/>
      </w:r>
    </w:p>
  </w:endnote>
  <w:endnote w:type="continuationSeparator" w:id="0">
    <w:p w14:paraId="577EF1F3" w14:textId="77777777" w:rsidR="009B2FAA" w:rsidRDefault="009B2FAA" w:rsidP="00383C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Garamond">
    <w:panose1 w:val="02020404030301010803"/>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1901A" w14:textId="1F0224C3" w:rsidR="00BB726B" w:rsidRPr="00BB726B" w:rsidRDefault="00BB726B" w:rsidP="00BB726B">
    <w:pPr>
      <w:pStyle w:val="Footer"/>
      <w:spacing w:after="0"/>
      <w:ind w:firstLine="0"/>
      <w:rPr>
        <w:sz w:val="20"/>
        <w:szCs w:val="20"/>
      </w:rPr>
    </w:pPr>
    <w:r w:rsidRPr="00BB726B">
      <w:rPr>
        <w:sz w:val="20"/>
        <w:szCs w:val="20"/>
      </w:rPr>
      <w:fldChar w:fldCharType="begin"/>
    </w:r>
    <w:r w:rsidRPr="00BB726B">
      <w:rPr>
        <w:sz w:val="20"/>
        <w:szCs w:val="20"/>
      </w:rPr>
      <w:instrText xml:space="preserve"> FILENAME \* MERGEFORMAT </w:instrText>
    </w:r>
    <w:r w:rsidRPr="00BB726B">
      <w:rPr>
        <w:sz w:val="20"/>
        <w:szCs w:val="20"/>
      </w:rPr>
      <w:fldChar w:fldCharType="separate"/>
    </w:r>
    <w:r w:rsidRPr="00BB726B">
      <w:rPr>
        <w:noProof/>
        <w:sz w:val="20"/>
        <w:szCs w:val="20"/>
      </w:rPr>
      <w:t>FMPask_1-4_271023_proj2024.docx</w:t>
    </w:r>
    <w:r w:rsidRPr="00BB726B">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4593C2" w14:textId="77777777" w:rsidR="009B2FAA" w:rsidRDefault="009B2FAA" w:rsidP="00383CEF">
      <w:r>
        <w:separator/>
      </w:r>
    </w:p>
  </w:footnote>
  <w:footnote w:type="continuationSeparator" w:id="0">
    <w:p w14:paraId="7BEA6BEE" w14:textId="77777777" w:rsidR="009B2FAA" w:rsidRDefault="009B2FAA" w:rsidP="00383CEF">
      <w:r>
        <w:continuationSeparator/>
      </w:r>
    </w:p>
  </w:footnote>
  <w:footnote w:id="1">
    <w:p w14:paraId="1232231C" w14:textId="18A63EF3" w:rsidR="00C74C27" w:rsidRPr="00BA7FA7" w:rsidRDefault="00C74C27" w:rsidP="00C74C27">
      <w:pPr>
        <w:pStyle w:val="FootnoteText"/>
        <w:tabs>
          <w:tab w:val="left" w:pos="7185"/>
        </w:tabs>
        <w:ind w:firstLine="0"/>
        <w:rPr>
          <w:rFonts w:cs="Times New Roman"/>
        </w:rPr>
      </w:pPr>
      <w:r w:rsidRPr="000110A6">
        <w:rPr>
          <w:rStyle w:val="FootnoteReference"/>
          <w:rFonts w:cs="Times New Roman"/>
        </w:rPr>
        <w:footnoteRef/>
      </w:r>
      <w:r w:rsidRPr="000110A6">
        <w:rPr>
          <w:rFonts w:cs="Times New Roman"/>
        </w:rPr>
        <w:t xml:space="preserve"> </w:t>
      </w:r>
      <w:r w:rsidRPr="00075ABF">
        <w:rPr>
          <w:rFonts w:cs="Times New Roman"/>
        </w:rPr>
        <w:t>Datu avoti: Ja nav norādīts citādi – Centrālā</w:t>
      </w:r>
      <w:r>
        <w:rPr>
          <w:rFonts w:cs="Times New Roman"/>
        </w:rPr>
        <w:t xml:space="preserve"> </w:t>
      </w:r>
      <w:r w:rsidRPr="00075ABF">
        <w:rPr>
          <w:rFonts w:cs="Times New Roman"/>
        </w:rPr>
        <w:t>statistiskas pārvalde</w:t>
      </w:r>
      <w:r>
        <w:rPr>
          <w:rFonts w:cs="Times New Roman"/>
        </w:rPr>
        <w:t xml:space="preserve"> (CSP)</w:t>
      </w:r>
      <w:r w:rsidRPr="00075ABF">
        <w:rPr>
          <w:rFonts w:cs="Times New Roman"/>
        </w:rPr>
        <w:t xml:space="preserve"> un </w:t>
      </w:r>
      <w:r>
        <w:rPr>
          <w:rFonts w:cs="Times New Roman"/>
        </w:rPr>
        <w:t>FM</w:t>
      </w:r>
      <w:r w:rsidRPr="00075ABF">
        <w:rPr>
          <w:rFonts w:cs="Times New Roman"/>
        </w:rPr>
        <w:t xml:space="preserve"> prognozes. Dati atbilstoši Centrālās statistikas datu bāzēs pieejamajai informācijai līdz </w:t>
      </w:r>
      <w:r>
        <w:rPr>
          <w:rFonts w:cs="Times New Roman"/>
        </w:rPr>
        <w:t>29</w:t>
      </w:r>
      <w:r w:rsidRPr="00075ABF">
        <w:rPr>
          <w:rFonts w:cs="Times New Roman"/>
        </w:rPr>
        <w:t>.0</w:t>
      </w:r>
      <w:r>
        <w:rPr>
          <w:rFonts w:cs="Times New Roman"/>
        </w:rPr>
        <w:t>9</w:t>
      </w:r>
      <w:r w:rsidRPr="00075ABF">
        <w:rPr>
          <w:rFonts w:cs="Times New Roman"/>
        </w:rPr>
        <w:t>.2023</w:t>
      </w:r>
      <w:r w:rsidRPr="00810648">
        <w:rPr>
          <w:rFonts w:cs="Times New Roman"/>
        </w:rPr>
        <w:t>.</w:t>
      </w:r>
      <w:r w:rsidRPr="00BA7FA7">
        <w:rPr>
          <w:rFonts w:cs="Times New Roman"/>
        </w:rPr>
        <w:tab/>
      </w:r>
    </w:p>
  </w:footnote>
  <w:footnote w:id="2">
    <w:p w14:paraId="2879A92A" w14:textId="77777777" w:rsidR="00C74C27" w:rsidRPr="00164009" w:rsidRDefault="00C74C27" w:rsidP="00E868E6">
      <w:pPr>
        <w:pStyle w:val="FootnoteText"/>
        <w:ind w:firstLine="0"/>
      </w:pPr>
      <w:r w:rsidRPr="00164009">
        <w:rPr>
          <w:rStyle w:val="FootnoteReference"/>
        </w:rPr>
        <w:footnoteRef/>
      </w:r>
      <w:r w:rsidRPr="00164009">
        <w:t xml:space="preserve"> Nominālās vienības darbaspēka izmaksas (</w:t>
      </w:r>
      <w:proofErr w:type="spellStart"/>
      <w:r w:rsidRPr="0053551D">
        <w:rPr>
          <w:i/>
        </w:rPr>
        <w:t>Nominal</w:t>
      </w:r>
      <w:proofErr w:type="spellEnd"/>
      <w:r w:rsidRPr="0053551D">
        <w:rPr>
          <w:i/>
        </w:rPr>
        <w:t xml:space="preserve"> </w:t>
      </w:r>
      <w:proofErr w:type="spellStart"/>
      <w:r w:rsidRPr="0053551D">
        <w:rPr>
          <w:i/>
        </w:rPr>
        <w:t>Unit</w:t>
      </w:r>
      <w:proofErr w:type="spellEnd"/>
      <w:r w:rsidRPr="0053551D">
        <w:rPr>
          <w:i/>
        </w:rPr>
        <w:t xml:space="preserve"> </w:t>
      </w:r>
      <w:proofErr w:type="spellStart"/>
      <w:r w:rsidRPr="0053551D">
        <w:rPr>
          <w:i/>
        </w:rPr>
        <w:t>Labour</w:t>
      </w:r>
      <w:proofErr w:type="spellEnd"/>
      <w:r w:rsidRPr="0053551D">
        <w:rPr>
          <w:i/>
        </w:rPr>
        <w:t xml:space="preserve"> </w:t>
      </w:r>
      <w:proofErr w:type="spellStart"/>
      <w:r w:rsidRPr="0053551D">
        <w:rPr>
          <w:i/>
        </w:rPr>
        <w:t>Costs</w:t>
      </w:r>
      <w:proofErr w:type="spellEnd"/>
      <w:r w:rsidRPr="00164009">
        <w:t>) mēra vidējās darbaspēka izmaksas uz vienu saražoto produkcijas vienību</w:t>
      </w:r>
      <w:r>
        <w:t>.</w:t>
      </w:r>
    </w:p>
  </w:footnote>
  <w:footnote w:id="3">
    <w:p w14:paraId="753D34DA" w14:textId="77777777" w:rsidR="00C6033D" w:rsidRPr="00B70782" w:rsidRDefault="00C6033D" w:rsidP="00C6033D">
      <w:pPr>
        <w:pStyle w:val="FootnoteText"/>
        <w:ind w:firstLine="0"/>
        <w:rPr>
          <w:sz w:val="16"/>
          <w:szCs w:val="16"/>
        </w:rPr>
      </w:pPr>
      <w:r w:rsidRPr="00B70782">
        <w:rPr>
          <w:rStyle w:val="FootnoteReference"/>
          <w:sz w:val="16"/>
          <w:szCs w:val="16"/>
        </w:rPr>
        <w:footnoteRef/>
      </w:r>
      <w:r w:rsidRPr="00B70782">
        <w:rPr>
          <w:sz w:val="16"/>
          <w:szCs w:val="16"/>
        </w:rPr>
        <w:t xml:space="preserve"> Procentu likmei saglabājoties kā bāzes sc</w:t>
      </w:r>
      <w:r>
        <w:rPr>
          <w:sz w:val="16"/>
          <w:szCs w:val="16"/>
        </w:rPr>
        <w:t>enārijā</w:t>
      </w:r>
      <w:r w:rsidRPr="00B70782">
        <w:rPr>
          <w:sz w:val="16"/>
          <w:szCs w:val="16"/>
        </w:rPr>
        <w:t>.</w:t>
      </w:r>
    </w:p>
  </w:footnote>
  <w:footnote w:id="4">
    <w:p w14:paraId="4B9EE15C" w14:textId="77777777" w:rsidR="00C6033D" w:rsidRPr="00B70782" w:rsidRDefault="00C6033D" w:rsidP="00C6033D">
      <w:pPr>
        <w:pStyle w:val="FootnoteText"/>
        <w:ind w:firstLine="0"/>
        <w:rPr>
          <w:sz w:val="16"/>
          <w:szCs w:val="16"/>
        </w:rPr>
      </w:pPr>
      <w:r w:rsidRPr="00B70782">
        <w:rPr>
          <w:rStyle w:val="FootnoteReference"/>
          <w:sz w:val="16"/>
          <w:szCs w:val="16"/>
        </w:rPr>
        <w:footnoteRef/>
      </w:r>
      <w:r w:rsidRPr="00B70782">
        <w:rPr>
          <w:sz w:val="16"/>
          <w:szCs w:val="16"/>
        </w:rPr>
        <w:t xml:space="preserve"> Procentu likmei saglabājoties kā bāzes sc</w:t>
      </w:r>
      <w:r>
        <w:rPr>
          <w:sz w:val="16"/>
          <w:szCs w:val="16"/>
        </w:rPr>
        <w:t>enārijā</w:t>
      </w:r>
      <w:r w:rsidRPr="00B70782">
        <w:rPr>
          <w:sz w:val="16"/>
          <w:szCs w:val="16"/>
        </w:rPr>
        <w:t>.</w:t>
      </w:r>
    </w:p>
  </w:footnote>
  <w:footnote w:id="5">
    <w:p w14:paraId="5E5B6861" w14:textId="77777777" w:rsidR="00C74C27" w:rsidRPr="00411AA1" w:rsidRDefault="00C74C27" w:rsidP="00E868E6">
      <w:pPr>
        <w:pStyle w:val="FootnoteText"/>
        <w:ind w:firstLine="0"/>
        <w:rPr>
          <w:sz w:val="16"/>
        </w:rPr>
      </w:pPr>
      <w:r w:rsidRPr="00411AA1">
        <w:rPr>
          <w:rStyle w:val="FootnoteReference"/>
          <w:sz w:val="18"/>
        </w:rPr>
        <w:footnoteRef/>
      </w:r>
      <w:r w:rsidRPr="00411AA1">
        <w:t xml:space="preserve"> Tabulā ir atspoguļotas attiecīgā gada prognozes, kas izstrādātas vienu gadu iepriekš (T-1). Piemēram, 202</w:t>
      </w:r>
      <w:r>
        <w:t>1. gad</w:t>
      </w:r>
      <w:r w:rsidRPr="00411AA1">
        <w:t>a prognozes ir izstrādātas 20</w:t>
      </w:r>
      <w:r>
        <w:t>20. gad</w:t>
      </w:r>
      <w:r w:rsidRPr="00411AA1">
        <w:t xml:space="preserve">ā. FM prognozes ir attiecīgā gada budžeta prognozes, kas izstrādātas iepriekšējā gada jūnijā, izņemot 2015., kā arī 2018. </w:t>
      </w:r>
      <w:r>
        <w:t>un 2023. gad</w:t>
      </w:r>
      <w:r w:rsidRPr="00411AA1">
        <w:t>a budžetus, kad iepriekšējā gada rudenī notika Saeimas vēlēšanas un prognozes tika sagatavotas vēlāk rudenī</w:t>
      </w:r>
      <w:r>
        <w:t>/ziemā</w:t>
      </w:r>
      <w:r w:rsidRPr="00411AA1">
        <w:t>. OECD, SVF un EK prognozes ir minēto institūciju tekošajā gadā publicētās jaunākās (līdz attiecīgā gada jūnijam) prognozes par nā</w:t>
      </w:r>
      <w:r>
        <w:t>kamo</w:t>
      </w:r>
      <w:r w:rsidRPr="00411AA1">
        <w:t xml:space="preserve"> gadu.</w:t>
      </w:r>
    </w:p>
  </w:footnote>
  <w:footnote w:id="6">
    <w:p w14:paraId="4AD6B3E3" w14:textId="0F7F3560" w:rsidR="009B40B1" w:rsidRDefault="009B40B1" w:rsidP="008F4EAC">
      <w:pPr>
        <w:pStyle w:val="FootnoteText"/>
        <w:spacing w:after="0"/>
        <w:ind w:firstLine="0"/>
      </w:pPr>
      <w:r>
        <w:rPr>
          <w:rStyle w:val="FootnoteReference"/>
        </w:rPr>
        <w:footnoteRef/>
      </w:r>
      <w:r>
        <w:t xml:space="preserve"> </w:t>
      </w:r>
      <w:r w:rsidR="00E868E6" w:rsidRPr="00E868E6">
        <w:t>Fiskālās politikas vadlīnijās 2024. gadam</w:t>
      </w:r>
      <w:r w:rsidR="00E868E6">
        <w:t xml:space="preserve">, pieejams: </w:t>
      </w:r>
      <w:r w:rsidRPr="00E868E6">
        <w:t>https://economy-finance.ec.europa.eu/system/files/2023-03/COM_2023_141_1_EN_ACT_part1_v4.pdf</w:t>
      </w:r>
    </w:p>
  </w:footnote>
  <w:footnote w:id="7">
    <w:p w14:paraId="003B889D" w14:textId="34805317" w:rsidR="008F4EAC" w:rsidRDefault="008F4EAC" w:rsidP="00E868E6">
      <w:pPr>
        <w:pStyle w:val="FootnoteText"/>
        <w:spacing w:after="0"/>
        <w:ind w:firstLine="0"/>
      </w:pPr>
      <w:r>
        <w:rPr>
          <w:rStyle w:val="FootnoteReference"/>
        </w:rPr>
        <w:footnoteRef/>
      </w:r>
      <w:r>
        <w:t xml:space="preserve"> </w:t>
      </w:r>
      <w:r w:rsidR="00E868E6">
        <w:t xml:space="preserve">Ieteikums Padomes ieteikumam par Latvijas 2023. gada valsts reformu programmu un ar ko sniedz Padomes atzinumu par Latvijas stabilitātes programmu, pieejams: </w:t>
      </w:r>
      <w:r w:rsidR="00E868E6" w:rsidRPr="00E868E6">
        <w:rPr>
          <w:rStyle w:val="Hyperlink"/>
          <w:color w:val="auto"/>
          <w:u w:val="none"/>
        </w:rPr>
        <w:t xml:space="preserve">https://data.consilium.europa.eu/doc/document/ST-9839-2023-REV-1/lv/pdf </w:t>
      </w:r>
    </w:p>
  </w:footnote>
  <w:footnote w:id="8">
    <w:p w14:paraId="3D446150" w14:textId="668A512E" w:rsidR="00C332E1" w:rsidRDefault="00C332E1" w:rsidP="008F4EAC">
      <w:pPr>
        <w:pStyle w:val="FootnoteText"/>
        <w:spacing w:after="0"/>
        <w:ind w:firstLine="0"/>
      </w:pPr>
      <w:r>
        <w:rPr>
          <w:rStyle w:val="FootnoteReference"/>
        </w:rPr>
        <w:footnoteRef/>
      </w:r>
      <w:r>
        <w:t xml:space="preserve"> </w:t>
      </w:r>
      <w:r w:rsidR="00E868E6">
        <w:t>A</w:t>
      </w:r>
      <w:r w:rsidRPr="00884209">
        <w:t>pstiprināt</w:t>
      </w:r>
      <w:r w:rsidR="00E868E6">
        <w:t>s</w:t>
      </w:r>
      <w:r w:rsidRPr="00884209">
        <w:t xml:space="preserve"> </w:t>
      </w:r>
      <w:r w:rsidR="0047535A">
        <w:t xml:space="preserve">MK </w:t>
      </w:r>
      <w:r w:rsidRPr="00884209">
        <w:t>2022. gada 12. aprīļa sēdē (</w:t>
      </w:r>
      <w:r w:rsidR="0047535A">
        <w:t>MK</w:t>
      </w:r>
      <w:r w:rsidRPr="00884209">
        <w:t xml:space="preserve">  sēdes protokols Nr. 20, 45.§)</w:t>
      </w:r>
    </w:p>
  </w:footnote>
  <w:footnote w:id="9">
    <w:p w14:paraId="53CBE1C0" w14:textId="301DD4F0" w:rsidR="00AA6679" w:rsidRDefault="00AA6679" w:rsidP="00AE0B8A">
      <w:pPr>
        <w:pStyle w:val="FootnoteText"/>
        <w:spacing w:after="0"/>
        <w:ind w:firstLine="0"/>
      </w:pPr>
      <w:r>
        <w:rPr>
          <w:rStyle w:val="FootnoteReference"/>
        </w:rPr>
        <w:footnoteRef/>
      </w:r>
      <w:r>
        <w:t xml:space="preserve"> </w:t>
      </w:r>
      <w:r w:rsidR="00E868E6">
        <w:t xml:space="preserve">Deklarācija par Artura Krišjāņa Kariņa vadītā MK iecerēto darbību, pieejams: </w:t>
      </w:r>
      <w:r w:rsidR="00E868E6" w:rsidRPr="00E868E6">
        <w:t>https://www.mk.gov.lv/lv/media/</w:t>
      </w:r>
      <w:r w:rsidR="00E868E6">
        <w:t xml:space="preserve"> </w:t>
      </w:r>
      <w:r w:rsidR="00E868E6" w:rsidRPr="00E868E6">
        <w:t>14490/</w:t>
      </w:r>
      <w:proofErr w:type="spellStart"/>
      <w:r w:rsidR="00E868E6" w:rsidRPr="00E868E6">
        <w:t>download?attachment</w:t>
      </w:r>
      <w:proofErr w:type="spellEnd"/>
      <w:r>
        <w:t xml:space="preserve"> </w:t>
      </w:r>
    </w:p>
  </w:footnote>
  <w:footnote w:id="10">
    <w:p w14:paraId="638C17D5" w14:textId="0F803F30" w:rsidR="00386E45" w:rsidRDefault="00386E45" w:rsidP="00AE0B8A">
      <w:pPr>
        <w:pStyle w:val="FootnoteText"/>
        <w:spacing w:after="0"/>
        <w:ind w:firstLine="0"/>
      </w:pPr>
      <w:r>
        <w:rPr>
          <w:rStyle w:val="FootnoteReference"/>
        </w:rPr>
        <w:footnoteRef/>
      </w:r>
      <w:r>
        <w:t xml:space="preserve"> </w:t>
      </w:r>
      <w:r w:rsidR="00E868E6">
        <w:t xml:space="preserve">Deklarācija par </w:t>
      </w:r>
      <w:proofErr w:type="spellStart"/>
      <w:r w:rsidR="00E868E6">
        <w:t>Evikas</w:t>
      </w:r>
      <w:proofErr w:type="spellEnd"/>
      <w:r w:rsidR="00E868E6">
        <w:t xml:space="preserve"> Siliņas vadītā MK iecerēto darbību 2023. gada 15. septembrī, pieejams: </w:t>
      </w:r>
      <w:r w:rsidR="00E868E6" w:rsidRPr="00E868E6">
        <w:t>https://www.mk.gov.lv/lv/media/16704/download?attachment</w:t>
      </w:r>
      <w:r>
        <w:t xml:space="preserve"> </w:t>
      </w:r>
    </w:p>
  </w:footnote>
  <w:footnote w:id="11">
    <w:p w14:paraId="28350E43" w14:textId="039F9CA3" w:rsidR="00EA4FF4" w:rsidRDefault="00EA4FF4" w:rsidP="00AE0B8A">
      <w:pPr>
        <w:pStyle w:val="FootnoteText"/>
        <w:spacing w:after="0"/>
        <w:ind w:firstLine="0"/>
      </w:pPr>
      <w:r>
        <w:rPr>
          <w:rStyle w:val="FootnoteReference"/>
        </w:rPr>
        <w:footnoteRef/>
      </w:r>
      <w:r>
        <w:t xml:space="preserve"> </w:t>
      </w:r>
      <w:r w:rsidR="00E868E6">
        <w:t xml:space="preserve">Deklarācija par </w:t>
      </w:r>
      <w:proofErr w:type="spellStart"/>
      <w:r w:rsidR="00E868E6">
        <w:t>Evikas</w:t>
      </w:r>
      <w:proofErr w:type="spellEnd"/>
      <w:r w:rsidR="00E868E6">
        <w:t xml:space="preserve"> Siliņas vadītā MK iecerēto darbību 2023. gada 15. septembrī, pieejams: </w:t>
      </w:r>
      <w:r w:rsidR="005A1481" w:rsidRPr="00FF3DFF">
        <w:t>https://www.mk.gov.lv/lv/media/16704/download?attachment</w:t>
      </w:r>
      <w:r w:rsidR="005A1481">
        <w:t xml:space="preserve"> </w:t>
      </w:r>
    </w:p>
  </w:footnote>
  <w:footnote w:id="12">
    <w:p w14:paraId="5C10F93E" w14:textId="0E772632" w:rsidR="00D86CB4" w:rsidRDefault="00D86CB4" w:rsidP="00AE0B8A">
      <w:pPr>
        <w:pStyle w:val="FootnoteText"/>
        <w:spacing w:after="0"/>
        <w:ind w:firstLine="0"/>
      </w:pPr>
      <w:r>
        <w:rPr>
          <w:rStyle w:val="FootnoteReference"/>
        </w:rPr>
        <w:footnoteRef/>
      </w:r>
      <w:r>
        <w:t xml:space="preserve"> </w:t>
      </w:r>
      <w:r w:rsidR="00E868E6">
        <w:t>T</w:t>
      </w:r>
      <w:r>
        <w:t>iesību aktu grozījumi ir publicēti 2023.</w:t>
      </w:r>
      <w:r w:rsidR="00E868E6">
        <w:t xml:space="preserve"> </w:t>
      </w:r>
      <w:r>
        <w:t>gada 26.</w:t>
      </w:r>
      <w:r w:rsidR="00E868E6">
        <w:t xml:space="preserve"> </w:t>
      </w:r>
      <w:r>
        <w:t>aprīlī, Padome aicināja noslēgt leģislatīvo darbu līdz 2023.</w:t>
      </w:r>
      <w:r w:rsidR="00E868E6">
        <w:t xml:space="preserve"> </w:t>
      </w:r>
      <w:r>
        <w:t>gada beigām ar mērķi jauno ietvaru piemērot sākot ar 2024.</w:t>
      </w:r>
      <w:r w:rsidR="00E868E6">
        <w:t xml:space="preserve"> </w:t>
      </w:r>
      <w:r>
        <w:t>gadu.</w:t>
      </w:r>
    </w:p>
  </w:footnote>
  <w:footnote w:id="13">
    <w:p w14:paraId="3D793C0E" w14:textId="10DEB050" w:rsidR="005A1481" w:rsidRDefault="005A1481" w:rsidP="005A1481">
      <w:pPr>
        <w:pStyle w:val="FootnoteText"/>
        <w:ind w:firstLine="0"/>
      </w:pPr>
      <w:r>
        <w:rPr>
          <w:rStyle w:val="FootnoteReference"/>
        </w:rPr>
        <w:footnoteRef/>
      </w:r>
      <w:r>
        <w:t xml:space="preserve"> </w:t>
      </w:r>
      <w:r w:rsidRPr="00FF3DFF">
        <w:t>https://tapportals.mk.gov.lv/meetings/protocols/85f82008-0af8-430c-a9ef-1704b9920e3e</w:t>
      </w:r>
      <w:r>
        <w:t xml:space="preserve"> </w:t>
      </w:r>
    </w:p>
  </w:footnote>
  <w:footnote w:id="14">
    <w:p w14:paraId="0402F2B5" w14:textId="7318BB8C" w:rsidR="008921B9" w:rsidRDefault="008921B9" w:rsidP="00AE0B8A">
      <w:pPr>
        <w:pStyle w:val="FootnoteText"/>
        <w:spacing w:after="0"/>
        <w:ind w:firstLine="0"/>
      </w:pPr>
      <w:r>
        <w:rPr>
          <w:rStyle w:val="FootnoteReference"/>
        </w:rPr>
        <w:footnoteRef/>
      </w:r>
      <w:r>
        <w:t xml:space="preserve"> </w:t>
      </w:r>
      <w:r w:rsidR="00E868E6" w:rsidRPr="00E868E6">
        <w:t>Par makroekonomisko rādītāju, ieņēmumu un vispārējās valdības budžeta bilances prognozēm 2024., 2025. un 2026. gadā</w:t>
      </w:r>
      <w:r w:rsidR="00E868E6">
        <w:t xml:space="preserve">, pieejams: </w:t>
      </w:r>
      <w:hyperlink r:id="rId1" w:history="1">
        <w:r w:rsidR="0087794B" w:rsidRPr="00631F7D">
          <w:rPr>
            <w:rStyle w:val="Hyperlink"/>
          </w:rPr>
          <w:t>https://tapportals.mk.gov.lv/legal_acts/9e47ab90-df45-45f0-95c1-b465ec6d1bcc#</w:t>
        </w:r>
      </w:hyperlink>
      <w:r w:rsidR="0087794B">
        <w:t xml:space="preserve"> </w:t>
      </w:r>
      <w:r>
        <w:t xml:space="preserve"> </w:t>
      </w:r>
    </w:p>
  </w:footnote>
  <w:footnote w:id="15">
    <w:p w14:paraId="51DC7DD7" w14:textId="32B26CD2" w:rsidR="003B2ACB" w:rsidRDefault="003B2ACB" w:rsidP="00AE0B8A">
      <w:pPr>
        <w:pStyle w:val="FootnoteText"/>
        <w:spacing w:after="0"/>
        <w:ind w:firstLine="0"/>
      </w:pPr>
      <w:r>
        <w:rPr>
          <w:rStyle w:val="FootnoteReference"/>
        </w:rPr>
        <w:footnoteRef/>
      </w:r>
      <w:r>
        <w:t xml:space="preserve"> </w:t>
      </w:r>
      <w:r w:rsidRPr="003B2ACB">
        <w:t>Eiropas parlamenta un Padomes 2011. gada 16. novembra regula</w:t>
      </w:r>
      <w:r w:rsidR="00E868E6">
        <w:t>s</w:t>
      </w:r>
      <w:r w:rsidRPr="003B2ACB">
        <w:t xml:space="preserve"> Nr. 1175/2011, ar ko groza Padomes Regulu (EK) Nr. 1466/97 par budžeta stāvokļa uzraudzības un ekonomikas politikas uzraudzības un koordinācijas stiprināšanu</w:t>
      </w:r>
      <w:r w:rsidR="00E868E6">
        <w:t>,</w:t>
      </w:r>
      <w:r w:rsidRPr="003B2ACB">
        <w:t xml:space="preserve"> 5. pants</w:t>
      </w:r>
    </w:p>
  </w:footnote>
  <w:footnote w:id="16">
    <w:p w14:paraId="72FCFE0E" w14:textId="77777777" w:rsidR="00EA3632" w:rsidRPr="00A41EC3" w:rsidRDefault="00EA3632" w:rsidP="00EA3632">
      <w:pPr>
        <w:pStyle w:val="FootnoteText"/>
        <w:ind w:firstLine="0"/>
        <w:rPr>
          <w:sz w:val="16"/>
          <w:szCs w:val="16"/>
        </w:rPr>
      </w:pPr>
      <w:r w:rsidRPr="00430BBA">
        <w:rPr>
          <w:rStyle w:val="FootnoteReference"/>
          <w:sz w:val="17"/>
          <w:szCs w:val="17"/>
        </w:rPr>
        <w:footnoteRef/>
      </w:r>
      <w:r w:rsidRPr="00430BBA">
        <w:rPr>
          <w:sz w:val="17"/>
          <w:szCs w:val="17"/>
        </w:rPr>
        <w:t xml:space="preserve"> </w:t>
      </w:r>
      <w:r w:rsidRPr="00A41EC3">
        <w:rPr>
          <w:sz w:val="16"/>
          <w:szCs w:val="16"/>
        </w:rPr>
        <w:t>Eiropas Parlamenta un Padomes regula (ES) Nr. 549/2013 par Eiropas nacionālo un reģionālo kontu sistēmu ES.</w:t>
      </w:r>
    </w:p>
  </w:footnote>
  <w:footnote w:id="17">
    <w:p w14:paraId="6EAB5ED6" w14:textId="77777777" w:rsidR="00EA3632" w:rsidRPr="00430BBA" w:rsidRDefault="00EA3632" w:rsidP="00EA3632">
      <w:pPr>
        <w:pStyle w:val="FootnoteText"/>
        <w:ind w:firstLine="0"/>
        <w:rPr>
          <w:sz w:val="17"/>
          <w:szCs w:val="17"/>
        </w:rPr>
      </w:pPr>
      <w:r>
        <w:rPr>
          <w:rStyle w:val="FootnoteReference"/>
        </w:rPr>
        <w:footnoteRef/>
      </w:r>
      <w:r>
        <w:t xml:space="preserve"> </w:t>
      </w:r>
      <w:r w:rsidRPr="00D32A8E">
        <w:rPr>
          <w:sz w:val="16"/>
          <w:szCs w:val="16"/>
        </w:rPr>
        <w:t xml:space="preserve">Valsts </w:t>
      </w:r>
      <w:r w:rsidRPr="00A41EC3">
        <w:rPr>
          <w:sz w:val="16"/>
          <w:szCs w:val="16"/>
        </w:rPr>
        <w:t>(S130130) vai pašvaldību struktūru (S130330) kontrolēt</w:t>
      </w:r>
      <w:r>
        <w:rPr>
          <w:sz w:val="16"/>
          <w:szCs w:val="16"/>
        </w:rPr>
        <w:t>o</w:t>
      </w:r>
      <w:r w:rsidRPr="00A41EC3">
        <w:rPr>
          <w:sz w:val="16"/>
          <w:szCs w:val="16"/>
        </w:rPr>
        <w:t xml:space="preserve"> un finansēt</w:t>
      </w:r>
      <w:r>
        <w:rPr>
          <w:sz w:val="16"/>
          <w:szCs w:val="16"/>
        </w:rPr>
        <w:t>o</w:t>
      </w:r>
      <w:r w:rsidRPr="00A41EC3">
        <w:rPr>
          <w:sz w:val="16"/>
          <w:szCs w:val="16"/>
        </w:rPr>
        <w:t xml:space="preserve"> komercsabiedrīb</w:t>
      </w:r>
      <w:r>
        <w:rPr>
          <w:sz w:val="16"/>
          <w:szCs w:val="16"/>
        </w:rPr>
        <w:t>u, kā arī n</w:t>
      </w:r>
      <w:r w:rsidRPr="00A41EC3">
        <w:rPr>
          <w:sz w:val="16"/>
          <w:szCs w:val="16"/>
        </w:rPr>
        <w:t>o valsts budžeta daļēji finansēto atvasināto publisko personu (S130160) un budžeta nefinansēto iestāžu</w:t>
      </w:r>
      <w:r>
        <w:rPr>
          <w:sz w:val="16"/>
          <w:szCs w:val="16"/>
        </w:rPr>
        <w:t xml:space="preserve"> </w:t>
      </w:r>
      <w:r w:rsidRPr="00A41EC3">
        <w:rPr>
          <w:sz w:val="16"/>
          <w:szCs w:val="16"/>
        </w:rPr>
        <w:t xml:space="preserve">(S130150) saraksts ir </w:t>
      </w:r>
      <w:r>
        <w:rPr>
          <w:sz w:val="16"/>
          <w:szCs w:val="16"/>
        </w:rPr>
        <w:t>apskatāms</w:t>
      </w:r>
      <w:r w:rsidRPr="00A41EC3">
        <w:rPr>
          <w:sz w:val="16"/>
          <w:szCs w:val="16"/>
        </w:rPr>
        <w:t xml:space="preserve"> CSP tīmekļvietnē</w:t>
      </w:r>
      <w:r>
        <w:rPr>
          <w:sz w:val="16"/>
          <w:szCs w:val="16"/>
        </w:rPr>
        <w:t>:</w:t>
      </w:r>
      <w:r w:rsidRPr="00A41EC3">
        <w:rPr>
          <w:sz w:val="16"/>
          <w:szCs w:val="16"/>
        </w:rPr>
        <w:t xml:space="preserve"> https://tools.csb.gov.lv/isk/lv</w:t>
      </w:r>
    </w:p>
    <w:p w14:paraId="3F622C68" w14:textId="77777777" w:rsidR="00EA3632" w:rsidRDefault="00EA3632" w:rsidP="00EA3632">
      <w:pPr>
        <w:pStyle w:val="FootnoteText"/>
      </w:pPr>
    </w:p>
  </w:footnote>
  <w:footnote w:id="18">
    <w:p w14:paraId="6E34EFAD" w14:textId="77777777" w:rsidR="00EA3632" w:rsidRPr="00A41EC3" w:rsidRDefault="00EA3632" w:rsidP="00EA3632">
      <w:pPr>
        <w:pStyle w:val="FootnoteText"/>
        <w:ind w:firstLine="0"/>
        <w:rPr>
          <w:sz w:val="16"/>
          <w:szCs w:val="16"/>
        </w:rPr>
      </w:pPr>
      <w:r w:rsidRPr="00135920">
        <w:rPr>
          <w:rStyle w:val="FootnoteReference"/>
          <w:sz w:val="16"/>
          <w:szCs w:val="16"/>
        </w:rPr>
        <w:footnoteRef/>
      </w:r>
      <w:r w:rsidRPr="00135920">
        <w:rPr>
          <w:sz w:val="16"/>
          <w:szCs w:val="16"/>
        </w:rPr>
        <w:t xml:space="preserve"> Atbilstoši MK 15.08.2023. informatīvajam ziņojumam “Par aktualizētām makroekonomisko rādītāju, ieņēmumu un vispārējās valdības budžeta bilances prognozēm 2024.-2026. gadā”</w:t>
      </w:r>
      <w:r>
        <w:rPr>
          <w:sz w:val="16"/>
          <w:szCs w:val="16"/>
        </w:rPr>
        <w:t>.</w:t>
      </w:r>
    </w:p>
  </w:footnote>
  <w:footnote w:id="19">
    <w:p w14:paraId="5AF61540" w14:textId="77777777" w:rsidR="0027570C" w:rsidRPr="00272D28" w:rsidRDefault="0027570C" w:rsidP="0027570C">
      <w:pPr>
        <w:pStyle w:val="FootnoteText"/>
        <w:ind w:firstLine="0"/>
        <w:rPr>
          <w:rFonts w:cs="Times New Roman"/>
        </w:rPr>
      </w:pPr>
      <w:r w:rsidRPr="00272D28">
        <w:rPr>
          <w:rStyle w:val="FootnoteReference"/>
          <w:rFonts w:cs="Times New Roman"/>
        </w:rPr>
        <w:footnoteRef/>
      </w:r>
      <w:r w:rsidRPr="00272D28">
        <w:rPr>
          <w:rFonts w:cs="Times New Roman"/>
        </w:rPr>
        <w:t xml:space="preserve"> </w:t>
      </w:r>
      <w:r w:rsidRPr="00483258">
        <w:rPr>
          <w:sz w:val="16"/>
          <w:szCs w:val="16"/>
        </w:rPr>
        <w:t>Atbilstoši MK 26.09.2023. informatīvajam ziņojumam Par priekšlikumiem valsts budžeta prioritārajiem pasākumiem 2024. gadam un budžeta ietvaram 2024.–2026. gadam”</w:t>
      </w:r>
      <w:r>
        <w:rPr>
          <w:sz w:val="16"/>
          <w:szCs w:val="16"/>
        </w:rPr>
        <w:t>.</w:t>
      </w:r>
    </w:p>
  </w:footnote>
  <w:footnote w:id="20">
    <w:p w14:paraId="273D2BD8" w14:textId="77777777" w:rsidR="0027570C" w:rsidRPr="009F2411" w:rsidRDefault="0027570C" w:rsidP="0027570C">
      <w:pPr>
        <w:pStyle w:val="FootnoteText"/>
        <w:ind w:firstLine="0"/>
        <w:rPr>
          <w:sz w:val="16"/>
          <w:szCs w:val="16"/>
        </w:rPr>
      </w:pPr>
      <w:r w:rsidRPr="00323346">
        <w:rPr>
          <w:rStyle w:val="FootnoteReference"/>
          <w:sz w:val="16"/>
          <w:szCs w:val="16"/>
        </w:rPr>
        <w:footnoteRef/>
      </w:r>
      <w:r w:rsidRPr="00323346">
        <w:rPr>
          <w:sz w:val="16"/>
          <w:szCs w:val="16"/>
        </w:rPr>
        <w:t xml:space="preserve"> Atbilstoši MK 15.08.2023. informatīvajam ziņojumam “Par aktualizētām makroekonomisko rādītāju, ieņēmumu un vispārējās valdības budžeta bilances prognozēm 2024.-2026. gadā”</w:t>
      </w:r>
    </w:p>
  </w:footnote>
  <w:footnote w:id="21">
    <w:p w14:paraId="18D13E20" w14:textId="77777777" w:rsidR="0027570C" w:rsidRPr="009F2411" w:rsidRDefault="0027570C" w:rsidP="0027570C">
      <w:pPr>
        <w:pStyle w:val="FootnoteText"/>
        <w:ind w:firstLine="0"/>
        <w:rPr>
          <w:sz w:val="16"/>
          <w:szCs w:val="16"/>
        </w:rPr>
      </w:pPr>
      <w:r w:rsidRPr="009F2411">
        <w:rPr>
          <w:rStyle w:val="FootnoteReference"/>
          <w:sz w:val="16"/>
          <w:szCs w:val="16"/>
        </w:rPr>
        <w:footnoteRef/>
      </w:r>
      <w:r w:rsidRPr="009F2411">
        <w:rPr>
          <w:sz w:val="16"/>
          <w:szCs w:val="16"/>
        </w:rPr>
        <w:t xml:space="preserve"> Atbilstoši MK </w:t>
      </w:r>
      <w:r>
        <w:rPr>
          <w:sz w:val="16"/>
          <w:szCs w:val="16"/>
        </w:rPr>
        <w:t>15.08.2023.</w:t>
      </w:r>
      <w:r w:rsidRPr="009F2411">
        <w:rPr>
          <w:sz w:val="16"/>
          <w:szCs w:val="16"/>
        </w:rPr>
        <w:t xml:space="preserve"> informatīvajam ziņojumam “Par aktualizētām makroekonomisko rādītāju, ieņēmumu un vispārējās valdības budžeta bilances prognozēm 202</w:t>
      </w:r>
      <w:r>
        <w:rPr>
          <w:sz w:val="16"/>
          <w:szCs w:val="16"/>
        </w:rPr>
        <w:t>4</w:t>
      </w:r>
      <w:r w:rsidRPr="009F2411">
        <w:rPr>
          <w:sz w:val="16"/>
          <w:szCs w:val="16"/>
        </w:rPr>
        <w:t>.-202</w:t>
      </w:r>
      <w:r>
        <w:rPr>
          <w:sz w:val="16"/>
          <w:szCs w:val="16"/>
        </w:rPr>
        <w:t>6</w:t>
      </w:r>
      <w:r w:rsidRPr="009F2411">
        <w:rPr>
          <w:sz w:val="16"/>
          <w:szCs w:val="16"/>
        </w:rPr>
        <w:t>.</w:t>
      </w:r>
      <w:r>
        <w:rPr>
          <w:sz w:val="16"/>
          <w:szCs w:val="16"/>
        </w:rPr>
        <w:t xml:space="preserve"> </w:t>
      </w:r>
      <w:r w:rsidRPr="009F2411">
        <w:rPr>
          <w:sz w:val="16"/>
          <w:szCs w:val="16"/>
        </w:rPr>
        <w:t>gadā”</w:t>
      </w:r>
    </w:p>
  </w:footnote>
  <w:footnote w:id="22">
    <w:p w14:paraId="32F3E41C" w14:textId="77777777" w:rsidR="0027570C" w:rsidRPr="009F2411" w:rsidRDefault="0027570C" w:rsidP="0027570C">
      <w:pPr>
        <w:pStyle w:val="FootnoteText"/>
        <w:ind w:firstLine="0"/>
        <w:rPr>
          <w:sz w:val="16"/>
          <w:szCs w:val="16"/>
        </w:rPr>
      </w:pPr>
      <w:r w:rsidRPr="009F2411">
        <w:rPr>
          <w:rStyle w:val="FootnoteReference"/>
          <w:sz w:val="16"/>
          <w:szCs w:val="16"/>
        </w:rPr>
        <w:footnoteRef/>
      </w:r>
      <w:r w:rsidRPr="009F2411">
        <w:rPr>
          <w:sz w:val="16"/>
          <w:szCs w:val="16"/>
        </w:rPr>
        <w:t xml:space="preserve"> Datu avots: AMECO</w:t>
      </w:r>
      <w:r>
        <w:rPr>
          <w:sz w:val="16"/>
          <w:szCs w:val="16"/>
        </w:rPr>
        <w:t xml:space="preserve"> datu bāze</w:t>
      </w:r>
      <w:r w:rsidRPr="009F2411">
        <w:rPr>
          <w:sz w:val="16"/>
          <w:szCs w:val="16"/>
        </w:rPr>
        <w:t>.</w:t>
      </w:r>
    </w:p>
  </w:footnote>
  <w:footnote w:id="23">
    <w:p w14:paraId="5182D31F" w14:textId="77777777" w:rsidR="0027570C" w:rsidRPr="00430BBA" w:rsidRDefault="0027570C" w:rsidP="0027570C">
      <w:pPr>
        <w:pStyle w:val="FootnoteText"/>
        <w:ind w:firstLine="0"/>
        <w:rPr>
          <w:sz w:val="17"/>
          <w:szCs w:val="17"/>
        </w:rPr>
      </w:pPr>
      <w:r w:rsidRPr="009F2411">
        <w:rPr>
          <w:rStyle w:val="FootnoteReference"/>
          <w:sz w:val="16"/>
          <w:szCs w:val="16"/>
        </w:rPr>
        <w:footnoteRef/>
      </w:r>
      <w:r w:rsidRPr="009F2411">
        <w:rPr>
          <w:sz w:val="16"/>
          <w:szCs w:val="16"/>
        </w:rPr>
        <w:t xml:space="preserve"> Nodokļu ieņēmumi atbilstoši EKS metodoloģijai (D.2 + D.5 + D.61 + D.91).</w:t>
      </w:r>
    </w:p>
  </w:footnote>
  <w:footnote w:id="24">
    <w:p w14:paraId="06AF3266" w14:textId="36A39AD5" w:rsidR="00315973" w:rsidRPr="00AE0B8A" w:rsidRDefault="00315973" w:rsidP="00911F3E">
      <w:pPr>
        <w:pStyle w:val="FootnoteText"/>
        <w:spacing w:after="0"/>
        <w:ind w:firstLine="0"/>
        <w:jc w:val="left"/>
      </w:pPr>
      <w:r w:rsidRPr="00AE0B8A">
        <w:rPr>
          <w:rStyle w:val="FootnoteReference"/>
        </w:rPr>
        <w:footnoteRef/>
      </w:r>
      <w:r w:rsidR="009F2411" w:rsidRPr="00AE0B8A">
        <w:t xml:space="preserve"> </w:t>
      </w:r>
      <w:r w:rsidRPr="00AE0B8A">
        <w:t>Deklarācija par Ministru kabineta iecerēto darbību</w:t>
      </w:r>
      <w:r w:rsidR="009F2411" w:rsidRPr="00AE0B8A">
        <w:t xml:space="preserve"> (</w:t>
      </w:r>
      <w:r w:rsidR="00F05953" w:rsidRPr="00AE0B8A">
        <w:t>15.09</w:t>
      </w:r>
      <w:r w:rsidRPr="00AE0B8A">
        <w:t>.202</w:t>
      </w:r>
      <w:r w:rsidR="00F05953" w:rsidRPr="00AE0B8A">
        <w:t>3</w:t>
      </w:r>
      <w:r w:rsidRPr="00AE0B8A">
        <w:t>.</w:t>
      </w:r>
      <w:r w:rsidR="009F2411" w:rsidRPr="00AE0B8A">
        <w:t xml:space="preserve">), pieejama: </w:t>
      </w:r>
      <w:r w:rsidR="00F05953" w:rsidRPr="00AE0B8A">
        <w:t>https://www.mk.gov.lv/lv/media/</w:t>
      </w:r>
      <w:r w:rsidR="00AE0B8A" w:rsidRPr="00AE0B8A">
        <w:t xml:space="preserve"> </w:t>
      </w:r>
      <w:r w:rsidR="00F05953" w:rsidRPr="00AE0B8A">
        <w:t>16704/</w:t>
      </w:r>
      <w:proofErr w:type="spellStart"/>
      <w:r w:rsidR="00F05953" w:rsidRPr="00AE0B8A">
        <w:t>download?attachment</w:t>
      </w:r>
      <w:proofErr w:type="spellEnd"/>
      <w:r w:rsidR="00F05953" w:rsidRPr="00AE0B8A">
        <w:t xml:space="preserve"> </w:t>
      </w:r>
    </w:p>
  </w:footnote>
  <w:footnote w:id="25">
    <w:p w14:paraId="3E0B2A8B" w14:textId="61A16F1E" w:rsidR="00911F3E" w:rsidRDefault="00911F3E" w:rsidP="00AE0B8A">
      <w:pPr>
        <w:pStyle w:val="FootnoteText"/>
        <w:spacing w:after="0"/>
        <w:ind w:firstLine="0"/>
      </w:pPr>
      <w:r w:rsidRPr="00AE0B8A">
        <w:rPr>
          <w:rStyle w:val="FootnoteReference"/>
        </w:rPr>
        <w:footnoteRef/>
      </w:r>
      <w:r w:rsidRPr="00AE0B8A">
        <w:t xml:space="preserve"> </w:t>
      </w:r>
      <w:r w:rsidR="00AE0B8A">
        <w:t xml:space="preserve">Par makroekonomisko rādītāju, ieņēmumu un vispārējās valdības budžeta bilances prognozēm 2024., 2025. un 2026. gadā, pieejams: </w:t>
      </w:r>
      <w:r w:rsidR="00AE0B8A" w:rsidRPr="00AE0B8A">
        <w:t>https://tapportals.mk.gov.lv/legal_acts/9e47ab90-df45-45f0-95c1-b465ec6d1bcc</w:t>
      </w:r>
      <w:r>
        <w:t xml:space="preserve"> </w:t>
      </w:r>
    </w:p>
  </w:footnote>
  <w:footnote w:id="26">
    <w:p w14:paraId="7F21A457" w14:textId="2B646165" w:rsidR="00315973" w:rsidRPr="00FF132B" w:rsidRDefault="00315973" w:rsidP="00D32A8E">
      <w:pPr>
        <w:pStyle w:val="FootnoteText"/>
        <w:ind w:firstLine="0"/>
        <w:jc w:val="left"/>
      </w:pPr>
      <w:r w:rsidRPr="00FF132B">
        <w:rPr>
          <w:rStyle w:val="FootnoteReference"/>
        </w:rPr>
        <w:footnoteRef/>
      </w:r>
      <w:r w:rsidRPr="00FF132B">
        <w:t xml:space="preserve"> </w:t>
      </w:r>
      <w:proofErr w:type="spellStart"/>
      <w:r w:rsidR="009F2411" w:rsidRPr="00FF132B">
        <w:rPr>
          <w:i/>
          <w:iCs/>
        </w:rPr>
        <w:t>Eurostat</w:t>
      </w:r>
      <w:proofErr w:type="spellEnd"/>
      <w:r w:rsidR="009F2411" w:rsidRPr="00FF132B">
        <w:t xml:space="preserve"> datu bāze, informācija pieejama: </w:t>
      </w:r>
      <w:r w:rsidR="00911F3E" w:rsidRPr="00AE0B8A">
        <w:t>https://ec.europa.eu/eurostat/databrowser/view/gov_10a_exp/default/table?lang=en</w:t>
      </w:r>
      <w:r w:rsidR="00911F3E" w:rsidRPr="00FF132B">
        <w:t xml:space="preserve"> </w:t>
      </w:r>
    </w:p>
  </w:footnote>
  <w:footnote w:id="27">
    <w:p w14:paraId="4C9F5E37" w14:textId="7E972600" w:rsidR="00CF753F" w:rsidRDefault="00CF753F" w:rsidP="00CF753F">
      <w:pPr>
        <w:pStyle w:val="FootnoteText"/>
        <w:ind w:firstLine="0"/>
        <w:jc w:val="left"/>
      </w:pPr>
      <w:r>
        <w:rPr>
          <w:rStyle w:val="FootnoteReference"/>
        </w:rPr>
        <w:footnoteRef/>
      </w:r>
      <w:r>
        <w:t xml:space="preserve"> </w:t>
      </w:r>
      <w:r w:rsidRPr="00CF753F">
        <w:t>Ministru kabineta 2022.</w:t>
      </w:r>
      <w:r w:rsidR="002F1C35">
        <w:t xml:space="preserve"> </w:t>
      </w:r>
      <w:r w:rsidRPr="00CF753F">
        <w:t>gada 19.</w:t>
      </w:r>
      <w:r w:rsidR="002F1C35">
        <w:t xml:space="preserve"> </w:t>
      </w:r>
      <w:r w:rsidRPr="00CF753F">
        <w:t>aprīļa sēd</w:t>
      </w:r>
      <w:r>
        <w:t xml:space="preserve">es </w:t>
      </w:r>
      <w:r w:rsidRPr="00CF753F">
        <w:t>prot. Nr.</w:t>
      </w:r>
      <w:r w:rsidR="002F1C35">
        <w:t xml:space="preserve"> </w:t>
      </w:r>
      <w:r w:rsidRPr="00CF753F">
        <w:t>22 38.§</w:t>
      </w:r>
      <w:r>
        <w:t xml:space="preserve"> </w:t>
      </w:r>
      <w:r w:rsidRPr="00AE0B8A">
        <w:t>https://tapportals.mk.gov.lv/meetings/protocols/6fb0828a-8865-4730-b659-523f6164a2dc</w:t>
      </w:r>
      <w:r>
        <w:t xml:space="preserve"> </w:t>
      </w:r>
    </w:p>
  </w:footnote>
  <w:footnote w:id="28">
    <w:p w14:paraId="26B73E70" w14:textId="2FE7D0E7" w:rsidR="00FF132B" w:rsidRDefault="00FF132B" w:rsidP="00FF132B">
      <w:pPr>
        <w:pStyle w:val="FootnoteText"/>
        <w:ind w:firstLine="0"/>
      </w:pPr>
      <w:r w:rsidRPr="00FF132B">
        <w:rPr>
          <w:rStyle w:val="FootnoteReference"/>
          <w:rFonts w:cs="Times New Roman"/>
        </w:rPr>
        <w:footnoteRef/>
      </w:r>
      <w:r w:rsidRPr="00FF132B">
        <w:rPr>
          <w:rFonts w:cs="Times New Roman"/>
        </w:rPr>
        <w:t xml:space="preserve"> Vispārējās valdības izdevumu sadalījums atbilstoši funkcionālajām kategorijām, </w:t>
      </w:r>
      <w:r>
        <w:rPr>
          <w:rFonts w:cs="Times New Roman"/>
        </w:rPr>
        <w:t xml:space="preserve">informācija </w:t>
      </w:r>
      <w:r w:rsidRPr="00FF132B">
        <w:rPr>
          <w:rFonts w:cs="Times New Roman"/>
        </w:rPr>
        <w:t>pieejam</w:t>
      </w:r>
      <w:r>
        <w:rPr>
          <w:rFonts w:cs="Times New Roman"/>
        </w:rPr>
        <w:t>a</w:t>
      </w:r>
      <w:r w:rsidRPr="00FF132B">
        <w:rPr>
          <w:rFonts w:cs="Times New Roman"/>
        </w:rPr>
        <w:t xml:space="preserve">: </w:t>
      </w:r>
      <w:r w:rsidRPr="00AE0B8A">
        <w:rPr>
          <w:rFonts w:cs="Times New Roman"/>
        </w:rPr>
        <w:t>https://ec.europa.eu/eurostat/databrowser/view/GOV_10A_EXP/default/table?lang=en</w:t>
      </w:r>
      <w:r w:rsidRPr="00FF132B">
        <w:rPr>
          <w:rFonts w:cs="Times New Roman"/>
        </w:rPr>
        <w:t xml:space="preserve"> </w:t>
      </w:r>
    </w:p>
  </w:footnote>
  <w:footnote w:id="29">
    <w:p w14:paraId="3E351250" w14:textId="77777777" w:rsidR="00FF132B" w:rsidRPr="00776830" w:rsidRDefault="00FF132B" w:rsidP="00AE0B8A">
      <w:pPr>
        <w:pStyle w:val="FootnoteText"/>
        <w:spacing w:after="0"/>
      </w:pPr>
      <w:r w:rsidRPr="00776830">
        <w:rPr>
          <w:rStyle w:val="FootnoteReference"/>
        </w:rPr>
        <w:footnoteRef/>
      </w:r>
      <w:r w:rsidRPr="00776830">
        <w:t xml:space="preserve"> 21.06.2022. MK noteikumi Nr. 376 "Kārtība, kādā aprēķina un sadala valsts budžeta mērķdotāciju pedagogu darba samaksai pašvaldību vispārējās izglītības iestādēs un valsts augstskolu vispārējās vidējās izglītības iestādēs", pieejami: https://tapportals.mk.gov.lv/legal_acts/7f1</w:t>
      </w:r>
    </w:p>
  </w:footnote>
  <w:footnote w:id="30">
    <w:p w14:paraId="2B7EBBC1" w14:textId="77777777" w:rsidR="00FF132B" w:rsidRDefault="00FF132B" w:rsidP="00AE0B8A">
      <w:pPr>
        <w:pStyle w:val="FootnoteText"/>
        <w:spacing w:after="0"/>
      </w:pPr>
      <w:r w:rsidRPr="00776830">
        <w:rPr>
          <w:rStyle w:val="FootnoteReference"/>
        </w:rPr>
        <w:footnoteRef/>
      </w:r>
      <w:r w:rsidRPr="00776830">
        <w:t xml:space="preserve"> 29.09.2022 Grozījumi Vispārējās izglītības likumā, pieejami: https://likumi.lv/ta/id/336246-grozijumi-visparejas-izglitibas-likuma</w:t>
      </w:r>
    </w:p>
  </w:footnote>
  <w:footnote w:id="31">
    <w:p w14:paraId="1F9C408D" w14:textId="4A48759C" w:rsidR="00315973" w:rsidRPr="0040115A" w:rsidRDefault="00315973" w:rsidP="00AE0B8A">
      <w:pPr>
        <w:pStyle w:val="FootnoteText"/>
        <w:spacing w:after="0"/>
        <w:ind w:firstLine="0"/>
        <w:rPr>
          <w:rFonts w:cs="Times New Roman"/>
        </w:rPr>
      </w:pPr>
      <w:r w:rsidRPr="0040115A">
        <w:rPr>
          <w:rStyle w:val="FootnoteReference"/>
          <w:rFonts w:cs="Times New Roman"/>
        </w:rPr>
        <w:footnoteRef/>
      </w:r>
      <w:r w:rsidRPr="0040115A">
        <w:rPr>
          <w:rStyle w:val="Hyperlink"/>
          <w:rFonts w:cs="Times New Roman"/>
          <w:color w:val="auto"/>
          <w:u w:val="none"/>
        </w:rPr>
        <w:t xml:space="preserve"> CSP datu bāze: Jaundzimušo vidējais paredzamais mūža ilgums (gados) 1896 </w:t>
      </w:r>
      <w:r w:rsidR="009F2411" w:rsidRPr="0040115A">
        <w:rPr>
          <w:rStyle w:val="Hyperlink"/>
          <w:rFonts w:cs="Times New Roman"/>
          <w:color w:val="auto"/>
          <w:u w:val="none"/>
        </w:rPr>
        <w:t>–</w:t>
      </w:r>
      <w:r w:rsidRPr="0040115A">
        <w:rPr>
          <w:rStyle w:val="Hyperlink"/>
          <w:rFonts w:cs="Times New Roman"/>
          <w:color w:val="auto"/>
          <w:u w:val="none"/>
        </w:rPr>
        <w:t xml:space="preserve"> 2021</w:t>
      </w:r>
      <w:r w:rsidR="009F2411" w:rsidRPr="0040115A">
        <w:rPr>
          <w:rStyle w:val="Hyperlink"/>
          <w:rFonts w:cs="Times New Roman"/>
          <w:color w:val="auto"/>
          <w:u w:val="none"/>
        </w:rPr>
        <w:t>; pieejama:</w:t>
      </w:r>
      <w:r w:rsidR="009F2411" w:rsidRPr="0040115A">
        <w:rPr>
          <w:rFonts w:cs="Times New Roman"/>
        </w:rPr>
        <w:t xml:space="preserve"> </w:t>
      </w:r>
      <w:r w:rsidR="0040115A" w:rsidRPr="0040115A">
        <w:rPr>
          <w:rFonts w:cs="Times New Roman"/>
        </w:rPr>
        <w:t>https://data.stat.gov.lv/pxweb/lv/OSP_PUB/START__POP__IR__IRP/IRP010/table/tableViewLayout1/</w:t>
      </w:r>
      <w:r w:rsidR="00653876" w:rsidRPr="0040115A">
        <w:rPr>
          <w:rFonts w:cs="Times New Roman"/>
        </w:rPr>
        <w:t xml:space="preserve"> </w:t>
      </w:r>
    </w:p>
  </w:footnote>
  <w:footnote w:id="32">
    <w:p w14:paraId="486512AD" w14:textId="604F2877" w:rsidR="00315973" w:rsidRPr="0040115A" w:rsidRDefault="00315973" w:rsidP="00AE0B8A">
      <w:pPr>
        <w:pStyle w:val="FootnoteText"/>
        <w:spacing w:after="0"/>
        <w:ind w:firstLine="0"/>
        <w:rPr>
          <w:rFonts w:cs="Times New Roman"/>
        </w:rPr>
      </w:pPr>
      <w:r w:rsidRPr="0040115A">
        <w:rPr>
          <w:rStyle w:val="FootnoteReference"/>
          <w:rFonts w:cs="Times New Roman"/>
        </w:rPr>
        <w:footnoteRef/>
      </w:r>
      <w:proofErr w:type="spellStart"/>
      <w:r w:rsidR="009F2411" w:rsidRPr="0040115A">
        <w:rPr>
          <w:rFonts w:cs="Times New Roman"/>
          <w:i/>
          <w:iCs/>
        </w:rPr>
        <w:t>Eurostat</w:t>
      </w:r>
      <w:proofErr w:type="spellEnd"/>
      <w:r w:rsidR="009F2411" w:rsidRPr="0040115A">
        <w:rPr>
          <w:rFonts w:cs="Times New Roman"/>
          <w:i/>
          <w:iCs/>
        </w:rPr>
        <w:t xml:space="preserve"> </w:t>
      </w:r>
      <w:r w:rsidR="009F2411" w:rsidRPr="0040115A">
        <w:rPr>
          <w:rFonts w:cs="Times New Roman"/>
        </w:rPr>
        <w:t xml:space="preserve">datu bāze, informācija pieejama: </w:t>
      </w:r>
      <w:r w:rsidR="0040115A" w:rsidRPr="0040115A">
        <w:rPr>
          <w:rFonts w:cs="Times New Roman"/>
        </w:rPr>
        <w:t>https://ec.europa.eu/eurostat/statistics-explained/index.php</w:t>
      </w:r>
      <w:r w:rsidR="00C16735">
        <w:rPr>
          <w:rFonts w:cs="Times New Roman"/>
        </w:rPr>
        <w:t xml:space="preserve"> </w:t>
      </w:r>
      <w:r w:rsidR="0040115A" w:rsidRPr="0040115A">
        <w:rPr>
          <w:rFonts w:cs="Times New Roman"/>
        </w:rPr>
        <w:t>?</w:t>
      </w:r>
      <w:proofErr w:type="spellStart"/>
      <w:r w:rsidR="0040115A" w:rsidRPr="0040115A">
        <w:rPr>
          <w:rFonts w:cs="Times New Roman"/>
        </w:rPr>
        <w:t>title</w:t>
      </w:r>
      <w:proofErr w:type="spellEnd"/>
      <w:r w:rsidR="0040115A" w:rsidRPr="0040115A">
        <w:rPr>
          <w:rFonts w:cs="Times New Roman"/>
        </w:rPr>
        <w:t>=</w:t>
      </w:r>
      <w:proofErr w:type="spellStart"/>
      <w:r w:rsidR="0040115A" w:rsidRPr="0040115A">
        <w:rPr>
          <w:rFonts w:cs="Times New Roman"/>
        </w:rPr>
        <w:t>Healthy_life_years_statistics</w:t>
      </w:r>
      <w:proofErr w:type="spellEnd"/>
      <w:r w:rsidR="00653876" w:rsidRPr="0040115A">
        <w:rPr>
          <w:rFonts w:cs="Times New Roman"/>
        </w:rPr>
        <w:t xml:space="preserve"> </w:t>
      </w:r>
    </w:p>
  </w:footnote>
  <w:footnote w:id="33">
    <w:p w14:paraId="688A4C30" w14:textId="4611FD72" w:rsidR="00315973" w:rsidRPr="009F2411" w:rsidRDefault="00315973" w:rsidP="00AE0B8A">
      <w:pPr>
        <w:pStyle w:val="FootnoteText"/>
        <w:spacing w:after="0"/>
        <w:ind w:firstLine="0"/>
        <w:rPr>
          <w:rFonts w:cs="Times New Roman"/>
          <w:sz w:val="16"/>
          <w:szCs w:val="16"/>
        </w:rPr>
      </w:pPr>
      <w:r w:rsidRPr="0040115A">
        <w:rPr>
          <w:rStyle w:val="FootnoteReference"/>
          <w:rFonts w:cs="Times New Roman"/>
        </w:rPr>
        <w:footnoteRef/>
      </w:r>
      <w:proofErr w:type="spellStart"/>
      <w:r w:rsidR="009F2411" w:rsidRPr="0040115A">
        <w:rPr>
          <w:rFonts w:cs="Times New Roman"/>
          <w:i/>
          <w:iCs/>
        </w:rPr>
        <w:t>Eurostat</w:t>
      </w:r>
      <w:proofErr w:type="spellEnd"/>
      <w:r w:rsidR="009F2411" w:rsidRPr="0040115A">
        <w:rPr>
          <w:rFonts w:cs="Times New Roman"/>
        </w:rPr>
        <w:t xml:space="preserve"> datu bāze, informācija pieejama: </w:t>
      </w:r>
      <w:r w:rsidR="0040115A" w:rsidRPr="0040115A">
        <w:rPr>
          <w:rFonts w:cs="Times New Roman"/>
        </w:rPr>
        <w:t>https://ec.europa.eu/eurostat/databrowser/view/TPS00207/default/</w:t>
      </w:r>
      <w:r w:rsidR="0040115A">
        <w:rPr>
          <w:rFonts w:cs="Times New Roman"/>
        </w:rPr>
        <w:t xml:space="preserve"> </w:t>
      </w:r>
      <w:proofErr w:type="spellStart"/>
      <w:r w:rsidR="00653876" w:rsidRPr="0040115A">
        <w:rPr>
          <w:rFonts w:cs="Times New Roman"/>
        </w:rPr>
        <w:t>table</w:t>
      </w:r>
      <w:proofErr w:type="spellEnd"/>
      <w:r w:rsidR="00653876" w:rsidRPr="0040115A">
        <w:rPr>
          <w:rFonts w:cs="Times New Roman"/>
        </w:rPr>
        <w:t xml:space="preserve"> </w:t>
      </w:r>
      <w:r w:rsidRPr="0040115A">
        <w:rPr>
          <w:rFonts w:cs="Times New Roman"/>
        </w:rPr>
        <w:t xml:space="preserve">; </w:t>
      </w:r>
      <w:proofErr w:type="spellStart"/>
      <w:r w:rsidRPr="0040115A">
        <w:rPr>
          <w:rFonts w:cs="Times New Roman"/>
        </w:rPr>
        <w:t>Total</w:t>
      </w:r>
      <w:proofErr w:type="spellEnd"/>
      <w:r w:rsidRPr="0040115A">
        <w:rPr>
          <w:rFonts w:cs="Times New Roman"/>
        </w:rPr>
        <w:t xml:space="preserve"> </w:t>
      </w:r>
      <w:proofErr w:type="spellStart"/>
      <w:r w:rsidRPr="0040115A">
        <w:rPr>
          <w:rFonts w:cs="Times New Roman"/>
        </w:rPr>
        <w:t>health</w:t>
      </w:r>
      <w:proofErr w:type="spellEnd"/>
      <w:r w:rsidRPr="0040115A">
        <w:rPr>
          <w:rFonts w:cs="Times New Roman"/>
        </w:rPr>
        <w:t xml:space="preserve"> </w:t>
      </w:r>
      <w:proofErr w:type="spellStart"/>
      <w:r w:rsidRPr="0040115A">
        <w:rPr>
          <w:rFonts w:cs="Times New Roman"/>
        </w:rPr>
        <w:t>care</w:t>
      </w:r>
      <w:proofErr w:type="spellEnd"/>
      <w:r w:rsidRPr="0040115A">
        <w:rPr>
          <w:rFonts w:cs="Times New Roman"/>
        </w:rPr>
        <w:t xml:space="preserve"> </w:t>
      </w:r>
      <w:proofErr w:type="spellStart"/>
      <w:r w:rsidRPr="0040115A">
        <w:rPr>
          <w:rFonts w:cs="Times New Roman"/>
        </w:rPr>
        <w:t>expenditure</w:t>
      </w:r>
      <w:proofErr w:type="spellEnd"/>
    </w:p>
  </w:footnote>
  <w:footnote w:id="34">
    <w:p w14:paraId="17626678" w14:textId="77777777" w:rsidR="00315973" w:rsidRPr="00AE0B8A" w:rsidRDefault="00315973" w:rsidP="00D32A8E">
      <w:pPr>
        <w:pStyle w:val="FootnoteText"/>
        <w:ind w:firstLine="0"/>
      </w:pPr>
      <w:r w:rsidRPr="00AE0B8A">
        <w:rPr>
          <w:vertAlign w:val="superscript"/>
        </w:rPr>
        <w:footnoteRef/>
      </w:r>
      <w:r w:rsidRPr="00AE0B8A">
        <w:t xml:space="preserve"> Neieskaitot VSAOI </w:t>
      </w:r>
      <w:proofErr w:type="spellStart"/>
      <w:r w:rsidRPr="00AE0B8A">
        <w:t>fondēto</w:t>
      </w:r>
      <w:proofErr w:type="spellEnd"/>
      <w:r w:rsidRPr="00AE0B8A">
        <w:t xml:space="preserve"> pensiju shēmā.</w:t>
      </w:r>
    </w:p>
  </w:footnote>
  <w:footnote w:id="35">
    <w:p w14:paraId="1FA726E4" w14:textId="77777777" w:rsidR="0049688E" w:rsidRPr="0019513F" w:rsidRDefault="0049688E" w:rsidP="0049688E">
      <w:pPr>
        <w:pStyle w:val="FootnoteText"/>
        <w:rPr>
          <w:rFonts w:cs="Times New Roman"/>
        </w:rPr>
      </w:pPr>
      <w:r w:rsidRPr="0019513F">
        <w:rPr>
          <w:rStyle w:val="FootnoteReference"/>
          <w:rFonts w:cs="Times New Roman"/>
          <w:sz w:val="18"/>
          <w:szCs w:val="18"/>
        </w:rPr>
        <w:footnoteRef/>
      </w:r>
      <w:r w:rsidRPr="0019513F">
        <w:rPr>
          <w:rFonts w:cs="Times New Roman"/>
          <w:sz w:val="18"/>
          <w:szCs w:val="18"/>
        </w:rPr>
        <w:t xml:space="preserve"> Akcīzes nodoklis un tam piemērojamā pievienotās vērtības nodokļa daļa</w:t>
      </w:r>
      <w:r>
        <w:rPr>
          <w:rFonts w:cs="Times New Roman"/>
          <w:sz w:val="18"/>
          <w:szCs w:val="18"/>
        </w:rPr>
        <w:t>.</w:t>
      </w:r>
    </w:p>
  </w:footnote>
  <w:footnote w:id="36">
    <w:p w14:paraId="10B29478" w14:textId="77777777" w:rsidR="00937B81" w:rsidRPr="0034370C" w:rsidRDefault="00937B81" w:rsidP="00937B81">
      <w:pPr>
        <w:pStyle w:val="FootnoteText"/>
        <w:rPr>
          <w:rFonts w:cs="Times New Roman"/>
        </w:rPr>
      </w:pPr>
      <w:r w:rsidRPr="006609F7">
        <w:footnoteRef/>
      </w:r>
      <w:r w:rsidRPr="006609F7">
        <w:t xml:space="preserve"> Padomes Regula (EEK) Nr. </w:t>
      </w:r>
      <w:r w:rsidRPr="0034370C">
        <w:rPr>
          <w:rFonts w:cs="Times New Roman"/>
        </w:rPr>
        <w:t>2658/87 (1987. gada 23. jūlijs) par tarifu un statistikas nomenklatūru un kopējo muitas tarifu (https://eur-lex.</w:t>
      </w:r>
      <w:r w:rsidRPr="0034370C">
        <w:rPr>
          <w:rFonts w:cs="Times New Roman"/>
          <w:i/>
        </w:rPr>
        <w:t>euro</w:t>
      </w:r>
      <w:r w:rsidRPr="0034370C">
        <w:rPr>
          <w:rFonts w:cs="Times New Roman"/>
        </w:rPr>
        <w:t>pa.eu/legal-content/LV/TXT/HTML/?uri=CELEX:01987R2658-20230617)</w:t>
      </w:r>
    </w:p>
  </w:footnote>
  <w:footnote w:id="37">
    <w:p w14:paraId="2DF67FCF" w14:textId="77777777" w:rsidR="00937B81" w:rsidRPr="006609F7" w:rsidRDefault="00937B81" w:rsidP="00937B81">
      <w:pPr>
        <w:pStyle w:val="FootnoteText"/>
      </w:pPr>
      <w:r w:rsidRPr="0034370C">
        <w:rPr>
          <w:rFonts w:cs="Times New Roman"/>
        </w:rPr>
        <w:footnoteRef/>
      </w:r>
      <w:r w:rsidRPr="0034370C">
        <w:rPr>
          <w:rFonts w:cs="Times New Roman"/>
        </w:rPr>
        <w:t xml:space="preserve"> Padomes Regula (EK) Nr. 765/2006 (2006. gada 18. maijs) par ierobežojošiem pasākumiem, ņemot vērā situāciju Baltkrievijā un Baltkrievijas iesaistīšanos Krievijas agresijā pret Ukrainu (</w:t>
      </w:r>
      <w:r w:rsidRPr="0034370C">
        <w:rPr>
          <w:rFonts w:eastAsia="Times New Roman" w:cs="Times New Roman"/>
        </w:rPr>
        <w:t>https://eur-lex.</w:t>
      </w:r>
      <w:r w:rsidRPr="0034370C">
        <w:rPr>
          <w:rFonts w:eastAsia="Times New Roman" w:cs="Times New Roman"/>
          <w:i/>
        </w:rPr>
        <w:t>euro</w:t>
      </w:r>
      <w:r w:rsidRPr="0034370C">
        <w:rPr>
          <w:rFonts w:eastAsia="Times New Roman" w:cs="Times New Roman"/>
        </w:rPr>
        <w:t>pa.eu/legal-content/LV/TXT/HTML/?uri=CELEX:02006R0765-20230805</w:t>
      </w:r>
      <w:r w:rsidRPr="0034370C">
        <w:rPr>
          <w:rFonts w:cs="Times New Roman"/>
        </w:rPr>
        <w:t>)</w:t>
      </w:r>
    </w:p>
  </w:footnote>
  <w:footnote w:id="38">
    <w:p w14:paraId="6491F539" w14:textId="77777777" w:rsidR="00937B81" w:rsidRPr="006609F7" w:rsidRDefault="00937B81" w:rsidP="00937B81">
      <w:pPr>
        <w:pStyle w:val="FootnoteText"/>
      </w:pPr>
      <w:r w:rsidRPr="006609F7">
        <w:footnoteRef/>
      </w:r>
      <w:r w:rsidRPr="006609F7">
        <w:t xml:space="preserve"> Padomes Regul</w:t>
      </w:r>
      <w:r>
        <w:t>a</w:t>
      </w:r>
      <w:r w:rsidRPr="006609F7">
        <w:t xml:space="preserve"> (ES) </w:t>
      </w:r>
      <w:r w:rsidRPr="0034370C">
        <w:rPr>
          <w:rFonts w:cs="Times New Roman"/>
        </w:rPr>
        <w:t>Nr. 833/2014 (2014. gada 31. jūlijs), par ierobežojošiem pasākumiem saistībā ar Krievijas darbībām, kas destabilizē situāciju Ukrainā (</w:t>
      </w:r>
      <w:r w:rsidRPr="0034370C">
        <w:rPr>
          <w:rFonts w:eastAsia="Times New Roman" w:cs="Times New Roman"/>
        </w:rPr>
        <w:t>https://eur-lex.</w:t>
      </w:r>
      <w:r w:rsidRPr="0034370C">
        <w:rPr>
          <w:rFonts w:eastAsia="Times New Roman" w:cs="Times New Roman"/>
          <w:i/>
        </w:rPr>
        <w:t>euro</w:t>
      </w:r>
      <w:r w:rsidRPr="0034370C">
        <w:rPr>
          <w:rFonts w:eastAsia="Times New Roman" w:cs="Times New Roman"/>
        </w:rPr>
        <w:t>pa.eu/legal-content/LV/TXT/HTML/?uri=CELEX:02014R0833-20231001</w:t>
      </w:r>
      <w:r w:rsidRPr="0034370C">
        <w:rPr>
          <w:rFonts w:cs="Times New Roman"/>
        </w:rPr>
        <w:t>)</w:t>
      </w:r>
    </w:p>
  </w:footnote>
  <w:footnote w:id="39">
    <w:p w14:paraId="17767095" w14:textId="77777777" w:rsidR="00272E4E" w:rsidRPr="002B3885" w:rsidRDefault="00272E4E" w:rsidP="00E8132B">
      <w:pPr>
        <w:pStyle w:val="FootnoteText"/>
        <w:spacing w:after="0"/>
        <w:ind w:firstLine="0"/>
      </w:pPr>
      <w:r w:rsidRPr="002B3885">
        <w:rPr>
          <w:rStyle w:val="FootnoteReference"/>
        </w:rPr>
        <w:footnoteRef/>
      </w:r>
      <w:r w:rsidRPr="002B3885">
        <w:t xml:space="preserve"> </w:t>
      </w:r>
      <w:r w:rsidRPr="002B3885">
        <w:rPr>
          <w:b/>
        </w:rPr>
        <w:t>Valsts parāds</w:t>
      </w:r>
      <w:r w:rsidRPr="002B3885">
        <w:t xml:space="preserve"> tiek noteikts atbilstoši nacionālajai metodoloģijai saskaņā ar Likumu par budžetu un finanšu vadību un to veido valsts struktūru saņemtais un neatmaksātais parāds nominālvērtībā šādās finanšu instrumentu kategorijās: emitētie valsts vērtspapīri, aizņēmumi, </w:t>
      </w:r>
      <w:proofErr w:type="spellStart"/>
      <w:r w:rsidRPr="002B3885">
        <w:t>krājobligācijas</w:t>
      </w:r>
      <w:proofErr w:type="spellEnd"/>
      <w:r w:rsidRPr="002B3885">
        <w:t>, bezprocentu obligācijas, kā arī klientu (izņemot valsts struktūru, tai skaitā valsts sociālas apdrošināšanas struktūru, bet ieskaitot valsts struktūru kontrolēto un finansēto komersantu, pašvaldību un to kontrolēto komercsabiedrību) Valsts kasē izvietotie depozīti un kontu atlikumi.</w:t>
      </w:r>
    </w:p>
  </w:footnote>
  <w:footnote w:id="40">
    <w:p w14:paraId="15C6904B" w14:textId="2EE95CF0" w:rsidR="00272E4E" w:rsidRDefault="00272E4E" w:rsidP="005D673A">
      <w:pPr>
        <w:pStyle w:val="FootnoteText"/>
        <w:spacing w:after="0"/>
        <w:ind w:firstLine="0"/>
      </w:pPr>
      <w:r w:rsidRPr="002B3885">
        <w:rPr>
          <w:rStyle w:val="FootnoteReference"/>
        </w:rPr>
        <w:footnoteRef/>
      </w:r>
      <w:r w:rsidRPr="002B3885">
        <w:t xml:space="preserve"> </w:t>
      </w:r>
      <w:r w:rsidRPr="002B3885">
        <w:rPr>
          <w:b/>
        </w:rPr>
        <w:t>Vispārējās valdības parāds</w:t>
      </w:r>
      <w:r w:rsidRPr="002B3885">
        <w:t xml:space="preserve"> tiek noteikts atbilstoši EKS 2010 metodoloģijai (kopējais bruto parāds nominālvērtībā, kas nav nomaksāts gada beigās un konsolidēts starp vispārējās valdības sektoriem un to ietvaros). Sk. vairāk https://data.europa.eu/data/datasets/dxhij18bl61dkx4xdskolw?locale=lv un https://www.kase.gov.lv/valsts-parada-vadiba/kas-ir-valsts-parads</w:t>
      </w:r>
      <w:r w:rsidRPr="00E8132B">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598425"/>
      <w:docPartObj>
        <w:docPartGallery w:val="Page Numbers (Top of Page)"/>
        <w:docPartUnique/>
      </w:docPartObj>
    </w:sdtPr>
    <w:sdtEndPr>
      <w:rPr>
        <w:noProof/>
      </w:rPr>
    </w:sdtEndPr>
    <w:sdtContent>
      <w:p w14:paraId="71AE488C" w14:textId="3E848379" w:rsidR="004865D6" w:rsidRDefault="004865D6" w:rsidP="004865D6">
        <w:pPr>
          <w:pStyle w:val="Header"/>
          <w:ind w:firstLine="0"/>
          <w:jc w:val="center"/>
        </w:pPr>
        <w:r>
          <w:fldChar w:fldCharType="begin"/>
        </w:r>
        <w:r>
          <w:instrText xml:space="preserve"> PAGE   \* MERGEFORMAT </w:instrText>
        </w:r>
        <w:r>
          <w:fldChar w:fldCharType="separate"/>
        </w:r>
        <w:r>
          <w:rPr>
            <w:noProof/>
          </w:rPr>
          <w:t>2</w:t>
        </w:r>
        <w:r>
          <w:rPr>
            <w:noProof/>
          </w:rPr>
          <w:fldChar w:fldCharType="end"/>
        </w:r>
      </w:p>
    </w:sdtContent>
  </w:sdt>
  <w:p w14:paraId="592DE219" w14:textId="7D066420" w:rsidR="004865D6" w:rsidRDefault="004865D6" w:rsidP="004865D6">
    <w:pPr>
      <w:pStyle w:val="Header"/>
      <w:spacing w:after="0"/>
      <w:jc w:val="right"/>
    </w:pPr>
    <w:r w:rsidRPr="008359A6">
      <w:rPr>
        <w:rFonts w:cs="Times New Roman"/>
        <w:sz w:val="20"/>
        <w:szCs w:val="20"/>
      </w:rPr>
      <w:t>Budžeta ietvars 202</w:t>
    </w:r>
    <w:r>
      <w:rPr>
        <w:rFonts w:cs="Times New Roman"/>
        <w:sz w:val="20"/>
        <w:szCs w:val="20"/>
      </w:rPr>
      <w:t>4</w:t>
    </w:r>
    <w:r w:rsidRPr="008359A6">
      <w:rPr>
        <w:rFonts w:cs="Times New Roman"/>
        <w:sz w:val="20"/>
        <w:szCs w:val="20"/>
      </w:rPr>
      <w:t>., 202</w:t>
    </w:r>
    <w:r>
      <w:rPr>
        <w:rFonts w:cs="Times New Roman"/>
        <w:sz w:val="20"/>
        <w:szCs w:val="20"/>
      </w:rPr>
      <w:t>5</w:t>
    </w:r>
    <w:r w:rsidRPr="008359A6">
      <w:rPr>
        <w:rFonts w:cs="Times New Roman"/>
        <w:sz w:val="20"/>
        <w:szCs w:val="20"/>
      </w:rPr>
      <w:t>. un 202</w:t>
    </w:r>
    <w:r>
      <w:rPr>
        <w:rFonts w:cs="Times New Roman"/>
        <w:sz w:val="20"/>
        <w:szCs w:val="20"/>
      </w:rPr>
      <w:t>6</w:t>
    </w:r>
    <w:r w:rsidRPr="008359A6">
      <w:rPr>
        <w:rFonts w:cs="Times New Roman"/>
        <w:sz w:val="20"/>
        <w:szCs w:val="20"/>
      </w:rPr>
      <w:t>. gadam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2251628"/>
      <w:docPartObj>
        <w:docPartGallery w:val="Page Numbers (Top of Page)"/>
        <w:docPartUnique/>
      </w:docPartObj>
    </w:sdtPr>
    <w:sdtEndPr>
      <w:rPr>
        <w:rFonts w:cs="Times New Roman"/>
        <w:noProof/>
        <w:szCs w:val="24"/>
      </w:rPr>
    </w:sdtEndPr>
    <w:sdtContent>
      <w:p w14:paraId="1F108A9C" w14:textId="77777777" w:rsidR="008359A6" w:rsidRPr="008359A6" w:rsidRDefault="008359A6" w:rsidP="008359A6">
        <w:pPr>
          <w:tabs>
            <w:tab w:val="center" w:pos="4153"/>
            <w:tab w:val="right" w:pos="8306"/>
          </w:tabs>
          <w:jc w:val="center"/>
          <w:rPr>
            <w:rFonts w:cs="Times New Roman"/>
            <w:noProof/>
            <w:szCs w:val="24"/>
          </w:rPr>
        </w:pPr>
        <w:r w:rsidRPr="008359A6">
          <w:rPr>
            <w:rFonts w:cs="Times New Roman"/>
            <w:szCs w:val="24"/>
          </w:rPr>
          <w:fldChar w:fldCharType="begin"/>
        </w:r>
        <w:r w:rsidRPr="008359A6">
          <w:rPr>
            <w:rFonts w:cs="Times New Roman"/>
            <w:szCs w:val="24"/>
          </w:rPr>
          <w:instrText xml:space="preserve"> PAGE   \* MERGEFORMAT </w:instrText>
        </w:r>
        <w:r w:rsidRPr="008359A6">
          <w:rPr>
            <w:rFonts w:cs="Times New Roman"/>
            <w:szCs w:val="24"/>
          </w:rPr>
          <w:fldChar w:fldCharType="separate"/>
        </w:r>
        <w:r w:rsidRPr="008359A6">
          <w:rPr>
            <w:rFonts w:cs="Times New Roman"/>
            <w:szCs w:val="24"/>
          </w:rPr>
          <w:t>3</w:t>
        </w:r>
        <w:r w:rsidRPr="008359A6">
          <w:rPr>
            <w:rFonts w:cs="Times New Roman"/>
            <w:noProof/>
            <w:szCs w:val="24"/>
          </w:rPr>
          <w:fldChar w:fldCharType="end"/>
        </w:r>
      </w:p>
      <w:p w14:paraId="58A23BC4" w14:textId="45C5A796" w:rsidR="008359A6" w:rsidRPr="008359A6" w:rsidRDefault="008359A6" w:rsidP="008359A6">
        <w:pPr>
          <w:tabs>
            <w:tab w:val="center" w:pos="4153"/>
            <w:tab w:val="right" w:pos="8306"/>
          </w:tabs>
          <w:jc w:val="right"/>
          <w:rPr>
            <w:rFonts w:cs="Times New Roman"/>
            <w:noProof/>
            <w:szCs w:val="24"/>
          </w:rPr>
        </w:pPr>
        <w:r w:rsidRPr="008359A6">
          <w:rPr>
            <w:rFonts w:cs="Times New Roman"/>
            <w:sz w:val="20"/>
            <w:szCs w:val="20"/>
          </w:rPr>
          <w:t>Budžeta ietvars 202</w:t>
        </w:r>
        <w:r w:rsidR="003E5CCE">
          <w:rPr>
            <w:rFonts w:cs="Times New Roman"/>
            <w:sz w:val="20"/>
            <w:szCs w:val="20"/>
          </w:rPr>
          <w:t>4</w:t>
        </w:r>
        <w:r w:rsidRPr="008359A6">
          <w:rPr>
            <w:rFonts w:cs="Times New Roman"/>
            <w:sz w:val="20"/>
            <w:szCs w:val="20"/>
          </w:rPr>
          <w:t>., 202</w:t>
        </w:r>
        <w:r w:rsidR="003E5CCE">
          <w:rPr>
            <w:rFonts w:cs="Times New Roman"/>
            <w:sz w:val="20"/>
            <w:szCs w:val="20"/>
          </w:rPr>
          <w:t>5</w:t>
        </w:r>
        <w:r w:rsidRPr="008359A6">
          <w:rPr>
            <w:rFonts w:cs="Times New Roman"/>
            <w:sz w:val="20"/>
            <w:szCs w:val="20"/>
          </w:rPr>
          <w:t>. un 202</w:t>
        </w:r>
        <w:r w:rsidR="003E5CCE">
          <w:rPr>
            <w:rFonts w:cs="Times New Roman"/>
            <w:sz w:val="20"/>
            <w:szCs w:val="20"/>
          </w:rPr>
          <w:t>6</w:t>
        </w:r>
        <w:r w:rsidRPr="008359A6">
          <w:rPr>
            <w:rFonts w:cs="Times New Roman"/>
            <w:sz w:val="20"/>
            <w:szCs w:val="20"/>
          </w:rPr>
          <w:t>. gadam</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81B87"/>
    <w:multiLevelType w:val="hybridMultilevel"/>
    <w:tmpl w:val="14462D7E"/>
    <w:lvl w:ilvl="0" w:tplc="FC48DC70">
      <w:start w:val="1"/>
      <w:numFmt w:val="decimal"/>
      <w:lvlText w:val="%1."/>
      <w:lvlJc w:val="left"/>
      <w:pPr>
        <w:ind w:left="1440" w:hanging="360"/>
      </w:pPr>
      <w:rPr>
        <w:rFonts w:ascii="Times New Roman" w:hAnsi="Times New Roman" w:hint="default"/>
        <w:sz w:val="24"/>
      </w:r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1" w15:restartNumberingAfterBreak="0">
    <w:nsid w:val="04A97A5A"/>
    <w:multiLevelType w:val="multilevel"/>
    <w:tmpl w:val="99282BC0"/>
    <w:lvl w:ilvl="0">
      <w:start w:val="1"/>
      <w:numFmt w:val="decimal"/>
      <w:pStyle w:val="H1"/>
      <w:lvlText w:val="%1."/>
      <w:lvlJc w:val="left"/>
      <w:pPr>
        <w:ind w:left="675" w:hanging="675"/>
      </w:pPr>
      <w:rPr>
        <w:rFonts w:hint="default"/>
      </w:rPr>
    </w:lvl>
    <w:lvl w:ilvl="1">
      <w:start w:val="1"/>
      <w:numFmt w:val="decimal"/>
      <w:lvlText w:val="2.%2."/>
      <w:lvlJc w:val="left"/>
      <w:pPr>
        <w:ind w:left="1440" w:hanging="36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5C32C5C"/>
    <w:multiLevelType w:val="hybridMultilevel"/>
    <w:tmpl w:val="0EC6157E"/>
    <w:lvl w:ilvl="0" w:tplc="04260001">
      <w:start w:val="1"/>
      <w:numFmt w:val="bullet"/>
      <w:lvlText w:val=""/>
      <w:lvlJc w:val="left"/>
      <w:pPr>
        <w:ind w:left="1276" w:hanging="360"/>
      </w:pPr>
      <w:rPr>
        <w:rFonts w:ascii="Symbol" w:hAnsi="Symbol" w:hint="default"/>
      </w:rPr>
    </w:lvl>
    <w:lvl w:ilvl="1" w:tplc="04260003" w:tentative="1">
      <w:start w:val="1"/>
      <w:numFmt w:val="bullet"/>
      <w:lvlText w:val="o"/>
      <w:lvlJc w:val="left"/>
      <w:pPr>
        <w:ind w:left="1996" w:hanging="360"/>
      </w:pPr>
      <w:rPr>
        <w:rFonts w:ascii="Courier New" w:hAnsi="Courier New" w:cs="Courier New" w:hint="default"/>
      </w:rPr>
    </w:lvl>
    <w:lvl w:ilvl="2" w:tplc="04260005" w:tentative="1">
      <w:start w:val="1"/>
      <w:numFmt w:val="bullet"/>
      <w:lvlText w:val=""/>
      <w:lvlJc w:val="left"/>
      <w:pPr>
        <w:ind w:left="2716" w:hanging="360"/>
      </w:pPr>
      <w:rPr>
        <w:rFonts w:ascii="Wingdings" w:hAnsi="Wingdings" w:hint="default"/>
      </w:rPr>
    </w:lvl>
    <w:lvl w:ilvl="3" w:tplc="04260001" w:tentative="1">
      <w:start w:val="1"/>
      <w:numFmt w:val="bullet"/>
      <w:lvlText w:val=""/>
      <w:lvlJc w:val="left"/>
      <w:pPr>
        <w:ind w:left="3436" w:hanging="360"/>
      </w:pPr>
      <w:rPr>
        <w:rFonts w:ascii="Symbol" w:hAnsi="Symbol" w:hint="default"/>
      </w:rPr>
    </w:lvl>
    <w:lvl w:ilvl="4" w:tplc="04260003" w:tentative="1">
      <w:start w:val="1"/>
      <w:numFmt w:val="bullet"/>
      <w:lvlText w:val="o"/>
      <w:lvlJc w:val="left"/>
      <w:pPr>
        <w:ind w:left="4156" w:hanging="360"/>
      </w:pPr>
      <w:rPr>
        <w:rFonts w:ascii="Courier New" w:hAnsi="Courier New" w:cs="Courier New" w:hint="default"/>
      </w:rPr>
    </w:lvl>
    <w:lvl w:ilvl="5" w:tplc="04260005" w:tentative="1">
      <w:start w:val="1"/>
      <w:numFmt w:val="bullet"/>
      <w:lvlText w:val=""/>
      <w:lvlJc w:val="left"/>
      <w:pPr>
        <w:ind w:left="4876" w:hanging="360"/>
      </w:pPr>
      <w:rPr>
        <w:rFonts w:ascii="Wingdings" w:hAnsi="Wingdings" w:hint="default"/>
      </w:rPr>
    </w:lvl>
    <w:lvl w:ilvl="6" w:tplc="04260001" w:tentative="1">
      <w:start w:val="1"/>
      <w:numFmt w:val="bullet"/>
      <w:lvlText w:val=""/>
      <w:lvlJc w:val="left"/>
      <w:pPr>
        <w:ind w:left="5596" w:hanging="360"/>
      </w:pPr>
      <w:rPr>
        <w:rFonts w:ascii="Symbol" w:hAnsi="Symbol" w:hint="default"/>
      </w:rPr>
    </w:lvl>
    <w:lvl w:ilvl="7" w:tplc="04260003" w:tentative="1">
      <w:start w:val="1"/>
      <w:numFmt w:val="bullet"/>
      <w:lvlText w:val="o"/>
      <w:lvlJc w:val="left"/>
      <w:pPr>
        <w:ind w:left="6316" w:hanging="360"/>
      </w:pPr>
      <w:rPr>
        <w:rFonts w:ascii="Courier New" w:hAnsi="Courier New" w:cs="Courier New" w:hint="default"/>
      </w:rPr>
    </w:lvl>
    <w:lvl w:ilvl="8" w:tplc="04260005" w:tentative="1">
      <w:start w:val="1"/>
      <w:numFmt w:val="bullet"/>
      <w:lvlText w:val=""/>
      <w:lvlJc w:val="left"/>
      <w:pPr>
        <w:ind w:left="7036" w:hanging="360"/>
      </w:pPr>
      <w:rPr>
        <w:rFonts w:ascii="Wingdings" w:hAnsi="Wingdings" w:hint="default"/>
      </w:rPr>
    </w:lvl>
  </w:abstractNum>
  <w:abstractNum w:abstractNumId="3" w15:restartNumberingAfterBreak="0">
    <w:nsid w:val="062612BE"/>
    <w:multiLevelType w:val="multilevel"/>
    <w:tmpl w:val="775A231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BD22156"/>
    <w:multiLevelType w:val="hybridMultilevel"/>
    <w:tmpl w:val="445871B8"/>
    <w:lvl w:ilvl="0" w:tplc="3B383F78">
      <w:start w:val="1"/>
      <w:numFmt w:val="bullet"/>
      <w:lvlText w:val=""/>
      <w:lvlJc w:val="righ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5" w15:restartNumberingAfterBreak="0">
    <w:nsid w:val="0C4C757B"/>
    <w:multiLevelType w:val="hybridMultilevel"/>
    <w:tmpl w:val="9B72CC94"/>
    <w:lvl w:ilvl="0" w:tplc="D63E944C">
      <w:start w:val="1"/>
      <w:numFmt w:val="decimal"/>
      <w:lvlText w:val="%1."/>
      <w:lvlJc w:val="left"/>
      <w:pPr>
        <w:ind w:left="6" w:hanging="360"/>
      </w:pPr>
      <w:rPr>
        <w:b/>
        <w:bCs/>
      </w:rPr>
    </w:lvl>
    <w:lvl w:ilvl="1" w:tplc="04260019" w:tentative="1">
      <w:start w:val="1"/>
      <w:numFmt w:val="lowerLetter"/>
      <w:lvlText w:val="%2."/>
      <w:lvlJc w:val="left"/>
      <w:pPr>
        <w:ind w:left="726" w:hanging="360"/>
      </w:pPr>
    </w:lvl>
    <w:lvl w:ilvl="2" w:tplc="0426001B" w:tentative="1">
      <w:start w:val="1"/>
      <w:numFmt w:val="lowerRoman"/>
      <w:lvlText w:val="%3."/>
      <w:lvlJc w:val="right"/>
      <w:pPr>
        <w:ind w:left="1446" w:hanging="180"/>
      </w:pPr>
    </w:lvl>
    <w:lvl w:ilvl="3" w:tplc="0426000F" w:tentative="1">
      <w:start w:val="1"/>
      <w:numFmt w:val="decimal"/>
      <w:lvlText w:val="%4."/>
      <w:lvlJc w:val="left"/>
      <w:pPr>
        <w:ind w:left="2166" w:hanging="360"/>
      </w:pPr>
    </w:lvl>
    <w:lvl w:ilvl="4" w:tplc="04260019" w:tentative="1">
      <w:start w:val="1"/>
      <w:numFmt w:val="lowerLetter"/>
      <w:lvlText w:val="%5."/>
      <w:lvlJc w:val="left"/>
      <w:pPr>
        <w:ind w:left="2886" w:hanging="360"/>
      </w:pPr>
    </w:lvl>
    <w:lvl w:ilvl="5" w:tplc="0426001B" w:tentative="1">
      <w:start w:val="1"/>
      <w:numFmt w:val="lowerRoman"/>
      <w:lvlText w:val="%6."/>
      <w:lvlJc w:val="right"/>
      <w:pPr>
        <w:ind w:left="3606" w:hanging="180"/>
      </w:pPr>
    </w:lvl>
    <w:lvl w:ilvl="6" w:tplc="0426000F" w:tentative="1">
      <w:start w:val="1"/>
      <w:numFmt w:val="decimal"/>
      <w:lvlText w:val="%7."/>
      <w:lvlJc w:val="left"/>
      <w:pPr>
        <w:ind w:left="4326" w:hanging="360"/>
      </w:pPr>
    </w:lvl>
    <w:lvl w:ilvl="7" w:tplc="04260019" w:tentative="1">
      <w:start w:val="1"/>
      <w:numFmt w:val="lowerLetter"/>
      <w:lvlText w:val="%8."/>
      <w:lvlJc w:val="left"/>
      <w:pPr>
        <w:ind w:left="5046" w:hanging="360"/>
      </w:pPr>
    </w:lvl>
    <w:lvl w:ilvl="8" w:tplc="0426001B" w:tentative="1">
      <w:start w:val="1"/>
      <w:numFmt w:val="lowerRoman"/>
      <w:lvlText w:val="%9."/>
      <w:lvlJc w:val="right"/>
      <w:pPr>
        <w:ind w:left="5766" w:hanging="180"/>
      </w:pPr>
    </w:lvl>
  </w:abstractNum>
  <w:abstractNum w:abstractNumId="6" w15:restartNumberingAfterBreak="0">
    <w:nsid w:val="0DC26DCB"/>
    <w:multiLevelType w:val="hybridMultilevel"/>
    <w:tmpl w:val="517EE054"/>
    <w:lvl w:ilvl="0" w:tplc="844AA9C4">
      <w:start w:val="2"/>
      <w:numFmt w:val="bullet"/>
      <w:lvlText w:val="-"/>
      <w:lvlJc w:val="left"/>
      <w:pPr>
        <w:ind w:left="1080" w:hanging="360"/>
      </w:pPr>
      <w:rPr>
        <w:rFonts w:ascii="Times New Roman" w:eastAsiaTheme="minorEastAsia" w:hAnsi="Times New Roman" w:cs="Times New Roman"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7" w15:restartNumberingAfterBreak="0">
    <w:nsid w:val="0F1B3975"/>
    <w:multiLevelType w:val="hybridMultilevel"/>
    <w:tmpl w:val="0AB892E8"/>
    <w:lvl w:ilvl="0" w:tplc="04260005">
      <w:start w:val="1"/>
      <w:numFmt w:val="bullet"/>
      <w:lvlText w:val=""/>
      <w:lvlJc w:val="left"/>
      <w:pPr>
        <w:ind w:left="1429" w:hanging="360"/>
      </w:pPr>
      <w:rPr>
        <w:rFonts w:ascii="Wingdings" w:hAnsi="Wingding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8" w15:restartNumberingAfterBreak="0">
    <w:nsid w:val="11E9530B"/>
    <w:multiLevelType w:val="multilevel"/>
    <w:tmpl w:val="D83E5672"/>
    <w:lvl w:ilvl="0">
      <w:start w:val="1"/>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42E6295"/>
    <w:multiLevelType w:val="hybridMultilevel"/>
    <w:tmpl w:val="7C08CBE4"/>
    <w:lvl w:ilvl="0" w:tplc="0426000F">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10" w15:restartNumberingAfterBreak="0">
    <w:nsid w:val="144262B1"/>
    <w:multiLevelType w:val="multilevel"/>
    <w:tmpl w:val="52B8ED16"/>
    <w:lvl w:ilvl="0">
      <w:start w:val="1"/>
      <w:numFmt w:val="bullet"/>
      <w:lvlText w:val=""/>
      <w:lvlJc w:val="righ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9643CE5"/>
    <w:multiLevelType w:val="hybridMultilevel"/>
    <w:tmpl w:val="D0721A7E"/>
    <w:lvl w:ilvl="0" w:tplc="3B383F78">
      <w:start w:val="1"/>
      <w:numFmt w:val="bullet"/>
      <w:lvlText w:val=""/>
      <w:lvlJc w:val="righ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15:restartNumberingAfterBreak="0">
    <w:nsid w:val="1AC95566"/>
    <w:multiLevelType w:val="hybridMultilevel"/>
    <w:tmpl w:val="C06447D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3" w15:restartNumberingAfterBreak="0">
    <w:nsid w:val="1CFB746A"/>
    <w:multiLevelType w:val="hybridMultilevel"/>
    <w:tmpl w:val="38CA00C6"/>
    <w:lvl w:ilvl="0" w:tplc="0FDA667E">
      <w:start w:val="1"/>
      <w:numFmt w:val="lowerLetter"/>
      <w:lvlText w:val="%1)"/>
      <w:lvlJc w:val="left"/>
      <w:pPr>
        <w:ind w:left="1800" w:hanging="360"/>
      </w:pPr>
      <w:rPr>
        <w:rFonts w:ascii="Times New Roman" w:eastAsia="Times New Roman" w:hAnsi="Times New Roman" w:cs="Times New Roman"/>
      </w:rPr>
    </w:lvl>
    <w:lvl w:ilvl="1" w:tplc="04260019" w:tentative="1">
      <w:start w:val="1"/>
      <w:numFmt w:val="lowerLetter"/>
      <w:lvlText w:val="%2."/>
      <w:lvlJc w:val="left"/>
      <w:pPr>
        <w:ind w:left="2520" w:hanging="360"/>
      </w:pPr>
    </w:lvl>
    <w:lvl w:ilvl="2" w:tplc="0426001B" w:tentative="1">
      <w:start w:val="1"/>
      <w:numFmt w:val="lowerRoman"/>
      <w:lvlText w:val="%3."/>
      <w:lvlJc w:val="right"/>
      <w:pPr>
        <w:ind w:left="3240" w:hanging="180"/>
      </w:pPr>
    </w:lvl>
    <w:lvl w:ilvl="3" w:tplc="0426000F" w:tentative="1">
      <w:start w:val="1"/>
      <w:numFmt w:val="decimal"/>
      <w:lvlText w:val="%4."/>
      <w:lvlJc w:val="left"/>
      <w:pPr>
        <w:ind w:left="3960" w:hanging="360"/>
      </w:pPr>
    </w:lvl>
    <w:lvl w:ilvl="4" w:tplc="04260019" w:tentative="1">
      <w:start w:val="1"/>
      <w:numFmt w:val="lowerLetter"/>
      <w:lvlText w:val="%5."/>
      <w:lvlJc w:val="left"/>
      <w:pPr>
        <w:ind w:left="4680" w:hanging="360"/>
      </w:pPr>
    </w:lvl>
    <w:lvl w:ilvl="5" w:tplc="0426001B" w:tentative="1">
      <w:start w:val="1"/>
      <w:numFmt w:val="lowerRoman"/>
      <w:lvlText w:val="%6."/>
      <w:lvlJc w:val="right"/>
      <w:pPr>
        <w:ind w:left="5400" w:hanging="180"/>
      </w:pPr>
    </w:lvl>
    <w:lvl w:ilvl="6" w:tplc="0426000F" w:tentative="1">
      <w:start w:val="1"/>
      <w:numFmt w:val="decimal"/>
      <w:lvlText w:val="%7."/>
      <w:lvlJc w:val="left"/>
      <w:pPr>
        <w:ind w:left="6120" w:hanging="360"/>
      </w:pPr>
    </w:lvl>
    <w:lvl w:ilvl="7" w:tplc="04260019" w:tentative="1">
      <w:start w:val="1"/>
      <w:numFmt w:val="lowerLetter"/>
      <w:lvlText w:val="%8."/>
      <w:lvlJc w:val="left"/>
      <w:pPr>
        <w:ind w:left="6840" w:hanging="360"/>
      </w:pPr>
    </w:lvl>
    <w:lvl w:ilvl="8" w:tplc="0426001B" w:tentative="1">
      <w:start w:val="1"/>
      <w:numFmt w:val="lowerRoman"/>
      <w:lvlText w:val="%9."/>
      <w:lvlJc w:val="right"/>
      <w:pPr>
        <w:ind w:left="7560" w:hanging="180"/>
      </w:pPr>
    </w:lvl>
  </w:abstractNum>
  <w:abstractNum w:abstractNumId="14" w15:restartNumberingAfterBreak="0">
    <w:nsid w:val="22467E14"/>
    <w:multiLevelType w:val="hybridMultilevel"/>
    <w:tmpl w:val="3454FFA2"/>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5" w15:restartNumberingAfterBreak="0">
    <w:nsid w:val="26D61DE7"/>
    <w:multiLevelType w:val="multilevel"/>
    <w:tmpl w:val="C02CE7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Heading3"/>
      <w:lvlText w:val="%1.%2.%3."/>
      <w:lvlJc w:val="left"/>
      <w:pPr>
        <w:ind w:left="3623"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B714908"/>
    <w:multiLevelType w:val="multilevel"/>
    <w:tmpl w:val="86C0ED9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BA10AF7"/>
    <w:multiLevelType w:val="multilevel"/>
    <w:tmpl w:val="FFA0241E"/>
    <w:lvl w:ilvl="0">
      <w:start w:val="3"/>
      <w:numFmt w:val="decimal"/>
      <w:lvlText w:val="%1."/>
      <w:lvlJc w:val="left"/>
      <w:pPr>
        <w:ind w:left="675" w:hanging="675"/>
      </w:pPr>
      <w:rPr>
        <w:rFonts w:hint="default"/>
      </w:rPr>
    </w:lvl>
    <w:lvl w:ilvl="1">
      <w:start w:val="1"/>
      <w:numFmt w:val="decimal"/>
      <w:lvlText w:val="%1.%2."/>
      <w:lvlJc w:val="left"/>
      <w:pPr>
        <w:ind w:left="1925" w:hanging="720"/>
      </w:pPr>
      <w:rPr>
        <w:rFonts w:hint="default"/>
      </w:rPr>
    </w:lvl>
    <w:lvl w:ilvl="2">
      <w:start w:val="1"/>
      <w:numFmt w:val="decimal"/>
      <w:lvlText w:val="%1.%2.%3."/>
      <w:lvlJc w:val="left"/>
      <w:pPr>
        <w:ind w:left="1997" w:hanging="720"/>
      </w:pPr>
      <w:rPr>
        <w:rFonts w:ascii="Times New Roman" w:hAnsi="Times New Roman" w:cs="Times New Roman" w:hint="default"/>
      </w:rPr>
    </w:lvl>
    <w:lvl w:ilvl="3">
      <w:start w:val="1"/>
      <w:numFmt w:val="decimal"/>
      <w:lvlText w:val="%1.%2.%3.%4."/>
      <w:lvlJc w:val="left"/>
      <w:pPr>
        <w:ind w:left="4695" w:hanging="1080"/>
      </w:pPr>
      <w:rPr>
        <w:rFonts w:hint="default"/>
      </w:rPr>
    </w:lvl>
    <w:lvl w:ilvl="4">
      <w:start w:val="1"/>
      <w:numFmt w:val="decimal"/>
      <w:lvlText w:val="%1.%2.%3.%4.%5."/>
      <w:lvlJc w:val="left"/>
      <w:pPr>
        <w:ind w:left="5900" w:hanging="1080"/>
      </w:pPr>
      <w:rPr>
        <w:rFonts w:hint="default"/>
      </w:rPr>
    </w:lvl>
    <w:lvl w:ilvl="5">
      <w:start w:val="1"/>
      <w:numFmt w:val="decimal"/>
      <w:lvlText w:val="%1.%2.%3.%4.%5.%6."/>
      <w:lvlJc w:val="left"/>
      <w:pPr>
        <w:ind w:left="7465" w:hanging="1440"/>
      </w:pPr>
      <w:rPr>
        <w:rFonts w:hint="default"/>
      </w:rPr>
    </w:lvl>
    <w:lvl w:ilvl="6">
      <w:start w:val="1"/>
      <w:numFmt w:val="decimal"/>
      <w:lvlText w:val="%1.%2.%3.%4.%5.%6.%7."/>
      <w:lvlJc w:val="left"/>
      <w:pPr>
        <w:ind w:left="9030" w:hanging="1800"/>
      </w:pPr>
      <w:rPr>
        <w:rFonts w:hint="default"/>
      </w:rPr>
    </w:lvl>
    <w:lvl w:ilvl="7">
      <w:start w:val="1"/>
      <w:numFmt w:val="decimal"/>
      <w:lvlText w:val="%1.%2.%3.%4.%5.%6.%7.%8."/>
      <w:lvlJc w:val="left"/>
      <w:pPr>
        <w:ind w:left="10235" w:hanging="1800"/>
      </w:pPr>
      <w:rPr>
        <w:rFonts w:hint="default"/>
      </w:rPr>
    </w:lvl>
    <w:lvl w:ilvl="8">
      <w:start w:val="1"/>
      <w:numFmt w:val="decimal"/>
      <w:lvlText w:val="%1.%2.%3.%4.%5.%6.%7.%8.%9."/>
      <w:lvlJc w:val="left"/>
      <w:pPr>
        <w:ind w:left="11800" w:hanging="2160"/>
      </w:pPr>
      <w:rPr>
        <w:rFonts w:hint="default"/>
      </w:rPr>
    </w:lvl>
  </w:abstractNum>
  <w:abstractNum w:abstractNumId="18" w15:restartNumberingAfterBreak="0">
    <w:nsid w:val="2EB22119"/>
    <w:multiLevelType w:val="hybridMultilevel"/>
    <w:tmpl w:val="D9A8B0A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9" w15:restartNumberingAfterBreak="0">
    <w:nsid w:val="32EF3B87"/>
    <w:multiLevelType w:val="hybridMultilevel"/>
    <w:tmpl w:val="BD88C3FC"/>
    <w:lvl w:ilvl="0" w:tplc="0B38ADE6">
      <w:start w:val="6"/>
      <w:numFmt w:val="bullet"/>
      <w:lvlText w:val="-"/>
      <w:lvlJc w:val="left"/>
      <w:pPr>
        <w:ind w:left="720" w:hanging="360"/>
      </w:pPr>
      <w:rPr>
        <w:rFonts w:ascii="Times New Roman" w:eastAsiaTheme="minorHAnsi" w:hAnsi="Times New Roman" w:cs="Times New Roman"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0" w15:restartNumberingAfterBreak="0">
    <w:nsid w:val="33550CB8"/>
    <w:multiLevelType w:val="hybridMultilevel"/>
    <w:tmpl w:val="2F8C9748"/>
    <w:lvl w:ilvl="0" w:tplc="04260001">
      <w:start w:val="1"/>
      <w:numFmt w:val="bullet"/>
      <w:lvlText w:val=""/>
      <w:lvlJc w:val="left"/>
      <w:pPr>
        <w:ind w:left="1440" w:hanging="360"/>
      </w:pPr>
      <w:rPr>
        <w:rFonts w:ascii="Symbol" w:hAnsi="Symbol" w:hint="default"/>
      </w:rPr>
    </w:lvl>
    <w:lvl w:ilvl="1" w:tplc="04260003">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1" w15:restartNumberingAfterBreak="0">
    <w:nsid w:val="38F424D0"/>
    <w:multiLevelType w:val="multilevel"/>
    <w:tmpl w:val="F9AA900C"/>
    <w:lvl w:ilvl="0">
      <w:start w:val="1"/>
      <w:numFmt w:val="decimal"/>
      <w:lvlRestart w:val="0"/>
      <w:pStyle w:val="Point123"/>
      <w:lvlText w:val="%1."/>
      <w:lvlJc w:val="left"/>
      <w:pPr>
        <w:tabs>
          <w:tab w:val="num" w:pos="567"/>
        </w:tabs>
        <w:ind w:left="567" w:hanging="567"/>
      </w:pPr>
      <w:rPr>
        <w:rFonts w:ascii="Times New Roman" w:eastAsia="Times New Roman" w:hAnsi="Times New Roman" w:cs="Times New Roman" w:hint="default"/>
      </w:rPr>
    </w:lvl>
    <w:lvl w:ilvl="1">
      <w:start w:val="1"/>
      <w:numFmt w:val="lowerLetter"/>
      <w:pStyle w:val="Pointabc"/>
      <w:lvlText w:val="%2)"/>
      <w:lvlJc w:val="left"/>
      <w:pPr>
        <w:tabs>
          <w:tab w:val="num" w:pos="567"/>
        </w:tabs>
        <w:ind w:left="567" w:hanging="567"/>
      </w:pPr>
      <w:rPr>
        <w:rFonts w:hint="default"/>
      </w:rPr>
    </w:lvl>
    <w:lvl w:ilvl="2">
      <w:start w:val="1"/>
      <w:numFmt w:val="decimal"/>
      <w:pStyle w:val="Point1231"/>
      <w:lvlText w:val="%3."/>
      <w:lvlJc w:val="left"/>
      <w:pPr>
        <w:tabs>
          <w:tab w:val="num" w:pos="993"/>
        </w:tabs>
        <w:ind w:left="993" w:hanging="567"/>
      </w:pPr>
      <w:rPr>
        <w:rFonts w:hint="default"/>
      </w:rPr>
    </w:lvl>
    <w:lvl w:ilvl="3">
      <w:start w:val="1"/>
      <w:numFmt w:val="lowerLetter"/>
      <w:pStyle w:val="Pointabc1"/>
      <w:lvlText w:val="%4)"/>
      <w:lvlJc w:val="left"/>
      <w:pPr>
        <w:tabs>
          <w:tab w:val="num" w:pos="1134"/>
        </w:tabs>
        <w:ind w:left="1134" w:hanging="567"/>
      </w:pPr>
      <w:rPr>
        <w:rFonts w:hint="default"/>
      </w:rPr>
    </w:lvl>
    <w:lvl w:ilvl="4">
      <w:start w:val="1"/>
      <w:numFmt w:val="decimal"/>
      <w:pStyle w:val="Point1232"/>
      <w:lvlText w:val="%5."/>
      <w:lvlJc w:val="left"/>
      <w:pPr>
        <w:tabs>
          <w:tab w:val="num" w:pos="1701"/>
        </w:tabs>
        <w:ind w:left="1701" w:hanging="567"/>
      </w:pPr>
      <w:rPr>
        <w:rFonts w:hint="default"/>
      </w:rPr>
    </w:lvl>
    <w:lvl w:ilvl="5">
      <w:start w:val="1"/>
      <w:numFmt w:val="lowerLetter"/>
      <w:pStyle w:val="Pointabc2"/>
      <w:lvlText w:val="%6)"/>
      <w:lvlJc w:val="left"/>
      <w:pPr>
        <w:tabs>
          <w:tab w:val="num" w:pos="1701"/>
        </w:tabs>
        <w:ind w:left="1701" w:hanging="567"/>
      </w:pPr>
      <w:rPr>
        <w:rFonts w:hint="default"/>
      </w:rPr>
    </w:lvl>
    <w:lvl w:ilvl="6">
      <w:start w:val="1"/>
      <w:numFmt w:val="decimal"/>
      <w:pStyle w:val="Point1233"/>
      <w:lvlText w:val="%7."/>
      <w:lvlJc w:val="left"/>
      <w:pPr>
        <w:tabs>
          <w:tab w:val="num" w:pos="2268"/>
        </w:tabs>
        <w:ind w:left="2268" w:hanging="567"/>
      </w:pPr>
      <w:rPr>
        <w:rFonts w:hint="default"/>
      </w:rPr>
    </w:lvl>
    <w:lvl w:ilvl="7">
      <w:start w:val="1"/>
      <w:numFmt w:val="lowerLetter"/>
      <w:pStyle w:val="Pointabc3"/>
      <w:lvlText w:val="%8)"/>
      <w:lvlJc w:val="left"/>
      <w:pPr>
        <w:tabs>
          <w:tab w:val="num" w:pos="2268"/>
        </w:tabs>
        <w:ind w:left="2268" w:hanging="567"/>
      </w:pPr>
      <w:rPr>
        <w:rFonts w:hint="default"/>
      </w:rPr>
    </w:lvl>
    <w:lvl w:ilvl="8">
      <w:start w:val="1"/>
      <w:numFmt w:val="lowerLetter"/>
      <w:pStyle w:val="Pointabc4"/>
      <w:lvlText w:val="%9)"/>
      <w:lvlJc w:val="left"/>
      <w:pPr>
        <w:tabs>
          <w:tab w:val="num" w:pos="2835"/>
        </w:tabs>
        <w:ind w:left="2835" w:hanging="567"/>
      </w:pPr>
      <w:rPr>
        <w:rFonts w:hint="default"/>
      </w:rPr>
    </w:lvl>
  </w:abstractNum>
  <w:abstractNum w:abstractNumId="22" w15:restartNumberingAfterBreak="0">
    <w:nsid w:val="394F3FED"/>
    <w:multiLevelType w:val="hybridMultilevel"/>
    <w:tmpl w:val="44549DF6"/>
    <w:lvl w:ilvl="0" w:tplc="3B383F78">
      <w:start w:val="1"/>
      <w:numFmt w:val="bullet"/>
      <w:lvlText w:val=""/>
      <w:lvlJc w:val="righ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3" w15:restartNumberingAfterBreak="0">
    <w:nsid w:val="3CF544C8"/>
    <w:multiLevelType w:val="hybridMultilevel"/>
    <w:tmpl w:val="9E36EC2A"/>
    <w:lvl w:ilvl="0" w:tplc="04260003">
      <w:start w:val="1"/>
      <w:numFmt w:val="bullet"/>
      <w:lvlText w:val="o"/>
      <w:lvlJc w:val="left"/>
      <w:pPr>
        <w:ind w:left="720" w:hanging="360"/>
      </w:pPr>
      <w:rPr>
        <w:rFonts w:ascii="Courier New" w:hAnsi="Courier New" w:cs="Courier New"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4" w15:restartNumberingAfterBreak="0">
    <w:nsid w:val="3F112EAA"/>
    <w:multiLevelType w:val="hybridMultilevel"/>
    <w:tmpl w:val="95B8503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3B383F78">
      <w:start w:val="1"/>
      <w:numFmt w:val="bullet"/>
      <w:lvlText w:val=""/>
      <w:lvlJc w:val="right"/>
      <w:pPr>
        <w:ind w:left="1276"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F2B27A3"/>
    <w:multiLevelType w:val="multilevel"/>
    <w:tmpl w:val="85F456BA"/>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4D364677"/>
    <w:multiLevelType w:val="hybridMultilevel"/>
    <w:tmpl w:val="0DE8C31C"/>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7" w15:restartNumberingAfterBreak="0">
    <w:nsid w:val="4D783A3C"/>
    <w:multiLevelType w:val="hybridMultilevel"/>
    <w:tmpl w:val="1A766110"/>
    <w:lvl w:ilvl="0" w:tplc="8E327C2C">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28" w15:restartNumberingAfterBreak="0">
    <w:nsid w:val="4DB02F20"/>
    <w:multiLevelType w:val="hybridMultilevel"/>
    <w:tmpl w:val="B8984B06"/>
    <w:lvl w:ilvl="0" w:tplc="41907E88">
      <w:start w:val="1"/>
      <w:numFmt w:val="decimal"/>
      <w:lvlText w:val="%1."/>
      <w:lvlJc w:val="left"/>
      <w:pPr>
        <w:ind w:left="1095" w:hanging="284"/>
      </w:pPr>
      <w:rPr>
        <w:rFonts w:ascii="Times New Roman" w:eastAsia="Times New Roman" w:hAnsi="Times New Roman" w:cs="Times New Roman" w:hint="default"/>
        <w:spacing w:val="-23"/>
        <w:w w:val="99"/>
        <w:sz w:val="24"/>
        <w:szCs w:val="24"/>
        <w:lang w:val="lv-LV" w:eastAsia="lv-LV" w:bidi="lv-LV"/>
      </w:rPr>
    </w:lvl>
    <w:lvl w:ilvl="1" w:tplc="F1F255C4">
      <w:numFmt w:val="bullet"/>
      <w:lvlText w:val="•"/>
      <w:lvlJc w:val="left"/>
      <w:pPr>
        <w:ind w:left="1335" w:hanging="240"/>
      </w:pPr>
      <w:rPr>
        <w:rFonts w:hint="default"/>
        <w:spacing w:val="-2"/>
        <w:w w:val="100"/>
        <w:sz w:val="24"/>
        <w:szCs w:val="24"/>
        <w:lang w:val="lv-LV" w:eastAsia="lv-LV" w:bidi="lv-LV"/>
      </w:rPr>
    </w:lvl>
    <w:lvl w:ilvl="2" w:tplc="F1F255C4">
      <w:numFmt w:val="bullet"/>
      <w:lvlText w:val="•"/>
      <w:lvlJc w:val="left"/>
      <w:pPr>
        <w:ind w:left="2222" w:hanging="240"/>
      </w:pPr>
      <w:rPr>
        <w:rFonts w:hint="default"/>
        <w:lang w:val="lv-LV" w:eastAsia="lv-LV" w:bidi="lv-LV"/>
      </w:rPr>
    </w:lvl>
    <w:lvl w:ilvl="3" w:tplc="DC367FC6">
      <w:numFmt w:val="bullet"/>
      <w:lvlText w:val="•"/>
      <w:lvlJc w:val="left"/>
      <w:pPr>
        <w:ind w:left="3105" w:hanging="240"/>
      </w:pPr>
      <w:rPr>
        <w:rFonts w:hint="default"/>
        <w:lang w:val="lv-LV" w:eastAsia="lv-LV" w:bidi="lv-LV"/>
      </w:rPr>
    </w:lvl>
    <w:lvl w:ilvl="4" w:tplc="37342AC6">
      <w:numFmt w:val="bullet"/>
      <w:lvlText w:val="•"/>
      <w:lvlJc w:val="left"/>
      <w:pPr>
        <w:ind w:left="3988" w:hanging="240"/>
      </w:pPr>
      <w:rPr>
        <w:rFonts w:hint="default"/>
        <w:lang w:val="lv-LV" w:eastAsia="lv-LV" w:bidi="lv-LV"/>
      </w:rPr>
    </w:lvl>
    <w:lvl w:ilvl="5" w:tplc="34CCDA4A">
      <w:numFmt w:val="bullet"/>
      <w:lvlText w:val="•"/>
      <w:lvlJc w:val="left"/>
      <w:pPr>
        <w:ind w:left="4871" w:hanging="240"/>
      </w:pPr>
      <w:rPr>
        <w:rFonts w:hint="default"/>
        <w:lang w:val="lv-LV" w:eastAsia="lv-LV" w:bidi="lv-LV"/>
      </w:rPr>
    </w:lvl>
    <w:lvl w:ilvl="6" w:tplc="E5CC7FD0">
      <w:numFmt w:val="bullet"/>
      <w:lvlText w:val="•"/>
      <w:lvlJc w:val="left"/>
      <w:pPr>
        <w:ind w:left="5754" w:hanging="240"/>
      </w:pPr>
      <w:rPr>
        <w:rFonts w:hint="default"/>
        <w:lang w:val="lv-LV" w:eastAsia="lv-LV" w:bidi="lv-LV"/>
      </w:rPr>
    </w:lvl>
    <w:lvl w:ilvl="7" w:tplc="D05C14C6">
      <w:numFmt w:val="bullet"/>
      <w:lvlText w:val="•"/>
      <w:lvlJc w:val="left"/>
      <w:pPr>
        <w:ind w:left="6637" w:hanging="240"/>
      </w:pPr>
      <w:rPr>
        <w:rFonts w:hint="default"/>
        <w:lang w:val="lv-LV" w:eastAsia="lv-LV" w:bidi="lv-LV"/>
      </w:rPr>
    </w:lvl>
    <w:lvl w:ilvl="8" w:tplc="6EA881A2">
      <w:numFmt w:val="bullet"/>
      <w:lvlText w:val="•"/>
      <w:lvlJc w:val="left"/>
      <w:pPr>
        <w:ind w:left="7520" w:hanging="240"/>
      </w:pPr>
      <w:rPr>
        <w:rFonts w:hint="default"/>
        <w:lang w:val="lv-LV" w:eastAsia="lv-LV" w:bidi="lv-LV"/>
      </w:rPr>
    </w:lvl>
  </w:abstractNum>
  <w:abstractNum w:abstractNumId="29" w15:restartNumberingAfterBreak="0">
    <w:nsid w:val="4EBA7C3B"/>
    <w:multiLevelType w:val="hybridMultilevel"/>
    <w:tmpl w:val="E12A98CA"/>
    <w:lvl w:ilvl="0" w:tplc="0426000F">
      <w:start w:val="1"/>
      <w:numFmt w:val="decimal"/>
      <w:lvlText w:val="%1."/>
      <w:lvlJc w:val="left"/>
      <w:pPr>
        <w:ind w:left="1440" w:hanging="360"/>
      </w:pPr>
      <w:rPr>
        <w:rFonts w:hint="default"/>
        <w:sz w:val="24"/>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0" w15:restartNumberingAfterBreak="0">
    <w:nsid w:val="504C3240"/>
    <w:multiLevelType w:val="hybridMultilevel"/>
    <w:tmpl w:val="E06885F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1" w15:restartNumberingAfterBreak="0">
    <w:nsid w:val="55BD6AB3"/>
    <w:multiLevelType w:val="hybridMultilevel"/>
    <w:tmpl w:val="2B4C6238"/>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32" w15:restartNumberingAfterBreak="0">
    <w:nsid w:val="5A29DC94"/>
    <w:multiLevelType w:val="hybridMultilevel"/>
    <w:tmpl w:val="F4A021FE"/>
    <w:lvl w:ilvl="0" w:tplc="85F22F60">
      <w:start w:val="1"/>
      <w:numFmt w:val="bullet"/>
      <w:lvlText w:val="·"/>
      <w:lvlJc w:val="left"/>
      <w:pPr>
        <w:ind w:left="720" w:hanging="360"/>
      </w:pPr>
      <w:rPr>
        <w:rFonts w:ascii="Symbol" w:hAnsi="Symbol" w:hint="default"/>
      </w:rPr>
    </w:lvl>
    <w:lvl w:ilvl="1" w:tplc="CA969232">
      <w:start w:val="1"/>
      <w:numFmt w:val="bullet"/>
      <w:lvlText w:val="o"/>
      <w:lvlJc w:val="left"/>
      <w:pPr>
        <w:ind w:left="1440" w:hanging="360"/>
      </w:pPr>
      <w:rPr>
        <w:rFonts w:ascii="Courier New" w:hAnsi="Courier New" w:hint="default"/>
      </w:rPr>
    </w:lvl>
    <w:lvl w:ilvl="2" w:tplc="217014C0">
      <w:start w:val="1"/>
      <w:numFmt w:val="bullet"/>
      <w:lvlText w:val=""/>
      <w:lvlJc w:val="left"/>
      <w:pPr>
        <w:ind w:left="2160" w:hanging="360"/>
      </w:pPr>
      <w:rPr>
        <w:rFonts w:ascii="Wingdings" w:hAnsi="Wingdings" w:hint="default"/>
      </w:rPr>
    </w:lvl>
    <w:lvl w:ilvl="3" w:tplc="8DDA4E52">
      <w:start w:val="1"/>
      <w:numFmt w:val="bullet"/>
      <w:lvlText w:val=""/>
      <w:lvlJc w:val="left"/>
      <w:pPr>
        <w:ind w:left="2880" w:hanging="360"/>
      </w:pPr>
      <w:rPr>
        <w:rFonts w:ascii="Symbol" w:hAnsi="Symbol" w:hint="default"/>
      </w:rPr>
    </w:lvl>
    <w:lvl w:ilvl="4" w:tplc="045456E4">
      <w:start w:val="1"/>
      <w:numFmt w:val="bullet"/>
      <w:lvlText w:val="o"/>
      <w:lvlJc w:val="left"/>
      <w:pPr>
        <w:ind w:left="3600" w:hanging="360"/>
      </w:pPr>
      <w:rPr>
        <w:rFonts w:ascii="Courier New" w:hAnsi="Courier New" w:hint="default"/>
      </w:rPr>
    </w:lvl>
    <w:lvl w:ilvl="5" w:tplc="EF22B0FA">
      <w:start w:val="1"/>
      <w:numFmt w:val="bullet"/>
      <w:lvlText w:val=""/>
      <w:lvlJc w:val="left"/>
      <w:pPr>
        <w:ind w:left="4320" w:hanging="360"/>
      </w:pPr>
      <w:rPr>
        <w:rFonts w:ascii="Wingdings" w:hAnsi="Wingdings" w:hint="default"/>
      </w:rPr>
    </w:lvl>
    <w:lvl w:ilvl="6" w:tplc="08CCBDBE">
      <w:start w:val="1"/>
      <w:numFmt w:val="bullet"/>
      <w:lvlText w:val=""/>
      <w:lvlJc w:val="left"/>
      <w:pPr>
        <w:ind w:left="5040" w:hanging="360"/>
      </w:pPr>
      <w:rPr>
        <w:rFonts w:ascii="Symbol" w:hAnsi="Symbol" w:hint="default"/>
      </w:rPr>
    </w:lvl>
    <w:lvl w:ilvl="7" w:tplc="CC5A17A0">
      <w:start w:val="1"/>
      <w:numFmt w:val="bullet"/>
      <w:lvlText w:val="o"/>
      <w:lvlJc w:val="left"/>
      <w:pPr>
        <w:ind w:left="5760" w:hanging="360"/>
      </w:pPr>
      <w:rPr>
        <w:rFonts w:ascii="Courier New" w:hAnsi="Courier New" w:hint="default"/>
      </w:rPr>
    </w:lvl>
    <w:lvl w:ilvl="8" w:tplc="CBD43180">
      <w:start w:val="1"/>
      <w:numFmt w:val="bullet"/>
      <w:lvlText w:val=""/>
      <w:lvlJc w:val="left"/>
      <w:pPr>
        <w:ind w:left="6480" w:hanging="360"/>
      </w:pPr>
      <w:rPr>
        <w:rFonts w:ascii="Wingdings" w:hAnsi="Wingdings" w:hint="default"/>
      </w:rPr>
    </w:lvl>
  </w:abstractNum>
  <w:abstractNum w:abstractNumId="33" w15:restartNumberingAfterBreak="0">
    <w:nsid w:val="69DA2C7C"/>
    <w:multiLevelType w:val="hybridMultilevel"/>
    <w:tmpl w:val="7826D9C0"/>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34" w15:restartNumberingAfterBreak="0">
    <w:nsid w:val="6A4F3174"/>
    <w:multiLevelType w:val="multilevel"/>
    <w:tmpl w:val="69881E4A"/>
    <w:lvl w:ilvl="0">
      <w:start w:val="1"/>
      <w:numFmt w:val="decimal"/>
      <w:lvlText w:val="%1."/>
      <w:lvlJc w:val="left"/>
      <w:pPr>
        <w:ind w:left="360" w:hanging="360"/>
      </w:pPr>
      <w:rPr>
        <w:b/>
      </w:rPr>
    </w:lvl>
    <w:lvl w:ilvl="1">
      <w:start w:val="1"/>
      <w:numFmt w:val="decimal"/>
      <w:isLgl/>
      <w:lvlText w:val="%1.%2."/>
      <w:lvlJc w:val="left"/>
      <w:pPr>
        <w:ind w:left="1117" w:hanging="55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35" w15:restartNumberingAfterBreak="0">
    <w:nsid w:val="6B2F3A62"/>
    <w:multiLevelType w:val="multilevel"/>
    <w:tmpl w:val="153AC77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6C2047EC"/>
    <w:multiLevelType w:val="hybridMultilevel"/>
    <w:tmpl w:val="A84E65A0"/>
    <w:lvl w:ilvl="0" w:tplc="FFFFFFFF">
      <w:start w:val="1"/>
      <w:numFmt w:val="bullet"/>
      <w:lvlText w:val=""/>
      <w:lvlJc w:val="righ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05304F64">
      <w:start w:val="1"/>
      <w:numFmt w:val="bullet"/>
      <w:lvlText w:val=""/>
      <w:lvlJc w:val="right"/>
      <w:pPr>
        <w:ind w:left="1276"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C30452A"/>
    <w:multiLevelType w:val="hybridMultilevel"/>
    <w:tmpl w:val="503ECC98"/>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8" w15:restartNumberingAfterBreak="0">
    <w:nsid w:val="6C5957D7"/>
    <w:multiLevelType w:val="hybridMultilevel"/>
    <w:tmpl w:val="545485F8"/>
    <w:lvl w:ilvl="0" w:tplc="04260005">
      <w:start w:val="1"/>
      <w:numFmt w:val="bullet"/>
      <w:lvlText w:val=""/>
      <w:lvlJc w:val="left"/>
      <w:pPr>
        <w:ind w:left="1276" w:hanging="360"/>
      </w:pPr>
      <w:rPr>
        <w:rFonts w:ascii="Wingdings" w:hAnsi="Wingdings" w:hint="default"/>
      </w:rPr>
    </w:lvl>
    <w:lvl w:ilvl="1" w:tplc="04260003" w:tentative="1">
      <w:start w:val="1"/>
      <w:numFmt w:val="bullet"/>
      <w:lvlText w:val="o"/>
      <w:lvlJc w:val="left"/>
      <w:pPr>
        <w:ind w:left="1996" w:hanging="360"/>
      </w:pPr>
      <w:rPr>
        <w:rFonts w:ascii="Courier New" w:hAnsi="Courier New" w:cs="Courier New" w:hint="default"/>
      </w:rPr>
    </w:lvl>
    <w:lvl w:ilvl="2" w:tplc="04260005" w:tentative="1">
      <w:start w:val="1"/>
      <w:numFmt w:val="bullet"/>
      <w:lvlText w:val=""/>
      <w:lvlJc w:val="left"/>
      <w:pPr>
        <w:ind w:left="2716" w:hanging="360"/>
      </w:pPr>
      <w:rPr>
        <w:rFonts w:ascii="Wingdings" w:hAnsi="Wingdings" w:hint="default"/>
      </w:rPr>
    </w:lvl>
    <w:lvl w:ilvl="3" w:tplc="04260001" w:tentative="1">
      <w:start w:val="1"/>
      <w:numFmt w:val="bullet"/>
      <w:lvlText w:val=""/>
      <w:lvlJc w:val="left"/>
      <w:pPr>
        <w:ind w:left="3436" w:hanging="360"/>
      </w:pPr>
      <w:rPr>
        <w:rFonts w:ascii="Symbol" w:hAnsi="Symbol" w:hint="default"/>
      </w:rPr>
    </w:lvl>
    <w:lvl w:ilvl="4" w:tplc="04260003" w:tentative="1">
      <w:start w:val="1"/>
      <w:numFmt w:val="bullet"/>
      <w:lvlText w:val="o"/>
      <w:lvlJc w:val="left"/>
      <w:pPr>
        <w:ind w:left="4156" w:hanging="360"/>
      </w:pPr>
      <w:rPr>
        <w:rFonts w:ascii="Courier New" w:hAnsi="Courier New" w:cs="Courier New" w:hint="default"/>
      </w:rPr>
    </w:lvl>
    <w:lvl w:ilvl="5" w:tplc="04260005" w:tentative="1">
      <w:start w:val="1"/>
      <w:numFmt w:val="bullet"/>
      <w:lvlText w:val=""/>
      <w:lvlJc w:val="left"/>
      <w:pPr>
        <w:ind w:left="4876" w:hanging="360"/>
      </w:pPr>
      <w:rPr>
        <w:rFonts w:ascii="Wingdings" w:hAnsi="Wingdings" w:hint="default"/>
      </w:rPr>
    </w:lvl>
    <w:lvl w:ilvl="6" w:tplc="04260001" w:tentative="1">
      <w:start w:val="1"/>
      <w:numFmt w:val="bullet"/>
      <w:lvlText w:val=""/>
      <w:lvlJc w:val="left"/>
      <w:pPr>
        <w:ind w:left="5596" w:hanging="360"/>
      </w:pPr>
      <w:rPr>
        <w:rFonts w:ascii="Symbol" w:hAnsi="Symbol" w:hint="default"/>
      </w:rPr>
    </w:lvl>
    <w:lvl w:ilvl="7" w:tplc="04260003" w:tentative="1">
      <w:start w:val="1"/>
      <w:numFmt w:val="bullet"/>
      <w:lvlText w:val="o"/>
      <w:lvlJc w:val="left"/>
      <w:pPr>
        <w:ind w:left="6316" w:hanging="360"/>
      </w:pPr>
      <w:rPr>
        <w:rFonts w:ascii="Courier New" w:hAnsi="Courier New" w:cs="Courier New" w:hint="default"/>
      </w:rPr>
    </w:lvl>
    <w:lvl w:ilvl="8" w:tplc="04260005" w:tentative="1">
      <w:start w:val="1"/>
      <w:numFmt w:val="bullet"/>
      <w:lvlText w:val=""/>
      <w:lvlJc w:val="left"/>
      <w:pPr>
        <w:ind w:left="7036" w:hanging="360"/>
      </w:pPr>
      <w:rPr>
        <w:rFonts w:ascii="Wingdings" w:hAnsi="Wingdings" w:hint="default"/>
      </w:rPr>
    </w:lvl>
  </w:abstractNum>
  <w:abstractNum w:abstractNumId="39" w15:restartNumberingAfterBreak="0">
    <w:nsid w:val="722C629A"/>
    <w:multiLevelType w:val="hybridMultilevel"/>
    <w:tmpl w:val="E9E2172C"/>
    <w:lvl w:ilvl="0" w:tplc="0B38ADE6">
      <w:start w:val="6"/>
      <w:numFmt w:val="bullet"/>
      <w:lvlText w:val="-"/>
      <w:lvlJc w:val="left"/>
      <w:pPr>
        <w:ind w:left="720" w:hanging="360"/>
      </w:pPr>
      <w:rPr>
        <w:rFonts w:ascii="Times New Roman" w:eastAsiaTheme="minorHAnsi"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0" w15:restartNumberingAfterBreak="0">
    <w:nsid w:val="75760FCB"/>
    <w:multiLevelType w:val="hybridMultilevel"/>
    <w:tmpl w:val="305ED8BA"/>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1" w15:restartNumberingAfterBreak="0">
    <w:nsid w:val="7610109D"/>
    <w:multiLevelType w:val="multilevel"/>
    <w:tmpl w:val="1D442D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77920A1"/>
    <w:multiLevelType w:val="hybridMultilevel"/>
    <w:tmpl w:val="FAF8A23E"/>
    <w:lvl w:ilvl="0" w:tplc="04260005">
      <w:start w:val="1"/>
      <w:numFmt w:val="bullet"/>
      <w:lvlText w:val=""/>
      <w:lvlJc w:val="left"/>
      <w:pPr>
        <w:ind w:left="1069" w:hanging="360"/>
      </w:pPr>
      <w:rPr>
        <w:rFonts w:ascii="Wingdings" w:hAnsi="Wingdings" w:hint="default"/>
      </w:rPr>
    </w:lvl>
    <w:lvl w:ilvl="1" w:tplc="04260019">
      <w:start w:val="1"/>
      <w:numFmt w:val="lowerLetter"/>
      <w:lvlText w:val="%2."/>
      <w:lvlJc w:val="left"/>
      <w:pPr>
        <w:ind w:left="2149" w:hanging="360"/>
      </w:pPr>
    </w:lvl>
    <w:lvl w:ilvl="2" w:tplc="0426001B" w:tentative="1">
      <w:start w:val="1"/>
      <w:numFmt w:val="lowerRoman"/>
      <w:lvlText w:val="%3."/>
      <w:lvlJc w:val="right"/>
      <w:pPr>
        <w:ind w:left="2869" w:hanging="180"/>
      </w:pPr>
    </w:lvl>
    <w:lvl w:ilvl="3" w:tplc="0426000F" w:tentative="1">
      <w:start w:val="1"/>
      <w:numFmt w:val="decimal"/>
      <w:lvlText w:val="%4."/>
      <w:lvlJc w:val="left"/>
      <w:pPr>
        <w:ind w:left="3589" w:hanging="360"/>
      </w:pPr>
    </w:lvl>
    <w:lvl w:ilvl="4" w:tplc="04260019" w:tentative="1">
      <w:start w:val="1"/>
      <w:numFmt w:val="lowerLetter"/>
      <w:lvlText w:val="%5."/>
      <w:lvlJc w:val="left"/>
      <w:pPr>
        <w:ind w:left="4309" w:hanging="360"/>
      </w:pPr>
    </w:lvl>
    <w:lvl w:ilvl="5" w:tplc="0426001B" w:tentative="1">
      <w:start w:val="1"/>
      <w:numFmt w:val="lowerRoman"/>
      <w:lvlText w:val="%6."/>
      <w:lvlJc w:val="right"/>
      <w:pPr>
        <w:ind w:left="5029" w:hanging="180"/>
      </w:pPr>
    </w:lvl>
    <w:lvl w:ilvl="6" w:tplc="0426000F" w:tentative="1">
      <w:start w:val="1"/>
      <w:numFmt w:val="decimal"/>
      <w:lvlText w:val="%7."/>
      <w:lvlJc w:val="left"/>
      <w:pPr>
        <w:ind w:left="5749" w:hanging="360"/>
      </w:pPr>
    </w:lvl>
    <w:lvl w:ilvl="7" w:tplc="04260019" w:tentative="1">
      <w:start w:val="1"/>
      <w:numFmt w:val="lowerLetter"/>
      <w:lvlText w:val="%8."/>
      <w:lvlJc w:val="left"/>
      <w:pPr>
        <w:ind w:left="6469" w:hanging="360"/>
      </w:pPr>
    </w:lvl>
    <w:lvl w:ilvl="8" w:tplc="0426001B" w:tentative="1">
      <w:start w:val="1"/>
      <w:numFmt w:val="lowerRoman"/>
      <w:lvlText w:val="%9."/>
      <w:lvlJc w:val="right"/>
      <w:pPr>
        <w:ind w:left="7189" w:hanging="180"/>
      </w:pPr>
    </w:lvl>
  </w:abstractNum>
  <w:abstractNum w:abstractNumId="43" w15:restartNumberingAfterBreak="0">
    <w:nsid w:val="7B0954A4"/>
    <w:multiLevelType w:val="hybridMultilevel"/>
    <w:tmpl w:val="ACBE9B58"/>
    <w:lvl w:ilvl="0" w:tplc="04260011">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4" w15:restartNumberingAfterBreak="0">
    <w:nsid w:val="7CD0166F"/>
    <w:multiLevelType w:val="multilevel"/>
    <w:tmpl w:val="D7E4E2BE"/>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72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7F3329C7"/>
    <w:multiLevelType w:val="hybridMultilevel"/>
    <w:tmpl w:val="D38C488C"/>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16cid:durableId="1019627652">
    <w:abstractNumId w:val="8"/>
  </w:num>
  <w:num w:numId="2" w16cid:durableId="1952665376">
    <w:abstractNumId w:val="1"/>
  </w:num>
  <w:num w:numId="3" w16cid:durableId="460267261">
    <w:abstractNumId w:val="2"/>
  </w:num>
  <w:num w:numId="4" w16cid:durableId="1749575119">
    <w:abstractNumId w:val="34"/>
  </w:num>
  <w:num w:numId="5" w16cid:durableId="989820409">
    <w:abstractNumId w:val="21"/>
  </w:num>
  <w:num w:numId="6" w16cid:durableId="1210075778">
    <w:abstractNumId w:val="15"/>
  </w:num>
  <w:num w:numId="7" w16cid:durableId="484710608">
    <w:abstractNumId w:val="41"/>
  </w:num>
  <w:num w:numId="8" w16cid:durableId="1091926424">
    <w:abstractNumId w:val="7"/>
  </w:num>
  <w:num w:numId="9" w16cid:durableId="1124693397">
    <w:abstractNumId w:val="38"/>
  </w:num>
  <w:num w:numId="10" w16cid:durableId="147866107">
    <w:abstractNumId w:val="42"/>
  </w:num>
  <w:num w:numId="11" w16cid:durableId="1829053264">
    <w:abstractNumId w:val="39"/>
  </w:num>
  <w:num w:numId="12" w16cid:durableId="1366564585">
    <w:abstractNumId w:val="1"/>
    <w:lvlOverride w:ilvl="0">
      <w:startOverride w:val="2"/>
    </w:lvlOverride>
    <w:lvlOverride w:ilvl="1">
      <w:startOverride w:val="1"/>
    </w:lvlOverride>
  </w:num>
  <w:num w:numId="13" w16cid:durableId="326128663">
    <w:abstractNumId w:val="13"/>
  </w:num>
  <w:num w:numId="14" w16cid:durableId="2131782371">
    <w:abstractNumId w:val="6"/>
  </w:num>
  <w:num w:numId="15" w16cid:durableId="1633629932">
    <w:abstractNumId w:val="23"/>
  </w:num>
  <w:num w:numId="16" w16cid:durableId="921567288">
    <w:abstractNumId w:val="24"/>
  </w:num>
  <w:num w:numId="17" w16cid:durableId="1722436153">
    <w:abstractNumId w:val="36"/>
  </w:num>
  <w:num w:numId="18" w16cid:durableId="1628270558">
    <w:abstractNumId w:val="22"/>
  </w:num>
  <w:num w:numId="19" w16cid:durableId="1879314504">
    <w:abstractNumId w:val="4"/>
  </w:num>
  <w:num w:numId="20" w16cid:durableId="464205183">
    <w:abstractNumId w:val="27"/>
  </w:num>
  <w:num w:numId="21" w16cid:durableId="2004965917">
    <w:abstractNumId w:val="3"/>
  </w:num>
  <w:num w:numId="22" w16cid:durableId="749278884">
    <w:abstractNumId w:val="44"/>
  </w:num>
  <w:num w:numId="23" w16cid:durableId="118572888">
    <w:abstractNumId w:val="5"/>
  </w:num>
  <w:num w:numId="24" w16cid:durableId="741952610">
    <w:abstractNumId w:val="29"/>
  </w:num>
  <w:num w:numId="25" w16cid:durableId="1761095436">
    <w:abstractNumId w:val="11"/>
  </w:num>
  <w:num w:numId="26" w16cid:durableId="310140515">
    <w:abstractNumId w:val="32"/>
  </w:num>
  <w:num w:numId="27" w16cid:durableId="1217156936">
    <w:abstractNumId w:val="12"/>
  </w:num>
  <w:num w:numId="28" w16cid:durableId="1672441186">
    <w:abstractNumId w:val="10"/>
  </w:num>
  <w:num w:numId="29" w16cid:durableId="2074236873">
    <w:abstractNumId w:val="17"/>
  </w:num>
  <w:num w:numId="30" w16cid:durableId="163207876">
    <w:abstractNumId w:val="43"/>
  </w:num>
  <w:num w:numId="31" w16cid:durableId="1691447547">
    <w:abstractNumId w:val="0"/>
  </w:num>
  <w:num w:numId="32" w16cid:durableId="432015646">
    <w:abstractNumId w:val="16"/>
  </w:num>
  <w:num w:numId="33" w16cid:durableId="106700213">
    <w:abstractNumId w:val="31"/>
  </w:num>
  <w:num w:numId="34" w16cid:durableId="1565942815">
    <w:abstractNumId w:val="26"/>
  </w:num>
  <w:num w:numId="35" w16cid:durableId="1039280708">
    <w:abstractNumId w:val="35"/>
  </w:num>
  <w:num w:numId="36" w16cid:durableId="897783042">
    <w:abstractNumId w:val="14"/>
  </w:num>
  <w:num w:numId="37" w16cid:durableId="633874273">
    <w:abstractNumId w:val="20"/>
  </w:num>
  <w:num w:numId="38" w16cid:durableId="954025662">
    <w:abstractNumId w:val="19"/>
  </w:num>
  <w:num w:numId="39" w16cid:durableId="804198057">
    <w:abstractNumId w:val="33"/>
  </w:num>
  <w:num w:numId="40" w16cid:durableId="624428370">
    <w:abstractNumId w:val="9"/>
  </w:num>
  <w:num w:numId="41" w16cid:durableId="1204513222">
    <w:abstractNumId w:val="25"/>
  </w:num>
  <w:num w:numId="42" w16cid:durableId="1853490794">
    <w:abstractNumId w:val="28"/>
  </w:num>
  <w:num w:numId="43" w16cid:durableId="1333679525">
    <w:abstractNumId w:val="40"/>
  </w:num>
  <w:num w:numId="44" w16cid:durableId="1892494501">
    <w:abstractNumId w:val="45"/>
  </w:num>
  <w:num w:numId="45" w16cid:durableId="266276650">
    <w:abstractNumId w:val="37"/>
  </w:num>
  <w:num w:numId="46" w16cid:durableId="1735733575">
    <w:abstractNumId w:val="18"/>
  </w:num>
  <w:num w:numId="47" w16cid:durableId="1424768065">
    <w:abstractNumId w:val="30"/>
  </w:num>
  <w:num w:numId="48" w16cid:durableId="626594777">
    <w:abstractNumId w:val="1"/>
    <w:lvlOverride w:ilvl="0">
      <w:startOverride w:val="2"/>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2272699">
    <w:abstractNumId w:val="1"/>
    <w:lvlOverride w:ilvl="0">
      <w:startOverride w:val="2"/>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activeWritingStyle w:appName="MSWord" w:lang="es-ES"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ru-RU" w:vendorID="64" w:dllVersion="6" w:nlCheck="1" w:checkStyle="0"/>
  <w:activeWritingStyle w:appName="MSWord" w:lang="ru-RU" w:vendorID="64" w:dllVersion="0" w:nlCheck="1" w:checkStyle="0"/>
  <w:proofState w:spelling="clean" w:grammar="clean"/>
  <w:defaultTabStop w:val="72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3FCD"/>
    <w:rsid w:val="00001017"/>
    <w:rsid w:val="00003C17"/>
    <w:rsid w:val="00003DAF"/>
    <w:rsid w:val="000051B7"/>
    <w:rsid w:val="000061B8"/>
    <w:rsid w:val="00006347"/>
    <w:rsid w:val="00010045"/>
    <w:rsid w:val="000110A6"/>
    <w:rsid w:val="00011245"/>
    <w:rsid w:val="00011E6E"/>
    <w:rsid w:val="00014F3C"/>
    <w:rsid w:val="00017387"/>
    <w:rsid w:val="000226D6"/>
    <w:rsid w:val="000226F5"/>
    <w:rsid w:val="00027929"/>
    <w:rsid w:val="00032DDD"/>
    <w:rsid w:val="000333FD"/>
    <w:rsid w:val="000336D5"/>
    <w:rsid w:val="000368AE"/>
    <w:rsid w:val="00040682"/>
    <w:rsid w:val="0004087E"/>
    <w:rsid w:val="000408CF"/>
    <w:rsid w:val="00040E75"/>
    <w:rsid w:val="00043D08"/>
    <w:rsid w:val="0004655C"/>
    <w:rsid w:val="0005104E"/>
    <w:rsid w:val="00051573"/>
    <w:rsid w:val="00051655"/>
    <w:rsid w:val="000535BD"/>
    <w:rsid w:val="000548A5"/>
    <w:rsid w:val="000556A3"/>
    <w:rsid w:val="0005600D"/>
    <w:rsid w:val="00056940"/>
    <w:rsid w:val="00057EB6"/>
    <w:rsid w:val="0006055A"/>
    <w:rsid w:val="00062B9C"/>
    <w:rsid w:val="00063C33"/>
    <w:rsid w:val="00065178"/>
    <w:rsid w:val="000671B6"/>
    <w:rsid w:val="000709B3"/>
    <w:rsid w:val="00071293"/>
    <w:rsid w:val="000718E8"/>
    <w:rsid w:val="000736B9"/>
    <w:rsid w:val="000738ED"/>
    <w:rsid w:val="00074630"/>
    <w:rsid w:val="00075224"/>
    <w:rsid w:val="00075ABF"/>
    <w:rsid w:val="00075DA6"/>
    <w:rsid w:val="00077698"/>
    <w:rsid w:val="00080880"/>
    <w:rsid w:val="00080F5D"/>
    <w:rsid w:val="00082D9C"/>
    <w:rsid w:val="00083B46"/>
    <w:rsid w:val="0008675F"/>
    <w:rsid w:val="00090B27"/>
    <w:rsid w:val="00092745"/>
    <w:rsid w:val="00094B7B"/>
    <w:rsid w:val="00095088"/>
    <w:rsid w:val="00096494"/>
    <w:rsid w:val="00096F2A"/>
    <w:rsid w:val="000A1248"/>
    <w:rsid w:val="000A284A"/>
    <w:rsid w:val="000A2DF9"/>
    <w:rsid w:val="000A3972"/>
    <w:rsid w:val="000A6C77"/>
    <w:rsid w:val="000A76D8"/>
    <w:rsid w:val="000B59E6"/>
    <w:rsid w:val="000C22C5"/>
    <w:rsid w:val="000C237C"/>
    <w:rsid w:val="000C25D0"/>
    <w:rsid w:val="000C2811"/>
    <w:rsid w:val="000C391E"/>
    <w:rsid w:val="000C3B1C"/>
    <w:rsid w:val="000C3EB5"/>
    <w:rsid w:val="000C5890"/>
    <w:rsid w:val="000D017B"/>
    <w:rsid w:val="000D0306"/>
    <w:rsid w:val="000D1EEF"/>
    <w:rsid w:val="000D2620"/>
    <w:rsid w:val="000D2CDD"/>
    <w:rsid w:val="000D4D00"/>
    <w:rsid w:val="000F0A11"/>
    <w:rsid w:val="000F6C00"/>
    <w:rsid w:val="00100266"/>
    <w:rsid w:val="001010B3"/>
    <w:rsid w:val="0010115D"/>
    <w:rsid w:val="0010166A"/>
    <w:rsid w:val="00106210"/>
    <w:rsid w:val="001078E6"/>
    <w:rsid w:val="00112C33"/>
    <w:rsid w:val="00115108"/>
    <w:rsid w:val="00116FC6"/>
    <w:rsid w:val="00117F48"/>
    <w:rsid w:val="0012299E"/>
    <w:rsid w:val="00122F78"/>
    <w:rsid w:val="00124F31"/>
    <w:rsid w:val="00127E05"/>
    <w:rsid w:val="00130376"/>
    <w:rsid w:val="00134F91"/>
    <w:rsid w:val="00145904"/>
    <w:rsid w:val="00147075"/>
    <w:rsid w:val="00155DEF"/>
    <w:rsid w:val="00156437"/>
    <w:rsid w:val="001574CE"/>
    <w:rsid w:val="00160722"/>
    <w:rsid w:val="0016192E"/>
    <w:rsid w:val="00165095"/>
    <w:rsid w:val="00166096"/>
    <w:rsid w:val="001700DF"/>
    <w:rsid w:val="00170845"/>
    <w:rsid w:val="00170982"/>
    <w:rsid w:val="0017127D"/>
    <w:rsid w:val="00176BE8"/>
    <w:rsid w:val="00181A15"/>
    <w:rsid w:val="00181F59"/>
    <w:rsid w:val="00182ED0"/>
    <w:rsid w:val="0018367D"/>
    <w:rsid w:val="00184BA0"/>
    <w:rsid w:val="00186BB3"/>
    <w:rsid w:val="00187172"/>
    <w:rsid w:val="0019106F"/>
    <w:rsid w:val="00192AE5"/>
    <w:rsid w:val="0019312B"/>
    <w:rsid w:val="00193502"/>
    <w:rsid w:val="00193DAD"/>
    <w:rsid w:val="0019451D"/>
    <w:rsid w:val="00195261"/>
    <w:rsid w:val="00195F8C"/>
    <w:rsid w:val="00196342"/>
    <w:rsid w:val="001A1BE0"/>
    <w:rsid w:val="001A257A"/>
    <w:rsid w:val="001A4980"/>
    <w:rsid w:val="001A62AD"/>
    <w:rsid w:val="001B509F"/>
    <w:rsid w:val="001B5564"/>
    <w:rsid w:val="001B743F"/>
    <w:rsid w:val="001B7888"/>
    <w:rsid w:val="001C278C"/>
    <w:rsid w:val="001C5161"/>
    <w:rsid w:val="001C58DD"/>
    <w:rsid w:val="001C77C1"/>
    <w:rsid w:val="001D00AC"/>
    <w:rsid w:val="001D14A4"/>
    <w:rsid w:val="001D34B8"/>
    <w:rsid w:val="001D4063"/>
    <w:rsid w:val="001D6A54"/>
    <w:rsid w:val="001D773D"/>
    <w:rsid w:val="001E19C6"/>
    <w:rsid w:val="001E5473"/>
    <w:rsid w:val="001E599B"/>
    <w:rsid w:val="001F0D85"/>
    <w:rsid w:val="001F265B"/>
    <w:rsid w:val="001F2FAC"/>
    <w:rsid w:val="001F4280"/>
    <w:rsid w:val="001F739F"/>
    <w:rsid w:val="002020BD"/>
    <w:rsid w:val="0020244A"/>
    <w:rsid w:val="002065E6"/>
    <w:rsid w:val="0020678D"/>
    <w:rsid w:val="002076CF"/>
    <w:rsid w:val="00211ACA"/>
    <w:rsid w:val="002131D9"/>
    <w:rsid w:val="00222F32"/>
    <w:rsid w:val="0022320E"/>
    <w:rsid w:val="0022321B"/>
    <w:rsid w:val="00224245"/>
    <w:rsid w:val="00226C38"/>
    <w:rsid w:val="00230E9D"/>
    <w:rsid w:val="0023227E"/>
    <w:rsid w:val="00234CDA"/>
    <w:rsid w:val="00235B5D"/>
    <w:rsid w:val="002449BE"/>
    <w:rsid w:val="00245CA6"/>
    <w:rsid w:val="00246DB7"/>
    <w:rsid w:val="002476DB"/>
    <w:rsid w:val="00247C4D"/>
    <w:rsid w:val="002519DD"/>
    <w:rsid w:val="00252700"/>
    <w:rsid w:val="00255306"/>
    <w:rsid w:val="0025672F"/>
    <w:rsid w:val="00260A0C"/>
    <w:rsid w:val="00261FA7"/>
    <w:rsid w:val="00265993"/>
    <w:rsid w:val="002672D7"/>
    <w:rsid w:val="002675A9"/>
    <w:rsid w:val="00272E4E"/>
    <w:rsid w:val="00272F14"/>
    <w:rsid w:val="00273357"/>
    <w:rsid w:val="0027570C"/>
    <w:rsid w:val="00275CCB"/>
    <w:rsid w:val="00276053"/>
    <w:rsid w:val="00276690"/>
    <w:rsid w:val="002805C7"/>
    <w:rsid w:val="00280666"/>
    <w:rsid w:val="002808B3"/>
    <w:rsid w:val="00282CB3"/>
    <w:rsid w:val="00282FA4"/>
    <w:rsid w:val="00283F89"/>
    <w:rsid w:val="0028529D"/>
    <w:rsid w:val="00285AEA"/>
    <w:rsid w:val="00286907"/>
    <w:rsid w:val="00287B03"/>
    <w:rsid w:val="0029226E"/>
    <w:rsid w:val="00294793"/>
    <w:rsid w:val="00294C90"/>
    <w:rsid w:val="00294F87"/>
    <w:rsid w:val="00295172"/>
    <w:rsid w:val="00295A66"/>
    <w:rsid w:val="00295F32"/>
    <w:rsid w:val="00297746"/>
    <w:rsid w:val="002A0466"/>
    <w:rsid w:val="002A0876"/>
    <w:rsid w:val="002A0A3A"/>
    <w:rsid w:val="002A1F38"/>
    <w:rsid w:val="002A3640"/>
    <w:rsid w:val="002A7324"/>
    <w:rsid w:val="002A7B17"/>
    <w:rsid w:val="002B2F86"/>
    <w:rsid w:val="002B3885"/>
    <w:rsid w:val="002B3B96"/>
    <w:rsid w:val="002C4A86"/>
    <w:rsid w:val="002C4E90"/>
    <w:rsid w:val="002C516C"/>
    <w:rsid w:val="002D044F"/>
    <w:rsid w:val="002D0756"/>
    <w:rsid w:val="002D09C3"/>
    <w:rsid w:val="002D0E5B"/>
    <w:rsid w:val="002D1772"/>
    <w:rsid w:val="002D1F6F"/>
    <w:rsid w:val="002D2D5D"/>
    <w:rsid w:val="002E04FC"/>
    <w:rsid w:val="002E0F33"/>
    <w:rsid w:val="002E297C"/>
    <w:rsid w:val="002E38F8"/>
    <w:rsid w:val="002E4630"/>
    <w:rsid w:val="002E666B"/>
    <w:rsid w:val="002F18F9"/>
    <w:rsid w:val="002F1928"/>
    <w:rsid w:val="002F1C35"/>
    <w:rsid w:val="002F6763"/>
    <w:rsid w:val="002F6885"/>
    <w:rsid w:val="00302FF6"/>
    <w:rsid w:val="00303EDE"/>
    <w:rsid w:val="003075A7"/>
    <w:rsid w:val="00307A1B"/>
    <w:rsid w:val="0031027C"/>
    <w:rsid w:val="0031038E"/>
    <w:rsid w:val="00311761"/>
    <w:rsid w:val="003128A0"/>
    <w:rsid w:val="0031508E"/>
    <w:rsid w:val="003158EF"/>
    <w:rsid w:val="00315973"/>
    <w:rsid w:val="00315D4A"/>
    <w:rsid w:val="00316BA7"/>
    <w:rsid w:val="00322105"/>
    <w:rsid w:val="00322C7C"/>
    <w:rsid w:val="00325724"/>
    <w:rsid w:val="00326F4A"/>
    <w:rsid w:val="0033167E"/>
    <w:rsid w:val="00331973"/>
    <w:rsid w:val="003347CE"/>
    <w:rsid w:val="00336496"/>
    <w:rsid w:val="003374E1"/>
    <w:rsid w:val="00337572"/>
    <w:rsid w:val="00341DF7"/>
    <w:rsid w:val="0034370C"/>
    <w:rsid w:val="00344CED"/>
    <w:rsid w:val="00346EEF"/>
    <w:rsid w:val="003509CE"/>
    <w:rsid w:val="00350B96"/>
    <w:rsid w:val="00351C3D"/>
    <w:rsid w:val="00357E15"/>
    <w:rsid w:val="0036084D"/>
    <w:rsid w:val="00361D9C"/>
    <w:rsid w:val="003634C7"/>
    <w:rsid w:val="00363FD1"/>
    <w:rsid w:val="00364CEE"/>
    <w:rsid w:val="00380144"/>
    <w:rsid w:val="00380C17"/>
    <w:rsid w:val="00380E24"/>
    <w:rsid w:val="003810CB"/>
    <w:rsid w:val="003824E1"/>
    <w:rsid w:val="00383CEF"/>
    <w:rsid w:val="0038459F"/>
    <w:rsid w:val="00386E45"/>
    <w:rsid w:val="00387F35"/>
    <w:rsid w:val="00391CFA"/>
    <w:rsid w:val="003928D4"/>
    <w:rsid w:val="00392966"/>
    <w:rsid w:val="00395050"/>
    <w:rsid w:val="003A0247"/>
    <w:rsid w:val="003A0250"/>
    <w:rsid w:val="003A0BFD"/>
    <w:rsid w:val="003B02F2"/>
    <w:rsid w:val="003B2348"/>
    <w:rsid w:val="003B2ACB"/>
    <w:rsid w:val="003B3D5E"/>
    <w:rsid w:val="003B3E80"/>
    <w:rsid w:val="003B42BD"/>
    <w:rsid w:val="003B49DF"/>
    <w:rsid w:val="003B4DAE"/>
    <w:rsid w:val="003C02EC"/>
    <w:rsid w:val="003C0B3A"/>
    <w:rsid w:val="003C0F90"/>
    <w:rsid w:val="003C4271"/>
    <w:rsid w:val="003C54D9"/>
    <w:rsid w:val="003D0245"/>
    <w:rsid w:val="003D0614"/>
    <w:rsid w:val="003D0817"/>
    <w:rsid w:val="003D276E"/>
    <w:rsid w:val="003D3B77"/>
    <w:rsid w:val="003D4387"/>
    <w:rsid w:val="003D46A0"/>
    <w:rsid w:val="003D51C1"/>
    <w:rsid w:val="003D5C1C"/>
    <w:rsid w:val="003E040B"/>
    <w:rsid w:val="003E06DC"/>
    <w:rsid w:val="003E11E6"/>
    <w:rsid w:val="003E5CCE"/>
    <w:rsid w:val="003F1A65"/>
    <w:rsid w:val="003F1B42"/>
    <w:rsid w:val="003F1E12"/>
    <w:rsid w:val="003F3F04"/>
    <w:rsid w:val="003F3FCD"/>
    <w:rsid w:val="003F678F"/>
    <w:rsid w:val="00400015"/>
    <w:rsid w:val="00400235"/>
    <w:rsid w:val="00400DA1"/>
    <w:rsid w:val="0040115A"/>
    <w:rsid w:val="00401A5B"/>
    <w:rsid w:val="004023B2"/>
    <w:rsid w:val="00402BD2"/>
    <w:rsid w:val="00403096"/>
    <w:rsid w:val="00404885"/>
    <w:rsid w:val="00404CF1"/>
    <w:rsid w:val="00404F02"/>
    <w:rsid w:val="004061C6"/>
    <w:rsid w:val="004069EA"/>
    <w:rsid w:val="00406A60"/>
    <w:rsid w:val="00407269"/>
    <w:rsid w:val="00407ECB"/>
    <w:rsid w:val="004172DE"/>
    <w:rsid w:val="00417A17"/>
    <w:rsid w:val="00421A3B"/>
    <w:rsid w:val="00425AF5"/>
    <w:rsid w:val="00425BD5"/>
    <w:rsid w:val="00425D2D"/>
    <w:rsid w:val="0042606F"/>
    <w:rsid w:val="004303AB"/>
    <w:rsid w:val="00430C27"/>
    <w:rsid w:val="00431958"/>
    <w:rsid w:val="00434E5B"/>
    <w:rsid w:val="00435820"/>
    <w:rsid w:val="00436747"/>
    <w:rsid w:val="004369CD"/>
    <w:rsid w:val="004404AE"/>
    <w:rsid w:val="00447CFE"/>
    <w:rsid w:val="00451719"/>
    <w:rsid w:val="00455212"/>
    <w:rsid w:val="00455250"/>
    <w:rsid w:val="00456095"/>
    <w:rsid w:val="004565B8"/>
    <w:rsid w:val="00460DC2"/>
    <w:rsid w:val="004614E3"/>
    <w:rsid w:val="00463EE9"/>
    <w:rsid w:val="004646BD"/>
    <w:rsid w:val="0046585B"/>
    <w:rsid w:val="00465A26"/>
    <w:rsid w:val="004664E1"/>
    <w:rsid w:val="00466B29"/>
    <w:rsid w:val="004700FF"/>
    <w:rsid w:val="004711F3"/>
    <w:rsid w:val="004728E1"/>
    <w:rsid w:val="0047535A"/>
    <w:rsid w:val="00475381"/>
    <w:rsid w:val="004758FA"/>
    <w:rsid w:val="00476C92"/>
    <w:rsid w:val="00477AED"/>
    <w:rsid w:val="0048284B"/>
    <w:rsid w:val="00482880"/>
    <w:rsid w:val="00483B2C"/>
    <w:rsid w:val="0048510B"/>
    <w:rsid w:val="004865D6"/>
    <w:rsid w:val="004903DB"/>
    <w:rsid w:val="00492F25"/>
    <w:rsid w:val="00494699"/>
    <w:rsid w:val="00494B1D"/>
    <w:rsid w:val="00494B95"/>
    <w:rsid w:val="0049688E"/>
    <w:rsid w:val="0049704A"/>
    <w:rsid w:val="004A0F03"/>
    <w:rsid w:val="004A747E"/>
    <w:rsid w:val="004A74DD"/>
    <w:rsid w:val="004A75B6"/>
    <w:rsid w:val="004B1F4C"/>
    <w:rsid w:val="004B20AA"/>
    <w:rsid w:val="004B4745"/>
    <w:rsid w:val="004C1A19"/>
    <w:rsid w:val="004C2FF6"/>
    <w:rsid w:val="004C4833"/>
    <w:rsid w:val="004C587F"/>
    <w:rsid w:val="004C5F53"/>
    <w:rsid w:val="004D0549"/>
    <w:rsid w:val="004D1BE0"/>
    <w:rsid w:val="004D28CD"/>
    <w:rsid w:val="004D2FBC"/>
    <w:rsid w:val="004D6CE1"/>
    <w:rsid w:val="004D7DC6"/>
    <w:rsid w:val="004E0188"/>
    <w:rsid w:val="004E1429"/>
    <w:rsid w:val="004E25C8"/>
    <w:rsid w:val="004E2653"/>
    <w:rsid w:val="004E29CC"/>
    <w:rsid w:val="004E36CE"/>
    <w:rsid w:val="004E4194"/>
    <w:rsid w:val="004E4B57"/>
    <w:rsid w:val="004E4D03"/>
    <w:rsid w:val="004E6359"/>
    <w:rsid w:val="004F0993"/>
    <w:rsid w:val="004F0A40"/>
    <w:rsid w:val="004F391E"/>
    <w:rsid w:val="004F6A3A"/>
    <w:rsid w:val="00504360"/>
    <w:rsid w:val="00504D89"/>
    <w:rsid w:val="00506EB9"/>
    <w:rsid w:val="00510CBD"/>
    <w:rsid w:val="00512284"/>
    <w:rsid w:val="005138A6"/>
    <w:rsid w:val="00516918"/>
    <w:rsid w:val="0052019B"/>
    <w:rsid w:val="00521394"/>
    <w:rsid w:val="005218A4"/>
    <w:rsid w:val="005234D9"/>
    <w:rsid w:val="00523556"/>
    <w:rsid w:val="00524001"/>
    <w:rsid w:val="005240F6"/>
    <w:rsid w:val="00524C41"/>
    <w:rsid w:val="005273F0"/>
    <w:rsid w:val="005309EB"/>
    <w:rsid w:val="00531B21"/>
    <w:rsid w:val="00531C50"/>
    <w:rsid w:val="00531FC5"/>
    <w:rsid w:val="00537FAA"/>
    <w:rsid w:val="00541277"/>
    <w:rsid w:val="0054181D"/>
    <w:rsid w:val="00542E7F"/>
    <w:rsid w:val="005433BD"/>
    <w:rsid w:val="005463F3"/>
    <w:rsid w:val="00546A5E"/>
    <w:rsid w:val="00552647"/>
    <w:rsid w:val="00555C2A"/>
    <w:rsid w:val="00556AE4"/>
    <w:rsid w:val="00557196"/>
    <w:rsid w:val="00557435"/>
    <w:rsid w:val="0055746E"/>
    <w:rsid w:val="0056028B"/>
    <w:rsid w:val="005603EA"/>
    <w:rsid w:val="00560877"/>
    <w:rsid w:val="005627E2"/>
    <w:rsid w:val="00563601"/>
    <w:rsid w:val="00564F25"/>
    <w:rsid w:val="00565E11"/>
    <w:rsid w:val="005715BC"/>
    <w:rsid w:val="00571C4A"/>
    <w:rsid w:val="00571FAB"/>
    <w:rsid w:val="0057239D"/>
    <w:rsid w:val="005730B1"/>
    <w:rsid w:val="00574C5E"/>
    <w:rsid w:val="005756C5"/>
    <w:rsid w:val="005774F8"/>
    <w:rsid w:val="005818AC"/>
    <w:rsid w:val="00581FF3"/>
    <w:rsid w:val="00583141"/>
    <w:rsid w:val="00583BD0"/>
    <w:rsid w:val="0058760D"/>
    <w:rsid w:val="005902C7"/>
    <w:rsid w:val="005A1481"/>
    <w:rsid w:val="005A2240"/>
    <w:rsid w:val="005A37CD"/>
    <w:rsid w:val="005A53E8"/>
    <w:rsid w:val="005B0C3F"/>
    <w:rsid w:val="005B0C58"/>
    <w:rsid w:val="005B2BAF"/>
    <w:rsid w:val="005B7C54"/>
    <w:rsid w:val="005C04B6"/>
    <w:rsid w:val="005C18B4"/>
    <w:rsid w:val="005C20A7"/>
    <w:rsid w:val="005C2FAE"/>
    <w:rsid w:val="005C3151"/>
    <w:rsid w:val="005C4000"/>
    <w:rsid w:val="005C4848"/>
    <w:rsid w:val="005C5F15"/>
    <w:rsid w:val="005D361F"/>
    <w:rsid w:val="005D494D"/>
    <w:rsid w:val="005D5F3A"/>
    <w:rsid w:val="005D60AE"/>
    <w:rsid w:val="005D673A"/>
    <w:rsid w:val="005D6E4C"/>
    <w:rsid w:val="005E2BAA"/>
    <w:rsid w:val="005E2D49"/>
    <w:rsid w:val="005E2E93"/>
    <w:rsid w:val="005E3FF5"/>
    <w:rsid w:val="005E41CA"/>
    <w:rsid w:val="005E539C"/>
    <w:rsid w:val="005E57EA"/>
    <w:rsid w:val="005E595C"/>
    <w:rsid w:val="005E7346"/>
    <w:rsid w:val="005F21ED"/>
    <w:rsid w:val="005F2557"/>
    <w:rsid w:val="005F33F1"/>
    <w:rsid w:val="005F7796"/>
    <w:rsid w:val="0060189B"/>
    <w:rsid w:val="006024F1"/>
    <w:rsid w:val="0060325A"/>
    <w:rsid w:val="00605007"/>
    <w:rsid w:val="00611315"/>
    <w:rsid w:val="00611D74"/>
    <w:rsid w:val="00611EAC"/>
    <w:rsid w:val="006135D0"/>
    <w:rsid w:val="00614268"/>
    <w:rsid w:val="00623500"/>
    <w:rsid w:val="00624BB8"/>
    <w:rsid w:val="00625075"/>
    <w:rsid w:val="006253F2"/>
    <w:rsid w:val="006261DB"/>
    <w:rsid w:val="00626934"/>
    <w:rsid w:val="00631E41"/>
    <w:rsid w:val="00632442"/>
    <w:rsid w:val="0063382B"/>
    <w:rsid w:val="006342F9"/>
    <w:rsid w:val="00634C12"/>
    <w:rsid w:val="00635652"/>
    <w:rsid w:val="00635874"/>
    <w:rsid w:val="00635FC4"/>
    <w:rsid w:val="00636357"/>
    <w:rsid w:val="00644AD1"/>
    <w:rsid w:val="00645997"/>
    <w:rsid w:val="00646171"/>
    <w:rsid w:val="00650CFF"/>
    <w:rsid w:val="00651274"/>
    <w:rsid w:val="00651B6D"/>
    <w:rsid w:val="00652E2F"/>
    <w:rsid w:val="00653876"/>
    <w:rsid w:val="00655A99"/>
    <w:rsid w:val="00657B5B"/>
    <w:rsid w:val="00657FE0"/>
    <w:rsid w:val="00660873"/>
    <w:rsid w:val="006634E0"/>
    <w:rsid w:val="006638AB"/>
    <w:rsid w:val="00664C23"/>
    <w:rsid w:val="00664EBD"/>
    <w:rsid w:val="00665029"/>
    <w:rsid w:val="00666BFC"/>
    <w:rsid w:val="00666D52"/>
    <w:rsid w:val="0066740D"/>
    <w:rsid w:val="006732AD"/>
    <w:rsid w:val="00677573"/>
    <w:rsid w:val="00681065"/>
    <w:rsid w:val="00681B56"/>
    <w:rsid w:val="006836ED"/>
    <w:rsid w:val="00686268"/>
    <w:rsid w:val="006909D0"/>
    <w:rsid w:val="006917EA"/>
    <w:rsid w:val="006932E0"/>
    <w:rsid w:val="00696B67"/>
    <w:rsid w:val="006A553C"/>
    <w:rsid w:val="006A6E94"/>
    <w:rsid w:val="006B00D5"/>
    <w:rsid w:val="006B0A1E"/>
    <w:rsid w:val="006B13BC"/>
    <w:rsid w:val="006B48E2"/>
    <w:rsid w:val="006B5354"/>
    <w:rsid w:val="006B55B1"/>
    <w:rsid w:val="006B7E80"/>
    <w:rsid w:val="006C030A"/>
    <w:rsid w:val="006C04BF"/>
    <w:rsid w:val="006C2075"/>
    <w:rsid w:val="006C28CA"/>
    <w:rsid w:val="006C2A58"/>
    <w:rsid w:val="006C5310"/>
    <w:rsid w:val="006C567F"/>
    <w:rsid w:val="006C5DC7"/>
    <w:rsid w:val="006C7EFD"/>
    <w:rsid w:val="006D0364"/>
    <w:rsid w:val="006D092C"/>
    <w:rsid w:val="006D0E53"/>
    <w:rsid w:val="006D25B8"/>
    <w:rsid w:val="006D43AF"/>
    <w:rsid w:val="006D472A"/>
    <w:rsid w:val="006D5008"/>
    <w:rsid w:val="006E1592"/>
    <w:rsid w:val="006E256C"/>
    <w:rsid w:val="006E6966"/>
    <w:rsid w:val="006E6F08"/>
    <w:rsid w:val="006F00FB"/>
    <w:rsid w:val="006F1373"/>
    <w:rsid w:val="006F29A7"/>
    <w:rsid w:val="006F3E60"/>
    <w:rsid w:val="006F6CE7"/>
    <w:rsid w:val="006F7DAB"/>
    <w:rsid w:val="00700249"/>
    <w:rsid w:val="007002A7"/>
    <w:rsid w:val="00703D95"/>
    <w:rsid w:val="0070738F"/>
    <w:rsid w:val="00717AA4"/>
    <w:rsid w:val="00723270"/>
    <w:rsid w:val="00724B50"/>
    <w:rsid w:val="00730F30"/>
    <w:rsid w:val="00731BAC"/>
    <w:rsid w:val="00731D55"/>
    <w:rsid w:val="00731DAF"/>
    <w:rsid w:val="00736AD3"/>
    <w:rsid w:val="007400C8"/>
    <w:rsid w:val="00744046"/>
    <w:rsid w:val="00750CD1"/>
    <w:rsid w:val="0075408C"/>
    <w:rsid w:val="007550A7"/>
    <w:rsid w:val="007561C5"/>
    <w:rsid w:val="0076096C"/>
    <w:rsid w:val="00761B02"/>
    <w:rsid w:val="00770462"/>
    <w:rsid w:val="007747CE"/>
    <w:rsid w:val="00775F9E"/>
    <w:rsid w:val="00776128"/>
    <w:rsid w:val="00776830"/>
    <w:rsid w:val="00782B6B"/>
    <w:rsid w:val="00782BEC"/>
    <w:rsid w:val="00782CCC"/>
    <w:rsid w:val="0078543F"/>
    <w:rsid w:val="00785E81"/>
    <w:rsid w:val="0079002F"/>
    <w:rsid w:val="00792CED"/>
    <w:rsid w:val="00793772"/>
    <w:rsid w:val="007957DF"/>
    <w:rsid w:val="00795ABC"/>
    <w:rsid w:val="00796AFC"/>
    <w:rsid w:val="007A00CE"/>
    <w:rsid w:val="007A0D88"/>
    <w:rsid w:val="007A2134"/>
    <w:rsid w:val="007A3EEE"/>
    <w:rsid w:val="007A565C"/>
    <w:rsid w:val="007A5D9E"/>
    <w:rsid w:val="007B2901"/>
    <w:rsid w:val="007B52BD"/>
    <w:rsid w:val="007B548B"/>
    <w:rsid w:val="007B5592"/>
    <w:rsid w:val="007B7FA1"/>
    <w:rsid w:val="007C3576"/>
    <w:rsid w:val="007C3C26"/>
    <w:rsid w:val="007C4935"/>
    <w:rsid w:val="007C7CDE"/>
    <w:rsid w:val="007D0F4C"/>
    <w:rsid w:val="007D1798"/>
    <w:rsid w:val="007D1882"/>
    <w:rsid w:val="007D211E"/>
    <w:rsid w:val="007D2ED4"/>
    <w:rsid w:val="007D32EB"/>
    <w:rsid w:val="007D6D1B"/>
    <w:rsid w:val="007E1FAD"/>
    <w:rsid w:val="007E3211"/>
    <w:rsid w:val="007E409E"/>
    <w:rsid w:val="007E74B0"/>
    <w:rsid w:val="007F2023"/>
    <w:rsid w:val="007F2F33"/>
    <w:rsid w:val="007F305B"/>
    <w:rsid w:val="007F32E2"/>
    <w:rsid w:val="007F4BF1"/>
    <w:rsid w:val="007F5702"/>
    <w:rsid w:val="007F5861"/>
    <w:rsid w:val="007F5BD6"/>
    <w:rsid w:val="007F6F2B"/>
    <w:rsid w:val="00801615"/>
    <w:rsid w:val="00802180"/>
    <w:rsid w:val="00802F43"/>
    <w:rsid w:val="00803A5A"/>
    <w:rsid w:val="00803F5A"/>
    <w:rsid w:val="0080510F"/>
    <w:rsid w:val="00806752"/>
    <w:rsid w:val="008078AE"/>
    <w:rsid w:val="00810648"/>
    <w:rsid w:val="00811382"/>
    <w:rsid w:val="00811E00"/>
    <w:rsid w:val="00815173"/>
    <w:rsid w:val="00815D6B"/>
    <w:rsid w:val="00815DDD"/>
    <w:rsid w:val="00816589"/>
    <w:rsid w:val="008207CD"/>
    <w:rsid w:val="00824A22"/>
    <w:rsid w:val="0082519F"/>
    <w:rsid w:val="00827B27"/>
    <w:rsid w:val="008309DF"/>
    <w:rsid w:val="00831E9C"/>
    <w:rsid w:val="00834C60"/>
    <w:rsid w:val="00835674"/>
    <w:rsid w:val="008359A6"/>
    <w:rsid w:val="008364F3"/>
    <w:rsid w:val="00836A35"/>
    <w:rsid w:val="0084019B"/>
    <w:rsid w:val="00841E7D"/>
    <w:rsid w:val="008439BD"/>
    <w:rsid w:val="00843C47"/>
    <w:rsid w:val="00845335"/>
    <w:rsid w:val="0084690A"/>
    <w:rsid w:val="00847A57"/>
    <w:rsid w:val="008548F1"/>
    <w:rsid w:val="00856AAD"/>
    <w:rsid w:val="00856DBD"/>
    <w:rsid w:val="00861D53"/>
    <w:rsid w:val="00862260"/>
    <w:rsid w:val="00863766"/>
    <w:rsid w:val="00863814"/>
    <w:rsid w:val="008643AC"/>
    <w:rsid w:val="00864581"/>
    <w:rsid w:val="00867C96"/>
    <w:rsid w:val="008703A6"/>
    <w:rsid w:val="00873DA7"/>
    <w:rsid w:val="008753B5"/>
    <w:rsid w:val="00875B51"/>
    <w:rsid w:val="00876E09"/>
    <w:rsid w:val="0087794B"/>
    <w:rsid w:val="00880CE7"/>
    <w:rsid w:val="00883C11"/>
    <w:rsid w:val="00884209"/>
    <w:rsid w:val="008857DF"/>
    <w:rsid w:val="00886A0C"/>
    <w:rsid w:val="008870B4"/>
    <w:rsid w:val="00887336"/>
    <w:rsid w:val="00890173"/>
    <w:rsid w:val="0089036D"/>
    <w:rsid w:val="00890A0D"/>
    <w:rsid w:val="00891B25"/>
    <w:rsid w:val="008921B9"/>
    <w:rsid w:val="008934AA"/>
    <w:rsid w:val="00893CC1"/>
    <w:rsid w:val="00893F60"/>
    <w:rsid w:val="0089579E"/>
    <w:rsid w:val="00895D9B"/>
    <w:rsid w:val="00896BEC"/>
    <w:rsid w:val="008A2D7F"/>
    <w:rsid w:val="008A3E8E"/>
    <w:rsid w:val="008A4FF5"/>
    <w:rsid w:val="008A7581"/>
    <w:rsid w:val="008B1458"/>
    <w:rsid w:val="008B1ADD"/>
    <w:rsid w:val="008B1D05"/>
    <w:rsid w:val="008B26AA"/>
    <w:rsid w:val="008B3D22"/>
    <w:rsid w:val="008B4213"/>
    <w:rsid w:val="008B70E3"/>
    <w:rsid w:val="008B7868"/>
    <w:rsid w:val="008C052D"/>
    <w:rsid w:val="008C1329"/>
    <w:rsid w:val="008C16DD"/>
    <w:rsid w:val="008C3E55"/>
    <w:rsid w:val="008C6453"/>
    <w:rsid w:val="008C69E8"/>
    <w:rsid w:val="008C6F98"/>
    <w:rsid w:val="008D12B3"/>
    <w:rsid w:val="008D32E2"/>
    <w:rsid w:val="008D36CD"/>
    <w:rsid w:val="008D7192"/>
    <w:rsid w:val="008E120F"/>
    <w:rsid w:val="008E246B"/>
    <w:rsid w:val="008E24F6"/>
    <w:rsid w:val="008E52E1"/>
    <w:rsid w:val="008E72AA"/>
    <w:rsid w:val="008E7B76"/>
    <w:rsid w:val="008F02A2"/>
    <w:rsid w:val="008F0444"/>
    <w:rsid w:val="008F1E66"/>
    <w:rsid w:val="008F204C"/>
    <w:rsid w:val="008F3BBC"/>
    <w:rsid w:val="008F4EAC"/>
    <w:rsid w:val="008F5DAC"/>
    <w:rsid w:val="0090051F"/>
    <w:rsid w:val="00900618"/>
    <w:rsid w:val="00900F58"/>
    <w:rsid w:val="00901828"/>
    <w:rsid w:val="00902165"/>
    <w:rsid w:val="00903240"/>
    <w:rsid w:val="009037F7"/>
    <w:rsid w:val="00910596"/>
    <w:rsid w:val="00911F3E"/>
    <w:rsid w:val="00913134"/>
    <w:rsid w:val="00913BD3"/>
    <w:rsid w:val="00915CB6"/>
    <w:rsid w:val="00915FCE"/>
    <w:rsid w:val="00920058"/>
    <w:rsid w:val="00921D7E"/>
    <w:rsid w:val="009303CC"/>
    <w:rsid w:val="0093347F"/>
    <w:rsid w:val="00934057"/>
    <w:rsid w:val="00934208"/>
    <w:rsid w:val="00934881"/>
    <w:rsid w:val="00935583"/>
    <w:rsid w:val="00937B81"/>
    <w:rsid w:val="00941601"/>
    <w:rsid w:val="009416F7"/>
    <w:rsid w:val="0094338C"/>
    <w:rsid w:val="009437BD"/>
    <w:rsid w:val="0094607A"/>
    <w:rsid w:val="0095212B"/>
    <w:rsid w:val="00952B8E"/>
    <w:rsid w:val="00956C7C"/>
    <w:rsid w:val="00957DAA"/>
    <w:rsid w:val="00960122"/>
    <w:rsid w:val="009613CE"/>
    <w:rsid w:val="00965128"/>
    <w:rsid w:val="00965B06"/>
    <w:rsid w:val="0097121F"/>
    <w:rsid w:val="00972667"/>
    <w:rsid w:val="00972933"/>
    <w:rsid w:val="00973305"/>
    <w:rsid w:val="00973963"/>
    <w:rsid w:val="009753EE"/>
    <w:rsid w:val="00977D6A"/>
    <w:rsid w:val="00983539"/>
    <w:rsid w:val="00983CAA"/>
    <w:rsid w:val="009842B3"/>
    <w:rsid w:val="00984C93"/>
    <w:rsid w:val="00985443"/>
    <w:rsid w:val="0098669F"/>
    <w:rsid w:val="00991C53"/>
    <w:rsid w:val="00992D2B"/>
    <w:rsid w:val="00992E78"/>
    <w:rsid w:val="00992F3F"/>
    <w:rsid w:val="00995C88"/>
    <w:rsid w:val="0099640B"/>
    <w:rsid w:val="009967E7"/>
    <w:rsid w:val="009A426F"/>
    <w:rsid w:val="009A5C2F"/>
    <w:rsid w:val="009A71A1"/>
    <w:rsid w:val="009B2FAA"/>
    <w:rsid w:val="009B40B1"/>
    <w:rsid w:val="009B52A9"/>
    <w:rsid w:val="009B6093"/>
    <w:rsid w:val="009B7D3F"/>
    <w:rsid w:val="009C0807"/>
    <w:rsid w:val="009C340A"/>
    <w:rsid w:val="009C4F36"/>
    <w:rsid w:val="009C549B"/>
    <w:rsid w:val="009C5A27"/>
    <w:rsid w:val="009C6D09"/>
    <w:rsid w:val="009D05C2"/>
    <w:rsid w:val="009D28B5"/>
    <w:rsid w:val="009D4677"/>
    <w:rsid w:val="009D4CAC"/>
    <w:rsid w:val="009D6584"/>
    <w:rsid w:val="009D6AA1"/>
    <w:rsid w:val="009D771C"/>
    <w:rsid w:val="009E57DD"/>
    <w:rsid w:val="009E5822"/>
    <w:rsid w:val="009F0EC7"/>
    <w:rsid w:val="009F1A63"/>
    <w:rsid w:val="009F2411"/>
    <w:rsid w:val="009F4D92"/>
    <w:rsid w:val="009F583E"/>
    <w:rsid w:val="009F79A7"/>
    <w:rsid w:val="009F7EC4"/>
    <w:rsid w:val="00A009A3"/>
    <w:rsid w:val="00A0365F"/>
    <w:rsid w:val="00A2228D"/>
    <w:rsid w:val="00A22921"/>
    <w:rsid w:val="00A24569"/>
    <w:rsid w:val="00A25A49"/>
    <w:rsid w:val="00A25D9A"/>
    <w:rsid w:val="00A264AA"/>
    <w:rsid w:val="00A2656A"/>
    <w:rsid w:val="00A30215"/>
    <w:rsid w:val="00A30414"/>
    <w:rsid w:val="00A32C0F"/>
    <w:rsid w:val="00A32ECD"/>
    <w:rsid w:val="00A36046"/>
    <w:rsid w:val="00A360F5"/>
    <w:rsid w:val="00A40AFB"/>
    <w:rsid w:val="00A41EC3"/>
    <w:rsid w:val="00A44DAE"/>
    <w:rsid w:val="00A45F1F"/>
    <w:rsid w:val="00A47624"/>
    <w:rsid w:val="00A479DE"/>
    <w:rsid w:val="00A50F71"/>
    <w:rsid w:val="00A5237F"/>
    <w:rsid w:val="00A5253C"/>
    <w:rsid w:val="00A533F6"/>
    <w:rsid w:val="00A56986"/>
    <w:rsid w:val="00A572FC"/>
    <w:rsid w:val="00A575F0"/>
    <w:rsid w:val="00A60BE8"/>
    <w:rsid w:val="00A60D47"/>
    <w:rsid w:val="00A6117C"/>
    <w:rsid w:val="00A645C2"/>
    <w:rsid w:val="00A66400"/>
    <w:rsid w:val="00A708D3"/>
    <w:rsid w:val="00A7117E"/>
    <w:rsid w:val="00A72C53"/>
    <w:rsid w:val="00A75945"/>
    <w:rsid w:val="00A80C7E"/>
    <w:rsid w:val="00A820B5"/>
    <w:rsid w:val="00A83895"/>
    <w:rsid w:val="00A84ECE"/>
    <w:rsid w:val="00A85E3F"/>
    <w:rsid w:val="00A9085D"/>
    <w:rsid w:val="00A934A7"/>
    <w:rsid w:val="00A96346"/>
    <w:rsid w:val="00AA3F27"/>
    <w:rsid w:val="00AA5308"/>
    <w:rsid w:val="00AA6679"/>
    <w:rsid w:val="00AA744B"/>
    <w:rsid w:val="00AB2199"/>
    <w:rsid w:val="00AB2589"/>
    <w:rsid w:val="00AB40FA"/>
    <w:rsid w:val="00AB5025"/>
    <w:rsid w:val="00AB526D"/>
    <w:rsid w:val="00AB59A8"/>
    <w:rsid w:val="00AB78AC"/>
    <w:rsid w:val="00AC016C"/>
    <w:rsid w:val="00AC087C"/>
    <w:rsid w:val="00AC183F"/>
    <w:rsid w:val="00AC361B"/>
    <w:rsid w:val="00AC4A0B"/>
    <w:rsid w:val="00AC6874"/>
    <w:rsid w:val="00AC7435"/>
    <w:rsid w:val="00AD4177"/>
    <w:rsid w:val="00AD4DF5"/>
    <w:rsid w:val="00AD6471"/>
    <w:rsid w:val="00AD741D"/>
    <w:rsid w:val="00AE01F6"/>
    <w:rsid w:val="00AE0B8A"/>
    <w:rsid w:val="00AE2D10"/>
    <w:rsid w:val="00AE4268"/>
    <w:rsid w:val="00AE6155"/>
    <w:rsid w:val="00AE7B3F"/>
    <w:rsid w:val="00AF27E8"/>
    <w:rsid w:val="00AF651C"/>
    <w:rsid w:val="00AF7552"/>
    <w:rsid w:val="00B00A1A"/>
    <w:rsid w:val="00B00E62"/>
    <w:rsid w:val="00B02A36"/>
    <w:rsid w:val="00B03690"/>
    <w:rsid w:val="00B04181"/>
    <w:rsid w:val="00B05086"/>
    <w:rsid w:val="00B06408"/>
    <w:rsid w:val="00B07907"/>
    <w:rsid w:val="00B07D8D"/>
    <w:rsid w:val="00B10962"/>
    <w:rsid w:val="00B10B1F"/>
    <w:rsid w:val="00B113AA"/>
    <w:rsid w:val="00B13890"/>
    <w:rsid w:val="00B13F77"/>
    <w:rsid w:val="00B22457"/>
    <w:rsid w:val="00B243D9"/>
    <w:rsid w:val="00B25420"/>
    <w:rsid w:val="00B27104"/>
    <w:rsid w:val="00B316F7"/>
    <w:rsid w:val="00B322CB"/>
    <w:rsid w:val="00B345DF"/>
    <w:rsid w:val="00B34FDF"/>
    <w:rsid w:val="00B40A9D"/>
    <w:rsid w:val="00B42FAE"/>
    <w:rsid w:val="00B430A8"/>
    <w:rsid w:val="00B43E35"/>
    <w:rsid w:val="00B4476B"/>
    <w:rsid w:val="00B44836"/>
    <w:rsid w:val="00B46249"/>
    <w:rsid w:val="00B54595"/>
    <w:rsid w:val="00B61732"/>
    <w:rsid w:val="00B62456"/>
    <w:rsid w:val="00B62E74"/>
    <w:rsid w:val="00B63CFB"/>
    <w:rsid w:val="00B649E4"/>
    <w:rsid w:val="00B65C4F"/>
    <w:rsid w:val="00B7070D"/>
    <w:rsid w:val="00B754BB"/>
    <w:rsid w:val="00B75DA3"/>
    <w:rsid w:val="00B807E4"/>
    <w:rsid w:val="00B82877"/>
    <w:rsid w:val="00B83E2A"/>
    <w:rsid w:val="00B85700"/>
    <w:rsid w:val="00B86188"/>
    <w:rsid w:val="00B871CC"/>
    <w:rsid w:val="00B87E24"/>
    <w:rsid w:val="00B87F0C"/>
    <w:rsid w:val="00B93389"/>
    <w:rsid w:val="00B95C60"/>
    <w:rsid w:val="00B97B18"/>
    <w:rsid w:val="00B97B97"/>
    <w:rsid w:val="00BA029B"/>
    <w:rsid w:val="00BA2D34"/>
    <w:rsid w:val="00BA32BA"/>
    <w:rsid w:val="00BA3601"/>
    <w:rsid w:val="00BA778A"/>
    <w:rsid w:val="00BB23B3"/>
    <w:rsid w:val="00BB47DB"/>
    <w:rsid w:val="00BB5F3F"/>
    <w:rsid w:val="00BB65B8"/>
    <w:rsid w:val="00BB726B"/>
    <w:rsid w:val="00BB74C0"/>
    <w:rsid w:val="00BC0C35"/>
    <w:rsid w:val="00BC0E01"/>
    <w:rsid w:val="00BC3151"/>
    <w:rsid w:val="00BC3C19"/>
    <w:rsid w:val="00BC40AA"/>
    <w:rsid w:val="00BC5EBB"/>
    <w:rsid w:val="00BC779F"/>
    <w:rsid w:val="00BD1A8E"/>
    <w:rsid w:val="00BD39C3"/>
    <w:rsid w:val="00BD4468"/>
    <w:rsid w:val="00BE1081"/>
    <w:rsid w:val="00BE1BAC"/>
    <w:rsid w:val="00BE1CA1"/>
    <w:rsid w:val="00BF08F2"/>
    <w:rsid w:val="00BF3C9F"/>
    <w:rsid w:val="00BF47F5"/>
    <w:rsid w:val="00C00C97"/>
    <w:rsid w:val="00C00DF7"/>
    <w:rsid w:val="00C030DA"/>
    <w:rsid w:val="00C032A1"/>
    <w:rsid w:val="00C1074F"/>
    <w:rsid w:val="00C11DB7"/>
    <w:rsid w:val="00C12B42"/>
    <w:rsid w:val="00C15F73"/>
    <w:rsid w:val="00C16735"/>
    <w:rsid w:val="00C16983"/>
    <w:rsid w:val="00C203C5"/>
    <w:rsid w:val="00C251DC"/>
    <w:rsid w:val="00C25697"/>
    <w:rsid w:val="00C3141A"/>
    <w:rsid w:val="00C31921"/>
    <w:rsid w:val="00C32014"/>
    <w:rsid w:val="00C32512"/>
    <w:rsid w:val="00C332E1"/>
    <w:rsid w:val="00C3448F"/>
    <w:rsid w:val="00C357ED"/>
    <w:rsid w:val="00C35A62"/>
    <w:rsid w:val="00C36D14"/>
    <w:rsid w:val="00C404D5"/>
    <w:rsid w:val="00C50F28"/>
    <w:rsid w:val="00C51225"/>
    <w:rsid w:val="00C51ADE"/>
    <w:rsid w:val="00C5231F"/>
    <w:rsid w:val="00C5278B"/>
    <w:rsid w:val="00C52BBA"/>
    <w:rsid w:val="00C52F8D"/>
    <w:rsid w:val="00C55137"/>
    <w:rsid w:val="00C56B24"/>
    <w:rsid w:val="00C6033D"/>
    <w:rsid w:val="00C64291"/>
    <w:rsid w:val="00C644A1"/>
    <w:rsid w:val="00C64805"/>
    <w:rsid w:val="00C651CD"/>
    <w:rsid w:val="00C655B7"/>
    <w:rsid w:val="00C657AF"/>
    <w:rsid w:val="00C729BC"/>
    <w:rsid w:val="00C74630"/>
    <w:rsid w:val="00C74C27"/>
    <w:rsid w:val="00C7611E"/>
    <w:rsid w:val="00C8209A"/>
    <w:rsid w:val="00C83CB8"/>
    <w:rsid w:val="00C85818"/>
    <w:rsid w:val="00C90191"/>
    <w:rsid w:val="00C91D3E"/>
    <w:rsid w:val="00C96A80"/>
    <w:rsid w:val="00CA0DB9"/>
    <w:rsid w:val="00CA119A"/>
    <w:rsid w:val="00CA1F71"/>
    <w:rsid w:val="00CA3224"/>
    <w:rsid w:val="00CA56AB"/>
    <w:rsid w:val="00CA66D3"/>
    <w:rsid w:val="00CA7774"/>
    <w:rsid w:val="00CB1164"/>
    <w:rsid w:val="00CB1327"/>
    <w:rsid w:val="00CB145A"/>
    <w:rsid w:val="00CB2D0F"/>
    <w:rsid w:val="00CB7E29"/>
    <w:rsid w:val="00CC0BE1"/>
    <w:rsid w:val="00CC1804"/>
    <w:rsid w:val="00CC29F3"/>
    <w:rsid w:val="00CC2C25"/>
    <w:rsid w:val="00CC3C22"/>
    <w:rsid w:val="00CC76F0"/>
    <w:rsid w:val="00CD4CB7"/>
    <w:rsid w:val="00CD50A6"/>
    <w:rsid w:val="00CD5727"/>
    <w:rsid w:val="00CE4300"/>
    <w:rsid w:val="00CE51F1"/>
    <w:rsid w:val="00CF1FDF"/>
    <w:rsid w:val="00CF2577"/>
    <w:rsid w:val="00CF2C6E"/>
    <w:rsid w:val="00CF6E0C"/>
    <w:rsid w:val="00CF753F"/>
    <w:rsid w:val="00D0014B"/>
    <w:rsid w:val="00D03013"/>
    <w:rsid w:val="00D04420"/>
    <w:rsid w:val="00D0442A"/>
    <w:rsid w:val="00D0797B"/>
    <w:rsid w:val="00D14A15"/>
    <w:rsid w:val="00D163C2"/>
    <w:rsid w:val="00D1653C"/>
    <w:rsid w:val="00D201CE"/>
    <w:rsid w:val="00D2043A"/>
    <w:rsid w:val="00D23AC9"/>
    <w:rsid w:val="00D24B0E"/>
    <w:rsid w:val="00D2557B"/>
    <w:rsid w:val="00D26176"/>
    <w:rsid w:val="00D2693F"/>
    <w:rsid w:val="00D32A8E"/>
    <w:rsid w:val="00D344A5"/>
    <w:rsid w:val="00D34EB6"/>
    <w:rsid w:val="00D37818"/>
    <w:rsid w:val="00D378E4"/>
    <w:rsid w:val="00D409BF"/>
    <w:rsid w:val="00D4108D"/>
    <w:rsid w:val="00D4241C"/>
    <w:rsid w:val="00D458F6"/>
    <w:rsid w:val="00D50EF9"/>
    <w:rsid w:val="00D544D8"/>
    <w:rsid w:val="00D56D87"/>
    <w:rsid w:val="00D57525"/>
    <w:rsid w:val="00D576BB"/>
    <w:rsid w:val="00D57DD6"/>
    <w:rsid w:val="00D60317"/>
    <w:rsid w:val="00D619F1"/>
    <w:rsid w:val="00D61E0C"/>
    <w:rsid w:val="00D61FC1"/>
    <w:rsid w:val="00D62779"/>
    <w:rsid w:val="00D639E3"/>
    <w:rsid w:val="00D64F4A"/>
    <w:rsid w:val="00D66195"/>
    <w:rsid w:val="00D66612"/>
    <w:rsid w:val="00D66F36"/>
    <w:rsid w:val="00D677FB"/>
    <w:rsid w:val="00D702E1"/>
    <w:rsid w:val="00D73773"/>
    <w:rsid w:val="00D73AE5"/>
    <w:rsid w:val="00D74388"/>
    <w:rsid w:val="00D764FF"/>
    <w:rsid w:val="00D76795"/>
    <w:rsid w:val="00D81A2C"/>
    <w:rsid w:val="00D8246F"/>
    <w:rsid w:val="00D84B9C"/>
    <w:rsid w:val="00D866E5"/>
    <w:rsid w:val="00D86CB4"/>
    <w:rsid w:val="00D870B5"/>
    <w:rsid w:val="00D87634"/>
    <w:rsid w:val="00D92979"/>
    <w:rsid w:val="00D93343"/>
    <w:rsid w:val="00D93536"/>
    <w:rsid w:val="00D940B5"/>
    <w:rsid w:val="00D94BF2"/>
    <w:rsid w:val="00D96A1E"/>
    <w:rsid w:val="00DA1079"/>
    <w:rsid w:val="00DA117B"/>
    <w:rsid w:val="00DA11A9"/>
    <w:rsid w:val="00DA531D"/>
    <w:rsid w:val="00DA7941"/>
    <w:rsid w:val="00DB0C13"/>
    <w:rsid w:val="00DB14A4"/>
    <w:rsid w:val="00DB1A9E"/>
    <w:rsid w:val="00DB1CDF"/>
    <w:rsid w:val="00DB1DA1"/>
    <w:rsid w:val="00DB2540"/>
    <w:rsid w:val="00DB3C32"/>
    <w:rsid w:val="00DB596B"/>
    <w:rsid w:val="00DB5C3D"/>
    <w:rsid w:val="00DB6742"/>
    <w:rsid w:val="00DB7D5E"/>
    <w:rsid w:val="00DC2024"/>
    <w:rsid w:val="00DC5603"/>
    <w:rsid w:val="00DC6265"/>
    <w:rsid w:val="00DC73D6"/>
    <w:rsid w:val="00DD0C61"/>
    <w:rsid w:val="00DD0CA7"/>
    <w:rsid w:val="00DD28CE"/>
    <w:rsid w:val="00DD4247"/>
    <w:rsid w:val="00DD5211"/>
    <w:rsid w:val="00DD72E9"/>
    <w:rsid w:val="00DE0A99"/>
    <w:rsid w:val="00DE625A"/>
    <w:rsid w:val="00DF0C48"/>
    <w:rsid w:val="00DF1C97"/>
    <w:rsid w:val="00DF70B4"/>
    <w:rsid w:val="00DF727E"/>
    <w:rsid w:val="00E0033D"/>
    <w:rsid w:val="00E00EF2"/>
    <w:rsid w:val="00E029BE"/>
    <w:rsid w:val="00E03B57"/>
    <w:rsid w:val="00E05399"/>
    <w:rsid w:val="00E05D0D"/>
    <w:rsid w:val="00E06683"/>
    <w:rsid w:val="00E11EE6"/>
    <w:rsid w:val="00E14A8C"/>
    <w:rsid w:val="00E15FB9"/>
    <w:rsid w:val="00E179A6"/>
    <w:rsid w:val="00E17E3F"/>
    <w:rsid w:val="00E21284"/>
    <w:rsid w:val="00E245A1"/>
    <w:rsid w:val="00E253EA"/>
    <w:rsid w:val="00E263FB"/>
    <w:rsid w:val="00E33B12"/>
    <w:rsid w:val="00E45ED7"/>
    <w:rsid w:val="00E46194"/>
    <w:rsid w:val="00E50E54"/>
    <w:rsid w:val="00E51326"/>
    <w:rsid w:val="00E56E24"/>
    <w:rsid w:val="00E60D52"/>
    <w:rsid w:val="00E613FE"/>
    <w:rsid w:val="00E62AB5"/>
    <w:rsid w:val="00E62B76"/>
    <w:rsid w:val="00E65915"/>
    <w:rsid w:val="00E66DF4"/>
    <w:rsid w:val="00E6752E"/>
    <w:rsid w:val="00E67A33"/>
    <w:rsid w:val="00E7378A"/>
    <w:rsid w:val="00E744D6"/>
    <w:rsid w:val="00E76C8B"/>
    <w:rsid w:val="00E8132B"/>
    <w:rsid w:val="00E822C2"/>
    <w:rsid w:val="00E862CD"/>
    <w:rsid w:val="00E8646E"/>
    <w:rsid w:val="00E868E6"/>
    <w:rsid w:val="00E8753A"/>
    <w:rsid w:val="00E9072A"/>
    <w:rsid w:val="00E90DC4"/>
    <w:rsid w:val="00E90EA4"/>
    <w:rsid w:val="00EA07A8"/>
    <w:rsid w:val="00EA07DF"/>
    <w:rsid w:val="00EA3632"/>
    <w:rsid w:val="00EA4FF4"/>
    <w:rsid w:val="00EA7247"/>
    <w:rsid w:val="00EB01D8"/>
    <w:rsid w:val="00EB2B95"/>
    <w:rsid w:val="00EB6639"/>
    <w:rsid w:val="00EB7D26"/>
    <w:rsid w:val="00EC27C3"/>
    <w:rsid w:val="00EC328B"/>
    <w:rsid w:val="00EC359D"/>
    <w:rsid w:val="00EC73ED"/>
    <w:rsid w:val="00ED0152"/>
    <w:rsid w:val="00ED15CD"/>
    <w:rsid w:val="00ED16E3"/>
    <w:rsid w:val="00ED20E1"/>
    <w:rsid w:val="00ED235F"/>
    <w:rsid w:val="00ED6824"/>
    <w:rsid w:val="00EE05D4"/>
    <w:rsid w:val="00EE1956"/>
    <w:rsid w:val="00EE3763"/>
    <w:rsid w:val="00EE4DA4"/>
    <w:rsid w:val="00EE5424"/>
    <w:rsid w:val="00EE6C6F"/>
    <w:rsid w:val="00EF2F67"/>
    <w:rsid w:val="00EF65CB"/>
    <w:rsid w:val="00EF6F87"/>
    <w:rsid w:val="00F01640"/>
    <w:rsid w:val="00F05953"/>
    <w:rsid w:val="00F135D5"/>
    <w:rsid w:val="00F2378C"/>
    <w:rsid w:val="00F23C67"/>
    <w:rsid w:val="00F255F8"/>
    <w:rsid w:val="00F266F7"/>
    <w:rsid w:val="00F30041"/>
    <w:rsid w:val="00F33707"/>
    <w:rsid w:val="00F346C5"/>
    <w:rsid w:val="00F413E3"/>
    <w:rsid w:val="00F43687"/>
    <w:rsid w:val="00F45622"/>
    <w:rsid w:val="00F462DF"/>
    <w:rsid w:val="00F46617"/>
    <w:rsid w:val="00F466C8"/>
    <w:rsid w:val="00F474D6"/>
    <w:rsid w:val="00F47D0B"/>
    <w:rsid w:val="00F5298F"/>
    <w:rsid w:val="00F55C15"/>
    <w:rsid w:val="00F5791B"/>
    <w:rsid w:val="00F60EE8"/>
    <w:rsid w:val="00F60F7A"/>
    <w:rsid w:val="00F62E0F"/>
    <w:rsid w:val="00F64480"/>
    <w:rsid w:val="00F6548E"/>
    <w:rsid w:val="00F65567"/>
    <w:rsid w:val="00F65DF0"/>
    <w:rsid w:val="00F671F7"/>
    <w:rsid w:val="00F67ACA"/>
    <w:rsid w:val="00F70213"/>
    <w:rsid w:val="00F70A26"/>
    <w:rsid w:val="00F70D90"/>
    <w:rsid w:val="00F7392F"/>
    <w:rsid w:val="00F7573B"/>
    <w:rsid w:val="00F75774"/>
    <w:rsid w:val="00F75A1F"/>
    <w:rsid w:val="00F779F7"/>
    <w:rsid w:val="00F77FDF"/>
    <w:rsid w:val="00F83A47"/>
    <w:rsid w:val="00F900C9"/>
    <w:rsid w:val="00F9220E"/>
    <w:rsid w:val="00F9522E"/>
    <w:rsid w:val="00F95F29"/>
    <w:rsid w:val="00F9772D"/>
    <w:rsid w:val="00FA3465"/>
    <w:rsid w:val="00FA5A4C"/>
    <w:rsid w:val="00FB2B77"/>
    <w:rsid w:val="00FB2F05"/>
    <w:rsid w:val="00FB33CF"/>
    <w:rsid w:val="00FB434A"/>
    <w:rsid w:val="00FB49FF"/>
    <w:rsid w:val="00FB5161"/>
    <w:rsid w:val="00FB6B23"/>
    <w:rsid w:val="00FB7D02"/>
    <w:rsid w:val="00FC0E12"/>
    <w:rsid w:val="00FC20F7"/>
    <w:rsid w:val="00FC4BBA"/>
    <w:rsid w:val="00FD0FBF"/>
    <w:rsid w:val="00FD3D18"/>
    <w:rsid w:val="00FD3F8E"/>
    <w:rsid w:val="00FD5F28"/>
    <w:rsid w:val="00FD73AA"/>
    <w:rsid w:val="00FE4D3C"/>
    <w:rsid w:val="00FE5E3F"/>
    <w:rsid w:val="00FE5F68"/>
    <w:rsid w:val="00FE64D5"/>
    <w:rsid w:val="00FE74B6"/>
    <w:rsid w:val="00FF132B"/>
    <w:rsid w:val="00FF3DFF"/>
    <w:rsid w:val="00FF50DE"/>
    <w:rsid w:val="00FF5643"/>
    <w:rsid w:val="00FF64FB"/>
    <w:rsid w:val="00FF7DF2"/>
    <w:rsid w:val="00FF7E8A"/>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DEFD68"/>
  <w15:docId w15:val="{0D606EF0-FB21-4B96-A9C0-9D58829C8E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v-LV" w:eastAsia="lv-LV"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9BF"/>
    <w:pPr>
      <w:spacing w:after="120"/>
      <w:ind w:firstLine="720"/>
      <w:jc w:val="both"/>
    </w:pPr>
    <w:rPr>
      <w:rFonts w:ascii="Times New Roman" w:hAnsi="Times New Roman"/>
      <w:sz w:val="24"/>
    </w:rPr>
  </w:style>
  <w:style w:type="paragraph" w:styleId="Heading1">
    <w:name w:val="heading 1"/>
    <w:basedOn w:val="Normal"/>
    <w:next w:val="Normal"/>
    <w:link w:val="Heading1Char"/>
    <w:uiPriority w:val="9"/>
    <w:qFormat/>
    <w:rsid w:val="003C0B3A"/>
    <w:pPr>
      <w:keepNext/>
      <w:keepLines/>
      <w:spacing w:before="360"/>
      <w:ind w:firstLine="0"/>
      <w:outlineLvl w:val="0"/>
    </w:pPr>
    <w:rPr>
      <w:rFonts w:eastAsiaTheme="majorEastAsia" w:cstheme="majorBidi"/>
      <w:b/>
      <w:bCs/>
      <w:smallCaps/>
      <w:color w:val="000000" w:themeColor="text1"/>
      <w:sz w:val="36"/>
      <w:szCs w:val="36"/>
    </w:rPr>
  </w:style>
  <w:style w:type="paragraph" w:styleId="Heading2">
    <w:name w:val="heading 2"/>
    <w:basedOn w:val="Normal"/>
    <w:next w:val="Normal"/>
    <w:link w:val="Heading2Char"/>
    <w:uiPriority w:val="9"/>
    <w:unhideWhenUsed/>
    <w:qFormat/>
    <w:rsid w:val="004E36CE"/>
    <w:pPr>
      <w:keepNext/>
      <w:keepLines/>
      <w:spacing w:before="360"/>
      <w:ind w:firstLine="0"/>
      <w:outlineLvl w:val="1"/>
    </w:pPr>
    <w:rPr>
      <w:rFonts w:eastAsiaTheme="majorEastAsia" w:cstheme="majorBidi"/>
      <w:b/>
      <w:bCs/>
      <w:smallCaps/>
      <w:color w:val="000000" w:themeColor="text1"/>
      <w:sz w:val="32"/>
      <w:szCs w:val="28"/>
    </w:rPr>
  </w:style>
  <w:style w:type="paragraph" w:styleId="Heading3">
    <w:name w:val="heading 3"/>
    <w:basedOn w:val="Normal"/>
    <w:next w:val="Normal"/>
    <w:link w:val="Heading3Char"/>
    <w:uiPriority w:val="9"/>
    <w:unhideWhenUsed/>
    <w:qFormat/>
    <w:rsid w:val="00361D9C"/>
    <w:pPr>
      <w:keepNext/>
      <w:keepLines/>
      <w:numPr>
        <w:ilvl w:val="2"/>
        <w:numId w:val="6"/>
      </w:numPr>
      <w:tabs>
        <w:tab w:val="num" w:pos="993"/>
      </w:tabs>
      <w:spacing w:before="200"/>
      <w:ind w:left="993" w:hanging="567"/>
      <w:jc w:val="center"/>
      <w:outlineLvl w:val="2"/>
    </w:pPr>
    <w:rPr>
      <w:rFonts w:eastAsia="Calibri" w:cs="Times New Roman"/>
      <w:b/>
      <w:bCs/>
      <w:color w:val="000000" w:themeColor="text1"/>
      <w:sz w:val="28"/>
      <w:szCs w:val="28"/>
    </w:rPr>
  </w:style>
  <w:style w:type="paragraph" w:styleId="Heading4">
    <w:name w:val="heading 4"/>
    <w:basedOn w:val="Normal"/>
    <w:next w:val="Normal"/>
    <w:link w:val="Heading4Char"/>
    <w:unhideWhenUsed/>
    <w:qFormat/>
    <w:rsid w:val="004D28CD"/>
    <w:pPr>
      <w:keepNext/>
      <w:keepLines/>
      <w:spacing w:before="200"/>
      <w:ind w:firstLine="0"/>
      <w:outlineLvl w:val="3"/>
    </w:pPr>
    <w:rPr>
      <w:rFonts w:asciiTheme="majorHAnsi" w:eastAsiaTheme="majorEastAsia" w:hAnsiTheme="majorHAnsi" w:cstheme="majorBidi"/>
      <w:b/>
      <w:bCs/>
      <w:i/>
      <w:iCs/>
      <w:color w:val="000000" w:themeColor="text1"/>
    </w:rPr>
  </w:style>
  <w:style w:type="paragraph" w:styleId="Heading5">
    <w:name w:val="heading 5"/>
    <w:basedOn w:val="Normal"/>
    <w:next w:val="Normal"/>
    <w:link w:val="Heading5Char"/>
    <w:uiPriority w:val="9"/>
    <w:unhideWhenUsed/>
    <w:qFormat/>
    <w:rsid w:val="004D28CD"/>
    <w:pPr>
      <w:keepNext/>
      <w:keepLines/>
      <w:spacing w:before="200"/>
      <w:ind w:firstLine="0"/>
      <w:outlineLvl w:val="4"/>
    </w:pPr>
    <w:rPr>
      <w:rFonts w:asciiTheme="majorHAnsi" w:eastAsiaTheme="majorEastAsia" w:hAnsiTheme="majorHAnsi" w:cstheme="majorBidi"/>
      <w:color w:val="323E4F" w:themeColor="text2" w:themeShade="BF"/>
    </w:rPr>
  </w:style>
  <w:style w:type="paragraph" w:styleId="Heading6">
    <w:name w:val="heading 6"/>
    <w:basedOn w:val="Normal"/>
    <w:next w:val="Normal"/>
    <w:link w:val="Heading6Char"/>
    <w:uiPriority w:val="9"/>
    <w:semiHidden/>
    <w:unhideWhenUsed/>
    <w:qFormat/>
    <w:rsid w:val="004D28CD"/>
    <w:pPr>
      <w:keepNext/>
      <w:keepLines/>
      <w:spacing w:before="200"/>
      <w:ind w:firstLine="0"/>
      <w:outlineLvl w:val="5"/>
    </w:pPr>
    <w:rPr>
      <w:rFonts w:asciiTheme="majorHAnsi" w:eastAsiaTheme="majorEastAsia" w:hAnsiTheme="majorHAnsi" w:cstheme="majorBidi"/>
      <w:i/>
      <w:iCs/>
      <w:color w:val="323E4F" w:themeColor="text2" w:themeShade="BF"/>
    </w:rPr>
  </w:style>
  <w:style w:type="paragraph" w:styleId="Heading7">
    <w:name w:val="heading 7"/>
    <w:basedOn w:val="Normal"/>
    <w:next w:val="Normal"/>
    <w:link w:val="Heading7Char"/>
    <w:uiPriority w:val="9"/>
    <w:semiHidden/>
    <w:unhideWhenUsed/>
    <w:qFormat/>
    <w:rsid w:val="004D28CD"/>
    <w:pPr>
      <w:keepNext/>
      <w:keepLines/>
      <w:spacing w:before="200"/>
      <w:ind w:firstLine="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D28CD"/>
    <w:pPr>
      <w:keepNext/>
      <w:keepLines/>
      <w:spacing w:before="200"/>
      <w:ind w:firstLine="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D28CD"/>
    <w:pPr>
      <w:keepNext/>
      <w:keepLines/>
      <w:spacing w:before="200"/>
      <w:ind w:firstLine="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B3A"/>
    <w:rPr>
      <w:rFonts w:ascii="Times New Roman" w:eastAsiaTheme="majorEastAsia" w:hAnsi="Times New Roman" w:cstheme="majorBidi"/>
      <w:b/>
      <w:bCs/>
      <w:smallCaps/>
      <w:color w:val="000000" w:themeColor="text1"/>
      <w:sz w:val="36"/>
      <w:szCs w:val="36"/>
    </w:rPr>
  </w:style>
  <w:style w:type="paragraph" w:styleId="TOCHeading">
    <w:name w:val="TOC Heading"/>
    <w:basedOn w:val="Heading1"/>
    <w:next w:val="Normal"/>
    <w:uiPriority w:val="39"/>
    <w:unhideWhenUsed/>
    <w:qFormat/>
    <w:rsid w:val="004D28CD"/>
    <w:pPr>
      <w:outlineLvl w:val="9"/>
    </w:pPr>
  </w:style>
  <w:style w:type="character" w:customStyle="1" w:styleId="Heading2Char">
    <w:name w:val="Heading 2 Char"/>
    <w:basedOn w:val="DefaultParagraphFont"/>
    <w:link w:val="Heading2"/>
    <w:uiPriority w:val="9"/>
    <w:rsid w:val="004E36CE"/>
    <w:rPr>
      <w:rFonts w:ascii="Times New Roman" w:eastAsiaTheme="majorEastAsia" w:hAnsi="Times New Roman" w:cstheme="majorBidi"/>
      <w:b/>
      <w:bCs/>
      <w:smallCaps/>
      <w:color w:val="000000" w:themeColor="text1"/>
      <w:sz w:val="32"/>
      <w:szCs w:val="28"/>
    </w:rPr>
  </w:style>
  <w:style w:type="character" w:customStyle="1" w:styleId="Heading3Char">
    <w:name w:val="Heading 3 Char"/>
    <w:basedOn w:val="DefaultParagraphFont"/>
    <w:link w:val="Heading3"/>
    <w:uiPriority w:val="9"/>
    <w:rsid w:val="00361D9C"/>
    <w:rPr>
      <w:rFonts w:ascii="Times New Roman" w:eastAsia="Calibri" w:hAnsi="Times New Roman" w:cs="Times New Roman"/>
      <w:b/>
      <w:bCs/>
      <w:color w:val="000000" w:themeColor="text1"/>
      <w:sz w:val="28"/>
      <w:szCs w:val="28"/>
    </w:rPr>
  </w:style>
  <w:style w:type="character" w:customStyle="1" w:styleId="Heading4Char">
    <w:name w:val="Heading 4 Char"/>
    <w:basedOn w:val="DefaultParagraphFont"/>
    <w:link w:val="Heading4"/>
    <w:rsid w:val="004D28CD"/>
    <w:rPr>
      <w:rFonts w:asciiTheme="majorHAnsi" w:eastAsiaTheme="majorEastAsia" w:hAnsiTheme="majorHAnsi" w:cstheme="majorBidi"/>
      <w:b/>
      <w:bCs/>
      <w:i/>
      <w:iCs/>
      <w:color w:val="000000" w:themeColor="text1"/>
    </w:rPr>
  </w:style>
  <w:style w:type="character" w:customStyle="1" w:styleId="Heading5Char">
    <w:name w:val="Heading 5 Char"/>
    <w:basedOn w:val="DefaultParagraphFont"/>
    <w:link w:val="Heading5"/>
    <w:uiPriority w:val="9"/>
    <w:rsid w:val="004D28CD"/>
    <w:rPr>
      <w:rFonts w:asciiTheme="majorHAnsi" w:eastAsiaTheme="majorEastAsia" w:hAnsiTheme="majorHAnsi" w:cstheme="majorBidi"/>
      <w:color w:val="323E4F" w:themeColor="text2" w:themeShade="BF"/>
    </w:rPr>
  </w:style>
  <w:style w:type="character" w:customStyle="1" w:styleId="Heading6Char">
    <w:name w:val="Heading 6 Char"/>
    <w:basedOn w:val="DefaultParagraphFont"/>
    <w:link w:val="Heading6"/>
    <w:uiPriority w:val="9"/>
    <w:semiHidden/>
    <w:rsid w:val="004D28CD"/>
    <w:rPr>
      <w:rFonts w:asciiTheme="majorHAnsi" w:eastAsiaTheme="majorEastAsia" w:hAnsiTheme="majorHAnsi" w:cstheme="majorBidi"/>
      <w:i/>
      <w:iCs/>
      <w:color w:val="323E4F" w:themeColor="text2" w:themeShade="BF"/>
    </w:rPr>
  </w:style>
  <w:style w:type="character" w:customStyle="1" w:styleId="Heading7Char">
    <w:name w:val="Heading 7 Char"/>
    <w:basedOn w:val="DefaultParagraphFont"/>
    <w:link w:val="Heading7"/>
    <w:uiPriority w:val="9"/>
    <w:semiHidden/>
    <w:rsid w:val="004D28C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D28CD"/>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D28C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4D28CD"/>
    <w:pPr>
      <w:spacing w:after="200"/>
    </w:pPr>
    <w:rPr>
      <w:i/>
      <w:iCs/>
      <w:color w:val="44546A" w:themeColor="text2"/>
      <w:sz w:val="18"/>
      <w:szCs w:val="18"/>
    </w:rPr>
  </w:style>
  <w:style w:type="paragraph" w:styleId="Title">
    <w:name w:val="Title"/>
    <w:basedOn w:val="Normal"/>
    <w:next w:val="Normal"/>
    <w:link w:val="TitleChar"/>
    <w:uiPriority w:val="10"/>
    <w:qFormat/>
    <w:rsid w:val="004D28CD"/>
    <w:pPr>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4D28CD"/>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rsid w:val="004D28CD"/>
    <w:pPr>
      <w:numPr>
        <w:ilvl w:val="1"/>
      </w:numPr>
      <w:ind w:firstLine="720"/>
    </w:pPr>
    <w:rPr>
      <w:color w:val="5A5A5A" w:themeColor="text1" w:themeTint="A5"/>
      <w:spacing w:val="10"/>
    </w:rPr>
  </w:style>
  <w:style w:type="character" w:customStyle="1" w:styleId="SubtitleChar">
    <w:name w:val="Subtitle Char"/>
    <w:basedOn w:val="DefaultParagraphFont"/>
    <w:link w:val="Subtitle"/>
    <w:uiPriority w:val="11"/>
    <w:rsid w:val="004D28CD"/>
    <w:rPr>
      <w:color w:val="5A5A5A" w:themeColor="text1" w:themeTint="A5"/>
      <w:spacing w:val="10"/>
    </w:rPr>
  </w:style>
  <w:style w:type="character" w:styleId="Strong">
    <w:name w:val="Strong"/>
    <w:basedOn w:val="DefaultParagraphFont"/>
    <w:uiPriority w:val="22"/>
    <w:qFormat/>
    <w:rsid w:val="004D28CD"/>
    <w:rPr>
      <w:b/>
      <w:bCs/>
      <w:color w:val="000000" w:themeColor="text1"/>
    </w:rPr>
  </w:style>
  <w:style w:type="character" w:styleId="Emphasis">
    <w:name w:val="Emphasis"/>
    <w:basedOn w:val="DefaultParagraphFont"/>
    <w:uiPriority w:val="20"/>
    <w:qFormat/>
    <w:rsid w:val="004D28CD"/>
    <w:rPr>
      <w:i/>
      <w:iCs/>
      <w:color w:val="auto"/>
    </w:rPr>
  </w:style>
  <w:style w:type="paragraph" w:styleId="NoSpacing">
    <w:name w:val="No Spacing"/>
    <w:uiPriority w:val="1"/>
    <w:qFormat/>
    <w:rsid w:val="004D28CD"/>
  </w:style>
  <w:style w:type="paragraph" w:styleId="Quote">
    <w:name w:val="Quote"/>
    <w:basedOn w:val="Normal"/>
    <w:next w:val="Normal"/>
    <w:link w:val="QuoteChar"/>
    <w:uiPriority w:val="29"/>
    <w:qFormat/>
    <w:rsid w:val="004D28CD"/>
    <w:pPr>
      <w:spacing w:before="160"/>
      <w:ind w:left="720" w:right="720"/>
    </w:pPr>
    <w:rPr>
      <w:i/>
      <w:iCs/>
      <w:color w:val="000000" w:themeColor="text1"/>
    </w:rPr>
  </w:style>
  <w:style w:type="character" w:customStyle="1" w:styleId="QuoteChar">
    <w:name w:val="Quote Char"/>
    <w:basedOn w:val="DefaultParagraphFont"/>
    <w:link w:val="Quote"/>
    <w:uiPriority w:val="29"/>
    <w:rsid w:val="004D28CD"/>
    <w:rPr>
      <w:i/>
      <w:iCs/>
      <w:color w:val="000000" w:themeColor="text1"/>
    </w:rPr>
  </w:style>
  <w:style w:type="paragraph" w:styleId="IntenseQuote">
    <w:name w:val="Intense Quote"/>
    <w:basedOn w:val="Normal"/>
    <w:next w:val="Normal"/>
    <w:link w:val="IntenseQuoteChar"/>
    <w:uiPriority w:val="30"/>
    <w:qFormat/>
    <w:rsid w:val="004D28CD"/>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4D28CD"/>
    <w:rPr>
      <w:color w:val="000000" w:themeColor="text1"/>
      <w:shd w:val="clear" w:color="auto" w:fill="F2F2F2" w:themeFill="background1" w:themeFillShade="F2"/>
    </w:rPr>
  </w:style>
  <w:style w:type="character" w:styleId="SubtleEmphasis">
    <w:name w:val="Subtle Emphasis"/>
    <w:basedOn w:val="DefaultParagraphFont"/>
    <w:uiPriority w:val="19"/>
    <w:qFormat/>
    <w:rsid w:val="004D28CD"/>
    <w:rPr>
      <w:i/>
      <w:iCs/>
      <w:color w:val="404040" w:themeColor="text1" w:themeTint="BF"/>
    </w:rPr>
  </w:style>
  <w:style w:type="character" w:styleId="IntenseEmphasis">
    <w:name w:val="Intense Emphasis"/>
    <w:basedOn w:val="DefaultParagraphFont"/>
    <w:uiPriority w:val="21"/>
    <w:qFormat/>
    <w:rsid w:val="004D28CD"/>
    <w:rPr>
      <w:b/>
      <w:bCs/>
      <w:i/>
      <w:iCs/>
      <w:caps/>
    </w:rPr>
  </w:style>
  <w:style w:type="character" w:styleId="SubtleReference">
    <w:name w:val="Subtle Reference"/>
    <w:basedOn w:val="DefaultParagraphFont"/>
    <w:uiPriority w:val="31"/>
    <w:qFormat/>
    <w:rsid w:val="004D28CD"/>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D28CD"/>
    <w:rPr>
      <w:b/>
      <w:bCs/>
      <w:smallCaps/>
      <w:u w:val="single"/>
    </w:rPr>
  </w:style>
  <w:style w:type="character" w:styleId="BookTitle">
    <w:name w:val="Book Title"/>
    <w:basedOn w:val="DefaultParagraphFont"/>
    <w:uiPriority w:val="33"/>
    <w:qFormat/>
    <w:rsid w:val="004D28CD"/>
    <w:rPr>
      <w:b w:val="0"/>
      <w:bCs w:val="0"/>
      <w:smallCaps/>
      <w:spacing w:val="5"/>
    </w:rPr>
  </w:style>
  <w:style w:type="paragraph" w:styleId="TOC1">
    <w:name w:val="toc 1"/>
    <w:basedOn w:val="Normal"/>
    <w:next w:val="Normal"/>
    <w:autoRedefine/>
    <w:uiPriority w:val="39"/>
    <w:unhideWhenUsed/>
    <w:rsid w:val="004565B8"/>
    <w:pPr>
      <w:tabs>
        <w:tab w:val="left" w:pos="284"/>
        <w:tab w:val="right" w:leader="dot" w:pos="9061"/>
      </w:tabs>
      <w:spacing w:after="100"/>
      <w:ind w:firstLine="0"/>
    </w:pPr>
  </w:style>
  <w:style w:type="paragraph" w:styleId="TOC2">
    <w:name w:val="toc 2"/>
    <w:basedOn w:val="Normal"/>
    <w:next w:val="Normal"/>
    <w:autoRedefine/>
    <w:uiPriority w:val="39"/>
    <w:unhideWhenUsed/>
    <w:rsid w:val="004565B8"/>
    <w:pPr>
      <w:tabs>
        <w:tab w:val="left" w:pos="851"/>
        <w:tab w:val="right" w:leader="dot" w:pos="9071"/>
      </w:tabs>
      <w:spacing w:after="100"/>
      <w:ind w:left="284" w:firstLine="0"/>
    </w:pPr>
  </w:style>
  <w:style w:type="character" w:styleId="Hyperlink">
    <w:name w:val="Hyperlink"/>
    <w:basedOn w:val="DefaultParagraphFont"/>
    <w:uiPriority w:val="99"/>
    <w:unhideWhenUsed/>
    <w:rsid w:val="00383CEF"/>
    <w:rPr>
      <w:color w:val="0563C1" w:themeColor="hyperlink"/>
      <w:u w:val="single"/>
    </w:rPr>
  </w:style>
  <w:style w:type="paragraph" w:styleId="ListParagraph">
    <w:name w:val="List Paragraph"/>
    <w:aliases w:val="2,Numbered Para 1,Dot pt,No Spacing1,List Paragraph Char Char Char,Indicator Text,Bullet 1,Bullet Points,MAIN CONTENT,IFCL - List Paragraph,List Paragraph12,OBC Bullet,F5 List Paragraph,Colorful List - Accent 11,Strip,Akapit z listą BS"/>
    <w:basedOn w:val="Normal"/>
    <w:link w:val="ListParagraphChar"/>
    <w:uiPriority w:val="34"/>
    <w:qFormat/>
    <w:rsid w:val="00383CEF"/>
    <w:pPr>
      <w:ind w:left="720"/>
      <w:contextualSpacing/>
    </w:pPr>
  </w:style>
  <w:style w:type="paragraph" w:styleId="FootnoteText">
    <w:name w:val="footnote text"/>
    <w:aliases w:val="Footnote,Fußnote,Fußnote Char Char Char,single space,ft Rakstz. Rakstz.,ft Rakstz.,ft,-E Fußnotentext,Fußnotentext Ursprung,Vēres teksts Char Char Char Char Char,Char Char Char Char Char Char Char Char Char Char Char Char,footnote tex,Char"/>
    <w:basedOn w:val="Normal"/>
    <w:link w:val="FootnoteTextChar"/>
    <w:uiPriority w:val="99"/>
    <w:unhideWhenUsed/>
    <w:qFormat/>
    <w:rsid w:val="00383CEF"/>
    <w:rPr>
      <w:sz w:val="20"/>
      <w:szCs w:val="20"/>
      <w:lang w:eastAsia="en-US"/>
    </w:rPr>
  </w:style>
  <w:style w:type="character" w:customStyle="1" w:styleId="FootnoteTextChar">
    <w:name w:val="Footnote Text Char"/>
    <w:aliases w:val="Footnote Char,Fußnote Char,Fußnote Char Char Char Char,single space Char,ft Rakstz. Rakstz. Char,ft Rakstz. Char,ft Char,-E Fußnotentext Char,Fußnotentext Ursprung Char,Vēres teksts Char Char Char Char Char Char,footnote tex Char"/>
    <w:basedOn w:val="DefaultParagraphFont"/>
    <w:link w:val="FootnoteText"/>
    <w:uiPriority w:val="99"/>
    <w:rsid w:val="00383CEF"/>
    <w:rPr>
      <w:sz w:val="20"/>
      <w:szCs w:val="20"/>
      <w:lang w:eastAsia="en-US"/>
    </w:rPr>
  </w:style>
  <w:style w:type="character" w:styleId="FootnoteReference">
    <w:name w:val="footnote reference"/>
    <w:aliases w:val="Footnote Reference Number,Footnote symbol,Footnote Reference Superscript,ftref,Footnote Refernece,Odwołanie przypisu,BVI fnr,Footnotes refss,SUPERS,Ref,de nota al pie,-E Fußnotenzeichen,Footnote reference number,Times 10 Point,E,E FNZ"/>
    <w:basedOn w:val="DefaultParagraphFont"/>
    <w:link w:val="Char2"/>
    <w:uiPriority w:val="99"/>
    <w:unhideWhenUsed/>
    <w:qFormat/>
    <w:rsid w:val="00383CEF"/>
    <w:rPr>
      <w:vertAlign w:val="superscript"/>
    </w:rPr>
  </w:style>
  <w:style w:type="paragraph" w:customStyle="1" w:styleId="Char2">
    <w:name w:val="Char2"/>
    <w:aliases w:val="Char Char Char Char"/>
    <w:basedOn w:val="Normal"/>
    <w:next w:val="Normal"/>
    <w:link w:val="FootnoteReference"/>
    <w:uiPriority w:val="99"/>
    <w:rsid w:val="00383CEF"/>
    <w:pPr>
      <w:spacing w:line="240" w:lineRule="exact"/>
      <w:textAlignment w:val="baseline"/>
    </w:pPr>
    <w:rPr>
      <w:vertAlign w:val="superscript"/>
    </w:rPr>
  </w:style>
  <w:style w:type="paragraph" w:customStyle="1" w:styleId="footnotetex1">
    <w:name w:val="footnote tex1"/>
    <w:basedOn w:val="Normal"/>
    <w:next w:val="FootnoteText"/>
    <w:unhideWhenUsed/>
    <w:qFormat/>
    <w:rsid w:val="00383CEF"/>
    <w:rPr>
      <w:rFonts w:eastAsia="Calibri" w:cs="Times New Roman"/>
      <w:sz w:val="20"/>
      <w:szCs w:val="20"/>
      <w:lang w:eastAsia="en-US"/>
    </w:rPr>
  </w:style>
  <w:style w:type="paragraph" w:styleId="Header">
    <w:name w:val="header"/>
    <w:basedOn w:val="Normal"/>
    <w:link w:val="HeaderChar"/>
    <w:uiPriority w:val="99"/>
    <w:unhideWhenUsed/>
    <w:rsid w:val="00F2378C"/>
    <w:pPr>
      <w:tabs>
        <w:tab w:val="center" w:pos="4153"/>
        <w:tab w:val="right" w:pos="8306"/>
      </w:tabs>
    </w:pPr>
  </w:style>
  <w:style w:type="character" w:customStyle="1" w:styleId="HeaderChar">
    <w:name w:val="Header Char"/>
    <w:basedOn w:val="DefaultParagraphFont"/>
    <w:link w:val="Header"/>
    <w:uiPriority w:val="99"/>
    <w:rsid w:val="00F2378C"/>
  </w:style>
  <w:style w:type="paragraph" w:styleId="Footer">
    <w:name w:val="footer"/>
    <w:basedOn w:val="Normal"/>
    <w:link w:val="FooterChar"/>
    <w:uiPriority w:val="99"/>
    <w:unhideWhenUsed/>
    <w:rsid w:val="00F2378C"/>
    <w:pPr>
      <w:tabs>
        <w:tab w:val="center" w:pos="4153"/>
        <w:tab w:val="right" w:pos="8306"/>
      </w:tabs>
    </w:pPr>
  </w:style>
  <w:style w:type="character" w:customStyle="1" w:styleId="FooterChar">
    <w:name w:val="Footer Char"/>
    <w:basedOn w:val="DefaultParagraphFont"/>
    <w:link w:val="Footer"/>
    <w:uiPriority w:val="99"/>
    <w:rsid w:val="00F2378C"/>
  </w:style>
  <w:style w:type="paragraph" w:styleId="TOC3">
    <w:name w:val="toc 3"/>
    <w:basedOn w:val="Normal"/>
    <w:next w:val="Normal"/>
    <w:autoRedefine/>
    <w:uiPriority w:val="39"/>
    <w:unhideWhenUsed/>
    <w:rsid w:val="004565B8"/>
    <w:pPr>
      <w:tabs>
        <w:tab w:val="right" w:leader="dot" w:pos="9071"/>
      </w:tabs>
      <w:spacing w:after="100"/>
      <w:ind w:left="1418" w:hanging="709"/>
    </w:pPr>
    <w:rPr>
      <w:rFonts w:cs="Times New Roman"/>
      <w:noProof/>
      <w:sz w:val="28"/>
    </w:rPr>
  </w:style>
  <w:style w:type="character" w:styleId="CommentReference">
    <w:name w:val="annotation reference"/>
    <w:basedOn w:val="DefaultParagraphFont"/>
    <w:uiPriority w:val="99"/>
    <w:semiHidden/>
    <w:unhideWhenUsed/>
    <w:rsid w:val="00C83CB8"/>
    <w:rPr>
      <w:sz w:val="16"/>
      <w:szCs w:val="16"/>
    </w:rPr>
  </w:style>
  <w:style w:type="paragraph" w:styleId="CommentText">
    <w:name w:val="annotation text"/>
    <w:basedOn w:val="Normal"/>
    <w:link w:val="CommentTextChar"/>
    <w:uiPriority w:val="99"/>
    <w:unhideWhenUsed/>
    <w:rsid w:val="00C83CB8"/>
    <w:rPr>
      <w:sz w:val="20"/>
      <w:szCs w:val="20"/>
    </w:rPr>
  </w:style>
  <w:style w:type="character" w:customStyle="1" w:styleId="CommentTextChar">
    <w:name w:val="Comment Text Char"/>
    <w:basedOn w:val="DefaultParagraphFont"/>
    <w:link w:val="CommentText"/>
    <w:uiPriority w:val="99"/>
    <w:rsid w:val="00C83CB8"/>
    <w:rPr>
      <w:sz w:val="20"/>
      <w:szCs w:val="20"/>
    </w:rPr>
  </w:style>
  <w:style w:type="paragraph" w:styleId="CommentSubject">
    <w:name w:val="annotation subject"/>
    <w:basedOn w:val="CommentText"/>
    <w:next w:val="CommentText"/>
    <w:link w:val="CommentSubjectChar"/>
    <w:uiPriority w:val="99"/>
    <w:semiHidden/>
    <w:unhideWhenUsed/>
    <w:rsid w:val="00C83CB8"/>
    <w:rPr>
      <w:b/>
      <w:bCs/>
    </w:rPr>
  </w:style>
  <w:style w:type="character" w:customStyle="1" w:styleId="CommentSubjectChar">
    <w:name w:val="Comment Subject Char"/>
    <w:basedOn w:val="CommentTextChar"/>
    <w:link w:val="CommentSubject"/>
    <w:uiPriority w:val="99"/>
    <w:semiHidden/>
    <w:rsid w:val="00C83CB8"/>
    <w:rPr>
      <w:b/>
      <w:bCs/>
      <w:sz w:val="20"/>
      <w:szCs w:val="20"/>
    </w:rPr>
  </w:style>
  <w:style w:type="paragraph" w:styleId="BalloonText">
    <w:name w:val="Balloon Text"/>
    <w:basedOn w:val="Normal"/>
    <w:link w:val="BalloonTextChar"/>
    <w:uiPriority w:val="99"/>
    <w:semiHidden/>
    <w:unhideWhenUsed/>
    <w:rsid w:val="00C83CB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3CB8"/>
    <w:rPr>
      <w:rFonts w:ascii="Segoe UI" w:hAnsi="Segoe UI" w:cs="Segoe UI"/>
      <w:sz w:val="18"/>
      <w:szCs w:val="18"/>
    </w:rPr>
  </w:style>
  <w:style w:type="table" w:styleId="TableGrid">
    <w:name w:val="Table Grid"/>
    <w:basedOn w:val="TableNormal"/>
    <w:uiPriority w:val="39"/>
    <w:rsid w:val="00E05D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05D0D"/>
  </w:style>
  <w:style w:type="table" w:styleId="ListTable2-Accent1">
    <w:name w:val="List Table 2 Accent 1"/>
    <w:basedOn w:val="TableNormal"/>
    <w:uiPriority w:val="47"/>
    <w:rsid w:val="00983CAA"/>
    <w:rPr>
      <w:lang w:eastAsia="en-US"/>
    </w:rPr>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NoList1">
    <w:name w:val="No List1"/>
    <w:next w:val="NoList"/>
    <w:uiPriority w:val="99"/>
    <w:semiHidden/>
    <w:unhideWhenUsed/>
    <w:rsid w:val="00DB596B"/>
  </w:style>
  <w:style w:type="paragraph" w:customStyle="1" w:styleId="H4">
    <w:name w:val="H4"/>
    <w:qFormat/>
    <w:rsid w:val="00DB596B"/>
    <w:pPr>
      <w:spacing w:after="120"/>
      <w:jc w:val="center"/>
      <w:outlineLvl w:val="3"/>
    </w:pPr>
    <w:rPr>
      <w:rFonts w:ascii="Times New Roman" w:eastAsia="Times New Roman" w:hAnsi="Times New Roman" w:cs="Times New Roman"/>
      <w:b/>
      <w:sz w:val="28"/>
      <w:szCs w:val="20"/>
      <w:lang w:eastAsia="en-US"/>
    </w:rPr>
  </w:style>
  <w:style w:type="paragraph" w:customStyle="1" w:styleId="H3">
    <w:name w:val="H3"/>
    <w:qFormat/>
    <w:rsid w:val="00BC5EBB"/>
    <w:pPr>
      <w:spacing w:before="240" w:after="240"/>
      <w:jc w:val="center"/>
      <w:outlineLvl w:val="2"/>
    </w:pPr>
    <w:rPr>
      <w:rFonts w:ascii="Times New Roman" w:eastAsia="Times New Roman" w:hAnsi="Times New Roman" w:cs="Times New Roman"/>
      <w:b/>
      <w:sz w:val="32"/>
      <w:szCs w:val="20"/>
      <w:lang w:eastAsia="en-US"/>
    </w:rPr>
  </w:style>
  <w:style w:type="paragraph" w:customStyle="1" w:styleId="H2">
    <w:name w:val="H2"/>
    <w:basedOn w:val="Heading2"/>
    <w:qFormat/>
    <w:rsid w:val="00C203C5"/>
    <w:pPr>
      <w:spacing w:before="240" w:after="240"/>
      <w:jc w:val="center"/>
    </w:pPr>
    <w:rPr>
      <w:smallCaps w:val="0"/>
      <w:sz w:val="36"/>
    </w:rPr>
  </w:style>
  <w:style w:type="paragraph" w:customStyle="1" w:styleId="H1">
    <w:name w:val="H1"/>
    <w:basedOn w:val="Heading1"/>
    <w:qFormat/>
    <w:rsid w:val="00C203C5"/>
    <w:pPr>
      <w:numPr>
        <w:numId w:val="2"/>
      </w:numPr>
      <w:spacing w:before="240" w:after="240"/>
      <w:jc w:val="center"/>
    </w:pPr>
    <w:rPr>
      <w:rFonts w:eastAsia="Times New Roman" w:cs="Times New Roman"/>
      <w:smallCaps w:val="0"/>
      <w:sz w:val="40"/>
    </w:rPr>
  </w:style>
  <w:style w:type="paragraph" w:customStyle="1" w:styleId="T">
    <w:name w:val="T"/>
    <w:basedOn w:val="Normal"/>
    <w:uiPriority w:val="99"/>
    <w:rsid w:val="00DB596B"/>
    <w:pPr>
      <w:jc w:val="center"/>
    </w:pPr>
    <w:rPr>
      <w:rFonts w:eastAsia="Times New Roman" w:cs="Times New Roman"/>
      <w:b/>
      <w:i/>
      <w:szCs w:val="20"/>
      <w:lang w:eastAsia="en-US"/>
    </w:rPr>
  </w:style>
  <w:style w:type="paragraph" w:customStyle="1" w:styleId="Z">
    <w:name w:val="Z"/>
    <w:basedOn w:val="T"/>
    <w:uiPriority w:val="99"/>
    <w:rsid w:val="00DB596B"/>
  </w:style>
  <w:style w:type="character" w:styleId="PageNumber">
    <w:name w:val="page number"/>
    <w:basedOn w:val="DefaultParagraphFont"/>
    <w:rsid w:val="00DB596B"/>
  </w:style>
  <w:style w:type="paragraph" w:customStyle="1" w:styleId="paraksti">
    <w:name w:val="paraksti"/>
    <w:basedOn w:val="Normal"/>
    <w:qFormat/>
    <w:rsid w:val="00DB596B"/>
    <w:rPr>
      <w:rFonts w:eastAsia="Times New Roman" w:cs="Times New Roman"/>
      <w:sz w:val="20"/>
      <w:szCs w:val="20"/>
      <w:lang w:eastAsia="en-US"/>
    </w:rPr>
  </w:style>
  <w:style w:type="paragraph" w:customStyle="1" w:styleId="tabtekst">
    <w:name w:val="tab_tekst"/>
    <w:basedOn w:val="Normal"/>
    <w:uiPriority w:val="99"/>
    <w:rsid w:val="00DB596B"/>
    <w:rPr>
      <w:rFonts w:eastAsia="Times New Roman" w:cs="Times New Roman"/>
      <w:snapToGrid w:val="0"/>
      <w:color w:val="000000"/>
      <w:sz w:val="20"/>
      <w:szCs w:val="20"/>
      <w:lang w:eastAsia="en-US"/>
    </w:rPr>
  </w:style>
  <w:style w:type="paragraph" w:styleId="EndnoteText">
    <w:name w:val="endnote text"/>
    <w:basedOn w:val="Normal"/>
    <w:link w:val="EndnoteTextChar"/>
    <w:uiPriority w:val="99"/>
    <w:semiHidden/>
    <w:unhideWhenUsed/>
    <w:rsid w:val="00DB596B"/>
    <w:rPr>
      <w:rFonts w:eastAsia="Times New Roman" w:cs="Times New Roman"/>
      <w:sz w:val="20"/>
      <w:szCs w:val="20"/>
      <w:lang w:eastAsia="en-US"/>
    </w:rPr>
  </w:style>
  <w:style w:type="character" w:customStyle="1" w:styleId="EndnoteTextChar">
    <w:name w:val="Endnote Text Char"/>
    <w:basedOn w:val="DefaultParagraphFont"/>
    <w:link w:val="EndnoteText"/>
    <w:uiPriority w:val="99"/>
    <w:semiHidden/>
    <w:rsid w:val="00DB596B"/>
    <w:rPr>
      <w:rFonts w:ascii="Times New Roman" w:eastAsia="Times New Roman" w:hAnsi="Times New Roman" w:cs="Times New Roman"/>
      <w:sz w:val="20"/>
      <w:szCs w:val="20"/>
      <w:lang w:eastAsia="en-US"/>
    </w:rPr>
  </w:style>
  <w:style w:type="character" w:styleId="EndnoteReference">
    <w:name w:val="endnote reference"/>
    <w:uiPriority w:val="99"/>
    <w:semiHidden/>
    <w:unhideWhenUsed/>
    <w:rsid w:val="00DB596B"/>
    <w:rPr>
      <w:vertAlign w:val="superscript"/>
    </w:rPr>
  </w:style>
  <w:style w:type="paragraph" w:customStyle="1" w:styleId="naisf">
    <w:name w:val="naisf"/>
    <w:basedOn w:val="Normal"/>
    <w:rsid w:val="00DB596B"/>
    <w:pPr>
      <w:spacing w:before="100" w:beforeAutospacing="1" w:after="100" w:afterAutospacing="1"/>
    </w:pPr>
    <w:rPr>
      <w:rFonts w:eastAsia="Times New Roman" w:cs="Times New Roman"/>
      <w:szCs w:val="24"/>
    </w:rPr>
  </w:style>
  <w:style w:type="paragraph" w:customStyle="1" w:styleId="naiskr">
    <w:name w:val="naiskr"/>
    <w:basedOn w:val="Normal"/>
    <w:rsid w:val="00DB596B"/>
    <w:pPr>
      <w:spacing w:before="100" w:beforeAutospacing="1" w:after="100" w:afterAutospacing="1"/>
    </w:pPr>
    <w:rPr>
      <w:rFonts w:eastAsia="Times New Roman" w:cs="Times New Roman"/>
      <w:color w:val="000000"/>
      <w:szCs w:val="24"/>
    </w:rPr>
  </w:style>
  <w:style w:type="paragraph" w:styleId="BodyText">
    <w:name w:val="Body Text"/>
    <w:aliases w:val=" Char"/>
    <w:basedOn w:val="Normal"/>
    <w:link w:val="BodyTextChar"/>
    <w:uiPriority w:val="1"/>
    <w:qFormat/>
    <w:rsid w:val="00DB596B"/>
    <w:rPr>
      <w:rFonts w:eastAsia="Times New Roman" w:cs="Times New Roman"/>
      <w:sz w:val="28"/>
      <w:szCs w:val="20"/>
      <w:lang w:eastAsia="en-US"/>
    </w:rPr>
  </w:style>
  <w:style w:type="character" w:customStyle="1" w:styleId="BodyTextChar">
    <w:name w:val="Body Text Char"/>
    <w:aliases w:val=" Char Char"/>
    <w:basedOn w:val="DefaultParagraphFont"/>
    <w:link w:val="BodyText"/>
    <w:uiPriority w:val="1"/>
    <w:rsid w:val="00DB596B"/>
    <w:rPr>
      <w:rFonts w:ascii="Times New Roman" w:eastAsia="Times New Roman" w:hAnsi="Times New Roman" w:cs="Times New Roman"/>
      <w:sz w:val="28"/>
      <w:szCs w:val="20"/>
      <w:lang w:eastAsia="en-US"/>
    </w:rPr>
  </w:style>
  <w:style w:type="paragraph" w:styleId="NormalWeb">
    <w:name w:val="Normal (Web)"/>
    <w:basedOn w:val="Normal"/>
    <w:uiPriority w:val="99"/>
    <w:unhideWhenUsed/>
    <w:rsid w:val="00DB596B"/>
    <w:pPr>
      <w:spacing w:before="100" w:beforeAutospacing="1" w:after="100" w:afterAutospacing="1"/>
    </w:pPr>
    <w:rPr>
      <w:rFonts w:eastAsia="Times New Roman" w:cs="Times New Roman"/>
      <w:szCs w:val="24"/>
    </w:rPr>
  </w:style>
  <w:style w:type="paragraph" w:customStyle="1" w:styleId="Default">
    <w:name w:val="Default"/>
    <w:rsid w:val="00DB596B"/>
    <w:pPr>
      <w:autoSpaceDE w:val="0"/>
      <w:autoSpaceDN w:val="0"/>
      <w:adjustRightInd w:val="0"/>
    </w:pPr>
    <w:rPr>
      <w:rFonts w:ascii="Times New Roman" w:eastAsia="Times New Roman" w:hAnsi="Times New Roman" w:cs="Times New Roman"/>
      <w:color w:val="000000"/>
      <w:sz w:val="24"/>
      <w:szCs w:val="24"/>
    </w:rPr>
  </w:style>
  <w:style w:type="table" w:customStyle="1" w:styleId="TableGrid1">
    <w:name w:val="Table Grid1"/>
    <w:basedOn w:val="TableNormal"/>
    <w:next w:val="TableGrid"/>
    <w:uiPriority w:val="39"/>
    <w:rsid w:val="00DB596B"/>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abc">
    <w:name w:val="Point abc"/>
    <w:basedOn w:val="Normal"/>
    <w:rsid w:val="00DB596B"/>
    <w:pPr>
      <w:numPr>
        <w:ilvl w:val="1"/>
        <w:numId w:val="5"/>
      </w:numPr>
      <w:tabs>
        <w:tab w:val="clear" w:pos="567"/>
      </w:tabs>
      <w:spacing w:before="120" w:line="360" w:lineRule="auto"/>
      <w:ind w:left="1440" w:hanging="360"/>
    </w:pPr>
    <w:rPr>
      <w:rFonts w:eastAsia="Times New Roman" w:cs="Times New Roman"/>
      <w:szCs w:val="24"/>
      <w:lang w:val="en-GB" w:eastAsia="en-US"/>
    </w:rPr>
  </w:style>
  <w:style w:type="paragraph" w:customStyle="1" w:styleId="Pointabc1">
    <w:name w:val="Point abc (1)"/>
    <w:basedOn w:val="Normal"/>
    <w:rsid w:val="00DB596B"/>
    <w:pPr>
      <w:numPr>
        <w:ilvl w:val="3"/>
        <w:numId w:val="5"/>
      </w:numPr>
      <w:tabs>
        <w:tab w:val="clear" w:pos="1134"/>
      </w:tabs>
      <w:spacing w:before="120" w:line="360" w:lineRule="auto"/>
      <w:ind w:left="2880" w:hanging="360"/>
      <w:outlineLvl w:val="0"/>
    </w:pPr>
    <w:rPr>
      <w:rFonts w:eastAsia="Times New Roman" w:cs="Times New Roman"/>
      <w:szCs w:val="24"/>
      <w:lang w:val="en-GB" w:eastAsia="en-US"/>
    </w:rPr>
  </w:style>
  <w:style w:type="paragraph" w:customStyle="1" w:styleId="Pointabc2">
    <w:name w:val="Point abc (2)"/>
    <w:basedOn w:val="Normal"/>
    <w:rsid w:val="00DB596B"/>
    <w:pPr>
      <w:numPr>
        <w:ilvl w:val="5"/>
        <w:numId w:val="5"/>
      </w:numPr>
      <w:tabs>
        <w:tab w:val="clear" w:pos="1701"/>
      </w:tabs>
      <w:spacing w:before="120" w:line="360" w:lineRule="auto"/>
      <w:ind w:left="4320" w:hanging="180"/>
      <w:outlineLvl w:val="1"/>
    </w:pPr>
    <w:rPr>
      <w:rFonts w:eastAsia="Times New Roman" w:cs="Times New Roman"/>
      <w:szCs w:val="24"/>
      <w:lang w:val="en-GB" w:eastAsia="en-US"/>
    </w:rPr>
  </w:style>
  <w:style w:type="paragraph" w:customStyle="1" w:styleId="Pointabc3">
    <w:name w:val="Point abc (3)"/>
    <w:basedOn w:val="Normal"/>
    <w:rsid w:val="00DB596B"/>
    <w:pPr>
      <w:numPr>
        <w:ilvl w:val="7"/>
        <w:numId w:val="5"/>
      </w:numPr>
      <w:tabs>
        <w:tab w:val="clear" w:pos="2268"/>
      </w:tabs>
      <w:spacing w:before="120" w:line="360" w:lineRule="auto"/>
      <w:ind w:left="5760" w:hanging="360"/>
      <w:outlineLvl w:val="2"/>
    </w:pPr>
    <w:rPr>
      <w:rFonts w:eastAsia="Times New Roman" w:cs="Times New Roman"/>
      <w:szCs w:val="24"/>
      <w:lang w:val="en-GB" w:eastAsia="en-US"/>
    </w:rPr>
  </w:style>
  <w:style w:type="paragraph" w:customStyle="1" w:styleId="Pointabc4">
    <w:name w:val="Point abc (4)"/>
    <w:basedOn w:val="Normal"/>
    <w:rsid w:val="00DB596B"/>
    <w:pPr>
      <w:numPr>
        <w:ilvl w:val="8"/>
        <w:numId w:val="5"/>
      </w:numPr>
      <w:tabs>
        <w:tab w:val="clear" w:pos="2835"/>
      </w:tabs>
      <w:spacing w:before="120" w:line="360" w:lineRule="auto"/>
      <w:ind w:left="6480" w:hanging="180"/>
      <w:outlineLvl w:val="3"/>
    </w:pPr>
    <w:rPr>
      <w:rFonts w:eastAsia="Times New Roman" w:cs="Times New Roman"/>
      <w:szCs w:val="24"/>
      <w:lang w:val="en-GB" w:eastAsia="en-US"/>
    </w:rPr>
  </w:style>
  <w:style w:type="paragraph" w:customStyle="1" w:styleId="Point123">
    <w:name w:val="Point 123"/>
    <w:basedOn w:val="Normal"/>
    <w:rsid w:val="00DB596B"/>
    <w:pPr>
      <w:numPr>
        <w:numId w:val="5"/>
      </w:numPr>
      <w:tabs>
        <w:tab w:val="clear" w:pos="567"/>
      </w:tabs>
      <w:spacing w:before="120" w:line="360" w:lineRule="auto"/>
      <w:ind w:left="360" w:hanging="360"/>
    </w:pPr>
    <w:rPr>
      <w:rFonts w:eastAsia="Times New Roman" w:cs="Times New Roman"/>
      <w:szCs w:val="24"/>
      <w:lang w:val="en-GB" w:eastAsia="en-US"/>
    </w:rPr>
  </w:style>
  <w:style w:type="paragraph" w:customStyle="1" w:styleId="Point1231">
    <w:name w:val="Point 123 (1)"/>
    <w:basedOn w:val="Normal"/>
    <w:rsid w:val="00DB596B"/>
    <w:pPr>
      <w:numPr>
        <w:ilvl w:val="2"/>
        <w:numId w:val="5"/>
      </w:numPr>
      <w:tabs>
        <w:tab w:val="clear" w:pos="993"/>
      </w:tabs>
      <w:spacing w:before="120" w:line="360" w:lineRule="auto"/>
      <w:ind w:left="2160" w:hanging="180"/>
      <w:outlineLvl w:val="0"/>
    </w:pPr>
    <w:rPr>
      <w:rFonts w:eastAsia="Times New Roman" w:cs="Times New Roman"/>
      <w:szCs w:val="24"/>
      <w:lang w:val="en-GB" w:eastAsia="en-US"/>
    </w:rPr>
  </w:style>
  <w:style w:type="paragraph" w:customStyle="1" w:styleId="Point1232">
    <w:name w:val="Point 123 (2)"/>
    <w:basedOn w:val="Normal"/>
    <w:rsid w:val="00DB596B"/>
    <w:pPr>
      <w:numPr>
        <w:ilvl w:val="4"/>
        <w:numId w:val="5"/>
      </w:numPr>
      <w:tabs>
        <w:tab w:val="clear" w:pos="1701"/>
      </w:tabs>
      <w:spacing w:before="120" w:line="360" w:lineRule="auto"/>
      <w:ind w:left="3600" w:hanging="360"/>
      <w:outlineLvl w:val="1"/>
    </w:pPr>
    <w:rPr>
      <w:rFonts w:eastAsia="Times New Roman" w:cs="Times New Roman"/>
      <w:szCs w:val="24"/>
      <w:lang w:val="en-GB" w:eastAsia="en-US"/>
    </w:rPr>
  </w:style>
  <w:style w:type="paragraph" w:customStyle="1" w:styleId="Point1233">
    <w:name w:val="Point 123 (3)"/>
    <w:basedOn w:val="Normal"/>
    <w:rsid w:val="00DB596B"/>
    <w:pPr>
      <w:numPr>
        <w:ilvl w:val="6"/>
        <w:numId w:val="5"/>
      </w:numPr>
      <w:tabs>
        <w:tab w:val="clear" w:pos="2268"/>
      </w:tabs>
      <w:spacing w:before="120" w:line="360" w:lineRule="auto"/>
      <w:ind w:left="5040" w:hanging="360"/>
      <w:outlineLvl w:val="2"/>
    </w:pPr>
    <w:rPr>
      <w:rFonts w:eastAsia="Times New Roman" w:cs="Times New Roman"/>
      <w:szCs w:val="24"/>
      <w:lang w:val="en-GB" w:eastAsia="en-US"/>
    </w:rPr>
  </w:style>
  <w:style w:type="paragraph" w:customStyle="1" w:styleId="cipari">
    <w:name w:val="cipari"/>
    <w:basedOn w:val="Normal"/>
    <w:qFormat/>
    <w:rsid w:val="00DB596B"/>
    <w:pPr>
      <w:ind w:left="720" w:hanging="720"/>
    </w:pPr>
    <w:rPr>
      <w:rFonts w:eastAsia="Times New Roman" w:cs="Times New Roman"/>
      <w:bCs/>
      <w:szCs w:val="20"/>
      <w:lang w:eastAsia="en-US"/>
    </w:rPr>
  </w:style>
  <w:style w:type="character" w:customStyle="1" w:styleId="apple-converted-space">
    <w:name w:val="apple-converted-space"/>
    <w:rsid w:val="00DB596B"/>
  </w:style>
  <w:style w:type="character" w:customStyle="1" w:styleId="ListParagraphChar">
    <w:name w:val="List Paragraph Char"/>
    <w:aliases w:val="2 Char,Numbered Para 1 Char,Dot pt Char,No Spacing1 Char,List Paragraph Char Char Char Char,Indicator Text Char,Bullet 1 Char,Bullet Points Char,MAIN CONTENT Char,IFCL - List Paragraph Char,List Paragraph12 Char,OBC Bullet Char"/>
    <w:link w:val="ListParagraph"/>
    <w:uiPriority w:val="34"/>
    <w:qFormat/>
    <w:locked/>
    <w:rsid w:val="00DB596B"/>
  </w:style>
  <w:style w:type="numbering" w:customStyle="1" w:styleId="NoList2">
    <w:name w:val="No List2"/>
    <w:next w:val="NoList"/>
    <w:uiPriority w:val="99"/>
    <w:semiHidden/>
    <w:unhideWhenUsed/>
    <w:rsid w:val="008643AC"/>
  </w:style>
  <w:style w:type="paragraph" w:customStyle="1" w:styleId="tabteksts">
    <w:name w:val="tab_teksts"/>
    <w:basedOn w:val="Normal"/>
    <w:qFormat/>
    <w:rsid w:val="008643AC"/>
    <w:rPr>
      <w:rFonts w:eastAsia="Times New Roman" w:cs="Times New Roman"/>
      <w:sz w:val="18"/>
      <w:szCs w:val="20"/>
      <w:lang w:eastAsia="en-US"/>
    </w:rPr>
  </w:style>
  <w:style w:type="paragraph" w:customStyle="1" w:styleId="BalloonText1">
    <w:name w:val="Balloon Text1"/>
    <w:basedOn w:val="Normal"/>
    <w:semiHidden/>
    <w:rsid w:val="008643AC"/>
    <w:pPr>
      <w:ind w:firstLine="709"/>
    </w:pPr>
    <w:rPr>
      <w:rFonts w:ascii="Tahoma" w:eastAsia="Times New Roman" w:hAnsi="Tahoma" w:cs="Tahoma"/>
      <w:sz w:val="16"/>
      <w:szCs w:val="16"/>
      <w:lang w:eastAsia="en-US"/>
    </w:rPr>
  </w:style>
  <w:style w:type="table" w:customStyle="1" w:styleId="TableGrid2">
    <w:name w:val="Table Grid2"/>
    <w:basedOn w:val="TableNormal"/>
    <w:next w:val="TableGrid"/>
    <w:uiPriority w:val="39"/>
    <w:rsid w:val="008643AC"/>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unkcijas">
    <w:name w:val="funkcijas"/>
    <w:basedOn w:val="Normal"/>
    <w:qFormat/>
    <w:rsid w:val="008643AC"/>
    <w:rPr>
      <w:rFonts w:eastAsia="Times New Roman" w:cs="Times New Roman"/>
      <w:bCs/>
      <w:szCs w:val="20"/>
      <w:u w:val="single"/>
      <w:lang w:eastAsia="en-US"/>
    </w:rPr>
  </w:style>
  <w:style w:type="paragraph" w:customStyle="1" w:styleId="Funkcijasbold">
    <w:name w:val="Funkcijas_bold"/>
    <w:basedOn w:val="Normal"/>
    <w:qFormat/>
    <w:rsid w:val="008643AC"/>
    <w:rPr>
      <w:rFonts w:eastAsia="Times New Roman" w:cs="Times New Roman"/>
      <w:b/>
      <w:bCs/>
      <w:szCs w:val="20"/>
      <w:lang w:eastAsia="en-US"/>
    </w:rPr>
  </w:style>
  <w:style w:type="paragraph" w:customStyle="1" w:styleId="izdevumi">
    <w:name w:val="izdevumi"/>
    <w:basedOn w:val="Normal"/>
    <w:qFormat/>
    <w:rsid w:val="008643AC"/>
    <w:pPr>
      <w:widowControl w:val="0"/>
      <w:spacing w:before="120"/>
      <w:ind w:left="567"/>
    </w:pPr>
    <w:rPr>
      <w:rFonts w:eastAsia="Times New Roman" w:cs="Times New Roman"/>
      <w:i/>
      <w:szCs w:val="20"/>
      <w:lang w:eastAsia="en-US"/>
    </w:rPr>
  </w:style>
  <w:style w:type="paragraph" w:customStyle="1" w:styleId="programmas">
    <w:name w:val="programmas"/>
    <w:basedOn w:val="Normal"/>
    <w:qFormat/>
    <w:rsid w:val="008643AC"/>
    <w:pPr>
      <w:widowControl w:val="0"/>
      <w:spacing w:before="240"/>
      <w:jc w:val="center"/>
    </w:pPr>
    <w:rPr>
      <w:rFonts w:eastAsia="Times New Roman" w:cs="Times New Roman"/>
      <w:b/>
      <w:szCs w:val="20"/>
      <w:lang w:val="en-US" w:eastAsia="en-US"/>
    </w:rPr>
  </w:style>
  <w:style w:type="paragraph" w:customStyle="1" w:styleId="samazpaliel">
    <w:name w:val="samaz_paliel"/>
    <w:basedOn w:val="Normal"/>
    <w:qFormat/>
    <w:rsid w:val="008643AC"/>
    <w:pPr>
      <w:widowControl w:val="0"/>
    </w:pPr>
    <w:rPr>
      <w:rFonts w:eastAsia="Times New Roman" w:cs="Times New Roman"/>
      <w:b/>
      <w:szCs w:val="20"/>
      <w:u w:val="single"/>
      <w:lang w:eastAsia="en-US"/>
    </w:rPr>
  </w:style>
  <w:style w:type="paragraph" w:customStyle="1" w:styleId="Tabuluvirsraksti">
    <w:name w:val="Tabulu_virsraksti"/>
    <w:basedOn w:val="Normal"/>
    <w:qFormat/>
    <w:rsid w:val="008643AC"/>
    <w:pPr>
      <w:jc w:val="center"/>
    </w:pPr>
    <w:rPr>
      <w:rFonts w:eastAsia="Times New Roman" w:cs="Times New Roman"/>
      <w:szCs w:val="20"/>
      <w:lang w:eastAsia="en-US"/>
    </w:rPr>
  </w:style>
  <w:style w:type="character" w:customStyle="1" w:styleId="FollowedHyperlink1">
    <w:name w:val="FollowedHyperlink1"/>
    <w:basedOn w:val="DefaultParagraphFont"/>
    <w:uiPriority w:val="99"/>
    <w:semiHidden/>
    <w:unhideWhenUsed/>
    <w:rsid w:val="008643AC"/>
    <w:rPr>
      <w:color w:val="800080"/>
      <w:u w:val="single"/>
    </w:rPr>
  </w:style>
  <w:style w:type="character" w:styleId="FollowedHyperlink">
    <w:name w:val="FollowedHyperlink"/>
    <w:basedOn w:val="DefaultParagraphFont"/>
    <w:uiPriority w:val="99"/>
    <w:semiHidden/>
    <w:unhideWhenUsed/>
    <w:rsid w:val="008643AC"/>
    <w:rPr>
      <w:color w:val="954F72" w:themeColor="followedHyperlink"/>
      <w:u w:val="single"/>
    </w:rPr>
  </w:style>
  <w:style w:type="table" w:customStyle="1" w:styleId="TableGrid3">
    <w:name w:val="Table Grid3"/>
    <w:basedOn w:val="TableNormal"/>
    <w:next w:val="TableGrid"/>
    <w:uiPriority w:val="39"/>
    <w:rsid w:val="005D361F"/>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73A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213">
    <w:name w:val="tv213"/>
    <w:basedOn w:val="Normal"/>
    <w:rsid w:val="00A7117E"/>
    <w:pPr>
      <w:spacing w:before="100" w:beforeAutospacing="1" w:after="100" w:afterAutospacing="1"/>
    </w:pPr>
    <w:rPr>
      <w:rFonts w:eastAsia="Times New Roman" w:cs="Times New Roman"/>
      <w:szCs w:val="24"/>
    </w:rPr>
  </w:style>
  <w:style w:type="table" w:customStyle="1" w:styleId="PlainTable411">
    <w:name w:val="Plain Table 411"/>
    <w:basedOn w:val="TableNormal"/>
    <w:uiPriority w:val="44"/>
    <w:rsid w:val="00A22921"/>
    <w:rPr>
      <w:rFonts w:ascii="Times New Roman" w:eastAsiaTheme="minorHAnsi" w:hAnsi="Times New Roman"/>
      <w:sz w:val="28"/>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Style3">
    <w:name w:val="Style3"/>
    <w:basedOn w:val="Heading3"/>
    <w:link w:val="Style3Char"/>
    <w:qFormat/>
    <w:rsid w:val="00D576BB"/>
    <w:pPr>
      <w:spacing w:line="259" w:lineRule="auto"/>
    </w:pPr>
    <w:rPr>
      <w:rFonts w:asciiTheme="majorHAnsi" w:eastAsiaTheme="majorEastAsia" w:hAnsiTheme="majorHAnsi" w:cstheme="majorBidi"/>
      <w:color w:val="1F4D78" w:themeColor="accent1" w:themeShade="7F"/>
      <w:szCs w:val="32"/>
      <w:lang w:eastAsia="en-US"/>
    </w:rPr>
  </w:style>
  <w:style w:type="character" w:customStyle="1" w:styleId="Style3Char">
    <w:name w:val="Style3 Char"/>
    <w:basedOn w:val="Heading3Char"/>
    <w:link w:val="Style3"/>
    <w:rsid w:val="00D576BB"/>
    <w:rPr>
      <w:rFonts w:asciiTheme="majorHAnsi" w:eastAsiaTheme="majorEastAsia" w:hAnsiTheme="majorHAnsi" w:cstheme="majorBidi"/>
      <w:b/>
      <w:bCs/>
      <w:color w:val="1F4D78" w:themeColor="accent1" w:themeShade="7F"/>
      <w:sz w:val="28"/>
      <w:szCs w:val="32"/>
      <w:lang w:eastAsia="en-US"/>
    </w:rPr>
  </w:style>
  <w:style w:type="paragraph" w:customStyle="1" w:styleId="Style2">
    <w:name w:val="Style2"/>
    <w:basedOn w:val="Heading2"/>
    <w:link w:val="Style2Char"/>
    <w:qFormat/>
    <w:rsid w:val="00D576BB"/>
    <w:pPr>
      <w:spacing w:line="259" w:lineRule="auto"/>
      <w:jc w:val="center"/>
    </w:pPr>
    <w:rPr>
      <w:lang w:eastAsia="en-US"/>
    </w:rPr>
  </w:style>
  <w:style w:type="character" w:customStyle="1" w:styleId="Style2Char">
    <w:name w:val="Style2 Char"/>
    <w:basedOn w:val="Heading2Char"/>
    <w:link w:val="Style2"/>
    <w:rsid w:val="00D576BB"/>
    <w:rPr>
      <w:rFonts w:ascii="Times New Roman" w:eastAsiaTheme="majorEastAsia" w:hAnsi="Times New Roman" w:cstheme="majorBidi"/>
      <w:b/>
      <w:bCs/>
      <w:smallCaps/>
      <w:color w:val="000000" w:themeColor="text1"/>
      <w:sz w:val="32"/>
      <w:szCs w:val="28"/>
      <w:lang w:eastAsia="en-US"/>
    </w:rPr>
  </w:style>
  <w:style w:type="paragraph" w:customStyle="1" w:styleId="Style1">
    <w:name w:val="Style1"/>
    <w:basedOn w:val="Heading1"/>
    <w:link w:val="Style1Char"/>
    <w:qFormat/>
    <w:rsid w:val="00D576BB"/>
    <w:pPr>
      <w:pBdr>
        <w:bottom w:val="single" w:sz="4" w:space="1" w:color="595959" w:themeColor="text1" w:themeTint="A6"/>
      </w:pBdr>
      <w:spacing w:after="160" w:line="259" w:lineRule="auto"/>
      <w:jc w:val="right"/>
    </w:pPr>
    <w:rPr>
      <w:rFonts w:asciiTheme="majorHAnsi" w:hAnsiTheme="majorHAnsi"/>
      <w:color w:val="2E74B5" w:themeColor="accent1" w:themeShade="BF"/>
      <w:szCs w:val="44"/>
      <w:lang w:eastAsia="en-US"/>
    </w:rPr>
  </w:style>
  <w:style w:type="character" w:customStyle="1" w:styleId="Style1Char">
    <w:name w:val="Style1 Char"/>
    <w:basedOn w:val="Heading1Char"/>
    <w:link w:val="Style1"/>
    <w:rsid w:val="00D576BB"/>
    <w:rPr>
      <w:rFonts w:asciiTheme="majorHAnsi" w:eastAsiaTheme="majorEastAsia" w:hAnsiTheme="majorHAnsi" w:cstheme="majorBidi"/>
      <w:b/>
      <w:bCs/>
      <w:smallCaps/>
      <w:color w:val="2E74B5" w:themeColor="accent1" w:themeShade="BF"/>
      <w:sz w:val="36"/>
      <w:szCs w:val="44"/>
      <w:lang w:eastAsia="en-US"/>
    </w:rPr>
  </w:style>
  <w:style w:type="character" w:customStyle="1" w:styleId="FootnoteTextChar1">
    <w:name w:val="Footnote Text Char1"/>
    <w:basedOn w:val="DefaultParagraphFont"/>
    <w:uiPriority w:val="99"/>
    <w:semiHidden/>
    <w:rsid w:val="00D576BB"/>
    <w:rPr>
      <w:sz w:val="20"/>
      <w:szCs w:val="20"/>
    </w:rPr>
  </w:style>
  <w:style w:type="paragraph" w:customStyle="1" w:styleId="Tabulasvirsraksts">
    <w:name w:val="Tabulas virsraksts"/>
    <w:basedOn w:val="Normal"/>
    <w:link w:val="TabulasvirsrakstsChar"/>
    <w:qFormat/>
    <w:rsid w:val="00D576BB"/>
    <w:pPr>
      <w:spacing w:before="240" w:after="240" w:line="259" w:lineRule="auto"/>
      <w:jc w:val="center"/>
    </w:pPr>
    <w:rPr>
      <w:rFonts w:eastAsiaTheme="minorHAnsi" w:cs="Times New Roman"/>
      <w:b/>
      <w:szCs w:val="24"/>
      <w:lang w:eastAsia="en-US"/>
    </w:rPr>
  </w:style>
  <w:style w:type="character" w:customStyle="1" w:styleId="TabulasvirsrakstsChar">
    <w:name w:val="Tabulas virsraksts Char"/>
    <w:basedOn w:val="DefaultParagraphFont"/>
    <w:link w:val="Tabulasvirsraksts"/>
    <w:rsid w:val="00D576BB"/>
    <w:rPr>
      <w:rFonts w:ascii="Times New Roman" w:eastAsiaTheme="minorHAnsi" w:hAnsi="Times New Roman" w:cs="Times New Roman"/>
      <w:b/>
      <w:sz w:val="24"/>
      <w:szCs w:val="24"/>
      <w:lang w:eastAsia="en-US"/>
    </w:rPr>
  </w:style>
  <w:style w:type="character" w:customStyle="1" w:styleId="UnresolvedMention1">
    <w:name w:val="Unresolved Mention1"/>
    <w:basedOn w:val="DefaultParagraphFont"/>
    <w:uiPriority w:val="99"/>
    <w:semiHidden/>
    <w:unhideWhenUsed/>
    <w:rsid w:val="00651B6D"/>
    <w:rPr>
      <w:color w:val="605E5C"/>
      <w:shd w:val="clear" w:color="auto" w:fill="E1DFDD"/>
    </w:rPr>
  </w:style>
  <w:style w:type="paragraph" w:customStyle="1" w:styleId="H5">
    <w:name w:val="H5"/>
    <w:basedOn w:val="Heading5"/>
    <w:link w:val="H5Char"/>
    <w:autoRedefine/>
    <w:qFormat/>
    <w:rsid w:val="006F1373"/>
    <w:pPr>
      <w:spacing w:before="240" w:after="240"/>
      <w:jc w:val="center"/>
    </w:pPr>
    <w:rPr>
      <w:rFonts w:ascii="Times New Roman" w:eastAsia="Calibri" w:hAnsi="Times New Roman" w:cs="Times New Roman"/>
      <w:b/>
      <w:bCs/>
      <w:noProof/>
      <w:color w:val="auto"/>
      <w:szCs w:val="24"/>
      <w:lang w:eastAsia="en-US"/>
    </w:rPr>
  </w:style>
  <w:style w:type="character" w:customStyle="1" w:styleId="H5Char">
    <w:name w:val="H5 Char"/>
    <w:basedOn w:val="DefaultParagraphFont"/>
    <w:link w:val="H5"/>
    <w:rsid w:val="006F1373"/>
    <w:rPr>
      <w:rFonts w:ascii="Times New Roman" w:eastAsia="Calibri" w:hAnsi="Times New Roman" w:cs="Times New Roman"/>
      <w:b/>
      <w:bCs/>
      <w:noProof/>
      <w:sz w:val="24"/>
      <w:szCs w:val="24"/>
      <w:lang w:eastAsia="en-US"/>
    </w:rPr>
  </w:style>
  <w:style w:type="character" w:customStyle="1" w:styleId="UnresolvedMention2">
    <w:name w:val="Unresolved Mention2"/>
    <w:basedOn w:val="DefaultParagraphFont"/>
    <w:uiPriority w:val="99"/>
    <w:semiHidden/>
    <w:unhideWhenUsed/>
    <w:rsid w:val="003128A0"/>
    <w:rPr>
      <w:color w:val="605E5C"/>
      <w:shd w:val="clear" w:color="auto" w:fill="E1DFDD"/>
    </w:rPr>
  </w:style>
  <w:style w:type="paragraph" w:customStyle="1" w:styleId="xxmsonormal">
    <w:name w:val="x_x_msonormal"/>
    <w:basedOn w:val="Normal"/>
    <w:rsid w:val="00806752"/>
    <w:pPr>
      <w:spacing w:before="100" w:beforeAutospacing="1" w:after="100" w:afterAutospacing="1"/>
      <w:ind w:firstLine="0"/>
      <w:jc w:val="left"/>
    </w:pPr>
    <w:rPr>
      <w:rFonts w:eastAsia="Times New Roman" w:cs="Times New Roman"/>
      <w:szCs w:val="24"/>
    </w:rPr>
  </w:style>
  <w:style w:type="character" w:customStyle="1" w:styleId="UnresolvedMention3">
    <w:name w:val="Unresolved Mention3"/>
    <w:basedOn w:val="DefaultParagraphFont"/>
    <w:uiPriority w:val="99"/>
    <w:semiHidden/>
    <w:unhideWhenUsed/>
    <w:rsid w:val="00380E24"/>
    <w:rPr>
      <w:color w:val="605E5C"/>
      <w:shd w:val="clear" w:color="auto" w:fill="E1DFDD"/>
    </w:rPr>
  </w:style>
  <w:style w:type="character" w:customStyle="1" w:styleId="normaltextrun">
    <w:name w:val="normaltextrun"/>
    <w:basedOn w:val="DefaultParagraphFont"/>
    <w:rsid w:val="00C030DA"/>
  </w:style>
  <w:style w:type="paragraph" w:customStyle="1" w:styleId="paragraph">
    <w:name w:val="paragraph"/>
    <w:basedOn w:val="Normal"/>
    <w:rsid w:val="00C030DA"/>
    <w:pPr>
      <w:spacing w:before="100" w:beforeAutospacing="1" w:after="100" w:afterAutospacing="1"/>
      <w:ind w:firstLine="0"/>
      <w:jc w:val="left"/>
    </w:pPr>
    <w:rPr>
      <w:rFonts w:eastAsia="Times New Roman" w:cs="Times New Roman"/>
      <w:szCs w:val="24"/>
    </w:rPr>
  </w:style>
  <w:style w:type="character" w:customStyle="1" w:styleId="eop">
    <w:name w:val="eop"/>
    <w:basedOn w:val="DefaultParagraphFont"/>
    <w:rsid w:val="00C030DA"/>
  </w:style>
  <w:style w:type="numbering" w:customStyle="1" w:styleId="NoList3">
    <w:name w:val="No List3"/>
    <w:next w:val="NoList"/>
    <w:uiPriority w:val="99"/>
    <w:semiHidden/>
    <w:unhideWhenUsed/>
    <w:rsid w:val="007C4935"/>
  </w:style>
  <w:style w:type="table" w:customStyle="1" w:styleId="TableGrid5">
    <w:name w:val="Table Grid5"/>
    <w:basedOn w:val="TableNormal"/>
    <w:next w:val="TableGrid"/>
    <w:uiPriority w:val="59"/>
    <w:rsid w:val="007C4935"/>
    <w:pPr>
      <w:ind w:left="425"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asteksts">
    <w:name w:val="Tabulas teksts"/>
    <w:basedOn w:val="Normal"/>
    <w:qFormat/>
    <w:rsid w:val="007C4935"/>
    <w:pPr>
      <w:keepNext/>
      <w:keepLines/>
      <w:ind w:left="425" w:firstLine="0"/>
      <w:jc w:val="left"/>
    </w:pPr>
    <w:rPr>
      <w:rFonts w:cs="Times New Roman"/>
      <w:noProof/>
      <w:sz w:val="18"/>
      <w:szCs w:val="24"/>
    </w:rPr>
  </w:style>
  <w:style w:type="paragraph" w:customStyle="1" w:styleId="Tabulascipari">
    <w:name w:val="Tabulas cipari"/>
    <w:basedOn w:val="Normal"/>
    <w:qFormat/>
    <w:rsid w:val="007C4935"/>
    <w:pPr>
      <w:ind w:left="425" w:firstLine="0"/>
      <w:jc w:val="right"/>
    </w:pPr>
    <w:rPr>
      <w:rFonts w:cs="Times New Roman"/>
      <w:noProof/>
      <w:sz w:val="18"/>
      <w:szCs w:val="24"/>
    </w:rPr>
  </w:style>
  <w:style w:type="paragraph" w:customStyle="1" w:styleId="Heading51">
    <w:name w:val="Heading 51"/>
    <w:basedOn w:val="Normal"/>
    <w:next w:val="Normal"/>
    <w:uiPriority w:val="9"/>
    <w:unhideWhenUsed/>
    <w:qFormat/>
    <w:rsid w:val="007C4935"/>
    <w:pPr>
      <w:keepNext/>
      <w:keepLines/>
      <w:spacing w:before="200"/>
      <w:ind w:left="425"/>
      <w:outlineLvl w:val="4"/>
    </w:pPr>
    <w:rPr>
      <w:rFonts w:ascii="Calibri Light" w:eastAsia="Times New Roman" w:hAnsi="Calibri Light" w:cs="Times New Roman"/>
      <w:color w:val="323E4F"/>
      <w:szCs w:val="24"/>
    </w:rPr>
  </w:style>
  <w:style w:type="paragraph" w:customStyle="1" w:styleId="Heading61">
    <w:name w:val="Heading 61"/>
    <w:basedOn w:val="Normal"/>
    <w:next w:val="Normal"/>
    <w:uiPriority w:val="9"/>
    <w:semiHidden/>
    <w:unhideWhenUsed/>
    <w:qFormat/>
    <w:rsid w:val="007C4935"/>
    <w:pPr>
      <w:keepNext/>
      <w:keepLines/>
      <w:spacing w:before="200"/>
      <w:ind w:left="425"/>
      <w:outlineLvl w:val="5"/>
    </w:pPr>
    <w:rPr>
      <w:rFonts w:ascii="Calibri Light" w:eastAsia="Times New Roman" w:hAnsi="Calibri Light" w:cs="Times New Roman"/>
      <w:i/>
      <w:iCs/>
      <w:color w:val="323E4F"/>
      <w:szCs w:val="24"/>
    </w:rPr>
  </w:style>
  <w:style w:type="paragraph" w:customStyle="1" w:styleId="Heading71">
    <w:name w:val="Heading 71"/>
    <w:basedOn w:val="Normal"/>
    <w:next w:val="Normal"/>
    <w:uiPriority w:val="9"/>
    <w:semiHidden/>
    <w:unhideWhenUsed/>
    <w:qFormat/>
    <w:rsid w:val="007C4935"/>
    <w:pPr>
      <w:keepNext/>
      <w:keepLines/>
      <w:spacing w:before="200"/>
      <w:ind w:left="425"/>
      <w:outlineLvl w:val="6"/>
    </w:pPr>
    <w:rPr>
      <w:rFonts w:ascii="Calibri Light" w:eastAsia="Times New Roman" w:hAnsi="Calibri Light" w:cs="Times New Roman"/>
      <w:i/>
      <w:iCs/>
      <w:color w:val="404040"/>
      <w:szCs w:val="24"/>
    </w:rPr>
  </w:style>
  <w:style w:type="paragraph" w:customStyle="1" w:styleId="Heading81">
    <w:name w:val="Heading 81"/>
    <w:basedOn w:val="Normal"/>
    <w:next w:val="Normal"/>
    <w:uiPriority w:val="9"/>
    <w:semiHidden/>
    <w:unhideWhenUsed/>
    <w:qFormat/>
    <w:rsid w:val="007C4935"/>
    <w:pPr>
      <w:keepNext/>
      <w:keepLines/>
      <w:spacing w:before="200"/>
      <w:ind w:left="425"/>
      <w:outlineLvl w:val="7"/>
    </w:pPr>
    <w:rPr>
      <w:rFonts w:ascii="Calibri Light" w:eastAsia="Times New Roman" w:hAnsi="Calibri Light" w:cs="Times New Roman"/>
      <w:color w:val="404040"/>
      <w:sz w:val="20"/>
      <w:szCs w:val="20"/>
    </w:rPr>
  </w:style>
  <w:style w:type="paragraph" w:customStyle="1" w:styleId="Heading91">
    <w:name w:val="Heading 91"/>
    <w:basedOn w:val="Normal"/>
    <w:next w:val="Normal"/>
    <w:uiPriority w:val="9"/>
    <w:semiHidden/>
    <w:unhideWhenUsed/>
    <w:qFormat/>
    <w:rsid w:val="007C4935"/>
    <w:pPr>
      <w:keepNext/>
      <w:keepLines/>
      <w:spacing w:before="200"/>
      <w:ind w:left="425"/>
      <w:outlineLvl w:val="8"/>
    </w:pPr>
    <w:rPr>
      <w:rFonts w:ascii="Calibri Light" w:eastAsia="Times New Roman" w:hAnsi="Calibri Light" w:cs="Times New Roman"/>
      <w:i/>
      <w:iCs/>
      <w:color w:val="404040"/>
      <w:sz w:val="20"/>
      <w:szCs w:val="20"/>
    </w:rPr>
  </w:style>
  <w:style w:type="numbering" w:customStyle="1" w:styleId="NoList11">
    <w:name w:val="No List11"/>
    <w:next w:val="NoList"/>
    <w:uiPriority w:val="99"/>
    <w:semiHidden/>
    <w:unhideWhenUsed/>
    <w:rsid w:val="007C4935"/>
  </w:style>
  <w:style w:type="paragraph" w:customStyle="1" w:styleId="Caption1">
    <w:name w:val="Caption1"/>
    <w:basedOn w:val="Normal"/>
    <w:next w:val="Normal"/>
    <w:uiPriority w:val="35"/>
    <w:semiHidden/>
    <w:unhideWhenUsed/>
    <w:qFormat/>
    <w:rsid w:val="007C4935"/>
    <w:pPr>
      <w:spacing w:after="200"/>
      <w:ind w:left="425"/>
    </w:pPr>
    <w:rPr>
      <w:rFonts w:eastAsia="Times New Roman" w:cs="Times New Roman"/>
      <w:i/>
      <w:iCs/>
      <w:color w:val="44546A"/>
      <w:sz w:val="18"/>
      <w:szCs w:val="18"/>
    </w:rPr>
  </w:style>
  <w:style w:type="paragraph" w:customStyle="1" w:styleId="Zmjumanosaukums">
    <w:name w:val="Zīmējuma nosaukums"/>
    <w:basedOn w:val="Normal"/>
    <w:qFormat/>
    <w:rsid w:val="007C4935"/>
    <w:pPr>
      <w:ind w:left="425" w:firstLine="0"/>
      <w:jc w:val="center"/>
    </w:pPr>
    <w:rPr>
      <w:rFonts w:eastAsia="Calibri" w:cs="Times New Roman"/>
      <w:b/>
      <w:i/>
      <w:szCs w:val="24"/>
      <w:lang w:eastAsia="en-US"/>
    </w:rPr>
  </w:style>
  <w:style w:type="paragraph" w:customStyle="1" w:styleId="CommentSubject1">
    <w:name w:val="Comment Subject1"/>
    <w:basedOn w:val="Normal"/>
    <w:next w:val="Normal"/>
    <w:uiPriority w:val="99"/>
    <w:semiHidden/>
    <w:unhideWhenUsed/>
    <w:rsid w:val="007C4935"/>
    <w:pPr>
      <w:ind w:left="425"/>
    </w:pPr>
    <w:rPr>
      <w:rFonts w:eastAsia="Times New Roman" w:cs="Times New Roman"/>
      <w:b/>
      <w:bCs/>
      <w:sz w:val="20"/>
      <w:szCs w:val="20"/>
    </w:rPr>
  </w:style>
  <w:style w:type="paragraph" w:customStyle="1" w:styleId="Revision1">
    <w:name w:val="Revision1"/>
    <w:next w:val="Revision"/>
    <w:hidden/>
    <w:uiPriority w:val="99"/>
    <w:semiHidden/>
    <w:rsid w:val="007C4935"/>
    <w:pPr>
      <w:ind w:left="425" w:firstLine="720"/>
      <w:jc w:val="both"/>
    </w:pPr>
    <w:rPr>
      <w:rFonts w:eastAsia="Times New Roman"/>
    </w:rPr>
  </w:style>
  <w:style w:type="table" w:customStyle="1" w:styleId="ListTable2-Accent11">
    <w:name w:val="List Table 2 - Accent 11"/>
    <w:basedOn w:val="TableNormal"/>
    <w:next w:val="ListTable2-Accent1"/>
    <w:uiPriority w:val="47"/>
    <w:rsid w:val="007C4935"/>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
    <w:name w:val="No List111"/>
    <w:next w:val="NoList"/>
    <w:uiPriority w:val="99"/>
    <w:semiHidden/>
    <w:unhideWhenUsed/>
    <w:rsid w:val="007C4935"/>
  </w:style>
  <w:style w:type="table" w:customStyle="1" w:styleId="TableGrid11">
    <w:name w:val="Table Grid11"/>
    <w:basedOn w:val="TableNormal"/>
    <w:next w:val="TableGrid"/>
    <w:uiPriority w:val="39"/>
    <w:rsid w:val="007C4935"/>
    <w:pPr>
      <w:ind w:left="425" w:firstLine="720"/>
      <w:jc w:val="both"/>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7C4935"/>
  </w:style>
  <w:style w:type="table" w:customStyle="1" w:styleId="TableGrid21">
    <w:name w:val="Table Grid21"/>
    <w:basedOn w:val="TableNormal"/>
    <w:next w:val="TableGrid"/>
    <w:uiPriority w:val="39"/>
    <w:rsid w:val="007C4935"/>
    <w:pPr>
      <w:ind w:left="425"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2">
    <w:name w:val="FollowedHyperlink2"/>
    <w:basedOn w:val="DefaultParagraphFont"/>
    <w:uiPriority w:val="99"/>
    <w:semiHidden/>
    <w:unhideWhenUsed/>
    <w:rsid w:val="007C4935"/>
    <w:rPr>
      <w:color w:val="954F72"/>
      <w:u w:val="single"/>
    </w:rPr>
  </w:style>
  <w:style w:type="table" w:customStyle="1" w:styleId="TableGrid31">
    <w:name w:val="Table Grid31"/>
    <w:basedOn w:val="TableNormal"/>
    <w:next w:val="TableGrid"/>
    <w:uiPriority w:val="39"/>
    <w:rsid w:val="007C4935"/>
    <w:pPr>
      <w:ind w:left="425"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7C4935"/>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11">
    <w:name w:val="Plain Table 4111"/>
    <w:basedOn w:val="TableNormal"/>
    <w:uiPriority w:val="44"/>
    <w:rsid w:val="007C4935"/>
    <w:pPr>
      <w:ind w:left="425" w:firstLine="720"/>
      <w:jc w:val="both"/>
    </w:pPr>
    <w:rPr>
      <w:rFonts w:ascii="Times New Roman" w:eastAsia="Calibri" w:hAnsi="Times New Roman"/>
      <w:sz w:val="28"/>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eading4Char1">
    <w:name w:val="Heading 4 Char1"/>
    <w:basedOn w:val="DefaultParagraphFont"/>
    <w:uiPriority w:val="9"/>
    <w:semiHidden/>
    <w:rsid w:val="007C4935"/>
    <w:rPr>
      <w:rFonts w:ascii="Calibri Light" w:eastAsia="Times New Roman" w:hAnsi="Calibri Light" w:cs="Times New Roman"/>
      <w:i/>
      <w:iCs/>
      <w:color w:val="2F5496"/>
    </w:rPr>
  </w:style>
  <w:style w:type="character" w:customStyle="1" w:styleId="Heading5Char1">
    <w:name w:val="Heading 5 Char1"/>
    <w:basedOn w:val="DefaultParagraphFont"/>
    <w:uiPriority w:val="9"/>
    <w:semiHidden/>
    <w:rsid w:val="007C4935"/>
    <w:rPr>
      <w:rFonts w:ascii="Calibri Light" w:eastAsia="Times New Roman" w:hAnsi="Calibri Light" w:cs="Times New Roman"/>
      <w:color w:val="2F5496"/>
    </w:rPr>
  </w:style>
  <w:style w:type="character" w:customStyle="1" w:styleId="Heading6Char1">
    <w:name w:val="Heading 6 Char1"/>
    <w:basedOn w:val="DefaultParagraphFont"/>
    <w:uiPriority w:val="9"/>
    <w:semiHidden/>
    <w:rsid w:val="007C4935"/>
    <w:rPr>
      <w:rFonts w:ascii="Calibri Light" w:eastAsia="Times New Roman" w:hAnsi="Calibri Light" w:cs="Times New Roman"/>
      <w:color w:val="1F3763"/>
    </w:rPr>
  </w:style>
  <w:style w:type="character" w:customStyle="1" w:styleId="Heading7Char1">
    <w:name w:val="Heading 7 Char1"/>
    <w:basedOn w:val="DefaultParagraphFont"/>
    <w:uiPriority w:val="9"/>
    <w:semiHidden/>
    <w:rsid w:val="007C4935"/>
    <w:rPr>
      <w:rFonts w:ascii="Calibri Light" w:eastAsia="Times New Roman" w:hAnsi="Calibri Light" w:cs="Times New Roman"/>
      <w:i/>
      <w:iCs/>
      <w:color w:val="1F3763"/>
    </w:rPr>
  </w:style>
  <w:style w:type="character" w:customStyle="1" w:styleId="Heading8Char1">
    <w:name w:val="Heading 8 Char1"/>
    <w:basedOn w:val="DefaultParagraphFont"/>
    <w:uiPriority w:val="9"/>
    <w:semiHidden/>
    <w:rsid w:val="007C4935"/>
    <w:rPr>
      <w:rFonts w:ascii="Calibri Light" w:eastAsia="Times New Roman" w:hAnsi="Calibri Light" w:cs="Times New Roman"/>
      <w:color w:val="272727"/>
      <w:sz w:val="21"/>
      <w:szCs w:val="21"/>
    </w:rPr>
  </w:style>
  <w:style w:type="character" w:customStyle="1" w:styleId="Heading9Char1">
    <w:name w:val="Heading 9 Char1"/>
    <w:basedOn w:val="DefaultParagraphFont"/>
    <w:uiPriority w:val="9"/>
    <w:semiHidden/>
    <w:rsid w:val="007C4935"/>
    <w:rPr>
      <w:rFonts w:ascii="Calibri Light" w:eastAsia="Times New Roman" w:hAnsi="Calibri Light" w:cs="Times New Roman"/>
      <w:i/>
      <w:iCs/>
      <w:color w:val="272727"/>
      <w:sz w:val="21"/>
      <w:szCs w:val="21"/>
    </w:rPr>
  </w:style>
  <w:style w:type="character" w:customStyle="1" w:styleId="CommentSubjectChar1">
    <w:name w:val="Comment Subject Char1"/>
    <w:basedOn w:val="DefaultParagraphFont"/>
    <w:uiPriority w:val="99"/>
    <w:semiHidden/>
    <w:rsid w:val="007C4935"/>
    <w:rPr>
      <w:b/>
      <w:bCs/>
      <w:sz w:val="20"/>
      <w:szCs w:val="20"/>
    </w:rPr>
  </w:style>
  <w:style w:type="character" w:customStyle="1" w:styleId="BalloonTextChar1">
    <w:name w:val="Balloon Text Char1"/>
    <w:basedOn w:val="DefaultParagraphFont"/>
    <w:uiPriority w:val="99"/>
    <w:semiHidden/>
    <w:rsid w:val="007C4935"/>
    <w:rPr>
      <w:rFonts w:ascii="Segoe UI" w:hAnsi="Segoe UI" w:cs="Segoe UI"/>
      <w:sz w:val="18"/>
      <w:szCs w:val="18"/>
    </w:rPr>
  </w:style>
  <w:style w:type="table" w:customStyle="1" w:styleId="ListTable2-Accent12">
    <w:name w:val="List Table 2 - Accent 12"/>
    <w:basedOn w:val="TableNormal"/>
    <w:next w:val="ListTable2-Accent1"/>
    <w:uiPriority w:val="47"/>
    <w:rsid w:val="007C4935"/>
    <w:pPr>
      <w:ind w:left="425" w:firstLine="720"/>
      <w:jc w:val="both"/>
    </w:pPr>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Piezme">
    <w:name w:val="Piezīme"/>
    <w:basedOn w:val="Normal"/>
    <w:qFormat/>
    <w:rsid w:val="007C4935"/>
    <w:pPr>
      <w:spacing w:after="0"/>
      <w:ind w:left="425" w:firstLine="0"/>
    </w:pPr>
    <w:rPr>
      <w:rFonts w:eastAsia="Calibri" w:cs="Times New Roman"/>
      <w:sz w:val="18"/>
      <w:szCs w:val="18"/>
      <w:lang w:eastAsia="en-US"/>
    </w:rPr>
  </w:style>
  <w:style w:type="numbering" w:customStyle="1" w:styleId="NoList4">
    <w:name w:val="No List4"/>
    <w:next w:val="NoList"/>
    <w:uiPriority w:val="99"/>
    <w:semiHidden/>
    <w:unhideWhenUsed/>
    <w:rsid w:val="007E409E"/>
  </w:style>
  <w:style w:type="numbering" w:customStyle="1" w:styleId="NoList12">
    <w:name w:val="No List12"/>
    <w:next w:val="NoList"/>
    <w:uiPriority w:val="99"/>
    <w:semiHidden/>
    <w:unhideWhenUsed/>
    <w:rsid w:val="007E409E"/>
  </w:style>
  <w:style w:type="table" w:customStyle="1" w:styleId="ListTable2-Accent111">
    <w:name w:val="List Table 2 - Accent 111"/>
    <w:basedOn w:val="TableNormal"/>
    <w:next w:val="ListTable2-Accent1"/>
    <w:uiPriority w:val="47"/>
    <w:rsid w:val="007E409E"/>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
    <w:name w:val="No List112"/>
    <w:next w:val="NoList"/>
    <w:uiPriority w:val="99"/>
    <w:semiHidden/>
    <w:unhideWhenUsed/>
    <w:rsid w:val="007E409E"/>
  </w:style>
  <w:style w:type="numbering" w:customStyle="1" w:styleId="NoList22">
    <w:name w:val="No List22"/>
    <w:next w:val="NoList"/>
    <w:uiPriority w:val="99"/>
    <w:semiHidden/>
    <w:unhideWhenUsed/>
    <w:rsid w:val="007E409E"/>
  </w:style>
  <w:style w:type="table" w:customStyle="1" w:styleId="TableGrid42">
    <w:name w:val="Table Grid42"/>
    <w:basedOn w:val="TableNormal"/>
    <w:next w:val="TableGrid"/>
    <w:uiPriority w:val="39"/>
    <w:rsid w:val="007E40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3">
    <w:name w:val="List Table 2 - Accent 13"/>
    <w:basedOn w:val="TableNormal"/>
    <w:next w:val="ListTable2-Accent1"/>
    <w:uiPriority w:val="47"/>
    <w:rsid w:val="007E409E"/>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odyTextIndent">
    <w:name w:val="Body Text Indent"/>
    <w:basedOn w:val="Normal"/>
    <w:link w:val="BodyTextIndentChar"/>
    <w:uiPriority w:val="99"/>
    <w:semiHidden/>
    <w:unhideWhenUsed/>
    <w:rsid w:val="005218A4"/>
    <w:pPr>
      <w:ind w:left="360"/>
    </w:pPr>
  </w:style>
  <w:style w:type="character" w:customStyle="1" w:styleId="BodyTextIndentChar">
    <w:name w:val="Body Text Indent Char"/>
    <w:basedOn w:val="DefaultParagraphFont"/>
    <w:link w:val="BodyTextIndent"/>
    <w:uiPriority w:val="99"/>
    <w:semiHidden/>
    <w:rsid w:val="005218A4"/>
    <w:rPr>
      <w:rFonts w:ascii="Times New Roman" w:hAnsi="Times New Roman"/>
      <w:sz w:val="24"/>
    </w:rPr>
  </w:style>
  <w:style w:type="table" w:customStyle="1" w:styleId="TableGrid6">
    <w:name w:val="Table Grid6"/>
    <w:basedOn w:val="TableNormal"/>
    <w:next w:val="TableGrid"/>
    <w:uiPriority w:val="59"/>
    <w:rsid w:val="00D7377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C35A62"/>
    <w:pPr>
      <w:spacing w:before="120" w:after="120"/>
      <w:ind w:left="284"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9522E"/>
    <w:rPr>
      <w:rFonts w:ascii="Times New Roman" w:eastAsia="Calibri" w:hAnsi="Times New Roman" w:cs="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style>
  <w:style w:type="numbering" w:customStyle="1" w:styleId="NoList5">
    <w:name w:val="No List5"/>
    <w:next w:val="NoList"/>
    <w:uiPriority w:val="99"/>
    <w:semiHidden/>
    <w:unhideWhenUsed/>
    <w:rsid w:val="005E539C"/>
  </w:style>
  <w:style w:type="table" w:customStyle="1" w:styleId="TableGrid8">
    <w:name w:val="Table Grid8"/>
    <w:basedOn w:val="TableNormal"/>
    <w:next w:val="TableGrid"/>
    <w:uiPriority w:val="39"/>
    <w:rsid w:val="005E539C"/>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E539C"/>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Normal"/>
    <w:rsid w:val="005E539C"/>
    <w:pPr>
      <w:spacing w:before="100" w:beforeAutospacing="1" w:after="100" w:afterAutospacing="1"/>
      <w:ind w:firstLine="0"/>
      <w:jc w:val="left"/>
    </w:pPr>
    <w:rPr>
      <w:rFonts w:eastAsia="Times New Roman" w:cs="Times New Roman"/>
      <w:szCs w:val="24"/>
    </w:rPr>
  </w:style>
  <w:style w:type="table" w:customStyle="1" w:styleId="TableGrid9">
    <w:name w:val="Table Grid9"/>
    <w:basedOn w:val="TableNormal"/>
    <w:next w:val="TableGrid"/>
    <w:uiPriority w:val="39"/>
    <w:rsid w:val="00C032A1"/>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C032A1"/>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4">
    <w:name w:val="List Table 2 - Accent 14"/>
    <w:basedOn w:val="TableNormal"/>
    <w:next w:val="ListTable2-Accent1"/>
    <w:uiPriority w:val="47"/>
    <w:rsid w:val="008E24F6"/>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6">
    <w:name w:val="No List6"/>
    <w:next w:val="NoList"/>
    <w:uiPriority w:val="99"/>
    <w:semiHidden/>
    <w:unhideWhenUsed/>
    <w:rsid w:val="00357E15"/>
  </w:style>
  <w:style w:type="paragraph" w:customStyle="1" w:styleId="Heading11">
    <w:name w:val="Heading 11"/>
    <w:basedOn w:val="Normal"/>
    <w:next w:val="Normal"/>
    <w:uiPriority w:val="9"/>
    <w:qFormat/>
    <w:rsid w:val="00357E15"/>
    <w:pPr>
      <w:keepNext/>
      <w:keepLines/>
      <w:spacing w:before="360"/>
      <w:ind w:firstLine="0"/>
      <w:outlineLvl w:val="0"/>
    </w:pPr>
    <w:rPr>
      <w:rFonts w:eastAsia="Times New Roman" w:cs="Times New Roman"/>
      <w:b/>
      <w:bCs/>
      <w:smallCaps/>
      <w:color w:val="000000"/>
      <w:sz w:val="36"/>
      <w:szCs w:val="36"/>
      <w:lang w:eastAsia="en-US"/>
    </w:rPr>
  </w:style>
  <w:style w:type="paragraph" w:customStyle="1" w:styleId="Heading21">
    <w:name w:val="Heading 21"/>
    <w:basedOn w:val="Normal"/>
    <w:next w:val="Normal"/>
    <w:uiPriority w:val="9"/>
    <w:unhideWhenUsed/>
    <w:qFormat/>
    <w:rsid w:val="00357E15"/>
    <w:pPr>
      <w:keepNext/>
      <w:keepLines/>
      <w:spacing w:before="360"/>
      <w:ind w:firstLine="0"/>
      <w:outlineLvl w:val="1"/>
    </w:pPr>
    <w:rPr>
      <w:rFonts w:eastAsia="Times New Roman" w:cs="Times New Roman"/>
      <w:b/>
      <w:bCs/>
      <w:smallCaps/>
      <w:color w:val="000000"/>
      <w:sz w:val="32"/>
      <w:szCs w:val="28"/>
    </w:rPr>
  </w:style>
  <w:style w:type="paragraph" w:customStyle="1" w:styleId="Heading31">
    <w:name w:val="Heading 31"/>
    <w:basedOn w:val="Normal"/>
    <w:next w:val="Normal"/>
    <w:uiPriority w:val="9"/>
    <w:unhideWhenUsed/>
    <w:qFormat/>
    <w:rsid w:val="00357E15"/>
    <w:pPr>
      <w:keepNext/>
      <w:keepLines/>
      <w:spacing w:before="200"/>
      <w:ind w:left="3623" w:hanging="504"/>
      <w:jc w:val="center"/>
      <w:outlineLvl w:val="2"/>
    </w:pPr>
    <w:rPr>
      <w:rFonts w:eastAsia="Calibri" w:cs="Times New Roman"/>
      <w:b/>
      <w:bCs/>
      <w:color w:val="000000"/>
      <w:sz w:val="28"/>
      <w:szCs w:val="28"/>
    </w:rPr>
  </w:style>
  <w:style w:type="paragraph" w:customStyle="1" w:styleId="Heading41">
    <w:name w:val="Heading 41"/>
    <w:basedOn w:val="Normal"/>
    <w:next w:val="Normal"/>
    <w:unhideWhenUsed/>
    <w:qFormat/>
    <w:rsid w:val="00357E15"/>
    <w:pPr>
      <w:keepNext/>
      <w:keepLines/>
      <w:spacing w:before="200"/>
      <w:ind w:firstLine="0"/>
      <w:outlineLvl w:val="3"/>
    </w:pPr>
    <w:rPr>
      <w:rFonts w:ascii="Calibri Light" w:eastAsia="Times New Roman" w:hAnsi="Calibri Light" w:cs="Times New Roman"/>
      <w:b/>
      <w:bCs/>
      <w:i/>
      <w:iCs/>
      <w:color w:val="000000"/>
    </w:rPr>
  </w:style>
  <w:style w:type="numbering" w:customStyle="1" w:styleId="NoList13">
    <w:name w:val="No List13"/>
    <w:next w:val="NoList"/>
    <w:uiPriority w:val="99"/>
    <w:semiHidden/>
    <w:unhideWhenUsed/>
    <w:rsid w:val="00357E15"/>
  </w:style>
  <w:style w:type="character" w:customStyle="1" w:styleId="Heading1Char1">
    <w:name w:val="Heading 1 Char1"/>
    <w:basedOn w:val="DefaultParagraphFont"/>
    <w:uiPriority w:val="9"/>
    <w:rsid w:val="00357E15"/>
    <w:rPr>
      <w:rFonts w:ascii="Calibri Light" w:eastAsia="Times New Roman" w:hAnsi="Calibri Light" w:cs="Times New Roman"/>
      <w:color w:val="2F5496"/>
      <w:sz w:val="32"/>
      <w:szCs w:val="32"/>
    </w:rPr>
  </w:style>
  <w:style w:type="paragraph" w:customStyle="1" w:styleId="Title1">
    <w:name w:val="Title1"/>
    <w:basedOn w:val="Normal"/>
    <w:next w:val="Normal"/>
    <w:uiPriority w:val="10"/>
    <w:qFormat/>
    <w:rsid w:val="00357E15"/>
    <w:pPr>
      <w:contextualSpacing/>
    </w:pPr>
    <w:rPr>
      <w:rFonts w:ascii="Calibri Light" w:eastAsia="Times New Roman" w:hAnsi="Calibri Light" w:cs="Times New Roman"/>
      <w:color w:val="000000"/>
      <w:sz w:val="56"/>
      <w:szCs w:val="56"/>
    </w:rPr>
  </w:style>
  <w:style w:type="paragraph" w:customStyle="1" w:styleId="Subtitle1">
    <w:name w:val="Subtitle1"/>
    <w:basedOn w:val="Normal"/>
    <w:next w:val="Normal"/>
    <w:uiPriority w:val="11"/>
    <w:qFormat/>
    <w:rsid w:val="00357E15"/>
    <w:pPr>
      <w:numPr>
        <w:ilvl w:val="1"/>
      </w:numPr>
      <w:ind w:firstLine="720"/>
    </w:pPr>
    <w:rPr>
      <w:rFonts w:eastAsia="Times New Roman"/>
      <w:color w:val="5A5A5A"/>
      <w:spacing w:val="10"/>
    </w:rPr>
  </w:style>
  <w:style w:type="character" w:customStyle="1" w:styleId="Strong1">
    <w:name w:val="Strong1"/>
    <w:basedOn w:val="DefaultParagraphFont"/>
    <w:uiPriority w:val="22"/>
    <w:qFormat/>
    <w:rsid w:val="00357E15"/>
    <w:rPr>
      <w:b/>
      <w:bCs/>
      <w:color w:val="000000"/>
    </w:rPr>
  </w:style>
  <w:style w:type="paragraph" w:customStyle="1" w:styleId="Quote1">
    <w:name w:val="Quote1"/>
    <w:basedOn w:val="Normal"/>
    <w:next w:val="Normal"/>
    <w:uiPriority w:val="29"/>
    <w:qFormat/>
    <w:rsid w:val="00357E15"/>
    <w:pPr>
      <w:spacing w:before="160"/>
      <w:ind w:left="720" w:right="720"/>
    </w:pPr>
    <w:rPr>
      <w:rFonts w:eastAsia="Times New Roman"/>
      <w:i/>
      <w:iCs/>
      <w:color w:val="000000"/>
    </w:rPr>
  </w:style>
  <w:style w:type="paragraph" w:customStyle="1" w:styleId="IntenseQuote1">
    <w:name w:val="Intense Quote1"/>
    <w:basedOn w:val="Normal"/>
    <w:next w:val="Normal"/>
    <w:uiPriority w:val="30"/>
    <w:qFormat/>
    <w:rsid w:val="00357E15"/>
    <w:pPr>
      <w:pBdr>
        <w:top w:val="single" w:sz="24" w:space="1" w:color="F2F2F2"/>
        <w:bottom w:val="single" w:sz="24" w:space="1" w:color="F2F2F2"/>
      </w:pBdr>
      <w:shd w:val="clear" w:color="auto" w:fill="F2F2F2"/>
      <w:spacing w:before="240" w:after="240"/>
      <w:ind w:left="936" w:right="936"/>
      <w:jc w:val="center"/>
    </w:pPr>
    <w:rPr>
      <w:rFonts w:eastAsia="Times New Roman"/>
      <w:color w:val="000000"/>
    </w:rPr>
  </w:style>
  <w:style w:type="character" w:customStyle="1" w:styleId="SubtleEmphasis1">
    <w:name w:val="Subtle Emphasis1"/>
    <w:basedOn w:val="DefaultParagraphFont"/>
    <w:uiPriority w:val="19"/>
    <w:qFormat/>
    <w:rsid w:val="00357E15"/>
    <w:rPr>
      <w:i/>
      <w:iCs/>
      <w:color w:val="404040"/>
    </w:rPr>
  </w:style>
  <w:style w:type="character" w:customStyle="1" w:styleId="SubtleReference1">
    <w:name w:val="Subtle Reference1"/>
    <w:basedOn w:val="DefaultParagraphFont"/>
    <w:uiPriority w:val="31"/>
    <w:qFormat/>
    <w:rsid w:val="00357E15"/>
    <w:rPr>
      <w:smallCaps/>
      <w:color w:val="404040"/>
      <w:u w:val="single" w:color="7F7F7F"/>
    </w:rPr>
  </w:style>
  <w:style w:type="character" w:customStyle="1" w:styleId="Hyperlink1">
    <w:name w:val="Hyperlink1"/>
    <w:basedOn w:val="DefaultParagraphFont"/>
    <w:uiPriority w:val="99"/>
    <w:unhideWhenUsed/>
    <w:rsid w:val="00357E15"/>
    <w:rPr>
      <w:color w:val="0563C1"/>
      <w:u w:val="single"/>
    </w:rPr>
  </w:style>
  <w:style w:type="table" w:customStyle="1" w:styleId="TableGrid10">
    <w:name w:val="Table Grid10"/>
    <w:basedOn w:val="TableNormal"/>
    <w:next w:val="TableGrid"/>
    <w:uiPriority w:val="59"/>
    <w:rsid w:val="00357E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2">
    <w:name w:val="List Table 2 - Accent 112"/>
    <w:basedOn w:val="TableNormal"/>
    <w:next w:val="ListTable2-Accent1"/>
    <w:uiPriority w:val="47"/>
    <w:rsid w:val="00357E15"/>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3">
    <w:name w:val="No List113"/>
    <w:next w:val="NoList"/>
    <w:uiPriority w:val="99"/>
    <w:semiHidden/>
    <w:unhideWhenUsed/>
    <w:rsid w:val="00357E15"/>
  </w:style>
  <w:style w:type="numbering" w:customStyle="1" w:styleId="NoList23">
    <w:name w:val="No List23"/>
    <w:next w:val="NoList"/>
    <w:uiPriority w:val="99"/>
    <w:semiHidden/>
    <w:unhideWhenUsed/>
    <w:rsid w:val="00357E15"/>
  </w:style>
  <w:style w:type="table" w:customStyle="1" w:styleId="TableGrid43">
    <w:name w:val="Table Grid43"/>
    <w:basedOn w:val="TableNormal"/>
    <w:next w:val="TableGrid"/>
    <w:uiPriority w:val="39"/>
    <w:rsid w:val="00357E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357E15"/>
    <w:rPr>
      <w:rFonts w:ascii="Calibri Light" w:eastAsia="Times New Roman" w:hAnsi="Calibri Light" w:cs="Times New Roman"/>
      <w:color w:val="2F5496"/>
      <w:sz w:val="26"/>
      <w:szCs w:val="26"/>
    </w:rPr>
  </w:style>
  <w:style w:type="character" w:customStyle="1" w:styleId="Heading3Char1">
    <w:name w:val="Heading 3 Char1"/>
    <w:basedOn w:val="DefaultParagraphFont"/>
    <w:uiPriority w:val="9"/>
    <w:semiHidden/>
    <w:rsid w:val="00357E15"/>
    <w:rPr>
      <w:rFonts w:ascii="Calibri Light" w:eastAsia="Times New Roman" w:hAnsi="Calibri Light" w:cs="Times New Roman"/>
      <w:color w:val="1F3763"/>
      <w:sz w:val="24"/>
      <w:szCs w:val="24"/>
    </w:rPr>
  </w:style>
  <w:style w:type="character" w:customStyle="1" w:styleId="TitleChar1">
    <w:name w:val="Title Char1"/>
    <w:basedOn w:val="DefaultParagraphFont"/>
    <w:uiPriority w:val="10"/>
    <w:rsid w:val="00357E15"/>
    <w:rPr>
      <w:rFonts w:ascii="Calibri Light" w:eastAsia="Times New Roman" w:hAnsi="Calibri Light" w:cs="Times New Roman"/>
      <w:spacing w:val="-10"/>
      <w:kern w:val="28"/>
      <w:sz w:val="56"/>
      <w:szCs w:val="56"/>
    </w:rPr>
  </w:style>
  <w:style w:type="character" w:customStyle="1" w:styleId="SubtitleChar1">
    <w:name w:val="Subtitle Char1"/>
    <w:basedOn w:val="DefaultParagraphFont"/>
    <w:uiPriority w:val="11"/>
    <w:rsid w:val="00357E15"/>
    <w:rPr>
      <w:rFonts w:eastAsia="Times New Roman"/>
      <w:color w:val="5A5A5A"/>
      <w:spacing w:val="15"/>
    </w:rPr>
  </w:style>
  <w:style w:type="character" w:customStyle="1" w:styleId="QuoteChar1">
    <w:name w:val="Quote Char1"/>
    <w:basedOn w:val="DefaultParagraphFont"/>
    <w:uiPriority w:val="29"/>
    <w:rsid w:val="00357E15"/>
    <w:rPr>
      <w:i/>
      <w:iCs/>
      <w:color w:val="404040"/>
    </w:rPr>
  </w:style>
  <w:style w:type="character" w:customStyle="1" w:styleId="IntenseQuoteChar1">
    <w:name w:val="Intense Quote Char1"/>
    <w:basedOn w:val="DefaultParagraphFont"/>
    <w:uiPriority w:val="30"/>
    <w:rsid w:val="00357E15"/>
    <w:rPr>
      <w:i/>
      <w:iCs/>
      <w:color w:val="4472C4"/>
    </w:rPr>
  </w:style>
  <w:style w:type="table" w:customStyle="1" w:styleId="ListTable2-Accent15">
    <w:name w:val="List Table 2 - Accent 15"/>
    <w:basedOn w:val="TableNormal"/>
    <w:next w:val="ListTable2-Accent1"/>
    <w:uiPriority w:val="47"/>
    <w:rsid w:val="00357E15"/>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bvirsr">
    <w:name w:val="tab_virsr"/>
    <w:basedOn w:val="Normal"/>
    <w:rsid w:val="00272E4E"/>
    <w:pPr>
      <w:keepNext/>
      <w:keepLines/>
      <w:spacing w:after="0"/>
      <w:ind w:firstLine="0"/>
      <w:jc w:val="center"/>
    </w:pPr>
    <w:rPr>
      <w:rFonts w:ascii="Garamond" w:eastAsia="Times New Roman" w:hAnsi="Garamond" w:cs="Times New Roman"/>
      <w:b/>
      <w:sz w:val="22"/>
      <w:szCs w:val="20"/>
      <w:lang w:val="en-US" w:eastAsia="en-US"/>
    </w:rPr>
  </w:style>
  <w:style w:type="numbering" w:customStyle="1" w:styleId="NoList7">
    <w:name w:val="No List7"/>
    <w:next w:val="NoList"/>
    <w:uiPriority w:val="99"/>
    <w:semiHidden/>
    <w:unhideWhenUsed/>
    <w:rsid w:val="005E41CA"/>
  </w:style>
  <w:style w:type="numbering" w:customStyle="1" w:styleId="NoList14">
    <w:name w:val="No List14"/>
    <w:next w:val="NoList"/>
    <w:uiPriority w:val="99"/>
    <w:semiHidden/>
    <w:unhideWhenUsed/>
    <w:rsid w:val="005E41CA"/>
  </w:style>
  <w:style w:type="table" w:customStyle="1" w:styleId="TableGrid14">
    <w:name w:val="Table Grid14"/>
    <w:basedOn w:val="TableNormal"/>
    <w:next w:val="TableGrid"/>
    <w:uiPriority w:val="59"/>
    <w:rsid w:val="005E41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3">
    <w:name w:val="List Table 2 - Accent 113"/>
    <w:basedOn w:val="TableNormal"/>
    <w:next w:val="ListTable2-Accent1"/>
    <w:uiPriority w:val="47"/>
    <w:rsid w:val="005E41CA"/>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4">
    <w:name w:val="No List114"/>
    <w:next w:val="NoList"/>
    <w:uiPriority w:val="99"/>
    <w:semiHidden/>
    <w:unhideWhenUsed/>
    <w:rsid w:val="005E41CA"/>
  </w:style>
  <w:style w:type="numbering" w:customStyle="1" w:styleId="NoList24">
    <w:name w:val="No List24"/>
    <w:next w:val="NoList"/>
    <w:uiPriority w:val="99"/>
    <w:semiHidden/>
    <w:unhideWhenUsed/>
    <w:rsid w:val="005E41CA"/>
  </w:style>
  <w:style w:type="table" w:customStyle="1" w:styleId="TableGrid44">
    <w:name w:val="Table Grid44"/>
    <w:basedOn w:val="TableNormal"/>
    <w:next w:val="TableGrid"/>
    <w:uiPriority w:val="39"/>
    <w:rsid w:val="005E41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6">
    <w:name w:val="List Table 2 - Accent 16"/>
    <w:basedOn w:val="TableNormal"/>
    <w:next w:val="ListTable2-Accent1"/>
    <w:uiPriority w:val="47"/>
    <w:rsid w:val="005E41CA"/>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semiHidden/>
    <w:unhideWhenUsed/>
    <w:rsid w:val="002A1F38"/>
    <w:rPr>
      <w:color w:val="605E5C"/>
      <w:shd w:val="clear" w:color="auto" w:fill="E1DFDD"/>
    </w:rPr>
  </w:style>
  <w:style w:type="numbering" w:customStyle="1" w:styleId="NoList8">
    <w:name w:val="No List8"/>
    <w:next w:val="NoList"/>
    <w:uiPriority w:val="99"/>
    <w:semiHidden/>
    <w:unhideWhenUsed/>
    <w:rsid w:val="00C74C27"/>
  </w:style>
  <w:style w:type="numbering" w:customStyle="1" w:styleId="NoList15">
    <w:name w:val="No List15"/>
    <w:next w:val="NoList"/>
    <w:uiPriority w:val="99"/>
    <w:semiHidden/>
    <w:unhideWhenUsed/>
    <w:rsid w:val="00C74C27"/>
  </w:style>
  <w:style w:type="table" w:customStyle="1" w:styleId="TableGrid15">
    <w:name w:val="Table Grid15"/>
    <w:basedOn w:val="TableNormal"/>
    <w:next w:val="TableGrid"/>
    <w:uiPriority w:val="39"/>
    <w:rsid w:val="00C74C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4">
    <w:name w:val="List Table 2 - Accent 114"/>
    <w:basedOn w:val="TableNormal"/>
    <w:next w:val="ListTable2-Accent1"/>
    <w:uiPriority w:val="47"/>
    <w:rsid w:val="00C74C27"/>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5">
    <w:name w:val="No List115"/>
    <w:next w:val="NoList"/>
    <w:uiPriority w:val="99"/>
    <w:semiHidden/>
    <w:unhideWhenUsed/>
    <w:rsid w:val="00C74C27"/>
  </w:style>
  <w:style w:type="numbering" w:customStyle="1" w:styleId="NoList25">
    <w:name w:val="No List25"/>
    <w:next w:val="NoList"/>
    <w:uiPriority w:val="99"/>
    <w:semiHidden/>
    <w:unhideWhenUsed/>
    <w:rsid w:val="00C74C27"/>
  </w:style>
  <w:style w:type="table" w:customStyle="1" w:styleId="TableGrid45">
    <w:name w:val="Table Grid45"/>
    <w:basedOn w:val="TableNormal"/>
    <w:next w:val="TableGrid"/>
    <w:uiPriority w:val="39"/>
    <w:rsid w:val="00C74C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74C27"/>
  </w:style>
  <w:style w:type="table" w:customStyle="1" w:styleId="TableGrid51">
    <w:name w:val="Table Grid51"/>
    <w:basedOn w:val="TableNormal"/>
    <w:next w:val="TableGrid"/>
    <w:uiPriority w:val="59"/>
    <w:rsid w:val="00C74C27"/>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C74C27"/>
  </w:style>
  <w:style w:type="table" w:customStyle="1" w:styleId="ListTable2-Accent1111">
    <w:name w:val="List Table 2 - Accent 1111"/>
    <w:basedOn w:val="TableNormal"/>
    <w:next w:val="ListTable2-Accent1"/>
    <w:uiPriority w:val="47"/>
    <w:rsid w:val="00C74C27"/>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11">
    <w:name w:val="No List11111"/>
    <w:next w:val="NoList"/>
    <w:uiPriority w:val="99"/>
    <w:semiHidden/>
    <w:unhideWhenUsed/>
    <w:rsid w:val="00C74C27"/>
  </w:style>
  <w:style w:type="numbering" w:customStyle="1" w:styleId="NoList211">
    <w:name w:val="No List211"/>
    <w:next w:val="NoList"/>
    <w:uiPriority w:val="99"/>
    <w:semiHidden/>
    <w:unhideWhenUsed/>
    <w:rsid w:val="00C74C27"/>
  </w:style>
  <w:style w:type="numbering" w:customStyle="1" w:styleId="NoList41">
    <w:name w:val="No List41"/>
    <w:next w:val="NoList"/>
    <w:uiPriority w:val="99"/>
    <w:semiHidden/>
    <w:unhideWhenUsed/>
    <w:rsid w:val="00C74C27"/>
  </w:style>
  <w:style w:type="numbering" w:customStyle="1" w:styleId="NoList121">
    <w:name w:val="No List121"/>
    <w:next w:val="NoList"/>
    <w:uiPriority w:val="99"/>
    <w:semiHidden/>
    <w:unhideWhenUsed/>
    <w:rsid w:val="00C74C27"/>
  </w:style>
  <w:style w:type="table" w:customStyle="1" w:styleId="ListTable2-Accent11111">
    <w:name w:val="List Table 2 - Accent 11111"/>
    <w:basedOn w:val="TableNormal"/>
    <w:next w:val="ListTable2-Accent1"/>
    <w:uiPriority w:val="47"/>
    <w:rsid w:val="00C74C27"/>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1">
    <w:name w:val="No List1121"/>
    <w:next w:val="NoList"/>
    <w:uiPriority w:val="99"/>
    <w:semiHidden/>
    <w:unhideWhenUsed/>
    <w:rsid w:val="00C74C27"/>
  </w:style>
  <w:style w:type="numbering" w:customStyle="1" w:styleId="NoList221">
    <w:name w:val="No List221"/>
    <w:next w:val="NoList"/>
    <w:uiPriority w:val="99"/>
    <w:semiHidden/>
    <w:unhideWhenUsed/>
    <w:rsid w:val="00C74C27"/>
  </w:style>
  <w:style w:type="character" w:customStyle="1" w:styleId="Heading4Char2">
    <w:name w:val="Heading 4 Char2"/>
    <w:basedOn w:val="DefaultParagraphFont"/>
    <w:uiPriority w:val="9"/>
    <w:semiHidden/>
    <w:rsid w:val="00C74C27"/>
    <w:rPr>
      <w:rFonts w:ascii="Calibri Light" w:eastAsia="Times New Roman" w:hAnsi="Calibri Light" w:cs="Times New Roman"/>
      <w:i/>
      <w:iCs/>
      <w:color w:val="2F5496"/>
    </w:rPr>
  </w:style>
  <w:style w:type="character" w:customStyle="1" w:styleId="Heading5Char2">
    <w:name w:val="Heading 5 Char2"/>
    <w:basedOn w:val="DefaultParagraphFont"/>
    <w:uiPriority w:val="9"/>
    <w:semiHidden/>
    <w:rsid w:val="00C74C27"/>
    <w:rPr>
      <w:rFonts w:ascii="Calibri Light" w:eastAsia="Times New Roman" w:hAnsi="Calibri Light" w:cs="Times New Roman"/>
      <w:color w:val="2F5496"/>
    </w:rPr>
  </w:style>
  <w:style w:type="character" w:customStyle="1" w:styleId="Heading6Char2">
    <w:name w:val="Heading 6 Char2"/>
    <w:basedOn w:val="DefaultParagraphFont"/>
    <w:uiPriority w:val="9"/>
    <w:semiHidden/>
    <w:rsid w:val="00C74C27"/>
    <w:rPr>
      <w:rFonts w:ascii="Calibri Light" w:eastAsia="Times New Roman" w:hAnsi="Calibri Light" w:cs="Times New Roman"/>
      <w:color w:val="1F3763"/>
    </w:rPr>
  </w:style>
  <w:style w:type="character" w:customStyle="1" w:styleId="Heading7Char2">
    <w:name w:val="Heading 7 Char2"/>
    <w:basedOn w:val="DefaultParagraphFont"/>
    <w:uiPriority w:val="9"/>
    <w:semiHidden/>
    <w:rsid w:val="00C74C27"/>
    <w:rPr>
      <w:rFonts w:ascii="Calibri Light" w:eastAsia="Times New Roman" w:hAnsi="Calibri Light" w:cs="Times New Roman"/>
      <w:i/>
      <w:iCs/>
      <w:color w:val="1F3763"/>
    </w:rPr>
  </w:style>
  <w:style w:type="character" w:customStyle="1" w:styleId="Heading8Char2">
    <w:name w:val="Heading 8 Char2"/>
    <w:basedOn w:val="DefaultParagraphFont"/>
    <w:uiPriority w:val="9"/>
    <w:semiHidden/>
    <w:rsid w:val="00C74C27"/>
    <w:rPr>
      <w:rFonts w:ascii="Calibri Light" w:eastAsia="Times New Roman" w:hAnsi="Calibri Light" w:cs="Times New Roman"/>
      <w:color w:val="272727"/>
      <w:sz w:val="21"/>
      <w:szCs w:val="21"/>
    </w:rPr>
  </w:style>
  <w:style w:type="character" w:customStyle="1" w:styleId="Heading9Char2">
    <w:name w:val="Heading 9 Char2"/>
    <w:basedOn w:val="DefaultParagraphFont"/>
    <w:uiPriority w:val="9"/>
    <w:semiHidden/>
    <w:rsid w:val="00C74C27"/>
    <w:rPr>
      <w:rFonts w:ascii="Calibri Light" w:eastAsia="Times New Roman" w:hAnsi="Calibri Light" w:cs="Times New Roman"/>
      <w:i/>
      <w:iCs/>
      <w:color w:val="272727"/>
      <w:sz w:val="21"/>
      <w:szCs w:val="21"/>
    </w:rPr>
  </w:style>
  <w:style w:type="table" w:customStyle="1" w:styleId="ListTable2-Accent17">
    <w:name w:val="List Table 2 - Accent 17"/>
    <w:basedOn w:val="TableNormal"/>
    <w:next w:val="ListTable2-Accent1"/>
    <w:uiPriority w:val="47"/>
    <w:rsid w:val="00C74C27"/>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pakTmasvirsraksts">
    <w:name w:val="apakšTēmas virsraksts"/>
    <w:basedOn w:val="Normal"/>
    <w:link w:val="apakTmasvirsrakstsChar"/>
    <w:qFormat/>
    <w:rsid w:val="00C74C27"/>
    <w:rPr>
      <w:rFonts w:eastAsia="Calibri" w:cs="Arial"/>
      <w:b/>
      <w:bCs/>
      <w:noProof/>
      <w:szCs w:val="24"/>
      <w:lang w:eastAsia="en-US"/>
    </w:rPr>
  </w:style>
  <w:style w:type="character" w:customStyle="1" w:styleId="apakTmasvirsrakstsChar">
    <w:name w:val="apakšTēmas virsraksts Char"/>
    <w:basedOn w:val="DefaultParagraphFont"/>
    <w:link w:val="apakTmasvirsraksts"/>
    <w:rsid w:val="00C74C27"/>
    <w:rPr>
      <w:rFonts w:ascii="Times New Roman" w:eastAsia="Calibri" w:hAnsi="Times New Roman" w:cs="Arial"/>
      <w:b/>
      <w:bCs/>
      <w:noProof/>
      <w:sz w:val="24"/>
      <w:szCs w:val="24"/>
      <w:lang w:eastAsia="en-US"/>
    </w:rPr>
  </w:style>
  <w:style w:type="paragraph" w:styleId="TOC4">
    <w:name w:val="toc 4"/>
    <w:basedOn w:val="Normal"/>
    <w:next w:val="Normal"/>
    <w:autoRedefine/>
    <w:uiPriority w:val="39"/>
    <w:unhideWhenUsed/>
    <w:rsid w:val="00C74C27"/>
    <w:pPr>
      <w:spacing w:after="100" w:line="259" w:lineRule="auto"/>
      <w:ind w:left="660" w:firstLine="0"/>
      <w:jc w:val="left"/>
    </w:pPr>
    <w:rPr>
      <w:rFonts w:asciiTheme="minorHAnsi" w:hAnsiTheme="minorHAnsi"/>
      <w:kern w:val="2"/>
      <w:sz w:val="22"/>
      <w14:ligatures w14:val="standardContextual"/>
    </w:rPr>
  </w:style>
  <w:style w:type="paragraph" w:styleId="TOC5">
    <w:name w:val="toc 5"/>
    <w:basedOn w:val="Normal"/>
    <w:next w:val="Normal"/>
    <w:autoRedefine/>
    <w:uiPriority w:val="39"/>
    <w:unhideWhenUsed/>
    <w:rsid w:val="00C74C27"/>
    <w:pPr>
      <w:spacing w:after="100" w:line="259" w:lineRule="auto"/>
      <w:ind w:left="880" w:firstLine="0"/>
      <w:jc w:val="left"/>
    </w:pPr>
    <w:rPr>
      <w:rFonts w:asciiTheme="minorHAnsi" w:hAnsiTheme="minorHAnsi"/>
      <w:kern w:val="2"/>
      <w:sz w:val="22"/>
      <w14:ligatures w14:val="standardContextual"/>
    </w:rPr>
  </w:style>
  <w:style w:type="paragraph" w:styleId="TOC6">
    <w:name w:val="toc 6"/>
    <w:basedOn w:val="Normal"/>
    <w:next w:val="Normal"/>
    <w:autoRedefine/>
    <w:uiPriority w:val="39"/>
    <w:unhideWhenUsed/>
    <w:rsid w:val="00C74C27"/>
    <w:pPr>
      <w:spacing w:after="100" w:line="259" w:lineRule="auto"/>
      <w:ind w:left="1100" w:firstLine="0"/>
      <w:jc w:val="left"/>
    </w:pPr>
    <w:rPr>
      <w:rFonts w:asciiTheme="minorHAnsi" w:hAnsiTheme="minorHAnsi"/>
      <w:kern w:val="2"/>
      <w:sz w:val="22"/>
      <w14:ligatures w14:val="standardContextual"/>
    </w:rPr>
  </w:style>
  <w:style w:type="paragraph" w:styleId="TOC7">
    <w:name w:val="toc 7"/>
    <w:basedOn w:val="Normal"/>
    <w:next w:val="Normal"/>
    <w:autoRedefine/>
    <w:uiPriority w:val="39"/>
    <w:unhideWhenUsed/>
    <w:rsid w:val="00C74C27"/>
    <w:pPr>
      <w:spacing w:after="100" w:line="259" w:lineRule="auto"/>
      <w:ind w:left="1320" w:firstLine="0"/>
      <w:jc w:val="left"/>
    </w:pPr>
    <w:rPr>
      <w:rFonts w:asciiTheme="minorHAnsi" w:hAnsiTheme="minorHAnsi"/>
      <w:kern w:val="2"/>
      <w:sz w:val="22"/>
      <w14:ligatures w14:val="standardContextual"/>
    </w:rPr>
  </w:style>
  <w:style w:type="paragraph" w:styleId="TOC8">
    <w:name w:val="toc 8"/>
    <w:basedOn w:val="Normal"/>
    <w:next w:val="Normal"/>
    <w:autoRedefine/>
    <w:uiPriority w:val="39"/>
    <w:unhideWhenUsed/>
    <w:rsid w:val="00C74C27"/>
    <w:pPr>
      <w:spacing w:after="100" w:line="259" w:lineRule="auto"/>
      <w:ind w:left="1540" w:firstLine="0"/>
      <w:jc w:val="left"/>
    </w:pPr>
    <w:rPr>
      <w:rFonts w:asciiTheme="minorHAnsi" w:hAnsiTheme="minorHAnsi"/>
      <w:kern w:val="2"/>
      <w:sz w:val="22"/>
      <w14:ligatures w14:val="standardContextual"/>
    </w:rPr>
  </w:style>
  <w:style w:type="paragraph" w:styleId="TOC9">
    <w:name w:val="toc 9"/>
    <w:basedOn w:val="Normal"/>
    <w:next w:val="Normal"/>
    <w:autoRedefine/>
    <w:uiPriority w:val="39"/>
    <w:unhideWhenUsed/>
    <w:rsid w:val="00C74C27"/>
    <w:pPr>
      <w:spacing w:after="100" w:line="259" w:lineRule="auto"/>
      <w:ind w:left="1760" w:firstLine="0"/>
      <w:jc w:val="left"/>
    </w:pPr>
    <w:rPr>
      <w:rFonts w:asciiTheme="minorHAnsi" w:hAnsiTheme="minorHAnsi"/>
      <w:kern w:val="2"/>
      <w:sz w:val="22"/>
      <w14:ligatures w14:val="standardContextual"/>
    </w:rPr>
  </w:style>
  <w:style w:type="numbering" w:customStyle="1" w:styleId="NoList9">
    <w:name w:val="No List9"/>
    <w:next w:val="NoList"/>
    <w:uiPriority w:val="99"/>
    <w:semiHidden/>
    <w:unhideWhenUsed/>
    <w:rsid w:val="00632442"/>
  </w:style>
  <w:style w:type="numbering" w:customStyle="1" w:styleId="NoList16">
    <w:name w:val="No List16"/>
    <w:next w:val="NoList"/>
    <w:uiPriority w:val="99"/>
    <w:semiHidden/>
    <w:unhideWhenUsed/>
    <w:rsid w:val="00632442"/>
  </w:style>
  <w:style w:type="table" w:customStyle="1" w:styleId="TableGrid16">
    <w:name w:val="Table Grid16"/>
    <w:basedOn w:val="TableNormal"/>
    <w:next w:val="TableGrid"/>
    <w:uiPriority w:val="39"/>
    <w:rsid w:val="006324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5">
    <w:name w:val="List Table 2 - Accent 115"/>
    <w:basedOn w:val="TableNormal"/>
    <w:next w:val="ListTable2-Accent1"/>
    <w:uiPriority w:val="47"/>
    <w:rsid w:val="00632442"/>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6">
    <w:name w:val="No List116"/>
    <w:next w:val="NoList"/>
    <w:uiPriority w:val="99"/>
    <w:semiHidden/>
    <w:unhideWhenUsed/>
    <w:rsid w:val="00632442"/>
  </w:style>
  <w:style w:type="numbering" w:customStyle="1" w:styleId="NoList26">
    <w:name w:val="No List26"/>
    <w:next w:val="NoList"/>
    <w:uiPriority w:val="99"/>
    <w:semiHidden/>
    <w:unhideWhenUsed/>
    <w:rsid w:val="00632442"/>
  </w:style>
  <w:style w:type="table" w:customStyle="1" w:styleId="TableGrid46">
    <w:name w:val="Table Grid46"/>
    <w:basedOn w:val="TableNormal"/>
    <w:next w:val="TableGrid"/>
    <w:uiPriority w:val="39"/>
    <w:rsid w:val="006324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632442"/>
  </w:style>
  <w:style w:type="table" w:customStyle="1" w:styleId="TableGrid52">
    <w:name w:val="Table Grid52"/>
    <w:basedOn w:val="TableNormal"/>
    <w:next w:val="TableGrid"/>
    <w:uiPriority w:val="59"/>
    <w:rsid w:val="00632442"/>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632442"/>
  </w:style>
  <w:style w:type="table" w:customStyle="1" w:styleId="ListTable2-Accent1112">
    <w:name w:val="List Table 2 - Accent 1112"/>
    <w:basedOn w:val="TableNormal"/>
    <w:next w:val="ListTable2-Accent1"/>
    <w:uiPriority w:val="47"/>
    <w:rsid w:val="00632442"/>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12">
    <w:name w:val="No List11112"/>
    <w:next w:val="NoList"/>
    <w:uiPriority w:val="99"/>
    <w:semiHidden/>
    <w:unhideWhenUsed/>
    <w:rsid w:val="00632442"/>
  </w:style>
  <w:style w:type="numbering" w:customStyle="1" w:styleId="NoList212">
    <w:name w:val="No List212"/>
    <w:next w:val="NoList"/>
    <w:uiPriority w:val="99"/>
    <w:semiHidden/>
    <w:unhideWhenUsed/>
    <w:rsid w:val="00632442"/>
  </w:style>
  <w:style w:type="numbering" w:customStyle="1" w:styleId="NoList42">
    <w:name w:val="No List42"/>
    <w:next w:val="NoList"/>
    <w:uiPriority w:val="99"/>
    <w:semiHidden/>
    <w:unhideWhenUsed/>
    <w:rsid w:val="00632442"/>
  </w:style>
  <w:style w:type="numbering" w:customStyle="1" w:styleId="NoList122">
    <w:name w:val="No List122"/>
    <w:next w:val="NoList"/>
    <w:uiPriority w:val="99"/>
    <w:semiHidden/>
    <w:unhideWhenUsed/>
    <w:rsid w:val="00632442"/>
  </w:style>
  <w:style w:type="table" w:customStyle="1" w:styleId="ListTable2-Accent11112">
    <w:name w:val="List Table 2 - Accent 11112"/>
    <w:basedOn w:val="TableNormal"/>
    <w:next w:val="ListTable2-Accent1"/>
    <w:uiPriority w:val="47"/>
    <w:rsid w:val="00632442"/>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2">
    <w:name w:val="No List1122"/>
    <w:next w:val="NoList"/>
    <w:uiPriority w:val="99"/>
    <w:semiHidden/>
    <w:unhideWhenUsed/>
    <w:rsid w:val="00632442"/>
  </w:style>
  <w:style w:type="numbering" w:customStyle="1" w:styleId="NoList222">
    <w:name w:val="No List222"/>
    <w:next w:val="NoList"/>
    <w:uiPriority w:val="99"/>
    <w:semiHidden/>
    <w:unhideWhenUsed/>
    <w:rsid w:val="00632442"/>
  </w:style>
  <w:style w:type="table" w:customStyle="1" w:styleId="ListTable2-Accent18">
    <w:name w:val="List Table 2 - Accent 18"/>
    <w:basedOn w:val="TableNormal"/>
    <w:next w:val="ListTable2-Accent1"/>
    <w:uiPriority w:val="47"/>
    <w:rsid w:val="00632442"/>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bulasgalvenesrinda">
    <w:name w:val="Tabulas galvenes rinda"/>
    <w:basedOn w:val="Normal"/>
    <w:autoRedefine/>
    <w:qFormat/>
    <w:rsid w:val="005D673A"/>
    <w:pPr>
      <w:keepNext/>
      <w:keepLines/>
      <w:spacing w:after="0"/>
      <w:ind w:firstLine="0"/>
      <w:contextualSpacing/>
      <w:jc w:val="center"/>
    </w:pPr>
    <w:rPr>
      <w:rFonts w:eastAsia="Times New Roman" w:cs="Times New Roman"/>
      <w:b/>
      <w:bCs/>
      <w:sz w:val="20"/>
      <w:szCs w:val="24"/>
    </w:rPr>
  </w:style>
  <w:style w:type="paragraph" w:customStyle="1" w:styleId="Tabulasnosaukums">
    <w:name w:val="Tabulas nosaukums"/>
    <w:basedOn w:val="Normal"/>
    <w:link w:val="TabulasnosaukumsChar"/>
    <w:qFormat/>
    <w:rsid w:val="001E19C6"/>
    <w:pPr>
      <w:keepNext/>
      <w:keepLines/>
      <w:spacing w:before="240" w:after="0"/>
      <w:ind w:firstLine="0"/>
      <w:jc w:val="right"/>
    </w:pPr>
    <w:rPr>
      <w:rFonts w:eastAsia="Calibri" w:cs="Times New Roman"/>
      <w:b/>
      <w:i/>
      <w:szCs w:val="24"/>
    </w:rPr>
  </w:style>
  <w:style w:type="character" w:customStyle="1" w:styleId="TabulasnosaukumsChar">
    <w:name w:val="Tabulas nosaukums Char"/>
    <w:basedOn w:val="DefaultParagraphFont"/>
    <w:link w:val="Tabulasnosaukums"/>
    <w:rsid w:val="001E19C6"/>
    <w:rPr>
      <w:rFonts w:ascii="Times New Roman" w:eastAsia="Calibri" w:hAnsi="Times New Roman" w:cs="Times New Roman"/>
      <w:b/>
      <w:i/>
      <w:sz w:val="24"/>
      <w:szCs w:val="24"/>
    </w:rPr>
  </w:style>
  <w:style w:type="paragraph" w:customStyle="1" w:styleId="Zmjums">
    <w:name w:val="Zīmējums"/>
    <w:basedOn w:val="Normal"/>
    <w:qFormat/>
    <w:rsid w:val="00C64805"/>
    <w:pPr>
      <w:keepNext/>
      <w:spacing w:before="240" w:after="0"/>
      <w:ind w:firstLine="0"/>
      <w:jc w:val="center"/>
    </w:pPr>
    <w:rPr>
      <w:rFonts w:eastAsiaTheme="minorHAnsi" w:cs="Times New Roman"/>
      <w:noProof/>
    </w:rPr>
  </w:style>
  <w:style w:type="paragraph" w:customStyle="1" w:styleId="Style4">
    <w:name w:val="Style4"/>
    <w:basedOn w:val="Normal"/>
    <w:link w:val="Style4Char"/>
    <w:qFormat/>
    <w:rsid w:val="000D1EEF"/>
    <w:rPr>
      <w:rFonts w:eastAsia="Calibri" w:cs="Arial"/>
      <w:b/>
      <w:bCs/>
      <w:noProof/>
      <w:szCs w:val="24"/>
    </w:rPr>
  </w:style>
  <w:style w:type="character" w:customStyle="1" w:styleId="Style4Char">
    <w:name w:val="Style4 Char"/>
    <w:basedOn w:val="DefaultParagraphFont"/>
    <w:link w:val="Style4"/>
    <w:rsid w:val="000D1EEF"/>
    <w:rPr>
      <w:rFonts w:ascii="Times New Roman" w:eastAsia="Calibri" w:hAnsi="Times New Roman" w:cs="Arial"/>
      <w:b/>
      <w:bCs/>
      <w:noProof/>
      <w:sz w:val="24"/>
      <w:szCs w:val="24"/>
    </w:rPr>
  </w:style>
  <w:style w:type="character" w:customStyle="1" w:styleId="cf01">
    <w:name w:val="cf01"/>
    <w:basedOn w:val="DefaultParagraphFont"/>
    <w:rsid w:val="006F1373"/>
    <w:rPr>
      <w:rFonts w:ascii="Segoe UI" w:hAnsi="Segoe UI" w:cs="Segoe UI" w:hint="default"/>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05412">
      <w:bodyDiv w:val="1"/>
      <w:marLeft w:val="0"/>
      <w:marRight w:val="0"/>
      <w:marTop w:val="0"/>
      <w:marBottom w:val="0"/>
      <w:divBdr>
        <w:top w:val="none" w:sz="0" w:space="0" w:color="auto"/>
        <w:left w:val="none" w:sz="0" w:space="0" w:color="auto"/>
        <w:bottom w:val="none" w:sz="0" w:space="0" w:color="auto"/>
        <w:right w:val="none" w:sz="0" w:space="0" w:color="auto"/>
      </w:divBdr>
    </w:div>
    <w:div w:id="190607874">
      <w:bodyDiv w:val="1"/>
      <w:marLeft w:val="0"/>
      <w:marRight w:val="0"/>
      <w:marTop w:val="0"/>
      <w:marBottom w:val="0"/>
      <w:divBdr>
        <w:top w:val="none" w:sz="0" w:space="0" w:color="auto"/>
        <w:left w:val="none" w:sz="0" w:space="0" w:color="auto"/>
        <w:bottom w:val="none" w:sz="0" w:space="0" w:color="auto"/>
        <w:right w:val="none" w:sz="0" w:space="0" w:color="auto"/>
      </w:divBdr>
    </w:div>
    <w:div w:id="198706664">
      <w:bodyDiv w:val="1"/>
      <w:marLeft w:val="0"/>
      <w:marRight w:val="0"/>
      <w:marTop w:val="0"/>
      <w:marBottom w:val="0"/>
      <w:divBdr>
        <w:top w:val="none" w:sz="0" w:space="0" w:color="auto"/>
        <w:left w:val="none" w:sz="0" w:space="0" w:color="auto"/>
        <w:bottom w:val="none" w:sz="0" w:space="0" w:color="auto"/>
        <w:right w:val="none" w:sz="0" w:space="0" w:color="auto"/>
      </w:divBdr>
    </w:div>
    <w:div w:id="269044894">
      <w:bodyDiv w:val="1"/>
      <w:marLeft w:val="0"/>
      <w:marRight w:val="0"/>
      <w:marTop w:val="0"/>
      <w:marBottom w:val="0"/>
      <w:divBdr>
        <w:top w:val="none" w:sz="0" w:space="0" w:color="auto"/>
        <w:left w:val="none" w:sz="0" w:space="0" w:color="auto"/>
        <w:bottom w:val="none" w:sz="0" w:space="0" w:color="auto"/>
        <w:right w:val="none" w:sz="0" w:space="0" w:color="auto"/>
      </w:divBdr>
    </w:div>
    <w:div w:id="270012822">
      <w:bodyDiv w:val="1"/>
      <w:marLeft w:val="0"/>
      <w:marRight w:val="0"/>
      <w:marTop w:val="0"/>
      <w:marBottom w:val="0"/>
      <w:divBdr>
        <w:top w:val="none" w:sz="0" w:space="0" w:color="auto"/>
        <w:left w:val="none" w:sz="0" w:space="0" w:color="auto"/>
        <w:bottom w:val="none" w:sz="0" w:space="0" w:color="auto"/>
        <w:right w:val="none" w:sz="0" w:space="0" w:color="auto"/>
      </w:divBdr>
    </w:div>
    <w:div w:id="271017895">
      <w:bodyDiv w:val="1"/>
      <w:marLeft w:val="0"/>
      <w:marRight w:val="0"/>
      <w:marTop w:val="0"/>
      <w:marBottom w:val="0"/>
      <w:divBdr>
        <w:top w:val="none" w:sz="0" w:space="0" w:color="auto"/>
        <w:left w:val="none" w:sz="0" w:space="0" w:color="auto"/>
        <w:bottom w:val="none" w:sz="0" w:space="0" w:color="auto"/>
        <w:right w:val="none" w:sz="0" w:space="0" w:color="auto"/>
      </w:divBdr>
    </w:div>
    <w:div w:id="278032043">
      <w:bodyDiv w:val="1"/>
      <w:marLeft w:val="0"/>
      <w:marRight w:val="0"/>
      <w:marTop w:val="0"/>
      <w:marBottom w:val="0"/>
      <w:divBdr>
        <w:top w:val="none" w:sz="0" w:space="0" w:color="auto"/>
        <w:left w:val="none" w:sz="0" w:space="0" w:color="auto"/>
        <w:bottom w:val="none" w:sz="0" w:space="0" w:color="auto"/>
        <w:right w:val="none" w:sz="0" w:space="0" w:color="auto"/>
      </w:divBdr>
    </w:div>
    <w:div w:id="291249682">
      <w:bodyDiv w:val="1"/>
      <w:marLeft w:val="0"/>
      <w:marRight w:val="0"/>
      <w:marTop w:val="0"/>
      <w:marBottom w:val="0"/>
      <w:divBdr>
        <w:top w:val="none" w:sz="0" w:space="0" w:color="auto"/>
        <w:left w:val="none" w:sz="0" w:space="0" w:color="auto"/>
        <w:bottom w:val="none" w:sz="0" w:space="0" w:color="auto"/>
        <w:right w:val="none" w:sz="0" w:space="0" w:color="auto"/>
      </w:divBdr>
    </w:div>
    <w:div w:id="319385878">
      <w:bodyDiv w:val="1"/>
      <w:marLeft w:val="0"/>
      <w:marRight w:val="0"/>
      <w:marTop w:val="0"/>
      <w:marBottom w:val="0"/>
      <w:divBdr>
        <w:top w:val="none" w:sz="0" w:space="0" w:color="auto"/>
        <w:left w:val="none" w:sz="0" w:space="0" w:color="auto"/>
        <w:bottom w:val="none" w:sz="0" w:space="0" w:color="auto"/>
        <w:right w:val="none" w:sz="0" w:space="0" w:color="auto"/>
      </w:divBdr>
    </w:div>
    <w:div w:id="327175122">
      <w:bodyDiv w:val="1"/>
      <w:marLeft w:val="0"/>
      <w:marRight w:val="0"/>
      <w:marTop w:val="0"/>
      <w:marBottom w:val="0"/>
      <w:divBdr>
        <w:top w:val="none" w:sz="0" w:space="0" w:color="auto"/>
        <w:left w:val="none" w:sz="0" w:space="0" w:color="auto"/>
        <w:bottom w:val="none" w:sz="0" w:space="0" w:color="auto"/>
        <w:right w:val="none" w:sz="0" w:space="0" w:color="auto"/>
      </w:divBdr>
    </w:div>
    <w:div w:id="379717966">
      <w:bodyDiv w:val="1"/>
      <w:marLeft w:val="0"/>
      <w:marRight w:val="0"/>
      <w:marTop w:val="0"/>
      <w:marBottom w:val="0"/>
      <w:divBdr>
        <w:top w:val="none" w:sz="0" w:space="0" w:color="auto"/>
        <w:left w:val="none" w:sz="0" w:space="0" w:color="auto"/>
        <w:bottom w:val="none" w:sz="0" w:space="0" w:color="auto"/>
        <w:right w:val="none" w:sz="0" w:space="0" w:color="auto"/>
      </w:divBdr>
    </w:div>
    <w:div w:id="412510232">
      <w:bodyDiv w:val="1"/>
      <w:marLeft w:val="0"/>
      <w:marRight w:val="0"/>
      <w:marTop w:val="0"/>
      <w:marBottom w:val="0"/>
      <w:divBdr>
        <w:top w:val="none" w:sz="0" w:space="0" w:color="auto"/>
        <w:left w:val="none" w:sz="0" w:space="0" w:color="auto"/>
        <w:bottom w:val="none" w:sz="0" w:space="0" w:color="auto"/>
        <w:right w:val="none" w:sz="0" w:space="0" w:color="auto"/>
      </w:divBdr>
    </w:div>
    <w:div w:id="413014617">
      <w:bodyDiv w:val="1"/>
      <w:marLeft w:val="0"/>
      <w:marRight w:val="0"/>
      <w:marTop w:val="0"/>
      <w:marBottom w:val="0"/>
      <w:divBdr>
        <w:top w:val="none" w:sz="0" w:space="0" w:color="auto"/>
        <w:left w:val="none" w:sz="0" w:space="0" w:color="auto"/>
        <w:bottom w:val="none" w:sz="0" w:space="0" w:color="auto"/>
        <w:right w:val="none" w:sz="0" w:space="0" w:color="auto"/>
      </w:divBdr>
    </w:div>
    <w:div w:id="446393978">
      <w:bodyDiv w:val="1"/>
      <w:marLeft w:val="0"/>
      <w:marRight w:val="0"/>
      <w:marTop w:val="0"/>
      <w:marBottom w:val="0"/>
      <w:divBdr>
        <w:top w:val="none" w:sz="0" w:space="0" w:color="auto"/>
        <w:left w:val="none" w:sz="0" w:space="0" w:color="auto"/>
        <w:bottom w:val="none" w:sz="0" w:space="0" w:color="auto"/>
        <w:right w:val="none" w:sz="0" w:space="0" w:color="auto"/>
      </w:divBdr>
    </w:div>
    <w:div w:id="449057483">
      <w:bodyDiv w:val="1"/>
      <w:marLeft w:val="0"/>
      <w:marRight w:val="0"/>
      <w:marTop w:val="0"/>
      <w:marBottom w:val="0"/>
      <w:divBdr>
        <w:top w:val="none" w:sz="0" w:space="0" w:color="auto"/>
        <w:left w:val="none" w:sz="0" w:space="0" w:color="auto"/>
        <w:bottom w:val="none" w:sz="0" w:space="0" w:color="auto"/>
        <w:right w:val="none" w:sz="0" w:space="0" w:color="auto"/>
      </w:divBdr>
    </w:div>
    <w:div w:id="557984467">
      <w:bodyDiv w:val="1"/>
      <w:marLeft w:val="0"/>
      <w:marRight w:val="0"/>
      <w:marTop w:val="0"/>
      <w:marBottom w:val="0"/>
      <w:divBdr>
        <w:top w:val="none" w:sz="0" w:space="0" w:color="auto"/>
        <w:left w:val="none" w:sz="0" w:space="0" w:color="auto"/>
        <w:bottom w:val="none" w:sz="0" w:space="0" w:color="auto"/>
        <w:right w:val="none" w:sz="0" w:space="0" w:color="auto"/>
      </w:divBdr>
    </w:div>
    <w:div w:id="561447098">
      <w:bodyDiv w:val="1"/>
      <w:marLeft w:val="0"/>
      <w:marRight w:val="0"/>
      <w:marTop w:val="0"/>
      <w:marBottom w:val="0"/>
      <w:divBdr>
        <w:top w:val="none" w:sz="0" w:space="0" w:color="auto"/>
        <w:left w:val="none" w:sz="0" w:space="0" w:color="auto"/>
        <w:bottom w:val="none" w:sz="0" w:space="0" w:color="auto"/>
        <w:right w:val="none" w:sz="0" w:space="0" w:color="auto"/>
      </w:divBdr>
    </w:div>
    <w:div w:id="562182638">
      <w:bodyDiv w:val="1"/>
      <w:marLeft w:val="0"/>
      <w:marRight w:val="0"/>
      <w:marTop w:val="0"/>
      <w:marBottom w:val="0"/>
      <w:divBdr>
        <w:top w:val="none" w:sz="0" w:space="0" w:color="auto"/>
        <w:left w:val="none" w:sz="0" w:space="0" w:color="auto"/>
        <w:bottom w:val="none" w:sz="0" w:space="0" w:color="auto"/>
        <w:right w:val="none" w:sz="0" w:space="0" w:color="auto"/>
      </w:divBdr>
    </w:div>
    <w:div w:id="565603933">
      <w:bodyDiv w:val="1"/>
      <w:marLeft w:val="0"/>
      <w:marRight w:val="0"/>
      <w:marTop w:val="0"/>
      <w:marBottom w:val="0"/>
      <w:divBdr>
        <w:top w:val="none" w:sz="0" w:space="0" w:color="auto"/>
        <w:left w:val="none" w:sz="0" w:space="0" w:color="auto"/>
        <w:bottom w:val="none" w:sz="0" w:space="0" w:color="auto"/>
        <w:right w:val="none" w:sz="0" w:space="0" w:color="auto"/>
      </w:divBdr>
    </w:div>
    <w:div w:id="584848970">
      <w:bodyDiv w:val="1"/>
      <w:marLeft w:val="0"/>
      <w:marRight w:val="0"/>
      <w:marTop w:val="0"/>
      <w:marBottom w:val="0"/>
      <w:divBdr>
        <w:top w:val="none" w:sz="0" w:space="0" w:color="auto"/>
        <w:left w:val="none" w:sz="0" w:space="0" w:color="auto"/>
        <w:bottom w:val="none" w:sz="0" w:space="0" w:color="auto"/>
        <w:right w:val="none" w:sz="0" w:space="0" w:color="auto"/>
      </w:divBdr>
    </w:div>
    <w:div w:id="623193182">
      <w:bodyDiv w:val="1"/>
      <w:marLeft w:val="0"/>
      <w:marRight w:val="0"/>
      <w:marTop w:val="0"/>
      <w:marBottom w:val="0"/>
      <w:divBdr>
        <w:top w:val="none" w:sz="0" w:space="0" w:color="auto"/>
        <w:left w:val="none" w:sz="0" w:space="0" w:color="auto"/>
        <w:bottom w:val="none" w:sz="0" w:space="0" w:color="auto"/>
        <w:right w:val="none" w:sz="0" w:space="0" w:color="auto"/>
      </w:divBdr>
    </w:div>
    <w:div w:id="636373467">
      <w:bodyDiv w:val="1"/>
      <w:marLeft w:val="0"/>
      <w:marRight w:val="0"/>
      <w:marTop w:val="0"/>
      <w:marBottom w:val="0"/>
      <w:divBdr>
        <w:top w:val="none" w:sz="0" w:space="0" w:color="auto"/>
        <w:left w:val="none" w:sz="0" w:space="0" w:color="auto"/>
        <w:bottom w:val="none" w:sz="0" w:space="0" w:color="auto"/>
        <w:right w:val="none" w:sz="0" w:space="0" w:color="auto"/>
      </w:divBdr>
    </w:div>
    <w:div w:id="657613361">
      <w:bodyDiv w:val="1"/>
      <w:marLeft w:val="0"/>
      <w:marRight w:val="0"/>
      <w:marTop w:val="0"/>
      <w:marBottom w:val="0"/>
      <w:divBdr>
        <w:top w:val="none" w:sz="0" w:space="0" w:color="auto"/>
        <w:left w:val="none" w:sz="0" w:space="0" w:color="auto"/>
        <w:bottom w:val="none" w:sz="0" w:space="0" w:color="auto"/>
        <w:right w:val="none" w:sz="0" w:space="0" w:color="auto"/>
      </w:divBdr>
    </w:div>
    <w:div w:id="660503338">
      <w:bodyDiv w:val="1"/>
      <w:marLeft w:val="0"/>
      <w:marRight w:val="0"/>
      <w:marTop w:val="0"/>
      <w:marBottom w:val="0"/>
      <w:divBdr>
        <w:top w:val="none" w:sz="0" w:space="0" w:color="auto"/>
        <w:left w:val="none" w:sz="0" w:space="0" w:color="auto"/>
        <w:bottom w:val="none" w:sz="0" w:space="0" w:color="auto"/>
        <w:right w:val="none" w:sz="0" w:space="0" w:color="auto"/>
      </w:divBdr>
    </w:div>
    <w:div w:id="666518074">
      <w:bodyDiv w:val="1"/>
      <w:marLeft w:val="0"/>
      <w:marRight w:val="0"/>
      <w:marTop w:val="0"/>
      <w:marBottom w:val="0"/>
      <w:divBdr>
        <w:top w:val="none" w:sz="0" w:space="0" w:color="auto"/>
        <w:left w:val="none" w:sz="0" w:space="0" w:color="auto"/>
        <w:bottom w:val="none" w:sz="0" w:space="0" w:color="auto"/>
        <w:right w:val="none" w:sz="0" w:space="0" w:color="auto"/>
      </w:divBdr>
    </w:div>
    <w:div w:id="669256709">
      <w:bodyDiv w:val="1"/>
      <w:marLeft w:val="0"/>
      <w:marRight w:val="0"/>
      <w:marTop w:val="0"/>
      <w:marBottom w:val="0"/>
      <w:divBdr>
        <w:top w:val="none" w:sz="0" w:space="0" w:color="auto"/>
        <w:left w:val="none" w:sz="0" w:space="0" w:color="auto"/>
        <w:bottom w:val="none" w:sz="0" w:space="0" w:color="auto"/>
        <w:right w:val="none" w:sz="0" w:space="0" w:color="auto"/>
      </w:divBdr>
    </w:div>
    <w:div w:id="674500201">
      <w:bodyDiv w:val="1"/>
      <w:marLeft w:val="0"/>
      <w:marRight w:val="0"/>
      <w:marTop w:val="0"/>
      <w:marBottom w:val="0"/>
      <w:divBdr>
        <w:top w:val="none" w:sz="0" w:space="0" w:color="auto"/>
        <w:left w:val="none" w:sz="0" w:space="0" w:color="auto"/>
        <w:bottom w:val="none" w:sz="0" w:space="0" w:color="auto"/>
        <w:right w:val="none" w:sz="0" w:space="0" w:color="auto"/>
      </w:divBdr>
    </w:div>
    <w:div w:id="696077186">
      <w:bodyDiv w:val="1"/>
      <w:marLeft w:val="0"/>
      <w:marRight w:val="0"/>
      <w:marTop w:val="0"/>
      <w:marBottom w:val="0"/>
      <w:divBdr>
        <w:top w:val="none" w:sz="0" w:space="0" w:color="auto"/>
        <w:left w:val="none" w:sz="0" w:space="0" w:color="auto"/>
        <w:bottom w:val="none" w:sz="0" w:space="0" w:color="auto"/>
        <w:right w:val="none" w:sz="0" w:space="0" w:color="auto"/>
      </w:divBdr>
    </w:div>
    <w:div w:id="701857415">
      <w:bodyDiv w:val="1"/>
      <w:marLeft w:val="0"/>
      <w:marRight w:val="0"/>
      <w:marTop w:val="0"/>
      <w:marBottom w:val="0"/>
      <w:divBdr>
        <w:top w:val="none" w:sz="0" w:space="0" w:color="auto"/>
        <w:left w:val="none" w:sz="0" w:space="0" w:color="auto"/>
        <w:bottom w:val="none" w:sz="0" w:space="0" w:color="auto"/>
        <w:right w:val="none" w:sz="0" w:space="0" w:color="auto"/>
      </w:divBdr>
    </w:div>
    <w:div w:id="716272518">
      <w:bodyDiv w:val="1"/>
      <w:marLeft w:val="0"/>
      <w:marRight w:val="0"/>
      <w:marTop w:val="0"/>
      <w:marBottom w:val="0"/>
      <w:divBdr>
        <w:top w:val="none" w:sz="0" w:space="0" w:color="auto"/>
        <w:left w:val="none" w:sz="0" w:space="0" w:color="auto"/>
        <w:bottom w:val="none" w:sz="0" w:space="0" w:color="auto"/>
        <w:right w:val="none" w:sz="0" w:space="0" w:color="auto"/>
      </w:divBdr>
    </w:div>
    <w:div w:id="718355823">
      <w:bodyDiv w:val="1"/>
      <w:marLeft w:val="0"/>
      <w:marRight w:val="0"/>
      <w:marTop w:val="0"/>
      <w:marBottom w:val="0"/>
      <w:divBdr>
        <w:top w:val="none" w:sz="0" w:space="0" w:color="auto"/>
        <w:left w:val="none" w:sz="0" w:space="0" w:color="auto"/>
        <w:bottom w:val="none" w:sz="0" w:space="0" w:color="auto"/>
        <w:right w:val="none" w:sz="0" w:space="0" w:color="auto"/>
      </w:divBdr>
    </w:div>
    <w:div w:id="718626433">
      <w:bodyDiv w:val="1"/>
      <w:marLeft w:val="0"/>
      <w:marRight w:val="0"/>
      <w:marTop w:val="0"/>
      <w:marBottom w:val="0"/>
      <w:divBdr>
        <w:top w:val="none" w:sz="0" w:space="0" w:color="auto"/>
        <w:left w:val="none" w:sz="0" w:space="0" w:color="auto"/>
        <w:bottom w:val="none" w:sz="0" w:space="0" w:color="auto"/>
        <w:right w:val="none" w:sz="0" w:space="0" w:color="auto"/>
      </w:divBdr>
    </w:div>
    <w:div w:id="723941628">
      <w:bodyDiv w:val="1"/>
      <w:marLeft w:val="0"/>
      <w:marRight w:val="0"/>
      <w:marTop w:val="0"/>
      <w:marBottom w:val="0"/>
      <w:divBdr>
        <w:top w:val="none" w:sz="0" w:space="0" w:color="auto"/>
        <w:left w:val="none" w:sz="0" w:space="0" w:color="auto"/>
        <w:bottom w:val="none" w:sz="0" w:space="0" w:color="auto"/>
        <w:right w:val="none" w:sz="0" w:space="0" w:color="auto"/>
      </w:divBdr>
    </w:div>
    <w:div w:id="751970453">
      <w:bodyDiv w:val="1"/>
      <w:marLeft w:val="0"/>
      <w:marRight w:val="0"/>
      <w:marTop w:val="0"/>
      <w:marBottom w:val="0"/>
      <w:divBdr>
        <w:top w:val="none" w:sz="0" w:space="0" w:color="auto"/>
        <w:left w:val="none" w:sz="0" w:space="0" w:color="auto"/>
        <w:bottom w:val="none" w:sz="0" w:space="0" w:color="auto"/>
        <w:right w:val="none" w:sz="0" w:space="0" w:color="auto"/>
      </w:divBdr>
    </w:div>
    <w:div w:id="780875226">
      <w:bodyDiv w:val="1"/>
      <w:marLeft w:val="0"/>
      <w:marRight w:val="0"/>
      <w:marTop w:val="0"/>
      <w:marBottom w:val="0"/>
      <w:divBdr>
        <w:top w:val="none" w:sz="0" w:space="0" w:color="auto"/>
        <w:left w:val="none" w:sz="0" w:space="0" w:color="auto"/>
        <w:bottom w:val="none" w:sz="0" w:space="0" w:color="auto"/>
        <w:right w:val="none" w:sz="0" w:space="0" w:color="auto"/>
      </w:divBdr>
    </w:div>
    <w:div w:id="824050867">
      <w:bodyDiv w:val="1"/>
      <w:marLeft w:val="0"/>
      <w:marRight w:val="0"/>
      <w:marTop w:val="0"/>
      <w:marBottom w:val="0"/>
      <w:divBdr>
        <w:top w:val="none" w:sz="0" w:space="0" w:color="auto"/>
        <w:left w:val="none" w:sz="0" w:space="0" w:color="auto"/>
        <w:bottom w:val="none" w:sz="0" w:space="0" w:color="auto"/>
        <w:right w:val="none" w:sz="0" w:space="0" w:color="auto"/>
      </w:divBdr>
    </w:div>
    <w:div w:id="831334811">
      <w:bodyDiv w:val="1"/>
      <w:marLeft w:val="0"/>
      <w:marRight w:val="0"/>
      <w:marTop w:val="0"/>
      <w:marBottom w:val="0"/>
      <w:divBdr>
        <w:top w:val="none" w:sz="0" w:space="0" w:color="auto"/>
        <w:left w:val="none" w:sz="0" w:space="0" w:color="auto"/>
        <w:bottom w:val="none" w:sz="0" w:space="0" w:color="auto"/>
        <w:right w:val="none" w:sz="0" w:space="0" w:color="auto"/>
      </w:divBdr>
    </w:div>
    <w:div w:id="849412361">
      <w:bodyDiv w:val="1"/>
      <w:marLeft w:val="0"/>
      <w:marRight w:val="0"/>
      <w:marTop w:val="0"/>
      <w:marBottom w:val="0"/>
      <w:divBdr>
        <w:top w:val="none" w:sz="0" w:space="0" w:color="auto"/>
        <w:left w:val="none" w:sz="0" w:space="0" w:color="auto"/>
        <w:bottom w:val="none" w:sz="0" w:space="0" w:color="auto"/>
        <w:right w:val="none" w:sz="0" w:space="0" w:color="auto"/>
      </w:divBdr>
    </w:div>
    <w:div w:id="854149806">
      <w:bodyDiv w:val="1"/>
      <w:marLeft w:val="0"/>
      <w:marRight w:val="0"/>
      <w:marTop w:val="0"/>
      <w:marBottom w:val="0"/>
      <w:divBdr>
        <w:top w:val="none" w:sz="0" w:space="0" w:color="auto"/>
        <w:left w:val="none" w:sz="0" w:space="0" w:color="auto"/>
        <w:bottom w:val="none" w:sz="0" w:space="0" w:color="auto"/>
        <w:right w:val="none" w:sz="0" w:space="0" w:color="auto"/>
      </w:divBdr>
    </w:div>
    <w:div w:id="858930409">
      <w:bodyDiv w:val="1"/>
      <w:marLeft w:val="0"/>
      <w:marRight w:val="0"/>
      <w:marTop w:val="0"/>
      <w:marBottom w:val="0"/>
      <w:divBdr>
        <w:top w:val="none" w:sz="0" w:space="0" w:color="auto"/>
        <w:left w:val="none" w:sz="0" w:space="0" w:color="auto"/>
        <w:bottom w:val="none" w:sz="0" w:space="0" w:color="auto"/>
        <w:right w:val="none" w:sz="0" w:space="0" w:color="auto"/>
      </w:divBdr>
    </w:div>
    <w:div w:id="905068837">
      <w:bodyDiv w:val="1"/>
      <w:marLeft w:val="0"/>
      <w:marRight w:val="0"/>
      <w:marTop w:val="0"/>
      <w:marBottom w:val="0"/>
      <w:divBdr>
        <w:top w:val="none" w:sz="0" w:space="0" w:color="auto"/>
        <w:left w:val="none" w:sz="0" w:space="0" w:color="auto"/>
        <w:bottom w:val="none" w:sz="0" w:space="0" w:color="auto"/>
        <w:right w:val="none" w:sz="0" w:space="0" w:color="auto"/>
      </w:divBdr>
    </w:div>
    <w:div w:id="914630294">
      <w:bodyDiv w:val="1"/>
      <w:marLeft w:val="0"/>
      <w:marRight w:val="0"/>
      <w:marTop w:val="0"/>
      <w:marBottom w:val="0"/>
      <w:divBdr>
        <w:top w:val="none" w:sz="0" w:space="0" w:color="auto"/>
        <w:left w:val="none" w:sz="0" w:space="0" w:color="auto"/>
        <w:bottom w:val="none" w:sz="0" w:space="0" w:color="auto"/>
        <w:right w:val="none" w:sz="0" w:space="0" w:color="auto"/>
      </w:divBdr>
    </w:div>
    <w:div w:id="941378968">
      <w:bodyDiv w:val="1"/>
      <w:marLeft w:val="0"/>
      <w:marRight w:val="0"/>
      <w:marTop w:val="0"/>
      <w:marBottom w:val="0"/>
      <w:divBdr>
        <w:top w:val="none" w:sz="0" w:space="0" w:color="auto"/>
        <w:left w:val="none" w:sz="0" w:space="0" w:color="auto"/>
        <w:bottom w:val="none" w:sz="0" w:space="0" w:color="auto"/>
        <w:right w:val="none" w:sz="0" w:space="0" w:color="auto"/>
      </w:divBdr>
      <w:divsChild>
        <w:div w:id="1844129730">
          <w:marLeft w:val="0"/>
          <w:marRight w:val="0"/>
          <w:marTop w:val="0"/>
          <w:marBottom w:val="0"/>
          <w:divBdr>
            <w:top w:val="none" w:sz="0" w:space="0" w:color="auto"/>
            <w:left w:val="none" w:sz="0" w:space="0" w:color="auto"/>
            <w:bottom w:val="single" w:sz="6" w:space="0" w:color="D8D8D8"/>
            <w:right w:val="none" w:sz="0" w:space="0" w:color="auto"/>
          </w:divBdr>
        </w:div>
        <w:div w:id="944340312">
          <w:marLeft w:val="0"/>
          <w:marRight w:val="0"/>
          <w:marTop w:val="0"/>
          <w:marBottom w:val="0"/>
          <w:divBdr>
            <w:top w:val="none" w:sz="0" w:space="0" w:color="auto"/>
            <w:left w:val="none" w:sz="0" w:space="0" w:color="auto"/>
            <w:bottom w:val="single" w:sz="6" w:space="0" w:color="D8D8D8"/>
            <w:right w:val="none" w:sz="0" w:space="0" w:color="auto"/>
          </w:divBdr>
        </w:div>
        <w:div w:id="907109144">
          <w:marLeft w:val="0"/>
          <w:marRight w:val="0"/>
          <w:marTop w:val="0"/>
          <w:marBottom w:val="0"/>
          <w:divBdr>
            <w:top w:val="none" w:sz="0" w:space="0" w:color="auto"/>
            <w:left w:val="none" w:sz="0" w:space="0" w:color="auto"/>
            <w:bottom w:val="single" w:sz="6" w:space="0" w:color="D8D8D8"/>
            <w:right w:val="none" w:sz="0" w:space="0" w:color="auto"/>
          </w:divBdr>
        </w:div>
      </w:divsChild>
    </w:div>
    <w:div w:id="1040398008">
      <w:bodyDiv w:val="1"/>
      <w:marLeft w:val="0"/>
      <w:marRight w:val="0"/>
      <w:marTop w:val="0"/>
      <w:marBottom w:val="0"/>
      <w:divBdr>
        <w:top w:val="none" w:sz="0" w:space="0" w:color="auto"/>
        <w:left w:val="none" w:sz="0" w:space="0" w:color="auto"/>
        <w:bottom w:val="none" w:sz="0" w:space="0" w:color="auto"/>
        <w:right w:val="none" w:sz="0" w:space="0" w:color="auto"/>
      </w:divBdr>
    </w:div>
    <w:div w:id="1040469889">
      <w:bodyDiv w:val="1"/>
      <w:marLeft w:val="0"/>
      <w:marRight w:val="0"/>
      <w:marTop w:val="0"/>
      <w:marBottom w:val="0"/>
      <w:divBdr>
        <w:top w:val="none" w:sz="0" w:space="0" w:color="auto"/>
        <w:left w:val="none" w:sz="0" w:space="0" w:color="auto"/>
        <w:bottom w:val="none" w:sz="0" w:space="0" w:color="auto"/>
        <w:right w:val="none" w:sz="0" w:space="0" w:color="auto"/>
      </w:divBdr>
    </w:div>
    <w:div w:id="1056470907">
      <w:bodyDiv w:val="1"/>
      <w:marLeft w:val="0"/>
      <w:marRight w:val="0"/>
      <w:marTop w:val="0"/>
      <w:marBottom w:val="0"/>
      <w:divBdr>
        <w:top w:val="none" w:sz="0" w:space="0" w:color="auto"/>
        <w:left w:val="none" w:sz="0" w:space="0" w:color="auto"/>
        <w:bottom w:val="none" w:sz="0" w:space="0" w:color="auto"/>
        <w:right w:val="none" w:sz="0" w:space="0" w:color="auto"/>
      </w:divBdr>
    </w:div>
    <w:div w:id="1063215626">
      <w:bodyDiv w:val="1"/>
      <w:marLeft w:val="0"/>
      <w:marRight w:val="0"/>
      <w:marTop w:val="0"/>
      <w:marBottom w:val="0"/>
      <w:divBdr>
        <w:top w:val="none" w:sz="0" w:space="0" w:color="auto"/>
        <w:left w:val="none" w:sz="0" w:space="0" w:color="auto"/>
        <w:bottom w:val="none" w:sz="0" w:space="0" w:color="auto"/>
        <w:right w:val="none" w:sz="0" w:space="0" w:color="auto"/>
      </w:divBdr>
    </w:div>
    <w:div w:id="1207067559">
      <w:bodyDiv w:val="1"/>
      <w:marLeft w:val="0"/>
      <w:marRight w:val="0"/>
      <w:marTop w:val="0"/>
      <w:marBottom w:val="0"/>
      <w:divBdr>
        <w:top w:val="none" w:sz="0" w:space="0" w:color="auto"/>
        <w:left w:val="none" w:sz="0" w:space="0" w:color="auto"/>
        <w:bottom w:val="none" w:sz="0" w:space="0" w:color="auto"/>
        <w:right w:val="none" w:sz="0" w:space="0" w:color="auto"/>
      </w:divBdr>
    </w:div>
    <w:div w:id="1254626063">
      <w:bodyDiv w:val="1"/>
      <w:marLeft w:val="0"/>
      <w:marRight w:val="0"/>
      <w:marTop w:val="0"/>
      <w:marBottom w:val="0"/>
      <w:divBdr>
        <w:top w:val="none" w:sz="0" w:space="0" w:color="auto"/>
        <w:left w:val="none" w:sz="0" w:space="0" w:color="auto"/>
        <w:bottom w:val="none" w:sz="0" w:space="0" w:color="auto"/>
        <w:right w:val="none" w:sz="0" w:space="0" w:color="auto"/>
      </w:divBdr>
    </w:div>
    <w:div w:id="1268463191">
      <w:bodyDiv w:val="1"/>
      <w:marLeft w:val="0"/>
      <w:marRight w:val="0"/>
      <w:marTop w:val="0"/>
      <w:marBottom w:val="0"/>
      <w:divBdr>
        <w:top w:val="none" w:sz="0" w:space="0" w:color="auto"/>
        <w:left w:val="none" w:sz="0" w:space="0" w:color="auto"/>
        <w:bottom w:val="none" w:sz="0" w:space="0" w:color="auto"/>
        <w:right w:val="none" w:sz="0" w:space="0" w:color="auto"/>
      </w:divBdr>
    </w:div>
    <w:div w:id="1270506521">
      <w:bodyDiv w:val="1"/>
      <w:marLeft w:val="0"/>
      <w:marRight w:val="0"/>
      <w:marTop w:val="0"/>
      <w:marBottom w:val="0"/>
      <w:divBdr>
        <w:top w:val="none" w:sz="0" w:space="0" w:color="auto"/>
        <w:left w:val="none" w:sz="0" w:space="0" w:color="auto"/>
        <w:bottom w:val="none" w:sz="0" w:space="0" w:color="auto"/>
        <w:right w:val="none" w:sz="0" w:space="0" w:color="auto"/>
      </w:divBdr>
    </w:div>
    <w:div w:id="1317994622">
      <w:bodyDiv w:val="1"/>
      <w:marLeft w:val="0"/>
      <w:marRight w:val="0"/>
      <w:marTop w:val="0"/>
      <w:marBottom w:val="0"/>
      <w:divBdr>
        <w:top w:val="none" w:sz="0" w:space="0" w:color="auto"/>
        <w:left w:val="none" w:sz="0" w:space="0" w:color="auto"/>
        <w:bottom w:val="none" w:sz="0" w:space="0" w:color="auto"/>
        <w:right w:val="none" w:sz="0" w:space="0" w:color="auto"/>
      </w:divBdr>
    </w:div>
    <w:div w:id="1321692281">
      <w:bodyDiv w:val="1"/>
      <w:marLeft w:val="0"/>
      <w:marRight w:val="0"/>
      <w:marTop w:val="0"/>
      <w:marBottom w:val="0"/>
      <w:divBdr>
        <w:top w:val="none" w:sz="0" w:space="0" w:color="auto"/>
        <w:left w:val="none" w:sz="0" w:space="0" w:color="auto"/>
        <w:bottom w:val="none" w:sz="0" w:space="0" w:color="auto"/>
        <w:right w:val="none" w:sz="0" w:space="0" w:color="auto"/>
      </w:divBdr>
    </w:div>
    <w:div w:id="1353337988">
      <w:bodyDiv w:val="1"/>
      <w:marLeft w:val="0"/>
      <w:marRight w:val="0"/>
      <w:marTop w:val="0"/>
      <w:marBottom w:val="0"/>
      <w:divBdr>
        <w:top w:val="none" w:sz="0" w:space="0" w:color="auto"/>
        <w:left w:val="none" w:sz="0" w:space="0" w:color="auto"/>
        <w:bottom w:val="none" w:sz="0" w:space="0" w:color="auto"/>
        <w:right w:val="none" w:sz="0" w:space="0" w:color="auto"/>
      </w:divBdr>
    </w:div>
    <w:div w:id="1362590867">
      <w:bodyDiv w:val="1"/>
      <w:marLeft w:val="0"/>
      <w:marRight w:val="0"/>
      <w:marTop w:val="0"/>
      <w:marBottom w:val="0"/>
      <w:divBdr>
        <w:top w:val="none" w:sz="0" w:space="0" w:color="auto"/>
        <w:left w:val="none" w:sz="0" w:space="0" w:color="auto"/>
        <w:bottom w:val="none" w:sz="0" w:space="0" w:color="auto"/>
        <w:right w:val="none" w:sz="0" w:space="0" w:color="auto"/>
      </w:divBdr>
    </w:div>
    <w:div w:id="1392390946">
      <w:bodyDiv w:val="1"/>
      <w:marLeft w:val="0"/>
      <w:marRight w:val="0"/>
      <w:marTop w:val="0"/>
      <w:marBottom w:val="0"/>
      <w:divBdr>
        <w:top w:val="none" w:sz="0" w:space="0" w:color="auto"/>
        <w:left w:val="none" w:sz="0" w:space="0" w:color="auto"/>
        <w:bottom w:val="none" w:sz="0" w:space="0" w:color="auto"/>
        <w:right w:val="none" w:sz="0" w:space="0" w:color="auto"/>
      </w:divBdr>
    </w:div>
    <w:div w:id="1402210682">
      <w:bodyDiv w:val="1"/>
      <w:marLeft w:val="0"/>
      <w:marRight w:val="0"/>
      <w:marTop w:val="0"/>
      <w:marBottom w:val="0"/>
      <w:divBdr>
        <w:top w:val="none" w:sz="0" w:space="0" w:color="auto"/>
        <w:left w:val="none" w:sz="0" w:space="0" w:color="auto"/>
        <w:bottom w:val="none" w:sz="0" w:space="0" w:color="auto"/>
        <w:right w:val="none" w:sz="0" w:space="0" w:color="auto"/>
      </w:divBdr>
    </w:div>
    <w:div w:id="1413041532">
      <w:bodyDiv w:val="1"/>
      <w:marLeft w:val="0"/>
      <w:marRight w:val="0"/>
      <w:marTop w:val="0"/>
      <w:marBottom w:val="0"/>
      <w:divBdr>
        <w:top w:val="none" w:sz="0" w:space="0" w:color="auto"/>
        <w:left w:val="none" w:sz="0" w:space="0" w:color="auto"/>
        <w:bottom w:val="none" w:sz="0" w:space="0" w:color="auto"/>
        <w:right w:val="none" w:sz="0" w:space="0" w:color="auto"/>
      </w:divBdr>
    </w:div>
    <w:div w:id="1417944854">
      <w:bodyDiv w:val="1"/>
      <w:marLeft w:val="0"/>
      <w:marRight w:val="0"/>
      <w:marTop w:val="0"/>
      <w:marBottom w:val="0"/>
      <w:divBdr>
        <w:top w:val="none" w:sz="0" w:space="0" w:color="auto"/>
        <w:left w:val="none" w:sz="0" w:space="0" w:color="auto"/>
        <w:bottom w:val="none" w:sz="0" w:space="0" w:color="auto"/>
        <w:right w:val="none" w:sz="0" w:space="0" w:color="auto"/>
      </w:divBdr>
    </w:div>
    <w:div w:id="1473522522">
      <w:bodyDiv w:val="1"/>
      <w:marLeft w:val="0"/>
      <w:marRight w:val="0"/>
      <w:marTop w:val="0"/>
      <w:marBottom w:val="0"/>
      <w:divBdr>
        <w:top w:val="none" w:sz="0" w:space="0" w:color="auto"/>
        <w:left w:val="none" w:sz="0" w:space="0" w:color="auto"/>
        <w:bottom w:val="none" w:sz="0" w:space="0" w:color="auto"/>
        <w:right w:val="none" w:sz="0" w:space="0" w:color="auto"/>
      </w:divBdr>
    </w:div>
    <w:div w:id="1478648647">
      <w:bodyDiv w:val="1"/>
      <w:marLeft w:val="0"/>
      <w:marRight w:val="0"/>
      <w:marTop w:val="0"/>
      <w:marBottom w:val="0"/>
      <w:divBdr>
        <w:top w:val="none" w:sz="0" w:space="0" w:color="auto"/>
        <w:left w:val="none" w:sz="0" w:space="0" w:color="auto"/>
        <w:bottom w:val="none" w:sz="0" w:space="0" w:color="auto"/>
        <w:right w:val="none" w:sz="0" w:space="0" w:color="auto"/>
      </w:divBdr>
    </w:div>
    <w:div w:id="1529955105">
      <w:bodyDiv w:val="1"/>
      <w:marLeft w:val="0"/>
      <w:marRight w:val="0"/>
      <w:marTop w:val="0"/>
      <w:marBottom w:val="0"/>
      <w:divBdr>
        <w:top w:val="none" w:sz="0" w:space="0" w:color="auto"/>
        <w:left w:val="none" w:sz="0" w:space="0" w:color="auto"/>
        <w:bottom w:val="none" w:sz="0" w:space="0" w:color="auto"/>
        <w:right w:val="none" w:sz="0" w:space="0" w:color="auto"/>
      </w:divBdr>
    </w:div>
    <w:div w:id="1560242460">
      <w:bodyDiv w:val="1"/>
      <w:marLeft w:val="0"/>
      <w:marRight w:val="0"/>
      <w:marTop w:val="0"/>
      <w:marBottom w:val="0"/>
      <w:divBdr>
        <w:top w:val="none" w:sz="0" w:space="0" w:color="auto"/>
        <w:left w:val="none" w:sz="0" w:space="0" w:color="auto"/>
        <w:bottom w:val="none" w:sz="0" w:space="0" w:color="auto"/>
        <w:right w:val="none" w:sz="0" w:space="0" w:color="auto"/>
      </w:divBdr>
    </w:div>
    <w:div w:id="1589847894">
      <w:bodyDiv w:val="1"/>
      <w:marLeft w:val="0"/>
      <w:marRight w:val="0"/>
      <w:marTop w:val="0"/>
      <w:marBottom w:val="0"/>
      <w:divBdr>
        <w:top w:val="none" w:sz="0" w:space="0" w:color="auto"/>
        <w:left w:val="none" w:sz="0" w:space="0" w:color="auto"/>
        <w:bottom w:val="none" w:sz="0" w:space="0" w:color="auto"/>
        <w:right w:val="none" w:sz="0" w:space="0" w:color="auto"/>
      </w:divBdr>
    </w:div>
    <w:div w:id="1618373516">
      <w:bodyDiv w:val="1"/>
      <w:marLeft w:val="0"/>
      <w:marRight w:val="0"/>
      <w:marTop w:val="0"/>
      <w:marBottom w:val="0"/>
      <w:divBdr>
        <w:top w:val="none" w:sz="0" w:space="0" w:color="auto"/>
        <w:left w:val="none" w:sz="0" w:space="0" w:color="auto"/>
        <w:bottom w:val="none" w:sz="0" w:space="0" w:color="auto"/>
        <w:right w:val="none" w:sz="0" w:space="0" w:color="auto"/>
      </w:divBdr>
    </w:div>
    <w:div w:id="1633487707">
      <w:bodyDiv w:val="1"/>
      <w:marLeft w:val="0"/>
      <w:marRight w:val="0"/>
      <w:marTop w:val="0"/>
      <w:marBottom w:val="0"/>
      <w:divBdr>
        <w:top w:val="none" w:sz="0" w:space="0" w:color="auto"/>
        <w:left w:val="none" w:sz="0" w:space="0" w:color="auto"/>
        <w:bottom w:val="none" w:sz="0" w:space="0" w:color="auto"/>
        <w:right w:val="none" w:sz="0" w:space="0" w:color="auto"/>
      </w:divBdr>
    </w:div>
    <w:div w:id="1659650139">
      <w:bodyDiv w:val="1"/>
      <w:marLeft w:val="0"/>
      <w:marRight w:val="0"/>
      <w:marTop w:val="0"/>
      <w:marBottom w:val="0"/>
      <w:divBdr>
        <w:top w:val="none" w:sz="0" w:space="0" w:color="auto"/>
        <w:left w:val="none" w:sz="0" w:space="0" w:color="auto"/>
        <w:bottom w:val="none" w:sz="0" w:space="0" w:color="auto"/>
        <w:right w:val="none" w:sz="0" w:space="0" w:color="auto"/>
      </w:divBdr>
    </w:div>
    <w:div w:id="1671829188">
      <w:bodyDiv w:val="1"/>
      <w:marLeft w:val="0"/>
      <w:marRight w:val="0"/>
      <w:marTop w:val="0"/>
      <w:marBottom w:val="0"/>
      <w:divBdr>
        <w:top w:val="none" w:sz="0" w:space="0" w:color="auto"/>
        <w:left w:val="none" w:sz="0" w:space="0" w:color="auto"/>
        <w:bottom w:val="none" w:sz="0" w:space="0" w:color="auto"/>
        <w:right w:val="none" w:sz="0" w:space="0" w:color="auto"/>
      </w:divBdr>
    </w:div>
    <w:div w:id="1686397229">
      <w:bodyDiv w:val="1"/>
      <w:marLeft w:val="0"/>
      <w:marRight w:val="0"/>
      <w:marTop w:val="0"/>
      <w:marBottom w:val="0"/>
      <w:divBdr>
        <w:top w:val="none" w:sz="0" w:space="0" w:color="auto"/>
        <w:left w:val="none" w:sz="0" w:space="0" w:color="auto"/>
        <w:bottom w:val="none" w:sz="0" w:space="0" w:color="auto"/>
        <w:right w:val="none" w:sz="0" w:space="0" w:color="auto"/>
      </w:divBdr>
    </w:div>
    <w:div w:id="1703095822">
      <w:bodyDiv w:val="1"/>
      <w:marLeft w:val="0"/>
      <w:marRight w:val="0"/>
      <w:marTop w:val="0"/>
      <w:marBottom w:val="0"/>
      <w:divBdr>
        <w:top w:val="none" w:sz="0" w:space="0" w:color="auto"/>
        <w:left w:val="none" w:sz="0" w:space="0" w:color="auto"/>
        <w:bottom w:val="none" w:sz="0" w:space="0" w:color="auto"/>
        <w:right w:val="none" w:sz="0" w:space="0" w:color="auto"/>
      </w:divBdr>
    </w:div>
    <w:div w:id="1754273884">
      <w:bodyDiv w:val="1"/>
      <w:marLeft w:val="0"/>
      <w:marRight w:val="0"/>
      <w:marTop w:val="0"/>
      <w:marBottom w:val="0"/>
      <w:divBdr>
        <w:top w:val="none" w:sz="0" w:space="0" w:color="auto"/>
        <w:left w:val="none" w:sz="0" w:space="0" w:color="auto"/>
        <w:bottom w:val="none" w:sz="0" w:space="0" w:color="auto"/>
        <w:right w:val="none" w:sz="0" w:space="0" w:color="auto"/>
      </w:divBdr>
    </w:div>
    <w:div w:id="1774468958">
      <w:bodyDiv w:val="1"/>
      <w:marLeft w:val="0"/>
      <w:marRight w:val="0"/>
      <w:marTop w:val="0"/>
      <w:marBottom w:val="0"/>
      <w:divBdr>
        <w:top w:val="none" w:sz="0" w:space="0" w:color="auto"/>
        <w:left w:val="none" w:sz="0" w:space="0" w:color="auto"/>
        <w:bottom w:val="none" w:sz="0" w:space="0" w:color="auto"/>
        <w:right w:val="none" w:sz="0" w:space="0" w:color="auto"/>
      </w:divBdr>
    </w:div>
    <w:div w:id="1790078946">
      <w:bodyDiv w:val="1"/>
      <w:marLeft w:val="0"/>
      <w:marRight w:val="0"/>
      <w:marTop w:val="0"/>
      <w:marBottom w:val="0"/>
      <w:divBdr>
        <w:top w:val="none" w:sz="0" w:space="0" w:color="auto"/>
        <w:left w:val="none" w:sz="0" w:space="0" w:color="auto"/>
        <w:bottom w:val="none" w:sz="0" w:space="0" w:color="auto"/>
        <w:right w:val="none" w:sz="0" w:space="0" w:color="auto"/>
      </w:divBdr>
      <w:divsChild>
        <w:div w:id="50345720">
          <w:marLeft w:val="0"/>
          <w:marRight w:val="0"/>
          <w:marTop w:val="0"/>
          <w:marBottom w:val="0"/>
          <w:divBdr>
            <w:top w:val="none" w:sz="0" w:space="0" w:color="auto"/>
            <w:left w:val="none" w:sz="0" w:space="0" w:color="auto"/>
            <w:bottom w:val="none" w:sz="0" w:space="0" w:color="auto"/>
            <w:right w:val="none" w:sz="0" w:space="0" w:color="auto"/>
          </w:divBdr>
          <w:divsChild>
            <w:div w:id="746460962">
              <w:marLeft w:val="0"/>
              <w:marRight w:val="0"/>
              <w:marTop w:val="0"/>
              <w:marBottom w:val="0"/>
              <w:divBdr>
                <w:top w:val="none" w:sz="0" w:space="0" w:color="auto"/>
                <w:left w:val="none" w:sz="0" w:space="0" w:color="auto"/>
                <w:bottom w:val="none" w:sz="0" w:space="0" w:color="auto"/>
                <w:right w:val="none" w:sz="0" w:space="0" w:color="auto"/>
              </w:divBdr>
              <w:divsChild>
                <w:div w:id="1699429011">
                  <w:marLeft w:val="-240"/>
                  <w:marRight w:val="-240"/>
                  <w:marTop w:val="0"/>
                  <w:marBottom w:val="0"/>
                  <w:divBdr>
                    <w:top w:val="none" w:sz="0" w:space="0" w:color="auto"/>
                    <w:left w:val="none" w:sz="0" w:space="0" w:color="auto"/>
                    <w:bottom w:val="none" w:sz="0" w:space="0" w:color="auto"/>
                    <w:right w:val="none" w:sz="0" w:space="0" w:color="auto"/>
                  </w:divBdr>
                  <w:divsChild>
                    <w:div w:id="1558857879">
                      <w:marLeft w:val="0"/>
                      <w:marRight w:val="0"/>
                      <w:marTop w:val="0"/>
                      <w:marBottom w:val="0"/>
                      <w:divBdr>
                        <w:top w:val="none" w:sz="0" w:space="0" w:color="auto"/>
                        <w:left w:val="none" w:sz="0" w:space="0" w:color="auto"/>
                        <w:bottom w:val="none" w:sz="0" w:space="0" w:color="auto"/>
                        <w:right w:val="none" w:sz="0" w:space="0" w:color="auto"/>
                      </w:divBdr>
                      <w:divsChild>
                        <w:div w:id="83304659">
                          <w:marLeft w:val="0"/>
                          <w:marRight w:val="0"/>
                          <w:marTop w:val="0"/>
                          <w:marBottom w:val="0"/>
                          <w:divBdr>
                            <w:top w:val="none" w:sz="0" w:space="0" w:color="auto"/>
                            <w:left w:val="none" w:sz="0" w:space="0" w:color="auto"/>
                            <w:bottom w:val="none" w:sz="0" w:space="0" w:color="auto"/>
                            <w:right w:val="none" w:sz="0" w:space="0" w:color="auto"/>
                          </w:divBdr>
                          <w:divsChild>
                            <w:div w:id="1257903476">
                              <w:marLeft w:val="165"/>
                              <w:marRight w:val="165"/>
                              <w:marTop w:val="0"/>
                              <w:marBottom w:val="0"/>
                              <w:divBdr>
                                <w:top w:val="none" w:sz="0" w:space="0" w:color="auto"/>
                                <w:left w:val="none" w:sz="0" w:space="0" w:color="auto"/>
                                <w:bottom w:val="none" w:sz="0" w:space="0" w:color="auto"/>
                                <w:right w:val="none" w:sz="0" w:space="0" w:color="auto"/>
                              </w:divBdr>
                              <w:divsChild>
                                <w:div w:id="2054847829">
                                  <w:marLeft w:val="0"/>
                                  <w:marRight w:val="0"/>
                                  <w:marTop w:val="0"/>
                                  <w:marBottom w:val="0"/>
                                  <w:divBdr>
                                    <w:top w:val="none" w:sz="0" w:space="0" w:color="auto"/>
                                    <w:left w:val="none" w:sz="0" w:space="0" w:color="auto"/>
                                    <w:bottom w:val="none" w:sz="0" w:space="0" w:color="auto"/>
                                    <w:right w:val="none" w:sz="0" w:space="0" w:color="auto"/>
                                  </w:divBdr>
                                  <w:divsChild>
                                    <w:div w:id="158132983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111291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4669021">
      <w:bodyDiv w:val="1"/>
      <w:marLeft w:val="0"/>
      <w:marRight w:val="0"/>
      <w:marTop w:val="0"/>
      <w:marBottom w:val="0"/>
      <w:divBdr>
        <w:top w:val="none" w:sz="0" w:space="0" w:color="auto"/>
        <w:left w:val="none" w:sz="0" w:space="0" w:color="auto"/>
        <w:bottom w:val="none" w:sz="0" w:space="0" w:color="auto"/>
        <w:right w:val="none" w:sz="0" w:space="0" w:color="auto"/>
      </w:divBdr>
    </w:div>
    <w:div w:id="1872960733">
      <w:bodyDiv w:val="1"/>
      <w:marLeft w:val="0"/>
      <w:marRight w:val="0"/>
      <w:marTop w:val="0"/>
      <w:marBottom w:val="0"/>
      <w:divBdr>
        <w:top w:val="none" w:sz="0" w:space="0" w:color="auto"/>
        <w:left w:val="none" w:sz="0" w:space="0" w:color="auto"/>
        <w:bottom w:val="none" w:sz="0" w:space="0" w:color="auto"/>
        <w:right w:val="none" w:sz="0" w:space="0" w:color="auto"/>
      </w:divBdr>
    </w:div>
    <w:div w:id="1902908197">
      <w:bodyDiv w:val="1"/>
      <w:marLeft w:val="0"/>
      <w:marRight w:val="0"/>
      <w:marTop w:val="0"/>
      <w:marBottom w:val="0"/>
      <w:divBdr>
        <w:top w:val="none" w:sz="0" w:space="0" w:color="auto"/>
        <w:left w:val="none" w:sz="0" w:space="0" w:color="auto"/>
        <w:bottom w:val="none" w:sz="0" w:space="0" w:color="auto"/>
        <w:right w:val="none" w:sz="0" w:space="0" w:color="auto"/>
      </w:divBdr>
    </w:div>
    <w:div w:id="1916695945">
      <w:bodyDiv w:val="1"/>
      <w:marLeft w:val="0"/>
      <w:marRight w:val="0"/>
      <w:marTop w:val="0"/>
      <w:marBottom w:val="0"/>
      <w:divBdr>
        <w:top w:val="none" w:sz="0" w:space="0" w:color="auto"/>
        <w:left w:val="none" w:sz="0" w:space="0" w:color="auto"/>
        <w:bottom w:val="none" w:sz="0" w:space="0" w:color="auto"/>
        <w:right w:val="none" w:sz="0" w:space="0" w:color="auto"/>
      </w:divBdr>
    </w:div>
    <w:div w:id="1958369383">
      <w:bodyDiv w:val="1"/>
      <w:marLeft w:val="0"/>
      <w:marRight w:val="0"/>
      <w:marTop w:val="0"/>
      <w:marBottom w:val="0"/>
      <w:divBdr>
        <w:top w:val="none" w:sz="0" w:space="0" w:color="auto"/>
        <w:left w:val="none" w:sz="0" w:space="0" w:color="auto"/>
        <w:bottom w:val="none" w:sz="0" w:space="0" w:color="auto"/>
        <w:right w:val="none" w:sz="0" w:space="0" w:color="auto"/>
      </w:divBdr>
    </w:div>
    <w:div w:id="1979646637">
      <w:bodyDiv w:val="1"/>
      <w:marLeft w:val="0"/>
      <w:marRight w:val="0"/>
      <w:marTop w:val="0"/>
      <w:marBottom w:val="0"/>
      <w:divBdr>
        <w:top w:val="none" w:sz="0" w:space="0" w:color="auto"/>
        <w:left w:val="none" w:sz="0" w:space="0" w:color="auto"/>
        <w:bottom w:val="none" w:sz="0" w:space="0" w:color="auto"/>
        <w:right w:val="none" w:sz="0" w:space="0" w:color="auto"/>
      </w:divBdr>
    </w:div>
    <w:div w:id="1986735925">
      <w:bodyDiv w:val="1"/>
      <w:marLeft w:val="0"/>
      <w:marRight w:val="0"/>
      <w:marTop w:val="0"/>
      <w:marBottom w:val="0"/>
      <w:divBdr>
        <w:top w:val="none" w:sz="0" w:space="0" w:color="auto"/>
        <w:left w:val="none" w:sz="0" w:space="0" w:color="auto"/>
        <w:bottom w:val="none" w:sz="0" w:space="0" w:color="auto"/>
        <w:right w:val="none" w:sz="0" w:space="0" w:color="auto"/>
      </w:divBdr>
    </w:div>
    <w:div w:id="2007711456">
      <w:bodyDiv w:val="1"/>
      <w:marLeft w:val="0"/>
      <w:marRight w:val="0"/>
      <w:marTop w:val="0"/>
      <w:marBottom w:val="0"/>
      <w:divBdr>
        <w:top w:val="none" w:sz="0" w:space="0" w:color="auto"/>
        <w:left w:val="none" w:sz="0" w:space="0" w:color="auto"/>
        <w:bottom w:val="none" w:sz="0" w:space="0" w:color="auto"/>
        <w:right w:val="none" w:sz="0" w:space="0" w:color="auto"/>
      </w:divBdr>
    </w:div>
    <w:div w:id="2026205893">
      <w:bodyDiv w:val="1"/>
      <w:marLeft w:val="0"/>
      <w:marRight w:val="0"/>
      <w:marTop w:val="0"/>
      <w:marBottom w:val="0"/>
      <w:divBdr>
        <w:top w:val="none" w:sz="0" w:space="0" w:color="auto"/>
        <w:left w:val="none" w:sz="0" w:space="0" w:color="auto"/>
        <w:bottom w:val="none" w:sz="0" w:space="0" w:color="auto"/>
        <w:right w:val="none" w:sz="0" w:space="0" w:color="auto"/>
      </w:divBdr>
    </w:div>
    <w:div w:id="2039041136">
      <w:bodyDiv w:val="1"/>
      <w:marLeft w:val="0"/>
      <w:marRight w:val="0"/>
      <w:marTop w:val="0"/>
      <w:marBottom w:val="0"/>
      <w:divBdr>
        <w:top w:val="none" w:sz="0" w:space="0" w:color="auto"/>
        <w:left w:val="none" w:sz="0" w:space="0" w:color="auto"/>
        <w:bottom w:val="none" w:sz="0" w:space="0" w:color="auto"/>
        <w:right w:val="none" w:sz="0" w:space="0" w:color="auto"/>
      </w:divBdr>
    </w:div>
    <w:div w:id="2063670481">
      <w:bodyDiv w:val="1"/>
      <w:marLeft w:val="0"/>
      <w:marRight w:val="0"/>
      <w:marTop w:val="0"/>
      <w:marBottom w:val="0"/>
      <w:divBdr>
        <w:top w:val="none" w:sz="0" w:space="0" w:color="auto"/>
        <w:left w:val="none" w:sz="0" w:space="0" w:color="auto"/>
        <w:bottom w:val="none" w:sz="0" w:space="0" w:color="auto"/>
        <w:right w:val="none" w:sz="0" w:space="0" w:color="auto"/>
      </w:divBdr>
    </w:div>
    <w:div w:id="2121410606">
      <w:bodyDiv w:val="1"/>
      <w:marLeft w:val="0"/>
      <w:marRight w:val="0"/>
      <w:marTop w:val="0"/>
      <w:marBottom w:val="0"/>
      <w:divBdr>
        <w:top w:val="none" w:sz="0" w:space="0" w:color="auto"/>
        <w:left w:val="none" w:sz="0" w:space="0" w:color="auto"/>
        <w:bottom w:val="none" w:sz="0" w:space="0" w:color="auto"/>
        <w:right w:val="none" w:sz="0" w:space="0" w:color="auto"/>
      </w:divBdr>
    </w:div>
    <w:div w:id="21356339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image" Target="media/image3.png"/><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image" Target="media/image6.png"/><Relationship Id="rId47" Type="http://schemas.openxmlformats.org/officeDocument/2006/relationships/chart" Target="charts/chart31.xml"/><Relationship Id="rId50" Type="http://schemas.openxmlformats.org/officeDocument/2006/relationships/image" Target="media/image10.pn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image" Target="media/image1.png"/><Relationship Id="rId40" Type="http://schemas.openxmlformats.org/officeDocument/2006/relationships/image" Target="media/image4.png"/><Relationship Id="rId45" Type="http://schemas.openxmlformats.org/officeDocument/2006/relationships/image" Target="media/image9.png"/><Relationship Id="rId53" Type="http://schemas.openxmlformats.org/officeDocument/2006/relationships/image" Target="media/image13.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image" Target="media/image7.png"/><Relationship Id="rId48" Type="http://schemas.openxmlformats.org/officeDocument/2006/relationships/chart" Target="charts/chart32.xml"/><Relationship Id="rId56" Type="http://schemas.openxmlformats.org/officeDocument/2006/relationships/footer" Target="footer1.xml"/><Relationship Id="rId8" Type="http://schemas.openxmlformats.org/officeDocument/2006/relationships/chart" Target="charts/chart1.xml"/><Relationship Id="rId51" Type="http://schemas.openxmlformats.org/officeDocument/2006/relationships/image" Target="media/image11.png"/><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image" Target="media/image2.png"/><Relationship Id="rId46" Type="http://schemas.openxmlformats.org/officeDocument/2006/relationships/chart" Target="charts/chart30.xml"/><Relationship Id="rId59" Type="http://schemas.openxmlformats.org/officeDocument/2006/relationships/theme" Target="theme/theme1.xml"/><Relationship Id="rId20" Type="http://schemas.openxmlformats.org/officeDocument/2006/relationships/chart" Target="charts/chart13.xml"/><Relationship Id="rId41" Type="http://schemas.openxmlformats.org/officeDocument/2006/relationships/image" Target="media/image5.png"/><Relationship Id="rId54"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33.xml"/><Relationship Id="rId57" Type="http://schemas.openxmlformats.org/officeDocument/2006/relationships/header" Target="header2.xml"/><Relationship Id="rId10" Type="http://schemas.openxmlformats.org/officeDocument/2006/relationships/chart" Target="charts/chart3.xml"/><Relationship Id="rId31" Type="http://schemas.openxmlformats.org/officeDocument/2006/relationships/chart" Target="charts/chart24.xml"/><Relationship Id="rId44" Type="http://schemas.openxmlformats.org/officeDocument/2006/relationships/image" Target="media/image8.png"/><Relationship Id="rId52" Type="http://schemas.openxmlformats.org/officeDocument/2006/relationships/image" Target="media/image12.png"/></Relationships>
</file>

<file path=word/_rels/footnotes.xml.rels><?xml version="1.0" encoding="UTF-8" standalone="yes"?>
<Relationships xmlns="http://schemas.openxmlformats.org/package/2006/relationships"><Relationship Id="rId1" Type="http://schemas.openxmlformats.org/officeDocument/2006/relationships/hyperlink" Target="https://tapportals.mk.gov.lv/legal_acts/9e47ab90-df45-45f0-95c1-b465ec6d1bcc"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fk\tand\TAND\_Budzeta%20paskaidrojumi\bu_2024\AJ\Infl&#257;cija.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5" Type="http://schemas.openxmlformats.org/officeDocument/2006/relationships/chartUserShapes" Target="../drawings/drawing1.xml"/><Relationship Id="rId4" Type="http://schemas.openxmlformats.org/officeDocument/2006/relationships/oleObject" Target="file:///\\fk\tand\TAND\Aleksejs%20Jur&#353;a\MAKRO\Infl&#257;cija\Preses%20rel&#299;zes\Grafiks_infl&#257;cija.xlsx" TargetMode="Externa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4.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5.xlsx"/></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fk\tand\TAND\Ieva%20Veja\bud&#382;eta%20paskaidrojumi\2020\iedz&#299;vot&#257;ju%20ien&#257;kumi\ien&#257;kumi%20p&#275;c%20PPS%20no%20ES%20vid&#275;j&#257;.xlsx" TargetMode="External"/><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8.xml"/><Relationship Id="rId1" Type="http://schemas.microsoft.com/office/2011/relationships/chartStyle" Target="style18.xml"/><Relationship Id="rId5" Type="http://schemas.openxmlformats.org/officeDocument/2006/relationships/chartUserShapes" Target="../drawings/drawing3.xml"/><Relationship Id="rId4" Type="http://schemas.openxmlformats.org/officeDocument/2006/relationships/oleObject" Target="file:///\\fk\tand\TAND\_Prezentacija\Prezentacijas-DATA.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td-jursa\Desktop\Prezentacijas-DATA.xlsx" TargetMode="External"/></Relationships>
</file>

<file path=word/charts/_rels/chart22.xml.rels><?xml version="1.0" encoding="UTF-8" standalone="yes"?>
<Relationships xmlns="http://schemas.openxmlformats.org/package/2006/relationships"><Relationship Id="rId2" Type="http://schemas.openxmlformats.org/officeDocument/2006/relationships/oleObject" Target="file:///C:\Users\td-jursa\Desktop\Prezentacijas-DATA.xlsx" TargetMode="External"/><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fk\tand\TAND\_Prezentacija\Prezentacijas-DATA.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fk\tand\TAND\_Prezentacija\Prezentacijas-DATA.xlsx" TargetMode="External"/></Relationships>
</file>

<file path=word/charts/_rels/chart25.xml.rels><?xml version="1.0" encoding="UTF-8" standalone="yes"?>
<Relationships xmlns="http://schemas.openxmlformats.org/package/2006/relationships"><Relationship Id="rId2" Type="http://schemas.openxmlformats.org/officeDocument/2006/relationships/oleObject" Target="file:///\\fk\tand\TAND\_Prezentacija\Prezentacijas-DATA.xlsx" TargetMode="External"/><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oleObject" Target="file:///\\fk\tand\TAND\_Prezentacija\Prezentacijas-DATA.xlsx" TargetMode="External"/><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16.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fk\tand\TAND\_Budzeta%20paskaidrojumi\bu_2023\Gatavie%20Decembris\OptPesimScen&#257;riji\Prognozu%20sal&#299;dzin&#257;jums%202023.xlsx" TargetMode="External"/></Relationships>
</file>

<file path=word/charts/_rels/chart29.xml.rels><?xml version="1.0" encoding="UTF-8" standalone="yes"?>
<Relationships xmlns="http://schemas.openxmlformats.org/package/2006/relationships"><Relationship Id="rId2" Type="http://schemas.openxmlformats.org/officeDocument/2006/relationships/oleObject" Target="file:///\\fk\tand\TAND\_Budzeta%20paskaidrojumi\bu_2023\Gatavie%20Decembris\OptPesimScen&#257;riji\Prognozu%20sal&#299;dzin&#257;jums%202023.xlsx" TargetMode="External"/><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1" Type="http://schemas.openxmlformats.org/officeDocument/2006/relationships/oleObject" Target="file:///\\fk\nad\_Bud&#382;eta%20projekts\Bud&#382;eta%20projekts%202024\Bud&#382;eta%20paskaidrojumi\grafiki.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fk\nad\_Bud&#382;eta%20projekts\Bud&#382;eta%20projekts%202024\Bud&#382;eta%20paskaidrojumi\grafiki.xlsx" TargetMode="External"/></Relationships>
</file>

<file path=word/charts/_rels/chart32.xml.rels><?xml version="1.0" encoding="UTF-8" standalone="yes"?>
<Relationships xmlns="http://schemas.openxmlformats.org/package/2006/relationships"><Relationship Id="rId3" Type="http://schemas.openxmlformats.org/officeDocument/2006/relationships/oleObject" Target="file:///\\fk\nad\_IE&#325;&#274;MUMU%20ANAL&#298;ZES%20UN%20PROGNOZ&#274;&#352;ANAS%20NODA&#315;A\Nenodok&#316;i\2023\Grafiki.xlsx" TargetMode="External"/><Relationship Id="rId2" Type="http://schemas.microsoft.com/office/2011/relationships/chartColorStyle" Target="colors24.xml"/><Relationship Id="rId1" Type="http://schemas.microsoft.com/office/2011/relationships/chartStyle" Target="style24.xml"/></Relationships>
</file>

<file path=word/charts/_rels/chart33.xml.rels><?xml version="1.0" encoding="UTF-8" standalone="yes"?>
<Relationships xmlns="http://schemas.openxmlformats.org/package/2006/relationships"><Relationship Id="rId3" Type="http://schemas.openxmlformats.org/officeDocument/2006/relationships/oleObject" Target="file:///\\fk\nad\_IE&#325;&#274;MUMU%20ANAL&#298;ZES%20UN%20PROGNOZ&#274;&#352;ANAS%20NODA&#315;A\Nenodok&#316;i\2023\Grafiki.xlsx" TargetMode="External"/><Relationship Id="rId2" Type="http://schemas.microsoft.com/office/2011/relationships/chartColorStyle" Target="colors25.xml"/><Relationship Id="rId1" Type="http://schemas.microsoft.com/office/2011/relationships/chartStyle" Target="style25.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2"/>
          <c:order val="0"/>
          <c:tx>
            <c:strRef>
              <c:f>nozares!$E$3</c:f>
              <c:strCache>
                <c:ptCount val="1"/>
                <c:pt idx="0">
                  <c:v>2022</c:v>
                </c:pt>
              </c:strCache>
            </c:strRef>
          </c:tx>
          <c:spPr>
            <a:solidFill>
              <a:sysClr val="window" lastClr="FFFFFF">
                <a:lumMod val="65000"/>
              </a:sysClr>
            </a:solidFill>
            <a:ln>
              <a:noFill/>
            </a:ln>
            <a:effectLst/>
          </c:spPr>
          <c:invertIfNegative val="0"/>
          <c:cat>
            <c:strRef>
              <c:f>nozares!$C$4:$C$19</c:f>
              <c:strCache>
                <c:ptCount val="16"/>
                <c:pt idx="0">
                  <c:v>Kopējā pievienotā vērtība</c:v>
                </c:pt>
                <c:pt idx="1">
                  <c:v>Lauksaimniecība, mežs</c:v>
                </c:pt>
                <c:pt idx="2">
                  <c:v>Apstrādes rūpniecība</c:v>
                </c:pt>
                <c:pt idx="3">
                  <c:v>Ieguves rūpn, enerģētika</c:v>
                </c:pt>
                <c:pt idx="4">
                  <c:v>Būvniecība</c:v>
                </c:pt>
                <c:pt idx="5">
                  <c:v>Tirdzniecība</c:v>
                </c:pt>
                <c:pt idx="6">
                  <c:v>Transports</c:v>
                </c:pt>
                <c:pt idx="7">
                  <c:v>Izmitināšana, ēdināšana</c:v>
                </c:pt>
                <c:pt idx="8">
                  <c:v>Informācijas pakalpojumi</c:v>
                </c:pt>
                <c:pt idx="9">
                  <c:v>Finanšu pakalpojumi</c:v>
                </c:pt>
                <c:pt idx="10">
                  <c:v>Nekustamā īpašuma oper</c:v>
                </c:pt>
                <c:pt idx="11">
                  <c:v>Komercpakalpojumi</c:v>
                </c:pt>
                <c:pt idx="12">
                  <c:v>Valsts pārvalde</c:v>
                </c:pt>
                <c:pt idx="13">
                  <c:v>Izglītība</c:v>
                </c:pt>
                <c:pt idx="14">
                  <c:v>Veselība</c:v>
                </c:pt>
                <c:pt idx="15">
                  <c:v>Māksla, izklaide</c:v>
                </c:pt>
              </c:strCache>
            </c:strRef>
          </c:cat>
          <c:val>
            <c:numRef>
              <c:f>nozares!$E$4:$E$19</c:f>
              <c:numCache>
                <c:formatCode>0.0</c:formatCode>
                <c:ptCount val="16"/>
                <c:pt idx="0">
                  <c:v>3.1</c:v>
                </c:pt>
                <c:pt idx="1">
                  <c:v>7.3</c:v>
                </c:pt>
                <c:pt idx="2">
                  <c:v>2.7</c:v>
                </c:pt>
                <c:pt idx="3">
                  <c:v>-11.7</c:v>
                </c:pt>
                <c:pt idx="4">
                  <c:v>-8.8000000000000007</c:v>
                </c:pt>
                <c:pt idx="5">
                  <c:v>-6.1</c:v>
                </c:pt>
                <c:pt idx="6">
                  <c:v>3</c:v>
                </c:pt>
                <c:pt idx="7">
                  <c:v>57.3</c:v>
                </c:pt>
                <c:pt idx="8">
                  <c:v>12.6</c:v>
                </c:pt>
                <c:pt idx="9">
                  <c:v>-6</c:v>
                </c:pt>
                <c:pt idx="10">
                  <c:v>1.6</c:v>
                </c:pt>
                <c:pt idx="11">
                  <c:v>17.399999999999999</c:v>
                </c:pt>
                <c:pt idx="12">
                  <c:v>3.7</c:v>
                </c:pt>
                <c:pt idx="13">
                  <c:v>4.0999999999999996</c:v>
                </c:pt>
                <c:pt idx="14">
                  <c:v>1</c:v>
                </c:pt>
                <c:pt idx="15">
                  <c:v>29.4</c:v>
                </c:pt>
              </c:numCache>
            </c:numRef>
          </c:val>
          <c:extLst>
            <c:ext xmlns:c16="http://schemas.microsoft.com/office/drawing/2014/chart" uri="{C3380CC4-5D6E-409C-BE32-E72D297353CC}">
              <c16:uniqueId val="{00000000-DDC4-4163-8152-5B939FA183FF}"/>
            </c:ext>
          </c:extLst>
        </c:ser>
        <c:ser>
          <c:idx val="1"/>
          <c:order val="1"/>
          <c:tx>
            <c:strRef>
              <c:f>nozares!$F$3</c:f>
              <c:strCache>
                <c:ptCount val="1"/>
                <c:pt idx="0">
                  <c:v>2023 1.puse</c:v>
                </c:pt>
              </c:strCache>
            </c:strRef>
          </c:tx>
          <c:spPr>
            <a:solidFill>
              <a:srgbClr val="70AD47">
                <a:lumMod val="75000"/>
              </a:srgb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nozares!$C$4:$C$19</c:f>
              <c:strCache>
                <c:ptCount val="16"/>
                <c:pt idx="0">
                  <c:v>Kopējā pievienotā vērtība</c:v>
                </c:pt>
                <c:pt idx="1">
                  <c:v>Lauksaimniecība, mežs</c:v>
                </c:pt>
                <c:pt idx="2">
                  <c:v>Apstrādes rūpniecība</c:v>
                </c:pt>
                <c:pt idx="3">
                  <c:v>Ieguves rūpn, enerģētika</c:v>
                </c:pt>
                <c:pt idx="4">
                  <c:v>Būvniecība</c:v>
                </c:pt>
                <c:pt idx="5">
                  <c:v>Tirdzniecība</c:v>
                </c:pt>
                <c:pt idx="6">
                  <c:v>Transports</c:v>
                </c:pt>
                <c:pt idx="7">
                  <c:v>Izmitināšana, ēdināšana</c:v>
                </c:pt>
                <c:pt idx="8">
                  <c:v>Informācijas pakalpojumi</c:v>
                </c:pt>
                <c:pt idx="9">
                  <c:v>Finanšu pakalpojumi</c:v>
                </c:pt>
                <c:pt idx="10">
                  <c:v>Nekustamā īpašuma oper</c:v>
                </c:pt>
                <c:pt idx="11">
                  <c:v>Komercpakalpojumi</c:v>
                </c:pt>
                <c:pt idx="12">
                  <c:v>Valsts pārvalde</c:v>
                </c:pt>
                <c:pt idx="13">
                  <c:v>Izglītība</c:v>
                </c:pt>
                <c:pt idx="14">
                  <c:v>Veselība</c:v>
                </c:pt>
                <c:pt idx="15">
                  <c:v>Māksla, izklaide</c:v>
                </c:pt>
              </c:strCache>
            </c:strRef>
          </c:cat>
          <c:val>
            <c:numRef>
              <c:f>nozares!$F$4:$F$19</c:f>
              <c:numCache>
                <c:formatCode>0.0</c:formatCode>
                <c:ptCount val="16"/>
                <c:pt idx="0">
                  <c:v>0</c:v>
                </c:pt>
                <c:pt idx="1">
                  <c:v>-5.8</c:v>
                </c:pt>
                <c:pt idx="2">
                  <c:v>-6.3</c:v>
                </c:pt>
                <c:pt idx="3">
                  <c:v>-3.8</c:v>
                </c:pt>
                <c:pt idx="4">
                  <c:v>15.4</c:v>
                </c:pt>
                <c:pt idx="5">
                  <c:v>-6.4</c:v>
                </c:pt>
                <c:pt idx="6">
                  <c:v>-5.2</c:v>
                </c:pt>
                <c:pt idx="7">
                  <c:v>13.3</c:v>
                </c:pt>
                <c:pt idx="8">
                  <c:v>7</c:v>
                </c:pt>
                <c:pt idx="9">
                  <c:v>0.5</c:v>
                </c:pt>
                <c:pt idx="10">
                  <c:v>2.8</c:v>
                </c:pt>
                <c:pt idx="11">
                  <c:v>2.7</c:v>
                </c:pt>
                <c:pt idx="12">
                  <c:v>5.7</c:v>
                </c:pt>
                <c:pt idx="13">
                  <c:v>9.1999999999999993</c:v>
                </c:pt>
                <c:pt idx="14">
                  <c:v>-5.4</c:v>
                </c:pt>
                <c:pt idx="15">
                  <c:v>17</c:v>
                </c:pt>
              </c:numCache>
            </c:numRef>
          </c:val>
          <c:extLst>
            <c:ext xmlns:c16="http://schemas.microsoft.com/office/drawing/2014/chart" uri="{C3380CC4-5D6E-409C-BE32-E72D297353CC}">
              <c16:uniqueId val="{00000001-DDC4-4163-8152-5B939FA183FF}"/>
            </c:ext>
          </c:extLst>
        </c:ser>
        <c:dLbls>
          <c:showLegendKey val="0"/>
          <c:showVal val="0"/>
          <c:showCatName val="0"/>
          <c:showSerName val="0"/>
          <c:showPercent val="0"/>
          <c:showBubbleSize val="0"/>
        </c:dLbls>
        <c:gapWidth val="32"/>
        <c:axId val="1182926320"/>
        <c:axId val="1182925488"/>
      </c:barChart>
      <c:catAx>
        <c:axId val="1182926320"/>
        <c:scaling>
          <c:orientation val="maxMin"/>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5488"/>
        <c:crosses val="autoZero"/>
        <c:auto val="1"/>
        <c:lblAlgn val="ctr"/>
        <c:lblOffset val="100"/>
        <c:noMultiLvlLbl val="0"/>
      </c:catAx>
      <c:valAx>
        <c:axId val="1182925488"/>
        <c:scaling>
          <c:orientation val="minMax"/>
          <c:max val="85"/>
          <c:min val="-20"/>
        </c:scaling>
        <c:delete val="0"/>
        <c:axPos val="t"/>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6320"/>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Verdana" panose="020B0604030504040204" pitchFamily="34" charset="0"/>
          <a:ea typeface="Verdana" panose="020B0604030504040204" pitchFamily="34" charset="0"/>
        </a:defRPr>
      </a:pPr>
      <a:endParaRPr lang="lv-LV"/>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2640604239305869E-2"/>
          <c:y val="6.25E-2"/>
          <c:w val="0.91244433347303844"/>
          <c:h val="0.68725930565497495"/>
        </c:manualLayout>
      </c:layout>
      <c:barChart>
        <c:barDir val="col"/>
        <c:grouping val="stacked"/>
        <c:varyColors val="0"/>
        <c:ser>
          <c:idx val="0"/>
          <c:order val="0"/>
          <c:tx>
            <c:strRef>
              <c:f>'Jaunie kredīti'!$B$14</c:f>
              <c:strCache>
                <c:ptCount val="1"/>
                <c:pt idx="0">
                  <c:v>mājsaimniecībām mājokļa iegādei</c:v>
                </c:pt>
              </c:strCache>
            </c:strRef>
          </c:tx>
          <c:spPr>
            <a:solidFill>
              <a:schemeClr val="accent1"/>
            </a:solidFill>
            <a:ln>
              <a:noFill/>
            </a:ln>
            <a:effectLst/>
          </c:spPr>
          <c:invertIfNegative val="0"/>
          <c:cat>
            <c:numRef>
              <c:f>'Jaunie kredīti'!$G$13:$DA$13</c:f>
              <c:numCache>
                <c:formatCode>mmm\-yy</c:formatCode>
                <c:ptCount val="67"/>
                <c:pt idx="0">
                  <c:v>43101</c:v>
                </c:pt>
                <c:pt idx="1">
                  <c:v>43132</c:v>
                </c:pt>
                <c:pt idx="2">
                  <c:v>43160</c:v>
                </c:pt>
                <c:pt idx="3">
                  <c:v>43191</c:v>
                </c:pt>
                <c:pt idx="4">
                  <c:v>43221</c:v>
                </c:pt>
                <c:pt idx="5">
                  <c:v>43252</c:v>
                </c:pt>
                <c:pt idx="6">
                  <c:v>43282</c:v>
                </c:pt>
                <c:pt idx="7">
                  <c:v>43313</c:v>
                </c:pt>
                <c:pt idx="8">
                  <c:v>43344</c:v>
                </c:pt>
                <c:pt idx="9">
                  <c:v>43374</c:v>
                </c:pt>
                <c:pt idx="10">
                  <c:v>43405</c:v>
                </c:pt>
                <c:pt idx="11">
                  <c:v>43435</c:v>
                </c:pt>
                <c:pt idx="12">
                  <c:v>43466</c:v>
                </c:pt>
                <c:pt idx="13">
                  <c:v>43497</c:v>
                </c:pt>
                <c:pt idx="14">
                  <c:v>43525</c:v>
                </c:pt>
                <c:pt idx="15">
                  <c:v>43556</c:v>
                </c:pt>
                <c:pt idx="16">
                  <c:v>43586</c:v>
                </c:pt>
                <c:pt idx="17">
                  <c:v>43617</c:v>
                </c:pt>
                <c:pt idx="18">
                  <c:v>43647</c:v>
                </c:pt>
                <c:pt idx="19">
                  <c:v>43678</c:v>
                </c:pt>
                <c:pt idx="20">
                  <c:v>43709</c:v>
                </c:pt>
                <c:pt idx="21">
                  <c:v>43739</c:v>
                </c:pt>
                <c:pt idx="22">
                  <c:v>43770</c:v>
                </c:pt>
                <c:pt idx="23">
                  <c:v>43800</c:v>
                </c:pt>
                <c:pt idx="24">
                  <c:v>43831</c:v>
                </c:pt>
                <c:pt idx="25">
                  <c:v>43862</c:v>
                </c:pt>
                <c:pt idx="26">
                  <c:v>43891</c:v>
                </c:pt>
                <c:pt idx="27">
                  <c:v>43922</c:v>
                </c:pt>
                <c:pt idx="28">
                  <c:v>43952</c:v>
                </c:pt>
                <c:pt idx="29">
                  <c:v>43983</c:v>
                </c:pt>
                <c:pt idx="30">
                  <c:v>44013</c:v>
                </c:pt>
                <c:pt idx="31">
                  <c:v>44044</c:v>
                </c:pt>
                <c:pt idx="32">
                  <c:v>44075</c:v>
                </c:pt>
                <c:pt idx="33">
                  <c:v>44105</c:v>
                </c:pt>
                <c:pt idx="34">
                  <c:v>44136</c:v>
                </c:pt>
                <c:pt idx="35">
                  <c:v>44166</c:v>
                </c:pt>
                <c:pt idx="36">
                  <c:v>44197</c:v>
                </c:pt>
                <c:pt idx="37">
                  <c:v>44228</c:v>
                </c:pt>
                <c:pt idx="38">
                  <c:v>44256</c:v>
                </c:pt>
                <c:pt idx="39">
                  <c:v>44287</c:v>
                </c:pt>
                <c:pt idx="40">
                  <c:v>44317</c:v>
                </c:pt>
                <c:pt idx="41">
                  <c:v>44348</c:v>
                </c:pt>
                <c:pt idx="42">
                  <c:v>44378</c:v>
                </c:pt>
                <c:pt idx="43">
                  <c:v>44409</c:v>
                </c:pt>
                <c:pt idx="44">
                  <c:v>44440</c:v>
                </c:pt>
                <c:pt idx="45">
                  <c:v>44470</c:v>
                </c:pt>
                <c:pt idx="46">
                  <c:v>44501</c:v>
                </c:pt>
                <c:pt idx="47">
                  <c:v>44531</c:v>
                </c:pt>
                <c:pt idx="48">
                  <c:v>44562</c:v>
                </c:pt>
                <c:pt idx="49">
                  <c:v>44593</c:v>
                </c:pt>
                <c:pt idx="50">
                  <c:v>44621</c:v>
                </c:pt>
                <c:pt idx="51">
                  <c:v>44652</c:v>
                </c:pt>
                <c:pt idx="52">
                  <c:v>44682</c:v>
                </c:pt>
                <c:pt idx="53">
                  <c:v>44713</c:v>
                </c:pt>
                <c:pt idx="54">
                  <c:v>44743</c:v>
                </c:pt>
                <c:pt idx="55">
                  <c:v>44774</c:v>
                </c:pt>
                <c:pt idx="56">
                  <c:v>44805</c:v>
                </c:pt>
                <c:pt idx="57">
                  <c:v>44835</c:v>
                </c:pt>
                <c:pt idx="58">
                  <c:v>44866</c:v>
                </c:pt>
                <c:pt idx="59">
                  <c:v>44896</c:v>
                </c:pt>
                <c:pt idx="60">
                  <c:v>44927</c:v>
                </c:pt>
                <c:pt idx="61">
                  <c:v>44958</c:v>
                </c:pt>
                <c:pt idx="62">
                  <c:v>44986</c:v>
                </c:pt>
                <c:pt idx="63">
                  <c:v>45017</c:v>
                </c:pt>
                <c:pt idx="64">
                  <c:v>45047</c:v>
                </c:pt>
                <c:pt idx="65">
                  <c:v>45078</c:v>
                </c:pt>
                <c:pt idx="66">
                  <c:v>45108</c:v>
                </c:pt>
              </c:numCache>
            </c:numRef>
          </c:cat>
          <c:val>
            <c:numRef>
              <c:f>'Jaunie kredīti'!$G$14:$DA$14</c:f>
              <c:numCache>
                <c:formatCode>#\ ##0.0</c:formatCode>
                <c:ptCount val="67"/>
                <c:pt idx="0">
                  <c:v>56.300000000000004</c:v>
                </c:pt>
                <c:pt idx="1">
                  <c:v>40.099999999999994</c:v>
                </c:pt>
                <c:pt idx="2">
                  <c:v>46.6</c:v>
                </c:pt>
                <c:pt idx="3">
                  <c:v>52.900000000000006</c:v>
                </c:pt>
                <c:pt idx="4">
                  <c:v>52.900000000000006</c:v>
                </c:pt>
                <c:pt idx="5">
                  <c:v>54</c:v>
                </c:pt>
                <c:pt idx="6">
                  <c:v>47.6</c:v>
                </c:pt>
                <c:pt idx="7">
                  <c:v>54.300000000000004</c:v>
                </c:pt>
                <c:pt idx="8">
                  <c:v>43.7</c:v>
                </c:pt>
                <c:pt idx="9">
                  <c:v>52.400000000000006</c:v>
                </c:pt>
                <c:pt idx="10">
                  <c:v>49.3</c:v>
                </c:pt>
                <c:pt idx="11">
                  <c:v>42.3</c:v>
                </c:pt>
                <c:pt idx="12">
                  <c:v>46.400000000000006</c:v>
                </c:pt>
                <c:pt idx="13">
                  <c:v>45.7</c:v>
                </c:pt>
                <c:pt idx="14">
                  <c:v>47.599999999999994</c:v>
                </c:pt>
                <c:pt idx="15">
                  <c:v>49.000000000000007</c:v>
                </c:pt>
                <c:pt idx="16">
                  <c:v>52.4</c:v>
                </c:pt>
                <c:pt idx="17">
                  <c:v>46.6</c:v>
                </c:pt>
                <c:pt idx="18">
                  <c:v>50.9</c:v>
                </c:pt>
                <c:pt idx="19">
                  <c:v>47.2</c:v>
                </c:pt>
                <c:pt idx="20">
                  <c:v>47.599999999999994</c:v>
                </c:pt>
                <c:pt idx="21">
                  <c:v>49.300000000000004</c:v>
                </c:pt>
                <c:pt idx="22">
                  <c:v>45.099999999999994</c:v>
                </c:pt>
                <c:pt idx="23">
                  <c:v>42.7</c:v>
                </c:pt>
                <c:pt idx="24">
                  <c:v>41.1</c:v>
                </c:pt>
                <c:pt idx="25">
                  <c:v>43.399999999999991</c:v>
                </c:pt>
                <c:pt idx="26">
                  <c:v>40.999999999999986</c:v>
                </c:pt>
                <c:pt idx="27">
                  <c:v>26.799999999999997</c:v>
                </c:pt>
                <c:pt idx="28">
                  <c:v>27.6</c:v>
                </c:pt>
                <c:pt idx="29">
                  <c:v>39.4</c:v>
                </c:pt>
                <c:pt idx="30">
                  <c:v>53.800000000000004</c:v>
                </c:pt>
                <c:pt idx="31">
                  <c:v>51.2</c:v>
                </c:pt>
                <c:pt idx="32">
                  <c:v>59.3</c:v>
                </c:pt>
                <c:pt idx="33">
                  <c:v>58.099999999999994</c:v>
                </c:pt>
                <c:pt idx="34">
                  <c:v>52.500000000000007</c:v>
                </c:pt>
                <c:pt idx="35">
                  <c:v>51.900000000000006</c:v>
                </c:pt>
                <c:pt idx="36">
                  <c:v>47.9</c:v>
                </c:pt>
                <c:pt idx="37">
                  <c:v>55.999999999999993</c:v>
                </c:pt>
                <c:pt idx="38">
                  <c:v>78</c:v>
                </c:pt>
                <c:pt idx="39">
                  <c:v>74</c:v>
                </c:pt>
                <c:pt idx="40">
                  <c:v>79.699999999999989</c:v>
                </c:pt>
                <c:pt idx="41">
                  <c:v>70.8</c:v>
                </c:pt>
                <c:pt idx="42">
                  <c:v>71.8</c:v>
                </c:pt>
                <c:pt idx="43">
                  <c:v>73.5</c:v>
                </c:pt>
                <c:pt idx="44">
                  <c:v>74.800000000000011</c:v>
                </c:pt>
                <c:pt idx="45">
                  <c:v>74</c:v>
                </c:pt>
                <c:pt idx="46">
                  <c:v>77.400000000000006</c:v>
                </c:pt>
                <c:pt idx="47">
                  <c:v>71.699999999999989</c:v>
                </c:pt>
                <c:pt idx="48">
                  <c:v>57.9</c:v>
                </c:pt>
                <c:pt idx="49">
                  <c:v>70</c:v>
                </c:pt>
                <c:pt idx="50">
                  <c:v>79.599999999999994</c:v>
                </c:pt>
                <c:pt idx="51">
                  <c:v>69.7</c:v>
                </c:pt>
                <c:pt idx="52">
                  <c:v>83.300000000000011</c:v>
                </c:pt>
                <c:pt idx="53">
                  <c:v>81.999999999999986</c:v>
                </c:pt>
                <c:pt idx="54">
                  <c:v>77.2</c:v>
                </c:pt>
                <c:pt idx="55">
                  <c:v>82.8</c:v>
                </c:pt>
                <c:pt idx="56">
                  <c:v>73.7</c:v>
                </c:pt>
                <c:pt idx="57">
                  <c:v>62.099999999999994</c:v>
                </c:pt>
                <c:pt idx="58">
                  <c:v>54.600000000000009</c:v>
                </c:pt>
                <c:pt idx="59">
                  <c:v>56.9</c:v>
                </c:pt>
                <c:pt idx="60">
                  <c:v>50.1</c:v>
                </c:pt>
                <c:pt idx="61">
                  <c:v>53.800000000000004</c:v>
                </c:pt>
                <c:pt idx="62">
                  <c:v>69.699999999999989</c:v>
                </c:pt>
                <c:pt idx="63">
                  <c:v>62.3</c:v>
                </c:pt>
                <c:pt idx="64">
                  <c:v>67.400000000000006</c:v>
                </c:pt>
                <c:pt idx="65">
                  <c:v>71.900000000000006</c:v>
                </c:pt>
                <c:pt idx="66">
                  <c:v>61.300000000000011</c:v>
                </c:pt>
              </c:numCache>
            </c:numRef>
          </c:val>
          <c:extLst>
            <c:ext xmlns:c16="http://schemas.microsoft.com/office/drawing/2014/chart" uri="{C3380CC4-5D6E-409C-BE32-E72D297353CC}">
              <c16:uniqueId val="{00000000-4803-49F3-9FE5-22122C5D5967}"/>
            </c:ext>
          </c:extLst>
        </c:ser>
        <c:ser>
          <c:idx val="1"/>
          <c:order val="1"/>
          <c:tx>
            <c:strRef>
              <c:f>'Jaunie kredīti'!$B$15</c:f>
              <c:strCache>
                <c:ptCount val="1"/>
                <c:pt idx="0">
                  <c:v> patēriņa kredīti mājsaimniecībām</c:v>
                </c:pt>
              </c:strCache>
            </c:strRef>
          </c:tx>
          <c:spPr>
            <a:solidFill>
              <a:schemeClr val="accent2"/>
            </a:solidFill>
            <a:ln>
              <a:noFill/>
            </a:ln>
            <a:effectLst/>
          </c:spPr>
          <c:invertIfNegative val="0"/>
          <c:cat>
            <c:numRef>
              <c:f>'Jaunie kredīti'!$G$13:$DA$13</c:f>
              <c:numCache>
                <c:formatCode>mmm\-yy</c:formatCode>
                <c:ptCount val="67"/>
                <c:pt idx="0">
                  <c:v>43101</c:v>
                </c:pt>
                <c:pt idx="1">
                  <c:v>43132</c:v>
                </c:pt>
                <c:pt idx="2">
                  <c:v>43160</c:v>
                </c:pt>
                <c:pt idx="3">
                  <c:v>43191</c:v>
                </c:pt>
                <c:pt idx="4">
                  <c:v>43221</c:v>
                </c:pt>
                <c:pt idx="5">
                  <c:v>43252</c:v>
                </c:pt>
                <c:pt idx="6">
                  <c:v>43282</c:v>
                </c:pt>
                <c:pt idx="7">
                  <c:v>43313</c:v>
                </c:pt>
                <c:pt idx="8">
                  <c:v>43344</c:v>
                </c:pt>
                <c:pt idx="9">
                  <c:v>43374</c:v>
                </c:pt>
                <c:pt idx="10">
                  <c:v>43405</c:v>
                </c:pt>
                <c:pt idx="11">
                  <c:v>43435</c:v>
                </c:pt>
                <c:pt idx="12">
                  <c:v>43466</c:v>
                </c:pt>
                <c:pt idx="13">
                  <c:v>43497</c:v>
                </c:pt>
                <c:pt idx="14">
                  <c:v>43525</c:v>
                </c:pt>
                <c:pt idx="15">
                  <c:v>43556</c:v>
                </c:pt>
                <c:pt idx="16">
                  <c:v>43586</c:v>
                </c:pt>
                <c:pt idx="17">
                  <c:v>43617</c:v>
                </c:pt>
                <c:pt idx="18">
                  <c:v>43647</c:v>
                </c:pt>
                <c:pt idx="19">
                  <c:v>43678</c:v>
                </c:pt>
                <c:pt idx="20">
                  <c:v>43709</c:v>
                </c:pt>
                <c:pt idx="21">
                  <c:v>43739</c:v>
                </c:pt>
                <c:pt idx="22">
                  <c:v>43770</c:v>
                </c:pt>
                <c:pt idx="23">
                  <c:v>43800</c:v>
                </c:pt>
                <c:pt idx="24">
                  <c:v>43831</c:v>
                </c:pt>
                <c:pt idx="25">
                  <c:v>43862</c:v>
                </c:pt>
                <c:pt idx="26">
                  <c:v>43891</c:v>
                </c:pt>
                <c:pt idx="27">
                  <c:v>43922</c:v>
                </c:pt>
                <c:pt idx="28">
                  <c:v>43952</c:v>
                </c:pt>
                <c:pt idx="29">
                  <c:v>43983</c:v>
                </c:pt>
                <c:pt idx="30">
                  <c:v>44013</c:v>
                </c:pt>
                <c:pt idx="31">
                  <c:v>44044</c:v>
                </c:pt>
                <c:pt idx="32">
                  <c:v>44075</c:v>
                </c:pt>
                <c:pt idx="33">
                  <c:v>44105</c:v>
                </c:pt>
                <c:pt idx="34">
                  <c:v>44136</c:v>
                </c:pt>
                <c:pt idx="35">
                  <c:v>44166</c:v>
                </c:pt>
                <c:pt idx="36">
                  <c:v>44197</c:v>
                </c:pt>
                <c:pt idx="37">
                  <c:v>44228</c:v>
                </c:pt>
                <c:pt idx="38">
                  <c:v>44256</c:v>
                </c:pt>
                <c:pt idx="39">
                  <c:v>44287</c:v>
                </c:pt>
                <c:pt idx="40">
                  <c:v>44317</c:v>
                </c:pt>
                <c:pt idx="41">
                  <c:v>44348</c:v>
                </c:pt>
                <c:pt idx="42">
                  <c:v>44378</c:v>
                </c:pt>
                <c:pt idx="43">
                  <c:v>44409</c:v>
                </c:pt>
                <c:pt idx="44">
                  <c:v>44440</c:v>
                </c:pt>
                <c:pt idx="45">
                  <c:v>44470</c:v>
                </c:pt>
                <c:pt idx="46">
                  <c:v>44501</c:v>
                </c:pt>
                <c:pt idx="47">
                  <c:v>44531</c:v>
                </c:pt>
                <c:pt idx="48">
                  <c:v>44562</c:v>
                </c:pt>
                <c:pt idx="49">
                  <c:v>44593</c:v>
                </c:pt>
                <c:pt idx="50">
                  <c:v>44621</c:v>
                </c:pt>
                <c:pt idx="51">
                  <c:v>44652</c:v>
                </c:pt>
                <c:pt idx="52">
                  <c:v>44682</c:v>
                </c:pt>
                <c:pt idx="53">
                  <c:v>44713</c:v>
                </c:pt>
                <c:pt idx="54">
                  <c:v>44743</c:v>
                </c:pt>
                <c:pt idx="55">
                  <c:v>44774</c:v>
                </c:pt>
                <c:pt idx="56">
                  <c:v>44805</c:v>
                </c:pt>
                <c:pt idx="57">
                  <c:v>44835</c:v>
                </c:pt>
                <c:pt idx="58">
                  <c:v>44866</c:v>
                </c:pt>
                <c:pt idx="59">
                  <c:v>44896</c:v>
                </c:pt>
                <c:pt idx="60">
                  <c:v>44927</c:v>
                </c:pt>
                <c:pt idx="61">
                  <c:v>44958</c:v>
                </c:pt>
                <c:pt idx="62">
                  <c:v>44986</c:v>
                </c:pt>
                <c:pt idx="63">
                  <c:v>45017</c:v>
                </c:pt>
                <c:pt idx="64">
                  <c:v>45047</c:v>
                </c:pt>
                <c:pt idx="65">
                  <c:v>45078</c:v>
                </c:pt>
                <c:pt idx="66">
                  <c:v>45108</c:v>
                </c:pt>
              </c:numCache>
            </c:numRef>
          </c:cat>
          <c:val>
            <c:numRef>
              <c:f>'Jaunie kredīti'!$G$15:$DA$15</c:f>
              <c:numCache>
                <c:formatCode>#\ ##0.0</c:formatCode>
                <c:ptCount val="67"/>
                <c:pt idx="0">
                  <c:v>20</c:v>
                </c:pt>
                <c:pt idx="1">
                  <c:v>16.7</c:v>
                </c:pt>
                <c:pt idx="2">
                  <c:v>18.299999999999997</c:v>
                </c:pt>
                <c:pt idx="3">
                  <c:v>19.7</c:v>
                </c:pt>
                <c:pt idx="4">
                  <c:v>21.2</c:v>
                </c:pt>
                <c:pt idx="5">
                  <c:v>20.399999999999999</c:v>
                </c:pt>
                <c:pt idx="6">
                  <c:v>22.400000000000002</c:v>
                </c:pt>
                <c:pt idx="7">
                  <c:v>23.9</c:v>
                </c:pt>
                <c:pt idx="8">
                  <c:v>20.599999999999998</c:v>
                </c:pt>
                <c:pt idx="9">
                  <c:v>24</c:v>
                </c:pt>
                <c:pt idx="10">
                  <c:v>20.2</c:v>
                </c:pt>
                <c:pt idx="11">
                  <c:v>18.600000000000001</c:v>
                </c:pt>
                <c:pt idx="12">
                  <c:v>17.900000000000002</c:v>
                </c:pt>
                <c:pt idx="13">
                  <c:v>17</c:v>
                </c:pt>
                <c:pt idx="14">
                  <c:v>19.399999999999999</c:v>
                </c:pt>
                <c:pt idx="15">
                  <c:v>21</c:v>
                </c:pt>
                <c:pt idx="16">
                  <c:v>23.599999999999998</c:v>
                </c:pt>
                <c:pt idx="17">
                  <c:v>20.599999999999998</c:v>
                </c:pt>
                <c:pt idx="18">
                  <c:v>19.100000000000001</c:v>
                </c:pt>
                <c:pt idx="19">
                  <c:v>18.3</c:v>
                </c:pt>
                <c:pt idx="20">
                  <c:v>17.700000000000003</c:v>
                </c:pt>
                <c:pt idx="21">
                  <c:v>20.5</c:v>
                </c:pt>
                <c:pt idx="22">
                  <c:v>18.400000000000002</c:v>
                </c:pt>
                <c:pt idx="23">
                  <c:v>15.399999999999999</c:v>
                </c:pt>
                <c:pt idx="24">
                  <c:v>15.2</c:v>
                </c:pt>
                <c:pt idx="25">
                  <c:v>15.2</c:v>
                </c:pt>
                <c:pt idx="26">
                  <c:v>13.8</c:v>
                </c:pt>
                <c:pt idx="27">
                  <c:v>8</c:v>
                </c:pt>
                <c:pt idx="28">
                  <c:v>12.2</c:v>
                </c:pt>
                <c:pt idx="29">
                  <c:v>13.7</c:v>
                </c:pt>
                <c:pt idx="30">
                  <c:v>16.3</c:v>
                </c:pt>
                <c:pt idx="31">
                  <c:v>16.5</c:v>
                </c:pt>
                <c:pt idx="32">
                  <c:v>18.5</c:v>
                </c:pt>
                <c:pt idx="33">
                  <c:v>15.900000000000002</c:v>
                </c:pt>
                <c:pt idx="34">
                  <c:v>13.499999999999998</c:v>
                </c:pt>
                <c:pt idx="35">
                  <c:v>12.4</c:v>
                </c:pt>
                <c:pt idx="36">
                  <c:v>11.3</c:v>
                </c:pt>
                <c:pt idx="37">
                  <c:v>11.700000000000001</c:v>
                </c:pt>
                <c:pt idx="38">
                  <c:v>16.299999999999997</c:v>
                </c:pt>
                <c:pt idx="39">
                  <c:v>17.899999999999999</c:v>
                </c:pt>
                <c:pt idx="40">
                  <c:v>17.600000000000001</c:v>
                </c:pt>
                <c:pt idx="41">
                  <c:v>17.400000000000002</c:v>
                </c:pt>
                <c:pt idx="42">
                  <c:v>19.7</c:v>
                </c:pt>
                <c:pt idx="43">
                  <c:v>18.900000000000002</c:v>
                </c:pt>
                <c:pt idx="44">
                  <c:v>23.6</c:v>
                </c:pt>
                <c:pt idx="45">
                  <c:v>20.3</c:v>
                </c:pt>
                <c:pt idx="46">
                  <c:v>22</c:v>
                </c:pt>
                <c:pt idx="47">
                  <c:v>18.900000000000002</c:v>
                </c:pt>
                <c:pt idx="48">
                  <c:v>18.7</c:v>
                </c:pt>
                <c:pt idx="49">
                  <c:v>19.3</c:v>
                </c:pt>
                <c:pt idx="50">
                  <c:v>23.200000000000003</c:v>
                </c:pt>
                <c:pt idx="51">
                  <c:v>25.7</c:v>
                </c:pt>
                <c:pt idx="52">
                  <c:v>28.6</c:v>
                </c:pt>
                <c:pt idx="53">
                  <c:v>28.400000000000002</c:v>
                </c:pt>
                <c:pt idx="54">
                  <c:v>30.099999999999998</c:v>
                </c:pt>
                <c:pt idx="55">
                  <c:v>32.800000000000004</c:v>
                </c:pt>
                <c:pt idx="56">
                  <c:v>30.400000000000002</c:v>
                </c:pt>
                <c:pt idx="57">
                  <c:v>27.400000000000002</c:v>
                </c:pt>
                <c:pt idx="58">
                  <c:v>27.2</c:v>
                </c:pt>
                <c:pt idx="59">
                  <c:v>29.099999999999998</c:v>
                </c:pt>
                <c:pt idx="60">
                  <c:v>24.700000000000003</c:v>
                </c:pt>
                <c:pt idx="61">
                  <c:v>26.3</c:v>
                </c:pt>
                <c:pt idx="62">
                  <c:v>34.799999999999997</c:v>
                </c:pt>
                <c:pt idx="63">
                  <c:v>32.4</c:v>
                </c:pt>
                <c:pt idx="64">
                  <c:v>37.1</c:v>
                </c:pt>
                <c:pt idx="65">
                  <c:v>34.200000000000003</c:v>
                </c:pt>
                <c:pt idx="66">
                  <c:v>34.6</c:v>
                </c:pt>
              </c:numCache>
            </c:numRef>
          </c:val>
          <c:extLst>
            <c:ext xmlns:c16="http://schemas.microsoft.com/office/drawing/2014/chart" uri="{C3380CC4-5D6E-409C-BE32-E72D297353CC}">
              <c16:uniqueId val="{00000001-4803-49F3-9FE5-22122C5D5967}"/>
            </c:ext>
          </c:extLst>
        </c:ser>
        <c:ser>
          <c:idx val="2"/>
          <c:order val="2"/>
          <c:tx>
            <c:strRef>
              <c:f>'Jaunie kredīti'!$B$16</c:f>
              <c:strCache>
                <c:ptCount val="1"/>
                <c:pt idx="0">
                  <c:v> pārējie kredīti mājsaimniecībām</c:v>
                </c:pt>
              </c:strCache>
            </c:strRef>
          </c:tx>
          <c:spPr>
            <a:solidFill>
              <a:schemeClr val="accent3"/>
            </a:solidFill>
            <a:ln>
              <a:noFill/>
            </a:ln>
            <a:effectLst/>
          </c:spPr>
          <c:invertIfNegative val="0"/>
          <c:cat>
            <c:numRef>
              <c:f>'Jaunie kredīti'!$G$13:$DA$13</c:f>
              <c:numCache>
                <c:formatCode>mmm\-yy</c:formatCode>
                <c:ptCount val="67"/>
                <c:pt idx="0">
                  <c:v>43101</c:v>
                </c:pt>
                <c:pt idx="1">
                  <c:v>43132</c:v>
                </c:pt>
                <c:pt idx="2">
                  <c:v>43160</c:v>
                </c:pt>
                <c:pt idx="3">
                  <c:v>43191</c:v>
                </c:pt>
                <c:pt idx="4">
                  <c:v>43221</c:v>
                </c:pt>
                <c:pt idx="5">
                  <c:v>43252</c:v>
                </c:pt>
                <c:pt idx="6">
                  <c:v>43282</c:v>
                </c:pt>
                <c:pt idx="7">
                  <c:v>43313</c:v>
                </c:pt>
                <c:pt idx="8">
                  <c:v>43344</c:v>
                </c:pt>
                <c:pt idx="9">
                  <c:v>43374</c:v>
                </c:pt>
                <c:pt idx="10">
                  <c:v>43405</c:v>
                </c:pt>
                <c:pt idx="11">
                  <c:v>43435</c:v>
                </c:pt>
                <c:pt idx="12">
                  <c:v>43466</c:v>
                </c:pt>
                <c:pt idx="13">
                  <c:v>43497</c:v>
                </c:pt>
                <c:pt idx="14">
                  <c:v>43525</c:v>
                </c:pt>
                <c:pt idx="15">
                  <c:v>43556</c:v>
                </c:pt>
                <c:pt idx="16">
                  <c:v>43586</c:v>
                </c:pt>
                <c:pt idx="17">
                  <c:v>43617</c:v>
                </c:pt>
                <c:pt idx="18">
                  <c:v>43647</c:v>
                </c:pt>
                <c:pt idx="19">
                  <c:v>43678</c:v>
                </c:pt>
                <c:pt idx="20">
                  <c:v>43709</c:v>
                </c:pt>
                <c:pt idx="21">
                  <c:v>43739</c:v>
                </c:pt>
                <c:pt idx="22">
                  <c:v>43770</c:v>
                </c:pt>
                <c:pt idx="23">
                  <c:v>43800</c:v>
                </c:pt>
                <c:pt idx="24">
                  <c:v>43831</c:v>
                </c:pt>
                <c:pt idx="25">
                  <c:v>43862</c:v>
                </c:pt>
                <c:pt idx="26">
                  <c:v>43891</c:v>
                </c:pt>
                <c:pt idx="27">
                  <c:v>43922</c:v>
                </c:pt>
                <c:pt idx="28">
                  <c:v>43952</c:v>
                </c:pt>
                <c:pt idx="29">
                  <c:v>43983</c:v>
                </c:pt>
                <c:pt idx="30">
                  <c:v>44013</c:v>
                </c:pt>
                <c:pt idx="31">
                  <c:v>44044</c:v>
                </c:pt>
                <c:pt idx="32">
                  <c:v>44075</c:v>
                </c:pt>
                <c:pt idx="33">
                  <c:v>44105</c:v>
                </c:pt>
                <c:pt idx="34">
                  <c:v>44136</c:v>
                </c:pt>
                <c:pt idx="35">
                  <c:v>44166</c:v>
                </c:pt>
                <c:pt idx="36">
                  <c:v>44197</c:v>
                </c:pt>
                <c:pt idx="37">
                  <c:v>44228</c:v>
                </c:pt>
                <c:pt idx="38">
                  <c:v>44256</c:v>
                </c:pt>
                <c:pt idx="39">
                  <c:v>44287</c:v>
                </c:pt>
                <c:pt idx="40">
                  <c:v>44317</c:v>
                </c:pt>
                <c:pt idx="41">
                  <c:v>44348</c:v>
                </c:pt>
                <c:pt idx="42">
                  <c:v>44378</c:v>
                </c:pt>
                <c:pt idx="43">
                  <c:v>44409</c:v>
                </c:pt>
                <c:pt idx="44">
                  <c:v>44440</c:v>
                </c:pt>
                <c:pt idx="45">
                  <c:v>44470</c:v>
                </c:pt>
                <c:pt idx="46">
                  <c:v>44501</c:v>
                </c:pt>
                <c:pt idx="47">
                  <c:v>44531</c:v>
                </c:pt>
                <c:pt idx="48">
                  <c:v>44562</c:v>
                </c:pt>
                <c:pt idx="49">
                  <c:v>44593</c:v>
                </c:pt>
                <c:pt idx="50">
                  <c:v>44621</c:v>
                </c:pt>
                <c:pt idx="51">
                  <c:v>44652</c:v>
                </c:pt>
                <c:pt idx="52">
                  <c:v>44682</c:v>
                </c:pt>
                <c:pt idx="53">
                  <c:v>44713</c:v>
                </c:pt>
                <c:pt idx="54">
                  <c:v>44743</c:v>
                </c:pt>
                <c:pt idx="55">
                  <c:v>44774</c:v>
                </c:pt>
                <c:pt idx="56">
                  <c:v>44805</c:v>
                </c:pt>
                <c:pt idx="57">
                  <c:v>44835</c:v>
                </c:pt>
                <c:pt idx="58">
                  <c:v>44866</c:v>
                </c:pt>
                <c:pt idx="59">
                  <c:v>44896</c:v>
                </c:pt>
                <c:pt idx="60">
                  <c:v>44927</c:v>
                </c:pt>
                <c:pt idx="61">
                  <c:v>44958</c:v>
                </c:pt>
                <c:pt idx="62">
                  <c:v>44986</c:v>
                </c:pt>
                <c:pt idx="63">
                  <c:v>45017</c:v>
                </c:pt>
                <c:pt idx="64">
                  <c:v>45047</c:v>
                </c:pt>
                <c:pt idx="65">
                  <c:v>45078</c:v>
                </c:pt>
                <c:pt idx="66">
                  <c:v>45108</c:v>
                </c:pt>
              </c:numCache>
            </c:numRef>
          </c:cat>
          <c:val>
            <c:numRef>
              <c:f>'Jaunie kredīti'!$G$16:$DA$16</c:f>
              <c:numCache>
                <c:formatCode>#\ ##0.0</c:formatCode>
                <c:ptCount val="67"/>
                <c:pt idx="0">
                  <c:v>3.8000000000000003</c:v>
                </c:pt>
                <c:pt idx="1">
                  <c:v>3.1000000000000005</c:v>
                </c:pt>
                <c:pt idx="2">
                  <c:v>3.3999999999999986</c:v>
                </c:pt>
                <c:pt idx="3">
                  <c:v>6.2</c:v>
                </c:pt>
                <c:pt idx="4">
                  <c:v>8.1999999999999993</c:v>
                </c:pt>
                <c:pt idx="5">
                  <c:v>7.5</c:v>
                </c:pt>
                <c:pt idx="6">
                  <c:v>4.4000000000000004</c:v>
                </c:pt>
                <c:pt idx="7">
                  <c:v>6</c:v>
                </c:pt>
                <c:pt idx="8">
                  <c:v>3.2999999999999989</c:v>
                </c:pt>
                <c:pt idx="9">
                  <c:v>8.5</c:v>
                </c:pt>
                <c:pt idx="10">
                  <c:v>5.3000000000000007</c:v>
                </c:pt>
                <c:pt idx="11">
                  <c:v>6.6999999999999993</c:v>
                </c:pt>
                <c:pt idx="12">
                  <c:v>4.7</c:v>
                </c:pt>
                <c:pt idx="13">
                  <c:v>4.0999999999999996</c:v>
                </c:pt>
                <c:pt idx="14">
                  <c:v>5.6000000000000005</c:v>
                </c:pt>
                <c:pt idx="15">
                  <c:v>5.0999999999999979</c:v>
                </c:pt>
                <c:pt idx="16">
                  <c:v>5.2</c:v>
                </c:pt>
                <c:pt idx="17">
                  <c:v>5.5</c:v>
                </c:pt>
                <c:pt idx="18">
                  <c:v>5.3999999999999986</c:v>
                </c:pt>
                <c:pt idx="19">
                  <c:v>4.6000000000000014</c:v>
                </c:pt>
                <c:pt idx="20">
                  <c:v>6.8999999999999986</c:v>
                </c:pt>
                <c:pt idx="21">
                  <c:v>5.9</c:v>
                </c:pt>
                <c:pt idx="22">
                  <c:v>7.3999999999999995</c:v>
                </c:pt>
                <c:pt idx="23">
                  <c:v>6.1</c:v>
                </c:pt>
                <c:pt idx="24">
                  <c:v>3.5999999999999996</c:v>
                </c:pt>
                <c:pt idx="25">
                  <c:v>5</c:v>
                </c:pt>
                <c:pt idx="26">
                  <c:v>4.5</c:v>
                </c:pt>
                <c:pt idx="27">
                  <c:v>8.6999999999999993</c:v>
                </c:pt>
                <c:pt idx="28">
                  <c:v>6.7999999999999989</c:v>
                </c:pt>
                <c:pt idx="29">
                  <c:v>4.3999999999999995</c:v>
                </c:pt>
                <c:pt idx="30">
                  <c:v>6</c:v>
                </c:pt>
                <c:pt idx="31">
                  <c:v>8.3000000000000007</c:v>
                </c:pt>
                <c:pt idx="32">
                  <c:v>11.4</c:v>
                </c:pt>
                <c:pt idx="33">
                  <c:v>4.7000000000000011</c:v>
                </c:pt>
                <c:pt idx="34">
                  <c:v>3.0000000000000009</c:v>
                </c:pt>
                <c:pt idx="35">
                  <c:v>4.2</c:v>
                </c:pt>
                <c:pt idx="36">
                  <c:v>3.1999999999999993</c:v>
                </c:pt>
                <c:pt idx="37">
                  <c:v>4</c:v>
                </c:pt>
                <c:pt idx="38">
                  <c:v>5.5</c:v>
                </c:pt>
                <c:pt idx="39">
                  <c:v>3.3000000000000007</c:v>
                </c:pt>
                <c:pt idx="40">
                  <c:v>3.3999999999999995</c:v>
                </c:pt>
                <c:pt idx="41">
                  <c:v>3.2</c:v>
                </c:pt>
                <c:pt idx="42">
                  <c:v>3.5999999999999996</c:v>
                </c:pt>
                <c:pt idx="43">
                  <c:v>7.1999999999999993</c:v>
                </c:pt>
                <c:pt idx="44">
                  <c:v>11.500000000000002</c:v>
                </c:pt>
                <c:pt idx="45">
                  <c:v>5.4999999999999991</c:v>
                </c:pt>
                <c:pt idx="46">
                  <c:v>6.3000000000000007</c:v>
                </c:pt>
                <c:pt idx="47">
                  <c:v>4.5</c:v>
                </c:pt>
                <c:pt idx="48">
                  <c:v>5.6</c:v>
                </c:pt>
                <c:pt idx="49">
                  <c:v>4.1999999999999993</c:v>
                </c:pt>
                <c:pt idx="50">
                  <c:v>3.9</c:v>
                </c:pt>
                <c:pt idx="51">
                  <c:v>5.0000000000000009</c:v>
                </c:pt>
                <c:pt idx="52">
                  <c:v>7.3000000000000007</c:v>
                </c:pt>
                <c:pt idx="53">
                  <c:v>7.3000000000000007</c:v>
                </c:pt>
                <c:pt idx="54">
                  <c:v>6.1999999999999993</c:v>
                </c:pt>
                <c:pt idx="55">
                  <c:v>9.8000000000000007</c:v>
                </c:pt>
                <c:pt idx="56">
                  <c:v>12.5</c:v>
                </c:pt>
                <c:pt idx="57">
                  <c:v>5.9</c:v>
                </c:pt>
                <c:pt idx="58">
                  <c:v>5.8999999999999995</c:v>
                </c:pt>
                <c:pt idx="59">
                  <c:v>4.5999999999999996</c:v>
                </c:pt>
                <c:pt idx="60">
                  <c:v>3.0000000000000018</c:v>
                </c:pt>
                <c:pt idx="61">
                  <c:v>4.0999999999999996</c:v>
                </c:pt>
                <c:pt idx="62">
                  <c:v>3.4000000000000004</c:v>
                </c:pt>
                <c:pt idx="63">
                  <c:v>4.3</c:v>
                </c:pt>
                <c:pt idx="64">
                  <c:v>4.8</c:v>
                </c:pt>
                <c:pt idx="65">
                  <c:v>4.1999999999999993</c:v>
                </c:pt>
                <c:pt idx="66">
                  <c:v>4.6999999999999993</c:v>
                </c:pt>
              </c:numCache>
            </c:numRef>
          </c:val>
          <c:extLst>
            <c:ext xmlns:c16="http://schemas.microsoft.com/office/drawing/2014/chart" uri="{C3380CC4-5D6E-409C-BE32-E72D297353CC}">
              <c16:uniqueId val="{00000002-4803-49F3-9FE5-22122C5D5967}"/>
            </c:ext>
          </c:extLst>
        </c:ser>
        <c:ser>
          <c:idx val="3"/>
          <c:order val="3"/>
          <c:tx>
            <c:strRef>
              <c:f>'Jaunie kredīti'!$B$17</c:f>
              <c:strCache>
                <c:ptCount val="1"/>
                <c:pt idx="0">
                  <c:v> kredīti nefinanšu sabiedrībām</c:v>
                </c:pt>
              </c:strCache>
            </c:strRef>
          </c:tx>
          <c:spPr>
            <a:solidFill>
              <a:schemeClr val="accent4"/>
            </a:solidFill>
            <a:ln>
              <a:noFill/>
            </a:ln>
            <a:effectLst/>
          </c:spPr>
          <c:invertIfNegative val="0"/>
          <c:cat>
            <c:numRef>
              <c:f>'Jaunie kredīti'!$G$13:$DA$13</c:f>
              <c:numCache>
                <c:formatCode>mmm\-yy</c:formatCode>
                <c:ptCount val="67"/>
                <c:pt idx="0">
                  <c:v>43101</c:v>
                </c:pt>
                <c:pt idx="1">
                  <c:v>43132</c:v>
                </c:pt>
                <c:pt idx="2">
                  <c:v>43160</c:v>
                </c:pt>
                <c:pt idx="3">
                  <c:v>43191</c:v>
                </c:pt>
                <c:pt idx="4">
                  <c:v>43221</c:v>
                </c:pt>
                <c:pt idx="5">
                  <c:v>43252</c:v>
                </c:pt>
                <c:pt idx="6">
                  <c:v>43282</c:v>
                </c:pt>
                <c:pt idx="7">
                  <c:v>43313</c:v>
                </c:pt>
                <c:pt idx="8">
                  <c:v>43344</c:v>
                </c:pt>
                <c:pt idx="9">
                  <c:v>43374</c:v>
                </c:pt>
                <c:pt idx="10">
                  <c:v>43405</c:v>
                </c:pt>
                <c:pt idx="11">
                  <c:v>43435</c:v>
                </c:pt>
                <c:pt idx="12">
                  <c:v>43466</c:v>
                </c:pt>
                <c:pt idx="13">
                  <c:v>43497</c:v>
                </c:pt>
                <c:pt idx="14">
                  <c:v>43525</c:v>
                </c:pt>
                <c:pt idx="15">
                  <c:v>43556</c:v>
                </c:pt>
                <c:pt idx="16">
                  <c:v>43586</c:v>
                </c:pt>
                <c:pt idx="17">
                  <c:v>43617</c:v>
                </c:pt>
                <c:pt idx="18">
                  <c:v>43647</c:v>
                </c:pt>
                <c:pt idx="19">
                  <c:v>43678</c:v>
                </c:pt>
                <c:pt idx="20">
                  <c:v>43709</c:v>
                </c:pt>
                <c:pt idx="21">
                  <c:v>43739</c:v>
                </c:pt>
                <c:pt idx="22">
                  <c:v>43770</c:v>
                </c:pt>
                <c:pt idx="23">
                  <c:v>43800</c:v>
                </c:pt>
                <c:pt idx="24">
                  <c:v>43831</c:v>
                </c:pt>
                <c:pt idx="25">
                  <c:v>43862</c:v>
                </c:pt>
                <c:pt idx="26">
                  <c:v>43891</c:v>
                </c:pt>
                <c:pt idx="27">
                  <c:v>43922</c:v>
                </c:pt>
                <c:pt idx="28">
                  <c:v>43952</c:v>
                </c:pt>
                <c:pt idx="29">
                  <c:v>43983</c:v>
                </c:pt>
                <c:pt idx="30">
                  <c:v>44013</c:v>
                </c:pt>
                <c:pt idx="31">
                  <c:v>44044</c:v>
                </c:pt>
                <c:pt idx="32">
                  <c:v>44075</c:v>
                </c:pt>
                <c:pt idx="33">
                  <c:v>44105</c:v>
                </c:pt>
                <c:pt idx="34">
                  <c:v>44136</c:v>
                </c:pt>
                <c:pt idx="35">
                  <c:v>44166</c:v>
                </c:pt>
                <c:pt idx="36">
                  <c:v>44197</c:v>
                </c:pt>
                <c:pt idx="37">
                  <c:v>44228</c:v>
                </c:pt>
                <c:pt idx="38">
                  <c:v>44256</c:v>
                </c:pt>
                <c:pt idx="39">
                  <c:v>44287</c:v>
                </c:pt>
                <c:pt idx="40">
                  <c:v>44317</c:v>
                </c:pt>
                <c:pt idx="41">
                  <c:v>44348</c:v>
                </c:pt>
                <c:pt idx="42">
                  <c:v>44378</c:v>
                </c:pt>
                <c:pt idx="43">
                  <c:v>44409</c:v>
                </c:pt>
                <c:pt idx="44">
                  <c:v>44440</c:v>
                </c:pt>
                <c:pt idx="45">
                  <c:v>44470</c:v>
                </c:pt>
                <c:pt idx="46">
                  <c:v>44501</c:v>
                </c:pt>
                <c:pt idx="47">
                  <c:v>44531</c:v>
                </c:pt>
                <c:pt idx="48">
                  <c:v>44562</c:v>
                </c:pt>
                <c:pt idx="49">
                  <c:v>44593</c:v>
                </c:pt>
                <c:pt idx="50">
                  <c:v>44621</c:v>
                </c:pt>
                <c:pt idx="51">
                  <c:v>44652</c:v>
                </c:pt>
                <c:pt idx="52">
                  <c:v>44682</c:v>
                </c:pt>
                <c:pt idx="53">
                  <c:v>44713</c:v>
                </c:pt>
                <c:pt idx="54">
                  <c:v>44743</c:v>
                </c:pt>
                <c:pt idx="55">
                  <c:v>44774</c:v>
                </c:pt>
                <c:pt idx="56">
                  <c:v>44805</c:v>
                </c:pt>
                <c:pt idx="57">
                  <c:v>44835</c:v>
                </c:pt>
                <c:pt idx="58">
                  <c:v>44866</c:v>
                </c:pt>
                <c:pt idx="59">
                  <c:v>44896</c:v>
                </c:pt>
                <c:pt idx="60">
                  <c:v>44927</c:v>
                </c:pt>
                <c:pt idx="61">
                  <c:v>44958</c:v>
                </c:pt>
                <c:pt idx="62">
                  <c:v>44986</c:v>
                </c:pt>
                <c:pt idx="63">
                  <c:v>45017</c:v>
                </c:pt>
                <c:pt idx="64">
                  <c:v>45047</c:v>
                </c:pt>
                <c:pt idx="65">
                  <c:v>45078</c:v>
                </c:pt>
                <c:pt idx="66">
                  <c:v>45108</c:v>
                </c:pt>
              </c:numCache>
            </c:numRef>
          </c:cat>
          <c:val>
            <c:numRef>
              <c:f>'Jaunie kredīti'!$G$17:$DA$17</c:f>
              <c:numCache>
                <c:formatCode>#\ ##0.0</c:formatCode>
                <c:ptCount val="67"/>
                <c:pt idx="0">
                  <c:v>94.699999999999989</c:v>
                </c:pt>
                <c:pt idx="1">
                  <c:v>56.199999999999989</c:v>
                </c:pt>
                <c:pt idx="2">
                  <c:v>95.599999999999966</c:v>
                </c:pt>
                <c:pt idx="3">
                  <c:v>66.399999999999977</c:v>
                </c:pt>
                <c:pt idx="4">
                  <c:v>69.699999999999989</c:v>
                </c:pt>
                <c:pt idx="5">
                  <c:v>177.39999999999998</c:v>
                </c:pt>
                <c:pt idx="6">
                  <c:v>61.399999999999977</c:v>
                </c:pt>
                <c:pt idx="7">
                  <c:v>90.6</c:v>
                </c:pt>
                <c:pt idx="8">
                  <c:v>47.199999999999989</c:v>
                </c:pt>
                <c:pt idx="9">
                  <c:v>102.70000000000002</c:v>
                </c:pt>
                <c:pt idx="10">
                  <c:v>143.5</c:v>
                </c:pt>
                <c:pt idx="11">
                  <c:v>302.40000000000003</c:v>
                </c:pt>
                <c:pt idx="12">
                  <c:v>53</c:v>
                </c:pt>
                <c:pt idx="13">
                  <c:v>87.600000000000023</c:v>
                </c:pt>
                <c:pt idx="14">
                  <c:v>118.60000000000002</c:v>
                </c:pt>
                <c:pt idx="15">
                  <c:v>78.800000000000011</c:v>
                </c:pt>
                <c:pt idx="16">
                  <c:v>132.39999999999998</c:v>
                </c:pt>
                <c:pt idx="17">
                  <c:v>76.699999999999989</c:v>
                </c:pt>
                <c:pt idx="18">
                  <c:v>94</c:v>
                </c:pt>
                <c:pt idx="19">
                  <c:v>49.300000000000011</c:v>
                </c:pt>
                <c:pt idx="20">
                  <c:v>112.10000000000002</c:v>
                </c:pt>
                <c:pt idx="21">
                  <c:v>94.9</c:v>
                </c:pt>
                <c:pt idx="22">
                  <c:v>18.099999999999994</c:v>
                </c:pt>
                <c:pt idx="23">
                  <c:v>82.800000000000011</c:v>
                </c:pt>
                <c:pt idx="24">
                  <c:v>72.599999999999994</c:v>
                </c:pt>
                <c:pt idx="25">
                  <c:v>128.70000000000002</c:v>
                </c:pt>
                <c:pt idx="26">
                  <c:v>139</c:v>
                </c:pt>
                <c:pt idx="27">
                  <c:v>33.299999999999955</c:v>
                </c:pt>
                <c:pt idx="28">
                  <c:v>16.800000000000011</c:v>
                </c:pt>
                <c:pt idx="29">
                  <c:v>165</c:v>
                </c:pt>
                <c:pt idx="30">
                  <c:v>48.399999999999977</c:v>
                </c:pt>
                <c:pt idx="31">
                  <c:v>50.199999999999989</c:v>
                </c:pt>
                <c:pt idx="32">
                  <c:v>69</c:v>
                </c:pt>
                <c:pt idx="33">
                  <c:v>76.5</c:v>
                </c:pt>
                <c:pt idx="34">
                  <c:v>101.39999999999998</c:v>
                </c:pt>
                <c:pt idx="35">
                  <c:v>91.599999999999966</c:v>
                </c:pt>
                <c:pt idx="36">
                  <c:v>53.299999999999955</c:v>
                </c:pt>
                <c:pt idx="37">
                  <c:v>43.299999999999955</c:v>
                </c:pt>
                <c:pt idx="38">
                  <c:v>156.30000000000001</c:v>
                </c:pt>
                <c:pt idx="39">
                  <c:v>117</c:v>
                </c:pt>
                <c:pt idx="40">
                  <c:v>71.300000000000068</c:v>
                </c:pt>
                <c:pt idx="41">
                  <c:v>38</c:v>
                </c:pt>
                <c:pt idx="42">
                  <c:v>93.800000000000011</c:v>
                </c:pt>
                <c:pt idx="43">
                  <c:v>169.10000000000002</c:v>
                </c:pt>
                <c:pt idx="44">
                  <c:v>71.699999999999989</c:v>
                </c:pt>
                <c:pt idx="45">
                  <c:v>87.399999999999977</c:v>
                </c:pt>
                <c:pt idx="46">
                  <c:v>117.10000000000002</c:v>
                </c:pt>
                <c:pt idx="47">
                  <c:v>72.399999999999977</c:v>
                </c:pt>
                <c:pt idx="48">
                  <c:v>60.700000000000017</c:v>
                </c:pt>
                <c:pt idx="49">
                  <c:v>65.800000000000011</c:v>
                </c:pt>
                <c:pt idx="50">
                  <c:v>89.399999999999977</c:v>
                </c:pt>
                <c:pt idx="51">
                  <c:v>94.5</c:v>
                </c:pt>
                <c:pt idx="52">
                  <c:v>235.7</c:v>
                </c:pt>
                <c:pt idx="53">
                  <c:v>103.69999999999999</c:v>
                </c:pt>
                <c:pt idx="54">
                  <c:v>227.10000000000002</c:v>
                </c:pt>
                <c:pt idx="55">
                  <c:v>169.7</c:v>
                </c:pt>
                <c:pt idx="56">
                  <c:v>124.00000000000003</c:v>
                </c:pt>
                <c:pt idx="57">
                  <c:v>178.39999999999998</c:v>
                </c:pt>
                <c:pt idx="58">
                  <c:v>297.5</c:v>
                </c:pt>
                <c:pt idx="59">
                  <c:v>107</c:v>
                </c:pt>
                <c:pt idx="60">
                  <c:v>73.399999999999977</c:v>
                </c:pt>
                <c:pt idx="61">
                  <c:v>75.800000000000011</c:v>
                </c:pt>
                <c:pt idx="62">
                  <c:v>116.39999999999998</c:v>
                </c:pt>
                <c:pt idx="63">
                  <c:v>79.100000000000023</c:v>
                </c:pt>
                <c:pt idx="64">
                  <c:v>156.39999999999998</c:v>
                </c:pt>
                <c:pt idx="65">
                  <c:v>148.09999999999997</c:v>
                </c:pt>
                <c:pt idx="66">
                  <c:v>129.80000000000001</c:v>
                </c:pt>
              </c:numCache>
            </c:numRef>
          </c:val>
          <c:extLst>
            <c:ext xmlns:c16="http://schemas.microsoft.com/office/drawing/2014/chart" uri="{C3380CC4-5D6E-409C-BE32-E72D297353CC}">
              <c16:uniqueId val="{00000003-4803-49F3-9FE5-22122C5D5967}"/>
            </c:ext>
          </c:extLst>
        </c:ser>
        <c:dLbls>
          <c:showLegendKey val="0"/>
          <c:showVal val="0"/>
          <c:showCatName val="0"/>
          <c:showSerName val="0"/>
          <c:showPercent val="0"/>
          <c:showBubbleSize val="0"/>
        </c:dLbls>
        <c:gapWidth val="50"/>
        <c:overlap val="100"/>
        <c:axId val="1602556559"/>
        <c:axId val="1602560719"/>
      </c:barChart>
      <c:dateAx>
        <c:axId val="1602556559"/>
        <c:scaling>
          <c:orientation val="minMax"/>
        </c:scaling>
        <c:delete val="0"/>
        <c:axPos val="b"/>
        <c:majorGridlines>
          <c:spPr>
            <a:ln w="9525" cap="flat" cmpd="sng" algn="ctr">
              <a:solidFill>
                <a:schemeClr val="tx1">
                  <a:lumMod val="15000"/>
                  <a:lumOff val="85000"/>
                </a:schemeClr>
              </a:solidFill>
              <a:round/>
            </a:ln>
            <a:effectLst/>
          </c:spPr>
        </c:majorGridlines>
        <c:numFmt formatCode="mmm\-yy"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02560719"/>
        <c:crosses val="autoZero"/>
        <c:auto val="1"/>
        <c:lblOffset val="100"/>
        <c:baseTimeUnit val="months"/>
        <c:majorUnit val="12"/>
        <c:majorTimeUnit val="months"/>
      </c:dateAx>
      <c:valAx>
        <c:axId val="16025607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02556559"/>
        <c:crosses val="autoZero"/>
        <c:crossBetween val="between"/>
        <c:majorUnit val="100"/>
      </c:valAx>
      <c:spPr>
        <a:noFill/>
        <a:ln>
          <a:noFill/>
        </a:ln>
        <a:effectLst/>
      </c:spPr>
    </c:plotArea>
    <c:legend>
      <c:legendPos val="b"/>
      <c:layout>
        <c:manualLayout>
          <c:xMode val="edge"/>
          <c:yMode val="edge"/>
          <c:x val="0"/>
          <c:y val="0.84971674920725415"/>
          <c:w val="1"/>
          <c:h val="0.13431306181217634"/>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b="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247037302155407E-2"/>
          <c:y val="6.3953488372093026E-2"/>
          <c:w val="0.87397518492006676"/>
          <c:h val="0.7304849272481716"/>
        </c:manualLayout>
      </c:layout>
      <c:lineChart>
        <c:grouping val="standard"/>
        <c:varyColors val="0"/>
        <c:ser>
          <c:idx val="0"/>
          <c:order val="0"/>
          <c:tx>
            <c:strRef>
              <c:f>Noguldījumi!$A$7</c:f>
              <c:strCache>
                <c:ptCount val="1"/>
                <c:pt idx="0">
                  <c:v>Nerezidenti</c:v>
                </c:pt>
              </c:strCache>
            </c:strRef>
          </c:tx>
          <c:spPr>
            <a:ln w="28575" cap="rnd">
              <a:solidFill>
                <a:schemeClr val="accent1"/>
              </a:solidFill>
              <a:round/>
            </a:ln>
            <a:effectLst/>
          </c:spPr>
          <c:marker>
            <c:symbol val="none"/>
          </c:marker>
          <c:cat>
            <c:numRef>
              <c:f>Noguldījumi!$B$6:$DA$6</c:f>
              <c:numCache>
                <c:formatCode>mmm\-yy</c:formatCode>
                <c:ptCount val="67"/>
                <c:pt idx="0">
                  <c:v>43101</c:v>
                </c:pt>
                <c:pt idx="1">
                  <c:v>43132</c:v>
                </c:pt>
                <c:pt idx="2">
                  <c:v>43160</c:v>
                </c:pt>
                <c:pt idx="3">
                  <c:v>43191</c:v>
                </c:pt>
                <c:pt idx="4">
                  <c:v>43221</c:v>
                </c:pt>
                <c:pt idx="5">
                  <c:v>43252</c:v>
                </c:pt>
                <c:pt idx="6">
                  <c:v>43282</c:v>
                </c:pt>
                <c:pt idx="7">
                  <c:v>43313</c:v>
                </c:pt>
                <c:pt idx="8">
                  <c:v>43344</c:v>
                </c:pt>
                <c:pt idx="9">
                  <c:v>43374</c:v>
                </c:pt>
                <c:pt idx="10">
                  <c:v>43405</c:v>
                </c:pt>
                <c:pt idx="11">
                  <c:v>43435</c:v>
                </c:pt>
                <c:pt idx="12">
                  <c:v>43466</c:v>
                </c:pt>
                <c:pt idx="13">
                  <c:v>43497</c:v>
                </c:pt>
                <c:pt idx="14">
                  <c:v>43525</c:v>
                </c:pt>
                <c:pt idx="15">
                  <c:v>43556</c:v>
                </c:pt>
                <c:pt idx="16">
                  <c:v>43586</c:v>
                </c:pt>
                <c:pt idx="17">
                  <c:v>43617</c:v>
                </c:pt>
                <c:pt idx="18">
                  <c:v>43647</c:v>
                </c:pt>
                <c:pt idx="19">
                  <c:v>43678</c:v>
                </c:pt>
                <c:pt idx="20">
                  <c:v>43709</c:v>
                </c:pt>
                <c:pt idx="21">
                  <c:v>43739</c:v>
                </c:pt>
                <c:pt idx="22">
                  <c:v>43770</c:v>
                </c:pt>
                <c:pt idx="23">
                  <c:v>43800</c:v>
                </c:pt>
                <c:pt idx="24">
                  <c:v>43831</c:v>
                </c:pt>
                <c:pt idx="25">
                  <c:v>43862</c:v>
                </c:pt>
                <c:pt idx="26">
                  <c:v>43891</c:v>
                </c:pt>
                <c:pt idx="27">
                  <c:v>43922</c:v>
                </c:pt>
                <c:pt idx="28">
                  <c:v>43952</c:v>
                </c:pt>
                <c:pt idx="29">
                  <c:v>43983</c:v>
                </c:pt>
                <c:pt idx="30">
                  <c:v>44013</c:v>
                </c:pt>
                <c:pt idx="31">
                  <c:v>44044</c:v>
                </c:pt>
                <c:pt idx="32">
                  <c:v>44075</c:v>
                </c:pt>
                <c:pt idx="33">
                  <c:v>44105</c:v>
                </c:pt>
                <c:pt idx="34">
                  <c:v>44136</c:v>
                </c:pt>
                <c:pt idx="35">
                  <c:v>44166</c:v>
                </c:pt>
                <c:pt idx="36">
                  <c:v>44197</c:v>
                </c:pt>
                <c:pt idx="37">
                  <c:v>44228</c:v>
                </c:pt>
                <c:pt idx="38">
                  <c:v>44256</c:v>
                </c:pt>
                <c:pt idx="39">
                  <c:v>44287</c:v>
                </c:pt>
                <c:pt idx="40">
                  <c:v>44317</c:v>
                </c:pt>
                <c:pt idx="41">
                  <c:v>44348</c:v>
                </c:pt>
                <c:pt idx="42">
                  <c:v>44378</c:v>
                </c:pt>
                <c:pt idx="43">
                  <c:v>44409</c:v>
                </c:pt>
                <c:pt idx="44">
                  <c:v>44440</c:v>
                </c:pt>
                <c:pt idx="45">
                  <c:v>44470</c:v>
                </c:pt>
                <c:pt idx="46">
                  <c:v>44501</c:v>
                </c:pt>
                <c:pt idx="47">
                  <c:v>44531</c:v>
                </c:pt>
                <c:pt idx="48">
                  <c:v>44562</c:v>
                </c:pt>
                <c:pt idx="49">
                  <c:v>44593</c:v>
                </c:pt>
                <c:pt idx="50">
                  <c:v>44621</c:v>
                </c:pt>
                <c:pt idx="51">
                  <c:v>44652</c:v>
                </c:pt>
                <c:pt idx="52">
                  <c:v>44682</c:v>
                </c:pt>
                <c:pt idx="53">
                  <c:v>44713</c:v>
                </c:pt>
                <c:pt idx="54">
                  <c:v>44743</c:v>
                </c:pt>
                <c:pt idx="55">
                  <c:v>44774</c:v>
                </c:pt>
                <c:pt idx="56">
                  <c:v>44805</c:v>
                </c:pt>
                <c:pt idx="57">
                  <c:v>44835</c:v>
                </c:pt>
                <c:pt idx="58">
                  <c:v>44866</c:v>
                </c:pt>
                <c:pt idx="59">
                  <c:v>44896</c:v>
                </c:pt>
                <c:pt idx="60">
                  <c:v>44927</c:v>
                </c:pt>
                <c:pt idx="61">
                  <c:v>44958</c:v>
                </c:pt>
                <c:pt idx="62">
                  <c:v>44986</c:v>
                </c:pt>
                <c:pt idx="63">
                  <c:v>45017</c:v>
                </c:pt>
                <c:pt idx="64">
                  <c:v>45047</c:v>
                </c:pt>
                <c:pt idx="65">
                  <c:v>45078</c:v>
                </c:pt>
                <c:pt idx="66">
                  <c:v>45108</c:v>
                </c:pt>
              </c:numCache>
            </c:numRef>
          </c:cat>
          <c:val>
            <c:numRef>
              <c:f>Noguldījumi!$B$7:$DA$7</c:f>
              <c:numCache>
                <c:formatCode>0.00</c:formatCode>
                <c:ptCount val="67"/>
                <c:pt idx="0">
                  <c:v>7902.4</c:v>
                </c:pt>
                <c:pt idx="1">
                  <c:v>6727.7</c:v>
                </c:pt>
                <c:pt idx="2">
                  <c:v>5668.5</c:v>
                </c:pt>
                <c:pt idx="3">
                  <c:v>5271.1</c:v>
                </c:pt>
                <c:pt idx="4">
                  <c:v>4996.1000000000004</c:v>
                </c:pt>
                <c:pt idx="5">
                  <c:v>4884.7</c:v>
                </c:pt>
                <c:pt idx="6">
                  <c:v>3138.6</c:v>
                </c:pt>
                <c:pt idx="7">
                  <c:v>3077.9</c:v>
                </c:pt>
                <c:pt idx="8">
                  <c:v>3018.4</c:v>
                </c:pt>
                <c:pt idx="9">
                  <c:v>3096</c:v>
                </c:pt>
                <c:pt idx="10">
                  <c:v>2989.3</c:v>
                </c:pt>
                <c:pt idx="11">
                  <c:v>3162.4</c:v>
                </c:pt>
                <c:pt idx="12">
                  <c:v>3043.7</c:v>
                </c:pt>
                <c:pt idx="13">
                  <c:v>2995.2</c:v>
                </c:pt>
                <c:pt idx="14">
                  <c:v>2979.2</c:v>
                </c:pt>
                <c:pt idx="15">
                  <c:v>2930.9</c:v>
                </c:pt>
                <c:pt idx="16">
                  <c:v>2991.9</c:v>
                </c:pt>
                <c:pt idx="17">
                  <c:v>2990.5</c:v>
                </c:pt>
                <c:pt idx="18">
                  <c:v>2857.4</c:v>
                </c:pt>
                <c:pt idx="19">
                  <c:v>2837.9</c:v>
                </c:pt>
                <c:pt idx="20">
                  <c:v>2689.1</c:v>
                </c:pt>
                <c:pt idx="21">
                  <c:v>2731.7</c:v>
                </c:pt>
                <c:pt idx="22">
                  <c:v>2655.8</c:v>
                </c:pt>
                <c:pt idx="23">
                  <c:v>2696.5</c:v>
                </c:pt>
                <c:pt idx="24">
                  <c:v>2755.9</c:v>
                </c:pt>
                <c:pt idx="25">
                  <c:v>2781.5</c:v>
                </c:pt>
                <c:pt idx="26">
                  <c:v>2672.4</c:v>
                </c:pt>
                <c:pt idx="27">
                  <c:v>2783.9</c:v>
                </c:pt>
                <c:pt idx="28">
                  <c:v>2880</c:v>
                </c:pt>
                <c:pt idx="29">
                  <c:v>2870.7</c:v>
                </c:pt>
                <c:pt idx="30">
                  <c:v>2792.6</c:v>
                </c:pt>
                <c:pt idx="31">
                  <c:v>2747.6</c:v>
                </c:pt>
                <c:pt idx="32">
                  <c:v>2762.5</c:v>
                </c:pt>
                <c:pt idx="33">
                  <c:v>2727.3</c:v>
                </c:pt>
                <c:pt idx="34">
                  <c:v>2774.1</c:v>
                </c:pt>
                <c:pt idx="35">
                  <c:v>2625.7</c:v>
                </c:pt>
                <c:pt idx="36">
                  <c:v>2606.1</c:v>
                </c:pt>
                <c:pt idx="37">
                  <c:v>2560.8000000000002</c:v>
                </c:pt>
                <c:pt idx="38">
                  <c:v>2658.6</c:v>
                </c:pt>
                <c:pt idx="39">
                  <c:v>2636.4</c:v>
                </c:pt>
                <c:pt idx="40">
                  <c:v>2507.8000000000002</c:v>
                </c:pt>
                <c:pt idx="41">
                  <c:v>2467.1999999999998</c:v>
                </c:pt>
                <c:pt idx="42">
                  <c:v>2415.1999999999998</c:v>
                </c:pt>
                <c:pt idx="43">
                  <c:v>2349.3000000000002</c:v>
                </c:pt>
                <c:pt idx="44">
                  <c:v>2269.6</c:v>
                </c:pt>
                <c:pt idx="45">
                  <c:v>2295.8000000000002</c:v>
                </c:pt>
                <c:pt idx="46">
                  <c:v>2243.6999999999998</c:v>
                </c:pt>
                <c:pt idx="47">
                  <c:v>2278</c:v>
                </c:pt>
                <c:pt idx="48">
                  <c:v>2292.8000000000002</c:v>
                </c:pt>
                <c:pt idx="49">
                  <c:v>2302.9</c:v>
                </c:pt>
                <c:pt idx="50">
                  <c:v>2243.5</c:v>
                </c:pt>
                <c:pt idx="51">
                  <c:v>2278.9</c:v>
                </c:pt>
                <c:pt idx="52">
                  <c:v>2219.1</c:v>
                </c:pt>
                <c:pt idx="53">
                  <c:v>2172.1999999999998</c:v>
                </c:pt>
                <c:pt idx="54">
                  <c:v>2133.6999999999998</c:v>
                </c:pt>
                <c:pt idx="55">
                  <c:v>2078.5</c:v>
                </c:pt>
                <c:pt idx="56">
                  <c:v>2041.4</c:v>
                </c:pt>
                <c:pt idx="57">
                  <c:v>2025.5</c:v>
                </c:pt>
                <c:pt idx="58">
                  <c:v>2014.3</c:v>
                </c:pt>
                <c:pt idx="59">
                  <c:v>1946.1</c:v>
                </c:pt>
                <c:pt idx="60">
                  <c:v>1807.6</c:v>
                </c:pt>
                <c:pt idx="61">
                  <c:v>1817.5</c:v>
                </c:pt>
                <c:pt idx="62">
                  <c:v>1837.2</c:v>
                </c:pt>
                <c:pt idx="63">
                  <c:v>1835.9</c:v>
                </c:pt>
                <c:pt idx="64">
                  <c:v>1903</c:v>
                </c:pt>
                <c:pt idx="65">
                  <c:v>1876.8</c:v>
                </c:pt>
                <c:pt idx="66">
                  <c:v>1880.9</c:v>
                </c:pt>
              </c:numCache>
            </c:numRef>
          </c:val>
          <c:smooth val="0"/>
          <c:extLst>
            <c:ext xmlns:c16="http://schemas.microsoft.com/office/drawing/2014/chart" uri="{C3380CC4-5D6E-409C-BE32-E72D297353CC}">
              <c16:uniqueId val="{00000000-8D53-4F46-9FCC-62EE7B949B66}"/>
            </c:ext>
          </c:extLst>
        </c:ser>
        <c:ser>
          <c:idx val="1"/>
          <c:order val="1"/>
          <c:tx>
            <c:strRef>
              <c:f>Noguldījumi!$A$8</c:f>
              <c:strCache>
                <c:ptCount val="1"/>
                <c:pt idx="0">
                  <c:v>Rezidenti </c:v>
                </c:pt>
              </c:strCache>
            </c:strRef>
          </c:tx>
          <c:spPr>
            <a:ln w="28575" cap="rnd">
              <a:solidFill>
                <a:schemeClr val="accent2"/>
              </a:solidFill>
              <a:round/>
            </a:ln>
            <a:effectLst/>
          </c:spPr>
          <c:marker>
            <c:symbol val="none"/>
          </c:marker>
          <c:cat>
            <c:numRef>
              <c:f>Noguldījumi!$B$6:$DA$6</c:f>
              <c:numCache>
                <c:formatCode>mmm\-yy</c:formatCode>
                <c:ptCount val="67"/>
                <c:pt idx="0">
                  <c:v>43101</c:v>
                </c:pt>
                <c:pt idx="1">
                  <c:v>43132</c:v>
                </c:pt>
                <c:pt idx="2">
                  <c:v>43160</c:v>
                </c:pt>
                <c:pt idx="3">
                  <c:v>43191</c:v>
                </c:pt>
                <c:pt idx="4">
                  <c:v>43221</c:v>
                </c:pt>
                <c:pt idx="5">
                  <c:v>43252</c:v>
                </c:pt>
                <c:pt idx="6">
                  <c:v>43282</c:v>
                </c:pt>
                <c:pt idx="7">
                  <c:v>43313</c:v>
                </c:pt>
                <c:pt idx="8">
                  <c:v>43344</c:v>
                </c:pt>
                <c:pt idx="9">
                  <c:v>43374</c:v>
                </c:pt>
                <c:pt idx="10">
                  <c:v>43405</c:v>
                </c:pt>
                <c:pt idx="11">
                  <c:v>43435</c:v>
                </c:pt>
                <c:pt idx="12">
                  <c:v>43466</c:v>
                </c:pt>
                <c:pt idx="13">
                  <c:v>43497</c:v>
                </c:pt>
                <c:pt idx="14">
                  <c:v>43525</c:v>
                </c:pt>
                <c:pt idx="15">
                  <c:v>43556</c:v>
                </c:pt>
                <c:pt idx="16">
                  <c:v>43586</c:v>
                </c:pt>
                <c:pt idx="17">
                  <c:v>43617</c:v>
                </c:pt>
                <c:pt idx="18">
                  <c:v>43647</c:v>
                </c:pt>
                <c:pt idx="19">
                  <c:v>43678</c:v>
                </c:pt>
                <c:pt idx="20">
                  <c:v>43709</c:v>
                </c:pt>
                <c:pt idx="21">
                  <c:v>43739</c:v>
                </c:pt>
                <c:pt idx="22">
                  <c:v>43770</c:v>
                </c:pt>
                <c:pt idx="23">
                  <c:v>43800</c:v>
                </c:pt>
                <c:pt idx="24">
                  <c:v>43831</c:v>
                </c:pt>
                <c:pt idx="25">
                  <c:v>43862</c:v>
                </c:pt>
                <c:pt idx="26">
                  <c:v>43891</c:v>
                </c:pt>
                <c:pt idx="27">
                  <c:v>43922</c:v>
                </c:pt>
                <c:pt idx="28">
                  <c:v>43952</c:v>
                </c:pt>
                <c:pt idx="29">
                  <c:v>43983</c:v>
                </c:pt>
                <c:pt idx="30">
                  <c:v>44013</c:v>
                </c:pt>
                <c:pt idx="31">
                  <c:v>44044</c:v>
                </c:pt>
                <c:pt idx="32">
                  <c:v>44075</c:v>
                </c:pt>
                <c:pt idx="33">
                  <c:v>44105</c:v>
                </c:pt>
                <c:pt idx="34">
                  <c:v>44136</c:v>
                </c:pt>
                <c:pt idx="35">
                  <c:v>44166</c:v>
                </c:pt>
                <c:pt idx="36">
                  <c:v>44197</c:v>
                </c:pt>
                <c:pt idx="37">
                  <c:v>44228</c:v>
                </c:pt>
                <c:pt idx="38">
                  <c:v>44256</c:v>
                </c:pt>
                <c:pt idx="39">
                  <c:v>44287</c:v>
                </c:pt>
                <c:pt idx="40">
                  <c:v>44317</c:v>
                </c:pt>
                <c:pt idx="41">
                  <c:v>44348</c:v>
                </c:pt>
                <c:pt idx="42">
                  <c:v>44378</c:v>
                </c:pt>
                <c:pt idx="43">
                  <c:v>44409</c:v>
                </c:pt>
                <c:pt idx="44">
                  <c:v>44440</c:v>
                </c:pt>
                <c:pt idx="45">
                  <c:v>44470</c:v>
                </c:pt>
                <c:pt idx="46">
                  <c:v>44501</c:v>
                </c:pt>
                <c:pt idx="47">
                  <c:v>44531</c:v>
                </c:pt>
                <c:pt idx="48">
                  <c:v>44562</c:v>
                </c:pt>
                <c:pt idx="49">
                  <c:v>44593</c:v>
                </c:pt>
                <c:pt idx="50">
                  <c:v>44621</c:v>
                </c:pt>
                <c:pt idx="51">
                  <c:v>44652</c:v>
                </c:pt>
                <c:pt idx="52">
                  <c:v>44682</c:v>
                </c:pt>
                <c:pt idx="53">
                  <c:v>44713</c:v>
                </c:pt>
                <c:pt idx="54">
                  <c:v>44743</c:v>
                </c:pt>
                <c:pt idx="55">
                  <c:v>44774</c:v>
                </c:pt>
                <c:pt idx="56">
                  <c:v>44805</c:v>
                </c:pt>
                <c:pt idx="57">
                  <c:v>44835</c:v>
                </c:pt>
                <c:pt idx="58">
                  <c:v>44866</c:v>
                </c:pt>
                <c:pt idx="59">
                  <c:v>44896</c:v>
                </c:pt>
                <c:pt idx="60">
                  <c:v>44927</c:v>
                </c:pt>
                <c:pt idx="61">
                  <c:v>44958</c:v>
                </c:pt>
                <c:pt idx="62">
                  <c:v>44986</c:v>
                </c:pt>
                <c:pt idx="63">
                  <c:v>45017</c:v>
                </c:pt>
                <c:pt idx="64">
                  <c:v>45047</c:v>
                </c:pt>
                <c:pt idx="65">
                  <c:v>45078</c:v>
                </c:pt>
                <c:pt idx="66">
                  <c:v>45108</c:v>
                </c:pt>
              </c:numCache>
            </c:numRef>
          </c:cat>
          <c:val>
            <c:numRef>
              <c:f>Noguldījumi!$B$8:$DA$8</c:f>
              <c:numCache>
                <c:formatCode>0.00</c:formatCode>
                <c:ptCount val="67"/>
                <c:pt idx="0">
                  <c:v>12449</c:v>
                </c:pt>
                <c:pt idx="1">
                  <c:v>12507.9</c:v>
                </c:pt>
                <c:pt idx="2">
                  <c:v>12235.3</c:v>
                </c:pt>
                <c:pt idx="3">
                  <c:v>12436.3</c:v>
                </c:pt>
                <c:pt idx="4">
                  <c:v>12478.9</c:v>
                </c:pt>
                <c:pt idx="5">
                  <c:v>12495.4</c:v>
                </c:pt>
                <c:pt idx="6">
                  <c:v>12269.3</c:v>
                </c:pt>
                <c:pt idx="7">
                  <c:v>12424.5</c:v>
                </c:pt>
                <c:pt idx="8">
                  <c:v>12308.8</c:v>
                </c:pt>
                <c:pt idx="9">
                  <c:v>12350.5</c:v>
                </c:pt>
                <c:pt idx="10">
                  <c:v>12552.7</c:v>
                </c:pt>
                <c:pt idx="11">
                  <c:v>13037.7</c:v>
                </c:pt>
                <c:pt idx="12">
                  <c:v>13056.1</c:v>
                </c:pt>
                <c:pt idx="13">
                  <c:v>13109</c:v>
                </c:pt>
                <c:pt idx="14">
                  <c:v>13194.5</c:v>
                </c:pt>
                <c:pt idx="15">
                  <c:v>13102.5</c:v>
                </c:pt>
                <c:pt idx="16">
                  <c:v>13027.3</c:v>
                </c:pt>
                <c:pt idx="17">
                  <c:v>13096.7</c:v>
                </c:pt>
                <c:pt idx="18">
                  <c:v>13473.6</c:v>
                </c:pt>
                <c:pt idx="19">
                  <c:v>13716</c:v>
                </c:pt>
                <c:pt idx="20">
                  <c:v>13346.9</c:v>
                </c:pt>
                <c:pt idx="21">
                  <c:v>13545</c:v>
                </c:pt>
                <c:pt idx="22">
                  <c:v>13472.9</c:v>
                </c:pt>
                <c:pt idx="23">
                  <c:v>13995.6</c:v>
                </c:pt>
                <c:pt idx="24">
                  <c:v>13918</c:v>
                </c:pt>
                <c:pt idx="25">
                  <c:v>14020.2</c:v>
                </c:pt>
                <c:pt idx="26">
                  <c:v>13982.1</c:v>
                </c:pt>
                <c:pt idx="27">
                  <c:v>14129</c:v>
                </c:pt>
                <c:pt idx="28">
                  <c:v>14042.2</c:v>
                </c:pt>
                <c:pt idx="29">
                  <c:v>14033.2</c:v>
                </c:pt>
                <c:pt idx="30">
                  <c:v>14096.6</c:v>
                </c:pt>
                <c:pt idx="31">
                  <c:v>14264.7</c:v>
                </c:pt>
                <c:pt idx="32">
                  <c:v>14434.5</c:v>
                </c:pt>
                <c:pt idx="33">
                  <c:v>14765.9</c:v>
                </c:pt>
                <c:pt idx="34">
                  <c:v>15033.3</c:v>
                </c:pt>
                <c:pt idx="35">
                  <c:v>15434.1</c:v>
                </c:pt>
                <c:pt idx="36">
                  <c:v>15468.4</c:v>
                </c:pt>
                <c:pt idx="37">
                  <c:v>15663.7</c:v>
                </c:pt>
                <c:pt idx="38">
                  <c:v>16219.2</c:v>
                </c:pt>
                <c:pt idx="39">
                  <c:v>16022.8</c:v>
                </c:pt>
                <c:pt idx="40">
                  <c:v>16122.1</c:v>
                </c:pt>
                <c:pt idx="41">
                  <c:v>16401.099999999999</c:v>
                </c:pt>
                <c:pt idx="42">
                  <c:v>16697.7</c:v>
                </c:pt>
                <c:pt idx="43">
                  <c:v>16654.5</c:v>
                </c:pt>
                <c:pt idx="44">
                  <c:v>16418.099999999999</c:v>
                </c:pt>
                <c:pt idx="45">
                  <c:v>16602</c:v>
                </c:pt>
                <c:pt idx="46">
                  <c:v>16724.900000000001</c:v>
                </c:pt>
                <c:pt idx="47">
                  <c:v>17024.400000000001</c:v>
                </c:pt>
                <c:pt idx="48">
                  <c:v>16828.5</c:v>
                </c:pt>
                <c:pt idx="49">
                  <c:v>16992.900000000001</c:v>
                </c:pt>
                <c:pt idx="50">
                  <c:v>17168.099999999999</c:v>
                </c:pt>
                <c:pt idx="51">
                  <c:v>17173.400000000001</c:v>
                </c:pt>
                <c:pt idx="52">
                  <c:v>17207.599999999999</c:v>
                </c:pt>
                <c:pt idx="53">
                  <c:v>17431.3</c:v>
                </c:pt>
                <c:pt idx="54">
                  <c:v>17245.099999999999</c:v>
                </c:pt>
                <c:pt idx="55">
                  <c:v>17375</c:v>
                </c:pt>
                <c:pt idx="56">
                  <c:v>17577.900000000001</c:v>
                </c:pt>
                <c:pt idx="57">
                  <c:v>17872.599999999999</c:v>
                </c:pt>
                <c:pt idx="58">
                  <c:v>17811.7</c:v>
                </c:pt>
                <c:pt idx="59">
                  <c:v>18400.7</c:v>
                </c:pt>
                <c:pt idx="60">
                  <c:v>18224</c:v>
                </c:pt>
                <c:pt idx="61">
                  <c:v>18274.5</c:v>
                </c:pt>
                <c:pt idx="62">
                  <c:v>18452.8</c:v>
                </c:pt>
                <c:pt idx="63">
                  <c:v>18353</c:v>
                </c:pt>
                <c:pt idx="64">
                  <c:v>18238.599999999999</c:v>
                </c:pt>
                <c:pt idx="65">
                  <c:v>18164.2</c:v>
                </c:pt>
                <c:pt idx="66">
                  <c:v>18156.3</c:v>
                </c:pt>
              </c:numCache>
            </c:numRef>
          </c:val>
          <c:smooth val="0"/>
          <c:extLst>
            <c:ext xmlns:c16="http://schemas.microsoft.com/office/drawing/2014/chart" uri="{C3380CC4-5D6E-409C-BE32-E72D297353CC}">
              <c16:uniqueId val="{00000001-8D53-4F46-9FCC-62EE7B949B66}"/>
            </c:ext>
          </c:extLst>
        </c:ser>
        <c:dLbls>
          <c:showLegendKey val="0"/>
          <c:showVal val="0"/>
          <c:showCatName val="0"/>
          <c:showSerName val="0"/>
          <c:showPercent val="0"/>
          <c:showBubbleSize val="0"/>
        </c:dLbls>
        <c:smooth val="0"/>
        <c:axId val="1433876943"/>
        <c:axId val="1433885679"/>
      </c:lineChart>
      <c:dateAx>
        <c:axId val="1433876943"/>
        <c:scaling>
          <c:orientation val="minMax"/>
        </c:scaling>
        <c:delete val="0"/>
        <c:axPos val="b"/>
        <c:majorGridlines>
          <c:spPr>
            <a:ln w="9525" cap="flat" cmpd="sng" algn="ctr">
              <a:solidFill>
                <a:schemeClr val="tx1">
                  <a:lumMod val="15000"/>
                  <a:lumOff val="85000"/>
                </a:schemeClr>
              </a:solidFill>
              <a:round/>
            </a:ln>
            <a:effectLst/>
          </c:spPr>
        </c:majorGridlines>
        <c:numFmt formatCode="mmm\-yy"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33885679"/>
        <c:crosses val="autoZero"/>
        <c:auto val="1"/>
        <c:lblOffset val="100"/>
        <c:baseTimeUnit val="months"/>
        <c:majorUnit val="12"/>
        <c:majorTimeUnit val="months"/>
      </c:dateAx>
      <c:valAx>
        <c:axId val="143388567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33876943"/>
        <c:crosses val="autoZero"/>
        <c:crossBetween val="between"/>
        <c:majorUnit val="5000"/>
      </c:valAx>
      <c:spPr>
        <a:noFill/>
        <a:ln>
          <a:noFill/>
        </a:ln>
        <a:effectLst/>
      </c:spPr>
    </c:plotArea>
    <c:legend>
      <c:legendPos val="b"/>
      <c:layout>
        <c:manualLayout>
          <c:xMode val="edge"/>
          <c:yMode val="edge"/>
          <c:x val="0.30800703889286568"/>
          <c:y val="0.90775956784471701"/>
          <c:w val="0.38398592221426869"/>
          <c:h val="9.224043215528290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0"/>
          <c:tx>
            <c:strRef>
              <c:f>Kopā!$B$3</c:f>
              <c:strCache>
                <c:ptCount val="1"/>
                <c:pt idx="0">
                  <c:v>Lauksaimniecības produkcija kopā</c:v>
                </c:pt>
              </c:strCache>
            </c:strRef>
          </c:tx>
          <c:spPr>
            <a:pattFill prst="dkUpDiag">
              <a:fgClr>
                <a:schemeClr val="tx1">
                  <a:lumMod val="50000"/>
                  <a:lumOff val="50000"/>
                </a:schemeClr>
              </a:fgClr>
              <a:bgClr>
                <a:schemeClr val="bg1"/>
              </a:bgClr>
            </a:pattFill>
            <a:ln>
              <a:solidFill>
                <a:schemeClr val="tx1">
                  <a:lumMod val="50000"/>
                  <a:lumOff val="50000"/>
                </a:schemeClr>
              </a:solidFill>
            </a:ln>
            <a:effectLst/>
          </c:spPr>
          <c:cat>
            <c:strRef>
              <c:f>Kopā!$A$10:$A$17</c:f>
              <c:strCache>
                <c:ptCount val="8"/>
                <c:pt idx="0">
                  <c:v>2015</c:v>
                </c:pt>
                <c:pt idx="1">
                  <c:v>2016</c:v>
                </c:pt>
                <c:pt idx="2">
                  <c:v>2017</c:v>
                </c:pt>
                <c:pt idx="3">
                  <c:v>2018</c:v>
                </c:pt>
                <c:pt idx="4">
                  <c:v>2019</c:v>
                </c:pt>
                <c:pt idx="5">
                  <c:v>2020</c:v>
                </c:pt>
                <c:pt idx="6">
                  <c:v>2021</c:v>
                </c:pt>
                <c:pt idx="7">
                  <c:v>2022</c:v>
                </c:pt>
              </c:strCache>
            </c:strRef>
          </c:cat>
          <c:val>
            <c:numRef>
              <c:f>Kopā!$B$10:$B$17</c:f>
              <c:numCache>
                <c:formatCode>0.0</c:formatCode>
                <c:ptCount val="8"/>
                <c:pt idx="0">
                  <c:v>100</c:v>
                </c:pt>
                <c:pt idx="1">
                  <c:v>94.2</c:v>
                </c:pt>
                <c:pt idx="2">
                  <c:v>95.4</c:v>
                </c:pt>
                <c:pt idx="3">
                  <c:v>85</c:v>
                </c:pt>
                <c:pt idx="4" formatCode="General">
                  <c:v>103.7</c:v>
                </c:pt>
                <c:pt idx="5" formatCode="General">
                  <c:v>107.2</c:v>
                </c:pt>
                <c:pt idx="6" formatCode="General">
                  <c:v>98.6</c:v>
                </c:pt>
                <c:pt idx="7" formatCode="General">
                  <c:v>100.9</c:v>
                </c:pt>
              </c:numCache>
            </c:numRef>
          </c:val>
          <c:extLst>
            <c:ext xmlns:c16="http://schemas.microsoft.com/office/drawing/2014/chart" uri="{C3380CC4-5D6E-409C-BE32-E72D297353CC}">
              <c16:uniqueId val="{00000000-3B55-4801-8099-EF2BAE3B01FD}"/>
            </c:ext>
          </c:extLst>
        </c:ser>
        <c:dLbls>
          <c:showLegendKey val="0"/>
          <c:showVal val="0"/>
          <c:showCatName val="0"/>
          <c:showSerName val="0"/>
          <c:showPercent val="0"/>
          <c:showBubbleSize val="0"/>
        </c:dLbls>
        <c:axId val="962158304"/>
        <c:axId val="962144160"/>
      </c:areaChart>
      <c:lineChart>
        <c:grouping val="standard"/>
        <c:varyColors val="0"/>
        <c:ser>
          <c:idx val="1"/>
          <c:order val="1"/>
          <c:tx>
            <c:strRef>
              <c:f>Kopā!$C$3</c:f>
              <c:strCache>
                <c:ptCount val="1"/>
                <c:pt idx="0">
                  <c:v>Augkopība</c:v>
                </c:pt>
              </c:strCache>
            </c:strRef>
          </c:tx>
          <c:spPr>
            <a:ln w="28575" cap="rnd">
              <a:solidFill>
                <a:srgbClr val="0070C0"/>
              </a:solidFill>
              <a:round/>
            </a:ln>
            <a:effectLst/>
          </c:spPr>
          <c:marker>
            <c:symbol val="diamond"/>
            <c:size val="8"/>
            <c:spPr>
              <a:solidFill>
                <a:srgbClr val="0070C0"/>
              </a:solidFill>
              <a:ln w="9525">
                <a:solidFill>
                  <a:srgbClr val="0070C0"/>
                </a:solidFill>
              </a:ln>
              <a:effectLst/>
            </c:spPr>
          </c:marker>
          <c:cat>
            <c:strRef>
              <c:f>Kopā!$A$10:$A$17</c:f>
              <c:strCache>
                <c:ptCount val="8"/>
                <c:pt idx="0">
                  <c:v>2015</c:v>
                </c:pt>
                <c:pt idx="1">
                  <c:v>2016</c:v>
                </c:pt>
                <c:pt idx="2">
                  <c:v>2017</c:v>
                </c:pt>
                <c:pt idx="3">
                  <c:v>2018</c:v>
                </c:pt>
                <c:pt idx="4">
                  <c:v>2019</c:v>
                </c:pt>
                <c:pt idx="5">
                  <c:v>2020</c:v>
                </c:pt>
                <c:pt idx="6">
                  <c:v>2021</c:v>
                </c:pt>
                <c:pt idx="7">
                  <c:v>2022</c:v>
                </c:pt>
              </c:strCache>
            </c:strRef>
          </c:cat>
          <c:val>
            <c:numRef>
              <c:f>Kopā!$C$10:$C$17</c:f>
              <c:numCache>
                <c:formatCode>0.0</c:formatCode>
                <c:ptCount val="8"/>
                <c:pt idx="0">
                  <c:v>100</c:v>
                </c:pt>
                <c:pt idx="1">
                  <c:v>90.1</c:v>
                </c:pt>
                <c:pt idx="2">
                  <c:v>90.9</c:v>
                </c:pt>
                <c:pt idx="3">
                  <c:v>74</c:v>
                </c:pt>
                <c:pt idx="4" formatCode="General">
                  <c:v>103.5</c:v>
                </c:pt>
                <c:pt idx="5" formatCode="General">
                  <c:v>108.4</c:v>
                </c:pt>
                <c:pt idx="6" formatCode="General">
                  <c:v>93.9</c:v>
                </c:pt>
                <c:pt idx="7" formatCode="General">
                  <c:v>97.4</c:v>
                </c:pt>
              </c:numCache>
            </c:numRef>
          </c:val>
          <c:smooth val="1"/>
          <c:extLst>
            <c:ext xmlns:c16="http://schemas.microsoft.com/office/drawing/2014/chart" uri="{C3380CC4-5D6E-409C-BE32-E72D297353CC}">
              <c16:uniqueId val="{00000001-3B55-4801-8099-EF2BAE3B01FD}"/>
            </c:ext>
          </c:extLst>
        </c:ser>
        <c:ser>
          <c:idx val="2"/>
          <c:order val="2"/>
          <c:tx>
            <c:strRef>
              <c:f>Kopā!$D$3</c:f>
              <c:strCache>
                <c:ptCount val="1"/>
                <c:pt idx="0">
                  <c:v>Lopkopība</c:v>
                </c:pt>
              </c:strCache>
            </c:strRef>
          </c:tx>
          <c:spPr>
            <a:ln w="28575" cap="rnd">
              <a:solidFill>
                <a:srgbClr val="00B050"/>
              </a:solidFill>
              <a:round/>
            </a:ln>
            <a:effectLst/>
          </c:spPr>
          <c:marker>
            <c:symbol val="diamond"/>
            <c:size val="9"/>
            <c:spPr>
              <a:solidFill>
                <a:srgbClr val="00B050"/>
              </a:solidFill>
              <a:ln w="9525">
                <a:noFill/>
              </a:ln>
              <a:effectLst/>
            </c:spPr>
          </c:marker>
          <c:cat>
            <c:strRef>
              <c:f>Kopā!$A$10:$A$17</c:f>
              <c:strCache>
                <c:ptCount val="8"/>
                <c:pt idx="0">
                  <c:v>2015</c:v>
                </c:pt>
                <c:pt idx="1">
                  <c:v>2016</c:v>
                </c:pt>
                <c:pt idx="2">
                  <c:v>2017</c:v>
                </c:pt>
                <c:pt idx="3">
                  <c:v>2018</c:v>
                </c:pt>
                <c:pt idx="4">
                  <c:v>2019</c:v>
                </c:pt>
                <c:pt idx="5">
                  <c:v>2020</c:v>
                </c:pt>
                <c:pt idx="6">
                  <c:v>2021</c:v>
                </c:pt>
                <c:pt idx="7">
                  <c:v>2022</c:v>
                </c:pt>
              </c:strCache>
            </c:strRef>
          </c:cat>
          <c:val>
            <c:numRef>
              <c:f>Kopā!$D$10:$D$17</c:f>
              <c:numCache>
                <c:formatCode>0.0</c:formatCode>
                <c:ptCount val="8"/>
                <c:pt idx="0">
                  <c:v>100</c:v>
                </c:pt>
                <c:pt idx="1">
                  <c:v>98.5</c:v>
                </c:pt>
                <c:pt idx="2">
                  <c:v>103.4</c:v>
                </c:pt>
                <c:pt idx="3">
                  <c:v>102.7</c:v>
                </c:pt>
                <c:pt idx="4" formatCode="General">
                  <c:v>103.2</c:v>
                </c:pt>
                <c:pt idx="5" formatCode="General">
                  <c:v>104.1</c:v>
                </c:pt>
                <c:pt idx="6" formatCode="General">
                  <c:v>105.1</c:v>
                </c:pt>
                <c:pt idx="7" formatCode="General">
                  <c:v>105.3</c:v>
                </c:pt>
              </c:numCache>
            </c:numRef>
          </c:val>
          <c:smooth val="1"/>
          <c:extLst>
            <c:ext xmlns:c16="http://schemas.microsoft.com/office/drawing/2014/chart" uri="{C3380CC4-5D6E-409C-BE32-E72D297353CC}">
              <c16:uniqueId val="{00000002-3B55-4801-8099-EF2BAE3B01FD}"/>
            </c:ext>
          </c:extLst>
        </c:ser>
        <c:dLbls>
          <c:showLegendKey val="0"/>
          <c:showVal val="0"/>
          <c:showCatName val="0"/>
          <c:showSerName val="0"/>
          <c:showPercent val="0"/>
          <c:showBubbleSize val="0"/>
        </c:dLbls>
        <c:marker val="1"/>
        <c:smooth val="0"/>
        <c:axId val="962158304"/>
        <c:axId val="962144160"/>
      </c:lineChart>
      <c:catAx>
        <c:axId val="96215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962144160"/>
        <c:crosses val="autoZero"/>
        <c:auto val="1"/>
        <c:lblAlgn val="ctr"/>
        <c:lblOffset val="100"/>
        <c:noMultiLvlLbl val="0"/>
      </c:catAx>
      <c:valAx>
        <c:axId val="962144160"/>
        <c:scaling>
          <c:orientation val="minMax"/>
          <c:min val="7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962158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592407348070176E-2"/>
          <c:y val="5.0949513663733209E-2"/>
          <c:w val="0.9069207156955128"/>
          <c:h val="0.65949130721790861"/>
        </c:manualLayout>
      </c:layout>
      <c:lineChart>
        <c:grouping val="standard"/>
        <c:varyColors val="0"/>
        <c:ser>
          <c:idx val="0"/>
          <c:order val="0"/>
          <c:tx>
            <c:strRef>
              <c:f>Cenas!$A$7</c:f>
              <c:strCache>
                <c:ptCount val="1"/>
                <c:pt idx="0">
                  <c:v>Graudi</c:v>
                </c:pt>
              </c:strCache>
            </c:strRef>
          </c:tx>
          <c:spPr>
            <a:ln w="28575" cap="rnd">
              <a:solidFill>
                <a:srgbClr val="FF0000"/>
              </a:solidFill>
              <a:round/>
            </a:ln>
            <a:effectLst/>
          </c:spPr>
          <c:marker>
            <c:symbol val="none"/>
          </c:marker>
          <c:cat>
            <c:multiLvlStrRef>
              <c:f>Cenas!$V$3:$AI$4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2020</c:v>
                  </c:pt>
                  <c:pt idx="4">
                    <c:v>2021</c:v>
                  </c:pt>
                  <c:pt idx="8">
                    <c:v>2022</c:v>
                  </c:pt>
                  <c:pt idx="12">
                    <c:v>2022</c:v>
                  </c:pt>
                </c:lvl>
              </c:multiLvlStrCache>
            </c:multiLvlStrRef>
          </c:cat>
          <c:val>
            <c:numRef>
              <c:f>Cenas!$V$7:$AI$7</c:f>
              <c:numCache>
                <c:formatCode>0.0</c:formatCode>
                <c:ptCount val="14"/>
                <c:pt idx="0">
                  <c:v>123</c:v>
                </c:pt>
                <c:pt idx="1">
                  <c:v>126.5</c:v>
                </c:pt>
                <c:pt idx="2">
                  <c:v>107.8</c:v>
                </c:pt>
                <c:pt idx="3">
                  <c:v>122</c:v>
                </c:pt>
                <c:pt idx="4">
                  <c:v>135.30000000000001</c:v>
                </c:pt>
                <c:pt idx="5">
                  <c:v>137</c:v>
                </c:pt>
                <c:pt idx="6">
                  <c:v>130.80000000000001</c:v>
                </c:pt>
                <c:pt idx="7">
                  <c:v>163.30000000000001</c:v>
                </c:pt>
                <c:pt idx="8">
                  <c:v>202.9</c:v>
                </c:pt>
                <c:pt idx="9">
                  <c:v>244.3</c:v>
                </c:pt>
                <c:pt idx="10" formatCode="General">
                  <c:v>187.6</c:v>
                </c:pt>
                <c:pt idx="11" formatCode="General">
                  <c:v>199.8</c:v>
                </c:pt>
                <c:pt idx="12" formatCode="General">
                  <c:v>182.1</c:v>
                </c:pt>
                <c:pt idx="13" formatCode="General">
                  <c:v>154.30000000000001</c:v>
                </c:pt>
              </c:numCache>
            </c:numRef>
          </c:val>
          <c:smooth val="1"/>
          <c:extLst>
            <c:ext xmlns:c16="http://schemas.microsoft.com/office/drawing/2014/chart" uri="{C3380CC4-5D6E-409C-BE32-E72D297353CC}">
              <c16:uniqueId val="{00000000-2298-44ED-8B90-AD4B1D63760E}"/>
            </c:ext>
          </c:extLst>
        </c:ser>
        <c:ser>
          <c:idx val="2"/>
          <c:order val="2"/>
          <c:tx>
            <c:strRef>
              <c:f>Cenas!$A$27</c:f>
              <c:strCache>
                <c:ptCount val="1"/>
                <c:pt idx="0">
                  <c:v>Piens</c:v>
                </c:pt>
              </c:strCache>
            </c:strRef>
          </c:tx>
          <c:spPr>
            <a:ln w="28575" cap="rnd">
              <a:solidFill>
                <a:sysClr val="window" lastClr="FFFFFF">
                  <a:lumMod val="50000"/>
                </a:sysClr>
              </a:solidFill>
              <a:round/>
            </a:ln>
            <a:effectLst/>
          </c:spPr>
          <c:marker>
            <c:symbol val="none"/>
          </c:marker>
          <c:cat>
            <c:multiLvlStrRef>
              <c:f>Cenas!$V$3:$AI$4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2020</c:v>
                  </c:pt>
                  <c:pt idx="4">
                    <c:v>2021</c:v>
                  </c:pt>
                  <c:pt idx="8">
                    <c:v>2022</c:v>
                  </c:pt>
                  <c:pt idx="12">
                    <c:v>2022</c:v>
                  </c:pt>
                </c:lvl>
              </c:multiLvlStrCache>
            </c:multiLvlStrRef>
          </c:cat>
          <c:val>
            <c:numRef>
              <c:f>Cenas!$V$27:$AI$27</c:f>
              <c:numCache>
                <c:formatCode>0.0</c:formatCode>
                <c:ptCount val="14"/>
                <c:pt idx="0">
                  <c:v>141.30000000000001</c:v>
                </c:pt>
                <c:pt idx="1">
                  <c:v>122.3</c:v>
                </c:pt>
                <c:pt idx="2">
                  <c:v>124.8</c:v>
                </c:pt>
                <c:pt idx="3">
                  <c:v>133.69999999999999</c:v>
                </c:pt>
                <c:pt idx="4">
                  <c:v>137</c:v>
                </c:pt>
                <c:pt idx="5">
                  <c:v>140.9</c:v>
                </c:pt>
                <c:pt idx="6">
                  <c:v>143.80000000000001</c:v>
                </c:pt>
                <c:pt idx="7">
                  <c:v>167.4</c:v>
                </c:pt>
                <c:pt idx="8">
                  <c:v>197.2</c:v>
                </c:pt>
                <c:pt idx="9">
                  <c:v>218</c:v>
                </c:pt>
                <c:pt idx="10" formatCode="General">
                  <c:v>229.5</c:v>
                </c:pt>
                <c:pt idx="11" formatCode="General">
                  <c:v>226.2</c:v>
                </c:pt>
                <c:pt idx="12" formatCode="General">
                  <c:v>171.9</c:v>
                </c:pt>
                <c:pt idx="13" formatCode="General">
                  <c:v>158.9</c:v>
                </c:pt>
              </c:numCache>
            </c:numRef>
          </c:val>
          <c:smooth val="1"/>
          <c:extLst>
            <c:ext xmlns:c16="http://schemas.microsoft.com/office/drawing/2014/chart" uri="{C3380CC4-5D6E-409C-BE32-E72D297353CC}">
              <c16:uniqueId val="{00000001-2298-44ED-8B90-AD4B1D63760E}"/>
            </c:ext>
          </c:extLst>
        </c:ser>
        <c:ser>
          <c:idx val="1"/>
          <c:order val="1"/>
          <c:tx>
            <c:strRef>
              <c:f>Cenas!$A$20</c:f>
              <c:strCache>
                <c:ptCount val="1"/>
                <c:pt idx="0">
                  <c:v>Lauksaimniecības dzīvnieki</c:v>
                </c:pt>
              </c:strCache>
            </c:strRef>
          </c:tx>
          <c:spPr>
            <a:ln w="28575" cap="rnd">
              <a:solidFill>
                <a:srgbClr val="4472C4">
                  <a:lumMod val="75000"/>
                </a:srgbClr>
              </a:solidFill>
              <a:round/>
            </a:ln>
            <a:effectLst/>
          </c:spPr>
          <c:marker>
            <c:symbol val="none"/>
          </c:marker>
          <c:cat>
            <c:multiLvlStrRef>
              <c:f>Cenas!$V$3:$AI$4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2020</c:v>
                  </c:pt>
                  <c:pt idx="4">
                    <c:v>2021</c:v>
                  </c:pt>
                  <c:pt idx="8">
                    <c:v>2022</c:v>
                  </c:pt>
                  <c:pt idx="12">
                    <c:v>2022</c:v>
                  </c:pt>
                </c:lvl>
              </c:multiLvlStrCache>
            </c:multiLvlStrRef>
          </c:cat>
          <c:val>
            <c:numRef>
              <c:f>Cenas!$V$20:$AI$20</c:f>
              <c:numCache>
                <c:formatCode>0.0</c:formatCode>
                <c:ptCount val="14"/>
                <c:pt idx="0">
                  <c:v>124.4</c:v>
                </c:pt>
                <c:pt idx="1">
                  <c:v>116.6</c:v>
                </c:pt>
                <c:pt idx="2">
                  <c:v>110.2</c:v>
                </c:pt>
                <c:pt idx="3">
                  <c:v>102.7</c:v>
                </c:pt>
                <c:pt idx="4">
                  <c:v>108.4</c:v>
                </c:pt>
                <c:pt idx="5">
                  <c:v>120.9</c:v>
                </c:pt>
                <c:pt idx="6">
                  <c:v>119.4</c:v>
                </c:pt>
                <c:pt idx="7">
                  <c:v>114.2</c:v>
                </c:pt>
                <c:pt idx="8">
                  <c:v>129.9</c:v>
                </c:pt>
                <c:pt idx="9">
                  <c:v>153.9</c:v>
                </c:pt>
                <c:pt idx="10" formatCode="General">
                  <c:v>160.69999999999999</c:v>
                </c:pt>
                <c:pt idx="11" formatCode="General">
                  <c:v>155.80000000000001</c:v>
                </c:pt>
                <c:pt idx="12" formatCode="General">
                  <c:v>164.7</c:v>
                </c:pt>
                <c:pt idx="13" formatCode="General">
                  <c:v>185</c:v>
                </c:pt>
              </c:numCache>
            </c:numRef>
          </c:val>
          <c:smooth val="1"/>
          <c:extLst>
            <c:ext xmlns:c16="http://schemas.microsoft.com/office/drawing/2014/chart" uri="{C3380CC4-5D6E-409C-BE32-E72D297353CC}">
              <c16:uniqueId val="{00000002-2298-44ED-8B90-AD4B1D63760E}"/>
            </c:ext>
          </c:extLst>
        </c:ser>
        <c:ser>
          <c:idx val="3"/>
          <c:order val="3"/>
          <c:tx>
            <c:strRef>
              <c:f>Cenas!$A$16</c:f>
              <c:strCache>
                <c:ptCount val="1"/>
                <c:pt idx="0">
                  <c:v>Kartupeļi</c:v>
                </c:pt>
              </c:strCache>
            </c:strRef>
          </c:tx>
          <c:spPr>
            <a:ln w="28575" cap="rnd">
              <a:solidFill>
                <a:srgbClr val="00B050"/>
              </a:solidFill>
              <a:round/>
            </a:ln>
            <a:effectLst/>
          </c:spPr>
          <c:marker>
            <c:symbol val="none"/>
          </c:marker>
          <c:cat>
            <c:multiLvlStrRef>
              <c:f>Cenas!$V$3:$AI$4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2020</c:v>
                  </c:pt>
                  <c:pt idx="4">
                    <c:v>2021</c:v>
                  </c:pt>
                  <c:pt idx="8">
                    <c:v>2022</c:v>
                  </c:pt>
                  <c:pt idx="12">
                    <c:v>2022</c:v>
                  </c:pt>
                </c:lvl>
              </c:multiLvlStrCache>
            </c:multiLvlStrRef>
          </c:cat>
          <c:val>
            <c:numRef>
              <c:f>Cenas!$V$16:$AI$16</c:f>
              <c:numCache>
                <c:formatCode>0.0</c:formatCode>
                <c:ptCount val="14"/>
                <c:pt idx="0">
                  <c:v>114.8</c:v>
                </c:pt>
                <c:pt idx="1">
                  <c:v>109.3</c:v>
                </c:pt>
                <c:pt idx="2">
                  <c:v>117.6</c:v>
                </c:pt>
                <c:pt idx="3">
                  <c:v>97.6</c:v>
                </c:pt>
                <c:pt idx="4">
                  <c:v>75.599999999999994</c:v>
                </c:pt>
                <c:pt idx="5">
                  <c:v>101.2</c:v>
                </c:pt>
                <c:pt idx="6">
                  <c:v>180.5</c:v>
                </c:pt>
                <c:pt idx="7">
                  <c:v>170.9</c:v>
                </c:pt>
                <c:pt idx="8">
                  <c:v>187.8</c:v>
                </c:pt>
                <c:pt idx="9">
                  <c:v>152.4</c:v>
                </c:pt>
                <c:pt idx="10" formatCode="General">
                  <c:v>198.7</c:v>
                </c:pt>
                <c:pt idx="11" formatCode="General">
                  <c:v>165.3</c:v>
                </c:pt>
                <c:pt idx="12" formatCode="General">
                  <c:v>188.9</c:v>
                </c:pt>
                <c:pt idx="13" formatCode="General">
                  <c:v>176.6</c:v>
                </c:pt>
              </c:numCache>
            </c:numRef>
          </c:val>
          <c:smooth val="1"/>
          <c:extLst>
            <c:ext xmlns:c16="http://schemas.microsoft.com/office/drawing/2014/chart" uri="{C3380CC4-5D6E-409C-BE32-E72D297353CC}">
              <c16:uniqueId val="{00000003-2298-44ED-8B90-AD4B1D63760E}"/>
            </c:ext>
          </c:extLst>
        </c:ser>
        <c:ser>
          <c:idx val="4"/>
          <c:order val="4"/>
          <c:tx>
            <c:strRef>
              <c:f>Cenas!$A$17</c:f>
              <c:strCache>
                <c:ptCount val="1"/>
                <c:pt idx="0">
                  <c:v>Augļi un ogas</c:v>
                </c:pt>
              </c:strCache>
            </c:strRef>
          </c:tx>
          <c:spPr>
            <a:ln w="28575" cap="rnd">
              <a:solidFill>
                <a:srgbClr val="ED7D31">
                  <a:lumMod val="75000"/>
                </a:srgbClr>
              </a:solidFill>
              <a:round/>
            </a:ln>
            <a:effectLst/>
          </c:spPr>
          <c:marker>
            <c:symbol val="none"/>
          </c:marker>
          <c:cat>
            <c:multiLvlStrRef>
              <c:f>Cenas!$V$3:$AI$4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2020</c:v>
                  </c:pt>
                  <c:pt idx="4">
                    <c:v>2021</c:v>
                  </c:pt>
                  <c:pt idx="8">
                    <c:v>2022</c:v>
                  </c:pt>
                  <c:pt idx="12">
                    <c:v>2022</c:v>
                  </c:pt>
                </c:lvl>
              </c:multiLvlStrCache>
            </c:multiLvlStrRef>
          </c:cat>
          <c:val>
            <c:numRef>
              <c:f>Cenas!$V$17:$AI$17</c:f>
              <c:numCache>
                <c:formatCode>0.0</c:formatCode>
                <c:ptCount val="14"/>
                <c:pt idx="0">
                  <c:v>213.3</c:v>
                </c:pt>
                <c:pt idx="1">
                  <c:v>157.5</c:v>
                </c:pt>
                <c:pt idx="2">
                  <c:v>127.7</c:v>
                </c:pt>
                <c:pt idx="3">
                  <c:v>175.6</c:v>
                </c:pt>
                <c:pt idx="4">
                  <c:v>173.1</c:v>
                </c:pt>
                <c:pt idx="5">
                  <c:v>184</c:v>
                </c:pt>
                <c:pt idx="6">
                  <c:v>129</c:v>
                </c:pt>
                <c:pt idx="7">
                  <c:v>188.9</c:v>
                </c:pt>
                <c:pt idx="8">
                  <c:v>235.3</c:v>
                </c:pt>
                <c:pt idx="9">
                  <c:v>255.6</c:v>
                </c:pt>
                <c:pt idx="10" formatCode="General">
                  <c:v>137.80000000000001</c:v>
                </c:pt>
                <c:pt idx="11" formatCode="General">
                  <c:v>231</c:v>
                </c:pt>
                <c:pt idx="12" formatCode="General">
                  <c:v>209</c:v>
                </c:pt>
                <c:pt idx="13" formatCode="General">
                  <c:v>256.10000000000002</c:v>
                </c:pt>
              </c:numCache>
            </c:numRef>
          </c:val>
          <c:smooth val="1"/>
          <c:extLst>
            <c:ext xmlns:c16="http://schemas.microsoft.com/office/drawing/2014/chart" uri="{C3380CC4-5D6E-409C-BE32-E72D297353CC}">
              <c16:uniqueId val="{00000004-2298-44ED-8B90-AD4B1D63760E}"/>
            </c:ext>
          </c:extLst>
        </c:ser>
        <c:dLbls>
          <c:showLegendKey val="0"/>
          <c:showVal val="0"/>
          <c:showCatName val="0"/>
          <c:showSerName val="0"/>
          <c:showPercent val="0"/>
          <c:showBubbleSize val="0"/>
        </c:dLbls>
        <c:smooth val="0"/>
        <c:axId val="956682448"/>
        <c:axId val="956676208"/>
      </c:lineChart>
      <c:catAx>
        <c:axId val="95668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956676208"/>
        <c:crosses val="autoZero"/>
        <c:auto val="1"/>
        <c:lblAlgn val="ctr"/>
        <c:lblOffset val="100"/>
        <c:noMultiLvlLbl val="0"/>
      </c:catAx>
      <c:valAx>
        <c:axId val="956676208"/>
        <c:scaling>
          <c:orientation val="minMax"/>
          <c:min val="5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956682448"/>
        <c:crosses val="autoZero"/>
        <c:crossBetween val="between"/>
      </c:valAx>
      <c:spPr>
        <a:noFill/>
        <a:ln>
          <a:noFill/>
        </a:ln>
        <a:effectLst/>
      </c:spPr>
    </c:plotArea>
    <c:legend>
      <c:legendPos val="b"/>
      <c:layout>
        <c:manualLayout>
          <c:xMode val="edge"/>
          <c:yMode val="edge"/>
          <c:x val="7.2236937153864677E-3"/>
          <c:y val="0.91481000609060037"/>
          <c:w val="0.98930893330122804"/>
          <c:h val="6.666289803167842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Sheet1!$C$2</c:f>
              <c:strCache>
                <c:ptCount val="1"/>
                <c:pt idx="0">
                  <c:v>2022.gads</c:v>
                </c:pt>
              </c:strCache>
            </c:strRef>
          </c:tx>
          <c:spPr>
            <a:solidFill>
              <a:schemeClr val="accent5">
                <a:lumMod val="60000"/>
                <a:lumOff val="40000"/>
              </a:schemeClr>
            </a:solidFill>
            <a:ln>
              <a:noFill/>
            </a:ln>
            <a:effectLst/>
          </c:spPr>
          <c:invertIfNegative val="0"/>
          <c:dPt>
            <c:idx val="2"/>
            <c:invertIfNegative val="0"/>
            <c:bubble3D val="0"/>
            <c:spPr>
              <a:solidFill>
                <a:schemeClr val="accent5">
                  <a:lumMod val="60000"/>
                  <a:lumOff val="40000"/>
                </a:schemeClr>
              </a:solidFill>
              <a:ln>
                <a:solidFill>
                  <a:srgbClr val="FF0000"/>
                </a:solidFill>
              </a:ln>
              <a:effectLst/>
            </c:spPr>
            <c:extLst>
              <c:ext xmlns:c16="http://schemas.microsoft.com/office/drawing/2014/chart" uri="{C3380CC4-5D6E-409C-BE32-E72D297353CC}">
                <c16:uniqueId val="{00000001-270C-4F14-87BC-46FF9C65607D}"/>
              </c:ext>
            </c:extLst>
          </c:dPt>
          <c:dPt>
            <c:idx val="14"/>
            <c:invertIfNegative val="0"/>
            <c:bubble3D val="0"/>
            <c:spPr>
              <a:solidFill>
                <a:schemeClr val="accent5">
                  <a:lumMod val="60000"/>
                  <a:lumOff val="40000"/>
                </a:schemeClr>
              </a:solidFill>
              <a:ln>
                <a:solidFill>
                  <a:srgbClr val="FF0000"/>
                </a:solidFill>
              </a:ln>
              <a:effectLst/>
            </c:spPr>
            <c:extLst>
              <c:ext xmlns:c16="http://schemas.microsoft.com/office/drawing/2014/chart" uri="{C3380CC4-5D6E-409C-BE32-E72D297353CC}">
                <c16:uniqueId val="{00000003-270C-4F14-87BC-46FF9C65607D}"/>
              </c:ext>
            </c:extLst>
          </c:dPt>
          <c:dPt>
            <c:idx val="19"/>
            <c:invertIfNegative val="0"/>
            <c:bubble3D val="0"/>
            <c:spPr>
              <a:solidFill>
                <a:schemeClr val="accent5">
                  <a:lumMod val="60000"/>
                  <a:lumOff val="40000"/>
                </a:schemeClr>
              </a:solidFill>
              <a:ln>
                <a:solidFill>
                  <a:srgbClr val="FF0000"/>
                </a:solidFill>
              </a:ln>
              <a:effectLst/>
            </c:spPr>
            <c:extLst>
              <c:ext xmlns:c16="http://schemas.microsoft.com/office/drawing/2014/chart" uri="{C3380CC4-5D6E-409C-BE32-E72D297353CC}">
                <c16:uniqueId val="{00000005-270C-4F14-87BC-46FF9C65607D}"/>
              </c:ext>
            </c:extLst>
          </c:dPt>
          <c:cat>
            <c:strRef>
              <c:f>Sheet1!$B$3:$B$31</c:f>
              <c:strCache>
                <c:ptCount val="29"/>
                <c:pt idx="0">
                  <c:v>Igaunija</c:v>
                </c:pt>
                <c:pt idx="1">
                  <c:v>Lietuva</c:v>
                </c:pt>
                <c:pt idx="2">
                  <c:v>Latvija</c:v>
                </c:pt>
                <c:pt idx="3">
                  <c:v>Ungārija</c:v>
                </c:pt>
                <c:pt idx="4">
                  <c:v>Čehija</c:v>
                </c:pt>
                <c:pt idx="5">
                  <c:v>Polija</c:v>
                </c:pt>
                <c:pt idx="6">
                  <c:v>Bulgārija</c:v>
                </c:pt>
                <c:pt idx="7">
                  <c:v>Slovākija</c:v>
                </c:pt>
                <c:pt idx="8">
                  <c:v>Rumānija</c:v>
                </c:pt>
                <c:pt idx="9">
                  <c:v>Nīderlande</c:v>
                </c:pt>
                <c:pt idx="10">
                  <c:v>Horvātija</c:v>
                </c:pt>
                <c:pt idx="11">
                  <c:v>Beļģija</c:v>
                </c:pt>
                <c:pt idx="12">
                  <c:v>Grieķija</c:v>
                </c:pt>
                <c:pt idx="13">
                  <c:v>Slovēnija</c:v>
                </c:pt>
                <c:pt idx="14">
                  <c:v>ES(27)</c:v>
                </c:pt>
                <c:pt idx="15">
                  <c:v>Vācija</c:v>
                </c:pt>
                <c:pt idx="16">
                  <c:v>Itālija</c:v>
                </c:pt>
                <c:pt idx="17">
                  <c:v>Austrija</c:v>
                </c:pt>
                <c:pt idx="18">
                  <c:v>Dānija</c:v>
                </c:pt>
                <c:pt idx="19">
                  <c:v>Eirozona</c:v>
                </c:pt>
                <c:pt idx="20">
                  <c:v>Spānija</c:v>
                </c:pt>
                <c:pt idx="21">
                  <c:v>Luksemburga</c:v>
                </c:pt>
                <c:pt idx="22">
                  <c:v>Īrija</c:v>
                </c:pt>
                <c:pt idx="23">
                  <c:v>Kipra</c:v>
                </c:pt>
                <c:pt idx="24">
                  <c:v>Portugāle</c:v>
                </c:pt>
                <c:pt idx="25">
                  <c:v>Zviedrija</c:v>
                </c:pt>
                <c:pt idx="26">
                  <c:v>Somija</c:v>
                </c:pt>
                <c:pt idx="27">
                  <c:v>Malta</c:v>
                </c:pt>
                <c:pt idx="28">
                  <c:v>Frāncija</c:v>
                </c:pt>
              </c:strCache>
            </c:strRef>
          </c:cat>
          <c:val>
            <c:numRef>
              <c:f>Sheet1!$C$3:$C$31</c:f>
              <c:numCache>
                <c:formatCode>0.0</c:formatCode>
                <c:ptCount val="29"/>
                <c:pt idx="0">
                  <c:v>19.399999999999999</c:v>
                </c:pt>
                <c:pt idx="1">
                  <c:v>18.899999999999999</c:v>
                </c:pt>
                <c:pt idx="2">
                  <c:v>17.2</c:v>
                </c:pt>
                <c:pt idx="3">
                  <c:v>15.3</c:v>
                </c:pt>
                <c:pt idx="4">
                  <c:v>14.8</c:v>
                </c:pt>
                <c:pt idx="5">
                  <c:v>13.2</c:v>
                </c:pt>
                <c:pt idx="6">
                  <c:v>13</c:v>
                </c:pt>
                <c:pt idx="7">
                  <c:v>12.1</c:v>
                </c:pt>
                <c:pt idx="8">
                  <c:v>12</c:v>
                </c:pt>
                <c:pt idx="9">
                  <c:v>11.6</c:v>
                </c:pt>
                <c:pt idx="10">
                  <c:v>10.7</c:v>
                </c:pt>
                <c:pt idx="11">
                  <c:v>10.3</c:v>
                </c:pt>
                <c:pt idx="12">
                  <c:v>9.3000000000000007</c:v>
                </c:pt>
                <c:pt idx="13">
                  <c:v>9.3000000000000007</c:v>
                </c:pt>
                <c:pt idx="14">
                  <c:v>9.1999999999999993</c:v>
                </c:pt>
                <c:pt idx="15">
                  <c:v>8.6999999999999993</c:v>
                </c:pt>
                <c:pt idx="16">
                  <c:v>8.6999999999999993</c:v>
                </c:pt>
                <c:pt idx="17">
                  <c:v>8.6</c:v>
                </c:pt>
                <c:pt idx="18">
                  <c:v>8.5</c:v>
                </c:pt>
                <c:pt idx="19">
                  <c:v>8.4</c:v>
                </c:pt>
                <c:pt idx="20">
                  <c:v>8.3000000000000007</c:v>
                </c:pt>
                <c:pt idx="21">
                  <c:v>8.1999999999999993</c:v>
                </c:pt>
                <c:pt idx="22">
                  <c:v>8.1</c:v>
                </c:pt>
                <c:pt idx="23">
                  <c:v>8.1</c:v>
                </c:pt>
                <c:pt idx="24">
                  <c:v>8.1</c:v>
                </c:pt>
                <c:pt idx="25">
                  <c:v>8.1</c:v>
                </c:pt>
                <c:pt idx="26">
                  <c:v>7.2</c:v>
                </c:pt>
                <c:pt idx="27">
                  <c:v>6.1</c:v>
                </c:pt>
                <c:pt idx="28">
                  <c:v>5.9</c:v>
                </c:pt>
              </c:numCache>
            </c:numRef>
          </c:val>
          <c:extLst>
            <c:ext xmlns:c16="http://schemas.microsoft.com/office/drawing/2014/chart" uri="{C3380CC4-5D6E-409C-BE32-E72D297353CC}">
              <c16:uniqueId val="{00000006-270C-4F14-87BC-46FF9C65607D}"/>
            </c:ext>
          </c:extLst>
        </c:ser>
        <c:dLbls>
          <c:showLegendKey val="0"/>
          <c:showVal val="0"/>
          <c:showCatName val="0"/>
          <c:showSerName val="0"/>
          <c:showPercent val="0"/>
          <c:showBubbleSize val="0"/>
        </c:dLbls>
        <c:gapWidth val="60"/>
        <c:axId val="1948408751"/>
        <c:axId val="1948410831"/>
      </c:barChart>
      <c:lineChart>
        <c:grouping val="standard"/>
        <c:varyColors val="0"/>
        <c:ser>
          <c:idx val="1"/>
          <c:order val="1"/>
          <c:tx>
            <c:strRef>
              <c:f>Sheet1!$D$2</c:f>
              <c:strCache>
                <c:ptCount val="1"/>
                <c:pt idx="0">
                  <c:v>Janvāris-augusts 2023.gadā vidēji</c:v>
                </c:pt>
              </c:strCache>
            </c:strRef>
          </c:tx>
          <c:spPr>
            <a:ln w="28575" cap="rnd">
              <a:solidFill>
                <a:schemeClr val="accent1">
                  <a:alpha val="0"/>
                </a:schemeClr>
              </a:solidFill>
              <a:round/>
            </a:ln>
            <a:effectLst/>
          </c:spPr>
          <c:marker>
            <c:symbol val="circle"/>
            <c:size val="8"/>
            <c:spPr>
              <a:solidFill>
                <a:schemeClr val="accent2"/>
              </a:solidFill>
              <a:ln w="9525">
                <a:solidFill>
                  <a:schemeClr val="accent2"/>
                </a:solidFill>
              </a:ln>
              <a:effectLst/>
            </c:spPr>
          </c:marker>
          <c:cat>
            <c:strRef>
              <c:f>Sheet1!$B$3:$B$31</c:f>
              <c:strCache>
                <c:ptCount val="29"/>
                <c:pt idx="0">
                  <c:v>Igaunija</c:v>
                </c:pt>
                <c:pt idx="1">
                  <c:v>Lietuva</c:v>
                </c:pt>
                <c:pt idx="2">
                  <c:v>Latvija</c:v>
                </c:pt>
                <c:pt idx="3">
                  <c:v>Ungārija</c:v>
                </c:pt>
                <c:pt idx="4">
                  <c:v>Čehija</c:v>
                </c:pt>
                <c:pt idx="5">
                  <c:v>Polija</c:v>
                </c:pt>
                <c:pt idx="6">
                  <c:v>Bulgārija</c:v>
                </c:pt>
                <c:pt idx="7">
                  <c:v>Slovākija</c:v>
                </c:pt>
                <c:pt idx="8">
                  <c:v>Rumānija</c:v>
                </c:pt>
                <c:pt idx="9">
                  <c:v>Nīderlande</c:v>
                </c:pt>
                <c:pt idx="10">
                  <c:v>Horvātija</c:v>
                </c:pt>
                <c:pt idx="11">
                  <c:v>Beļģija</c:v>
                </c:pt>
                <c:pt idx="12">
                  <c:v>Grieķija</c:v>
                </c:pt>
                <c:pt idx="13">
                  <c:v>Slovēnija</c:v>
                </c:pt>
                <c:pt idx="14">
                  <c:v>ES(27)</c:v>
                </c:pt>
                <c:pt idx="15">
                  <c:v>Vācija</c:v>
                </c:pt>
                <c:pt idx="16">
                  <c:v>Itālija</c:v>
                </c:pt>
                <c:pt idx="17">
                  <c:v>Austrija</c:v>
                </c:pt>
                <c:pt idx="18">
                  <c:v>Dānija</c:v>
                </c:pt>
                <c:pt idx="19">
                  <c:v>Eirozona</c:v>
                </c:pt>
                <c:pt idx="20">
                  <c:v>Spānija</c:v>
                </c:pt>
                <c:pt idx="21">
                  <c:v>Luksemburga</c:v>
                </c:pt>
                <c:pt idx="22">
                  <c:v>Īrija</c:v>
                </c:pt>
                <c:pt idx="23">
                  <c:v>Kipra</c:v>
                </c:pt>
                <c:pt idx="24">
                  <c:v>Portugāle</c:v>
                </c:pt>
                <c:pt idx="25">
                  <c:v>Zviedrija</c:v>
                </c:pt>
                <c:pt idx="26">
                  <c:v>Somija</c:v>
                </c:pt>
                <c:pt idx="27">
                  <c:v>Malta</c:v>
                </c:pt>
                <c:pt idx="28">
                  <c:v>Frāncija</c:v>
                </c:pt>
              </c:strCache>
            </c:strRef>
          </c:cat>
          <c:val>
            <c:numRef>
              <c:f>Sheet1!$D$3:$D$31</c:f>
              <c:numCache>
                <c:formatCode>0.0</c:formatCode>
                <c:ptCount val="29"/>
                <c:pt idx="0">
                  <c:v>11.70444107005604</c:v>
                </c:pt>
                <c:pt idx="1">
                  <c:v>11.913441983824272</c:v>
                </c:pt>
                <c:pt idx="2">
                  <c:v>12.967385002407561</c:v>
                </c:pt>
                <c:pt idx="3">
                  <c:v>21.766162048938391</c:v>
                </c:pt>
                <c:pt idx="4">
                  <c:v>13.89931658484937</c:v>
                </c:pt>
                <c:pt idx="5">
                  <c:v>13.111023154561657</c:v>
                </c:pt>
                <c:pt idx="6">
                  <c:v>10.139842097115457</c:v>
                </c:pt>
                <c:pt idx="7">
                  <c:v>12.812429862683903</c:v>
                </c:pt>
                <c:pt idx="8">
                  <c:v>10.75475985811819</c:v>
                </c:pt>
                <c:pt idx="9">
                  <c:v>6.1451351013780604</c:v>
                </c:pt>
                <c:pt idx="10">
                  <c:v>9.5237577352662814</c:v>
                </c:pt>
                <c:pt idx="11">
                  <c:v>3.6577933413905988</c:v>
                </c:pt>
                <c:pt idx="12">
                  <c:v>4.6537818376238747</c:v>
                </c:pt>
                <c:pt idx="13">
                  <c:v>8.1244569939183506</c:v>
                </c:pt>
                <c:pt idx="14">
                  <c:v>7.7131287297527704</c:v>
                </c:pt>
                <c:pt idx="15">
                  <c:v>7.445896721662737</c:v>
                </c:pt>
                <c:pt idx="16">
                  <c:v>7.9404188598947227</c:v>
                </c:pt>
                <c:pt idx="17">
                  <c:v>8.9907986440106704</c:v>
                </c:pt>
                <c:pt idx="18">
                  <c:v>4.9977688531905473</c:v>
                </c:pt>
                <c:pt idx="19">
                  <c:v>6.6189896530736565</c:v>
                </c:pt>
                <c:pt idx="20">
                  <c:v>3.4423277208817931</c:v>
                </c:pt>
                <c:pt idx="21">
                  <c:v>3.0521695696993678</c:v>
                </c:pt>
                <c:pt idx="22">
                  <c:v>6.0386746579215309</c:v>
                </c:pt>
                <c:pt idx="23">
                  <c:v>4.3741680818836928</c:v>
                </c:pt>
                <c:pt idx="24">
                  <c:v>6.4312580699489112</c:v>
                </c:pt>
                <c:pt idx="25">
                  <c:v>7.3417478626100676</c:v>
                </c:pt>
                <c:pt idx="26">
                  <c:v>5.6254519161243861</c:v>
                </c:pt>
                <c:pt idx="27">
                  <c:v>6.2785742820364909</c:v>
                </c:pt>
                <c:pt idx="28">
                  <c:v>6.2432223082881437</c:v>
                </c:pt>
              </c:numCache>
            </c:numRef>
          </c:val>
          <c:smooth val="0"/>
          <c:extLst>
            <c:ext xmlns:c16="http://schemas.microsoft.com/office/drawing/2014/chart" uri="{C3380CC4-5D6E-409C-BE32-E72D297353CC}">
              <c16:uniqueId val="{00000007-270C-4F14-87BC-46FF9C65607D}"/>
            </c:ext>
          </c:extLst>
        </c:ser>
        <c:ser>
          <c:idx val="2"/>
          <c:order val="2"/>
          <c:tx>
            <c:strRef>
              <c:f>Sheet1!$E$2</c:f>
              <c:strCache>
                <c:ptCount val="1"/>
                <c:pt idx="0">
                  <c:v>Augusts 2023.gadā</c:v>
                </c:pt>
              </c:strCache>
            </c:strRef>
          </c:tx>
          <c:spPr>
            <a:ln w="28575" cap="rnd">
              <a:solidFill>
                <a:schemeClr val="accent1">
                  <a:alpha val="0"/>
                </a:schemeClr>
              </a:solidFill>
              <a:round/>
            </a:ln>
            <a:effectLst/>
          </c:spPr>
          <c:marker>
            <c:symbol val="triangle"/>
            <c:size val="8"/>
            <c:spPr>
              <a:solidFill>
                <a:srgbClr val="00B050"/>
              </a:solidFill>
              <a:ln w="9525">
                <a:solidFill>
                  <a:srgbClr val="00B050"/>
                </a:solidFill>
              </a:ln>
              <a:effectLst/>
            </c:spPr>
          </c:marker>
          <c:cat>
            <c:strRef>
              <c:f>Sheet1!$B$3:$B$31</c:f>
              <c:strCache>
                <c:ptCount val="29"/>
                <c:pt idx="0">
                  <c:v>Igaunija</c:v>
                </c:pt>
                <c:pt idx="1">
                  <c:v>Lietuva</c:v>
                </c:pt>
                <c:pt idx="2">
                  <c:v>Latvija</c:v>
                </c:pt>
                <c:pt idx="3">
                  <c:v>Ungārija</c:v>
                </c:pt>
                <c:pt idx="4">
                  <c:v>Čehija</c:v>
                </c:pt>
                <c:pt idx="5">
                  <c:v>Polija</c:v>
                </c:pt>
                <c:pt idx="6">
                  <c:v>Bulgārija</c:v>
                </c:pt>
                <c:pt idx="7">
                  <c:v>Slovākija</c:v>
                </c:pt>
                <c:pt idx="8">
                  <c:v>Rumānija</c:v>
                </c:pt>
                <c:pt idx="9">
                  <c:v>Nīderlande</c:v>
                </c:pt>
                <c:pt idx="10">
                  <c:v>Horvātija</c:v>
                </c:pt>
                <c:pt idx="11">
                  <c:v>Beļģija</c:v>
                </c:pt>
                <c:pt idx="12">
                  <c:v>Grieķija</c:v>
                </c:pt>
                <c:pt idx="13">
                  <c:v>Slovēnija</c:v>
                </c:pt>
                <c:pt idx="14">
                  <c:v>ES(27)</c:v>
                </c:pt>
                <c:pt idx="15">
                  <c:v>Vācija</c:v>
                </c:pt>
                <c:pt idx="16">
                  <c:v>Itālija</c:v>
                </c:pt>
                <c:pt idx="17">
                  <c:v>Austrija</c:v>
                </c:pt>
                <c:pt idx="18">
                  <c:v>Dānija</c:v>
                </c:pt>
                <c:pt idx="19">
                  <c:v>Eirozona</c:v>
                </c:pt>
                <c:pt idx="20">
                  <c:v>Spānija</c:v>
                </c:pt>
                <c:pt idx="21">
                  <c:v>Luksemburga</c:v>
                </c:pt>
                <c:pt idx="22">
                  <c:v>Īrija</c:v>
                </c:pt>
                <c:pt idx="23">
                  <c:v>Kipra</c:v>
                </c:pt>
                <c:pt idx="24">
                  <c:v>Portugāle</c:v>
                </c:pt>
                <c:pt idx="25">
                  <c:v>Zviedrija</c:v>
                </c:pt>
                <c:pt idx="26">
                  <c:v>Somija</c:v>
                </c:pt>
                <c:pt idx="27">
                  <c:v>Malta</c:v>
                </c:pt>
                <c:pt idx="28">
                  <c:v>Frāncija</c:v>
                </c:pt>
              </c:strCache>
            </c:strRef>
          </c:cat>
          <c:val>
            <c:numRef>
              <c:f>Sheet1!$E$3:$E$31</c:f>
              <c:numCache>
                <c:formatCode>0.0</c:formatCode>
                <c:ptCount val="29"/>
                <c:pt idx="0">
                  <c:v>4.3031515067926414</c:v>
                </c:pt>
                <c:pt idx="1">
                  <c:v>6.3846483093165842</c:v>
                </c:pt>
                <c:pt idx="2">
                  <c:v>5.6332869386858091</c:v>
                </c:pt>
                <c:pt idx="3">
                  <c:v>14.192277937970326</c:v>
                </c:pt>
                <c:pt idx="4">
                  <c:v>10.103244837758126</c:v>
                </c:pt>
                <c:pt idx="5">
                  <c:v>9.512937595129376</c:v>
                </c:pt>
                <c:pt idx="6">
                  <c:v>7.4564183835182334</c:v>
                </c:pt>
                <c:pt idx="7">
                  <c:v>9.6337140606538032</c:v>
                </c:pt>
                <c:pt idx="8">
                  <c:v>9.2870257037943809</c:v>
                </c:pt>
                <c:pt idx="9">
                  <c:v>3.3988696967284966</c:v>
                </c:pt>
                <c:pt idx="10">
                  <c:v>8.4236864053377776</c:v>
                </c:pt>
                <c:pt idx="11">
                  <c:v>2.3824855119124342</c:v>
                </c:pt>
                <c:pt idx="12">
                  <c:v>3.4738346133238083</c:v>
                </c:pt>
                <c:pt idx="13">
                  <c:v>6.0580704543552795</c:v>
                </c:pt>
                <c:pt idx="14">
                  <c:v>5.9447806981179019</c:v>
                </c:pt>
                <c:pt idx="15">
                  <c:v>6.4435146443514668</c:v>
                </c:pt>
                <c:pt idx="16">
                  <c:v>5.5360281195079057</c:v>
                </c:pt>
                <c:pt idx="17">
                  <c:v>7.4637919684002698</c:v>
                </c:pt>
                <c:pt idx="18">
                  <c:v>2.3396880415944441</c:v>
                </c:pt>
                <c:pt idx="19">
                  <c:v>5.2439541790411601</c:v>
                </c:pt>
                <c:pt idx="20">
                  <c:v>2.410047522063818</c:v>
                </c:pt>
                <c:pt idx="21">
                  <c:v>3.5218336958340251</c:v>
                </c:pt>
                <c:pt idx="22">
                  <c:v>4.92957746478874</c:v>
                </c:pt>
                <c:pt idx="23">
                  <c:v>3.0579964850615147</c:v>
                </c:pt>
                <c:pt idx="24">
                  <c:v>5.3166330910046362</c:v>
                </c:pt>
                <c:pt idx="25">
                  <c:v>4.5372050816696916</c:v>
                </c:pt>
                <c:pt idx="26">
                  <c:v>3.1389350354113748</c:v>
                </c:pt>
                <c:pt idx="27">
                  <c:v>5.0282628870328132</c:v>
                </c:pt>
                <c:pt idx="28">
                  <c:v>5.7234392588102869</c:v>
                </c:pt>
              </c:numCache>
            </c:numRef>
          </c:val>
          <c:smooth val="0"/>
          <c:extLst>
            <c:ext xmlns:c16="http://schemas.microsoft.com/office/drawing/2014/chart" uri="{C3380CC4-5D6E-409C-BE32-E72D297353CC}">
              <c16:uniqueId val="{00000008-270C-4F14-87BC-46FF9C65607D}"/>
            </c:ext>
          </c:extLst>
        </c:ser>
        <c:dLbls>
          <c:showLegendKey val="0"/>
          <c:showVal val="0"/>
          <c:showCatName val="0"/>
          <c:showSerName val="0"/>
          <c:showPercent val="0"/>
          <c:showBubbleSize val="0"/>
        </c:dLbls>
        <c:marker val="1"/>
        <c:smooth val="0"/>
        <c:axId val="1948408751"/>
        <c:axId val="1948410831"/>
      </c:lineChart>
      <c:catAx>
        <c:axId val="1948408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948410831"/>
        <c:crosses val="autoZero"/>
        <c:auto val="1"/>
        <c:lblAlgn val="ctr"/>
        <c:lblOffset val="100"/>
        <c:noMultiLvlLbl val="0"/>
      </c:catAx>
      <c:valAx>
        <c:axId val="194841083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948408751"/>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PCI020m6!$BL$314</c:f>
              <c:strCache>
                <c:ptCount val="1"/>
                <c:pt idx="0">
                  <c:v>Pārtika</c:v>
                </c:pt>
              </c:strCache>
            </c:strRef>
          </c:tx>
          <c:spPr>
            <a:solidFill>
              <a:schemeClr val="accent5">
                <a:lumMod val="60000"/>
                <a:lumOff val="40000"/>
              </a:schemeClr>
            </a:solidFill>
            <a:ln>
              <a:noFill/>
            </a:ln>
            <a:effectLst/>
          </c:spPr>
          <c:invertIfNegative val="0"/>
          <c:cat>
            <c:multiLvlStrRef>
              <c:f>PCI020m6!$CK$2:$DP$3</c:f>
              <c:multiLvlStrCache>
                <c:ptCount val="3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lvl>
                <c:lvl>
                  <c:pt idx="0">
                    <c:v>2021</c:v>
                  </c:pt>
                  <c:pt idx="12">
                    <c:v>2022</c:v>
                  </c:pt>
                  <c:pt idx="24">
                    <c:v>2023</c:v>
                  </c:pt>
                </c:lvl>
              </c:multiLvlStrCache>
            </c:multiLvlStrRef>
          </c:cat>
          <c:val>
            <c:numRef>
              <c:f>PCI020m6!$CK$314:$DP$314</c:f>
              <c:numCache>
                <c:formatCode>0.0</c:formatCode>
                <c:ptCount val="32"/>
                <c:pt idx="0">
                  <c:v>-2.18E-2</c:v>
                </c:pt>
                <c:pt idx="1">
                  <c:v>-8.72E-2</c:v>
                </c:pt>
                <c:pt idx="2">
                  <c:v>-0.1308</c:v>
                </c:pt>
                <c:pt idx="3">
                  <c:v>0.109</c:v>
                </c:pt>
                <c:pt idx="4">
                  <c:v>0.19620000000000001</c:v>
                </c:pt>
                <c:pt idx="5">
                  <c:v>0.436</c:v>
                </c:pt>
                <c:pt idx="6">
                  <c:v>0.28339999999999999</c:v>
                </c:pt>
                <c:pt idx="7">
                  <c:v>0.47960000000000003</c:v>
                </c:pt>
                <c:pt idx="8">
                  <c:v>0.82839999999999991</c:v>
                </c:pt>
                <c:pt idx="9">
                  <c:v>0.98099999999999998</c:v>
                </c:pt>
                <c:pt idx="10">
                  <c:v>1.2207999999999999</c:v>
                </c:pt>
                <c:pt idx="11">
                  <c:v>1.5696000000000001</c:v>
                </c:pt>
                <c:pt idx="12">
                  <c:v>2.2528000000000001</c:v>
                </c:pt>
                <c:pt idx="13">
                  <c:v>3.0208000000000004</c:v>
                </c:pt>
                <c:pt idx="14">
                  <c:v>3.7631999999999999</c:v>
                </c:pt>
                <c:pt idx="15">
                  <c:v>4.4543999999999997</c:v>
                </c:pt>
                <c:pt idx="16">
                  <c:v>4.6592000000000002</c:v>
                </c:pt>
                <c:pt idx="17">
                  <c:v>5.6576000000000004</c:v>
                </c:pt>
                <c:pt idx="18">
                  <c:v>6.2208000000000006</c:v>
                </c:pt>
                <c:pt idx="19">
                  <c:v>6.5792000000000002</c:v>
                </c:pt>
                <c:pt idx="20">
                  <c:v>7.04</c:v>
                </c:pt>
                <c:pt idx="21">
                  <c:v>7.5520000000000005</c:v>
                </c:pt>
                <c:pt idx="22">
                  <c:v>7.5520000000000005</c:v>
                </c:pt>
                <c:pt idx="23">
                  <c:v>7.4240000000000004</c:v>
                </c:pt>
                <c:pt idx="24">
                  <c:v>7.1909999999999998</c:v>
                </c:pt>
                <c:pt idx="25">
                  <c:v>6.4515000000000002</c:v>
                </c:pt>
                <c:pt idx="26">
                  <c:v>6.1455000000000002</c:v>
                </c:pt>
                <c:pt idx="27">
                  <c:v>5.1509999999999998</c:v>
                </c:pt>
                <c:pt idx="28">
                  <c:v>4.5644999999999998</c:v>
                </c:pt>
                <c:pt idx="29">
                  <c:v>3.6720000000000002</c:v>
                </c:pt>
                <c:pt idx="30">
                  <c:v>2.8559999999999999</c:v>
                </c:pt>
                <c:pt idx="31">
                  <c:v>2.0909999999999997</c:v>
                </c:pt>
              </c:numCache>
            </c:numRef>
          </c:val>
          <c:extLst>
            <c:ext xmlns:c16="http://schemas.microsoft.com/office/drawing/2014/chart" uri="{C3380CC4-5D6E-409C-BE32-E72D297353CC}">
              <c16:uniqueId val="{00000000-1B73-42B3-9B5E-1612D5D3DB05}"/>
            </c:ext>
          </c:extLst>
        </c:ser>
        <c:ser>
          <c:idx val="1"/>
          <c:order val="1"/>
          <c:tx>
            <c:strRef>
              <c:f>PCI020m6!$BL$315</c:f>
              <c:strCache>
                <c:ptCount val="1"/>
                <c:pt idx="0">
                  <c:v>Enerģija*</c:v>
                </c:pt>
              </c:strCache>
            </c:strRef>
          </c:tx>
          <c:spPr>
            <a:solidFill>
              <a:schemeClr val="accent2">
                <a:lumMod val="60000"/>
                <a:lumOff val="40000"/>
              </a:schemeClr>
            </a:solidFill>
            <a:ln>
              <a:noFill/>
            </a:ln>
            <a:effectLst/>
          </c:spPr>
          <c:invertIfNegative val="0"/>
          <c:cat>
            <c:multiLvlStrRef>
              <c:f>PCI020m6!$CK$2:$DP$3</c:f>
              <c:multiLvlStrCache>
                <c:ptCount val="3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lvl>
                <c:lvl>
                  <c:pt idx="0">
                    <c:v>2021</c:v>
                  </c:pt>
                  <c:pt idx="12">
                    <c:v>2022</c:v>
                  </c:pt>
                  <c:pt idx="24">
                    <c:v>2023</c:v>
                  </c:pt>
                </c:lvl>
              </c:multiLvlStrCache>
            </c:multiLvlStrRef>
          </c:cat>
          <c:val>
            <c:numRef>
              <c:f>PCI020m6!$CK$315:$DP$315</c:f>
              <c:numCache>
                <c:formatCode>0.0</c:formatCode>
                <c:ptCount val="32"/>
                <c:pt idx="0">
                  <c:v>-0.45120000000000005</c:v>
                </c:pt>
                <c:pt idx="1">
                  <c:v>-0.42240000000000005</c:v>
                </c:pt>
                <c:pt idx="2">
                  <c:v>-0.42240000000000005</c:v>
                </c:pt>
                <c:pt idx="3">
                  <c:v>-0.26879999999999998</c:v>
                </c:pt>
                <c:pt idx="4">
                  <c:v>-0.2016</c:v>
                </c:pt>
                <c:pt idx="5">
                  <c:v>-8.6400000000000005E-2</c:v>
                </c:pt>
                <c:pt idx="6">
                  <c:v>0.48959999999999998</c:v>
                </c:pt>
                <c:pt idx="7">
                  <c:v>0.96</c:v>
                </c:pt>
                <c:pt idx="8">
                  <c:v>1.536</c:v>
                </c:pt>
                <c:pt idx="9">
                  <c:v>1.776</c:v>
                </c:pt>
                <c:pt idx="10">
                  <c:v>2.3040000000000003</c:v>
                </c:pt>
                <c:pt idx="11">
                  <c:v>2.4768000000000003</c:v>
                </c:pt>
                <c:pt idx="12">
                  <c:v>1.3064</c:v>
                </c:pt>
                <c:pt idx="13">
                  <c:v>1.4259999999999999</c:v>
                </c:pt>
                <c:pt idx="14">
                  <c:v>1.978</c:v>
                </c:pt>
                <c:pt idx="15">
                  <c:v>2.2447999999999997</c:v>
                </c:pt>
                <c:pt idx="16">
                  <c:v>5.2991999999999999</c:v>
                </c:pt>
                <c:pt idx="17">
                  <c:v>6.0351999999999997</c:v>
                </c:pt>
                <c:pt idx="18">
                  <c:v>7.7096</c:v>
                </c:pt>
                <c:pt idx="19">
                  <c:v>7.9211999999999989</c:v>
                </c:pt>
                <c:pt idx="20">
                  <c:v>7.7371999999999996</c:v>
                </c:pt>
                <c:pt idx="21">
                  <c:v>6.7988000000000008</c:v>
                </c:pt>
                <c:pt idx="22">
                  <c:v>6.2468000000000004</c:v>
                </c:pt>
                <c:pt idx="23">
                  <c:v>5.8788</c:v>
                </c:pt>
                <c:pt idx="24">
                  <c:v>7.6355999999999993</c:v>
                </c:pt>
                <c:pt idx="25">
                  <c:v>7.3527999999999993</c:v>
                </c:pt>
                <c:pt idx="26">
                  <c:v>6.1912999999999991</c:v>
                </c:pt>
                <c:pt idx="27">
                  <c:v>5.4237000000000002</c:v>
                </c:pt>
                <c:pt idx="28">
                  <c:v>3.3430999999999997</c:v>
                </c:pt>
                <c:pt idx="29">
                  <c:v>1.5554000000000001</c:v>
                </c:pt>
                <c:pt idx="30">
                  <c:v>0.49490000000000006</c:v>
                </c:pt>
                <c:pt idx="31">
                  <c:v>-0.1313</c:v>
                </c:pt>
              </c:numCache>
            </c:numRef>
          </c:val>
          <c:extLst>
            <c:ext xmlns:c16="http://schemas.microsoft.com/office/drawing/2014/chart" uri="{C3380CC4-5D6E-409C-BE32-E72D297353CC}">
              <c16:uniqueId val="{00000001-1B73-42B3-9B5E-1612D5D3DB05}"/>
            </c:ext>
          </c:extLst>
        </c:ser>
        <c:ser>
          <c:idx val="2"/>
          <c:order val="2"/>
          <c:tx>
            <c:strRef>
              <c:f>PCI020m6!$BL$316</c:f>
              <c:strCache>
                <c:ptCount val="1"/>
                <c:pt idx="0">
                  <c:v>Degviela</c:v>
                </c:pt>
              </c:strCache>
            </c:strRef>
          </c:tx>
          <c:spPr>
            <a:solidFill>
              <a:schemeClr val="accent6">
                <a:lumMod val="60000"/>
                <a:lumOff val="40000"/>
              </a:schemeClr>
            </a:solidFill>
            <a:ln>
              <a:noFill/>
            </a:ln>
            <a:effectLst/>
          </c:spPr>
          <c:invertIfNegative val="0"/>
          <c:cat>
            <c:multiLvlStrRef>
              <c:f>PCI020m6!$CK$2:$DP$3</c:f>
              <c:multiLvlStrCache>
                <c:ptCount val="3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lvl>
                <c:lvl>
                  <c:pt idx="0">
                    <c:v>2021</c:v>
                  </c:pt>
                  <c:pt idx="12">
                    <c:v>2022</c:v>
                  </c:pt>
                  <c:pt idx="24">
                    <c:v>2023</c:v>
                  </c:pt>
                </c:lvl>
              </c:multiLvlStrCache>
            </c:multiLvlStrRef>
          </c:cat>
          <c:val>
            <c:numRef>
              <c:f>PCI020m6!$CK$316:$DP$316</c:f>
              <c:numCache>
                <c:formatCode>0.0</c:formatCode>
                <c:ptCount val="32"/>
                <c:pt idx="0">
                  <c:v>-0.69299999999999995</c:v>
                </c:pt>
                <c:pt idx="1">
                  <c:v>-0.25850000000000001</c:v>
                </c:pt>
                <c:pt idx="2">
                  <c:v>0.33549999999999996</c:v>
                </c:pt>
                <c:pt idx="3">
                  <c:v>1.3640000000000001</c:v>
                </c:pt>
                <c:pt idx="4">
                  <c:v>1.6225000000000001</c:v>
                </c:pt>
                <c:pt idx="5">
                  <c:v>1.0945</c:v>
                </c:pt>
                <c:pt idx="6">
                  <c:v>0.97900000000000009</c:v>
                </c:pt>
                <c:pt idx="7">
                  <c:v>1.0505</c:v>
                </c:pt>
                <c:pt idx="8">
                  <c:v>1.0615000000000001</c:v>
                </c:pt>
                <c:pt idx="9">
                  <c:v>1.837</c:v>
                </c:pt>
                <c:pt idx="10">
                  <c:v>2.1505000000000001</c:v>
                </c:pt>
                <c:pt idx="11">
                  <c:v>1.6665000000000001</c:v>
                </c:pt>
                <c:pt idx="12">
                  <c:v>1.4202000000000001</c:v>
                </c:pt>
                <c:pt idx="13">
                  <c:v>1.4364000000000003</c:v>
                </c:pt>
                <c:pt idx="14">
                  <c:v>2.3382000000000001</c:v>
                </c:pt>
                <c:pt idx="15">
                  <c:v>2.4678000000000004</c:v>
                </c:pt>
                <c:pt idx="16">
                  <c:v>2.7594000000000003</c:v>
                </c:pt>
                <c:pt idx="17">
                  <c:v>3.2562000000000002</c:v>
                </c:pt>
                <c:pt idx="18">
                  <c:v>2.7810000000000001</c:v>
                </c:pt>
                <c:pt idx="19">
                  <c:v>2.1816</c:v>
                </c:pt>
                <c:pt idx="20">
                  <c:v>2.0196000000000001</c:v>
                </c:pt>
                <c:pt idx="21">
                  <c:v>1.7334000000000003</c:v>
                </c:pt>
                <c:pt idx="22">
                  <c:v>1.5335999999999999</c:v>
                </c:pt>
                <c:pt idx="23">
                  <c:v>0.9665999999999999</c:v>
                </c:pt>
                <c:pt idx="24">
                  <c:v>1.1926000000000001</c:v>
                </c:pt>
                <c:pt idx="25">
                  <c:v>0.80400000000000005</c:v>
                </c:pt>
                <c:pt idx="26">
                  <c:v>-0.50250000000000006</c:v>
                </c:pt>
                <c:pt idx="27">
                  <c:v>-0.72360000000000013</c:v>
                </c:pt>
                <c:pt idx="28">
                  <c:v>-1.2931000000000001</c:v>
                </c:pt>
                <c:pt idx="29">
                  <c:v>-1.7687999999999999</c:v>
                </c:pt>
                <c:pt idx="30">
                  <c:v>-1.4606000000000001</c:v>
                </c:pt>
                <c:pt idx="31">
                  <c:v>-0.71020000000000005</c:v>
                </c:pt>
              </c:numCache>
            </c:numRef>
          </c:val>
          <c:extLst>
            <c:ext xmlns:c16="http://schemas.microsoft.com/office/drawing/2014/chart" uri="{C3380CC4-5D6E-409C-BE32-E72D297353CC}">
              <c16:uniqueId val="{00000002-1B73-42B3-9B5E-1612D5D3DB05}"/>
            </c:ext>
          </c:extLst>
        </c:ser>
        <c:ser>
          <c:idx val="3"/>
          <c:order val="3"/>
          <c:tx>
            <c:strRef>
              <c:f>PCI020m6!$BL$317</c:f>
              <c:strCache>
                <c:ptCount val="1"/>
                <c:pt idx="0">
                  <c:v>Pārējās preces 
un pakalpojumi</c:v>
                </c:pt>
              </c:strCache>
            </c:strRef>
          </c:tx>
          <c:spPr>
            <a:solidFill>
              <a:schemeClr val="accent3">
                <a:lumMod val="60000"/>
                <a:lumOff val="40000"/>
              </a:schemeClr>
            </a:solidFill>
            <a:ln>
              <a:noFill/>
            </a:ln>
            <a:effectLst/>
          </c:spPr>
          <c:invertIfNegative val="0"/>
          <c:cat>
            <c:multiLvlStrRef>
              <c:f>PCI020m6!$CK$2:$DP$3</c:f>
              <c:multiLvlStrCache>
                <c:ptCount val="3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lvl>
                <c:lvl>
                  <c:pt idx="0">
                    <c:v>2021</c:v>
                  </c:pt>
                  <c:pt idx="12">
                    <c:v>2022</c:v>
                  </c:pt>
                  <c:pt idx="24">
                    <c:v>2023</c:v>
                  </c:pt>
                </c:lvl>
              </c:multiLvlStrCache>
            </c:multiLvlStrRef>
          </c:cat>
          <c:val>
            <c:numRef>
              <c:f>PCI020m6!$CK$317:$DP$317</c:f>
              <c:numCache>
                <c:formatCode>0.0</c:formatCode>
                <c:ptCount val="32"/>
                <c:pt idx="0">
                  <c:v>0.66599999999999993</c:v>
                </c:pt>
                <c:pt idx="1">
                  <c:v>0.56810000000000005</c:v>
                </c:pt>
                <c:pt idx="2">
                  <c:v>0.51770000000000005</c:v>
                </c:pt>
                <c:pt idx="3">
                  <c:v>0.4957999999999998</c:v>
                </c:pt>
                <c:pt idx="4">
                  <c:v>0.98289999999999988</c:v>
                </c:pt>
                <c:pt idx="5">
                  <c:v>1.2559</c:v>
                </c:pt>
                <c:pt idx="6">
                  <c:v>1.048</c:v>
                </c:pt>
                <c:pt idx="7">
                  <c:v>1.2099000000000002</c:v>
                </c:pt>
                <c:pt idx="8">
                  <c:v>1.3740999999999999</c:v>
                </c:pt>
                <c:pt idx="9">
                  <c:v>1.4060000000000004</c:v>
                </c:pt>
                <c:pt idx="10">
                  <c:v>1.8247</c:v>
                </c:pt>
                <c:pt idx="11">
                  <c:v>2.1870999999999996</c:v>
                </c:pt>
                <c:pt idx="12">
                  <c:v>2.4205999999999994</c:v>
                </c:pt>
                <c:pt idx="13">
                  <c:v>2.8167999999999984</c:v>
                </c:pt>
                <c:pt idx="14">
                  <c:v>3.4206000000000008</c:v>
                </c:pt>
                <c:pt idx="15">
                  <c:v>3.8330000000000002</c:v>
                </c:pt>
                <c:pt idx="16">
                  <c:v>4.1821999999999981</c:v>
                </c:pt>
                <c:pt idx="17">
                  <c:v>4.3510000000000009</c:v>
                </c:pt>
                <c:pt idx="18">
                  <c:v>4.7885999999999989</c:v>
                </c:pt>
                <c:pt idx="19">
                  <c:v>4.8180000000000014</c:v>
                </c:pt>
                <c:pt idx="20">
                  <c:v>5.4032</c:v>
                </c:pt>
                <c:pt idx="21">
                  <c:v>5.7157999999999998</c:v>
                </c:pt>
                <c:pt idx="22">
                  <c:v>6.4676000000000009</c:v>
                </c:pt>
                <c:pt idx="23">
                  <c:v>6.5306000000000015</c:v>
                </c:pt>
                <c:pt idx="24">
                  <c:v>5.4808000000000021</c:v>
                </c:pt>
                <c:pt idx="25">
                  <c:v>5.6917000000000018</c:v>
                </c:pt>
                <c:pt idx="26">
                  <c:v>5.4657000000000018</c:v>
                </c:pt>
                <c:pt idx="27">
                  <c:v>5.2488999999999999</c:v>
                </c:pt>
                <c:pt idx="28">
                  <c:v>5.4855</c:v>
                </c:pt>
                <c:pt idx="29">
                  <c:v>4.4413999999999998</c:v>
                </c:pt>
                <c:pt idx="30">
                  <c:v>4.5097000000000005</c:v>
                </c:pt>
                <c:pt idx="31">
                  <c:v>4.150500000000001</c:v>
                </c:pt>
              </c:numCache>
            </c:numRef>
          </c:val>
          <c:extLst>
            <c:ext xmlns:c16="http://schemas.microsoft.com/office/drawing/2014/chart" uri="{C3380CC4-5D6E-409C-BE32-E72D297353CC}">
              <c16:uniqueId val="{00000003-1B73-42B3-9B5E-1612D5D3DB05}"/>
            </c:ext>
          </c:extLst>
        </c:ser>
        <c:dLbls>
          <c:showLegendKey val="0"/>
          <c:showVal val="0"/>
          <c:showCatName val="0"/>
          <c:showSerName val="0"/>
          <c:showPercent val="0"/>
          <c:showBubbleSize val="0"/>
        </c:dLbls>
        <c:gapWidth val="50"/>
        <c:overlap val="100"/>
        <c:axId val="1032225743"/>
        <c:axId val="1032226159"/>
      </c:barChart>
      <c:lineChart>
        <c:grouping val="standard"/>
        <c:varyColors val="0"/>
        <c:ser>
          <c:idx val="4"/>
          <c:order val="4"/>
          <c:tx>
            <c:strRef>
              <c:f>PCI020m6!$BL$318</c:f>
              <c:strCache>
                <c:ptCount val="1"/>
                <c:pt idx="0">
                  <c:v>PCI, %</c:v>
                </c:pt>
              </c:strCache>
            </c:strRef>
          </c:tx>
          <c:spPr>
            <a:ln w="28575" cap="rnd">
              <a:solidFill>
                <a:schemeClr val="tx1"/>
              </a:solidFill>
              <a:round/>
            </a:ln>
            <a:effectLst/>
          </c:spPr>
          <c:marker>
            <c:symbol val="none"/>
          </c:marker>
          <c:cat>
            <c:multiLvlStrRef>
              <c:f>PCI020m6!$CK$2:$DP$3</c:f>
              <c:multiLvlStrCache>
                <c:ptCount val="3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lvl>
                <c:lvl>
                  <c:pt idx="0">
                    <c:v>2021</c:v>
                  </c:pt>
                  <c:pt idx="12">
                    <c:v>2022</c:v>
                  </c:pt>
                  <c:pt idx="24">
                    <c:v>2023</c:v>
                  </c:pt>
                </c:lvl>
              </c:multiLvlStrCache>
            </c:multiLvlStrRef>
          </c:cat>
          <c:val>
            <c:numRef>
              <c:f>PCI020m6!$CK$318:$DP$318</c:f>
              <c:numCache>
                <c:formatCode>0.0</c:formatCode>
                <c:ptCount val="32"/>
                <c:pt idx="0">
                  <c:v>-0.5</c:v>
                </c:pt>
                <c:pt idx="1">
                  <c:v>-0.2</c:v>
                </c:pt>
                <c:pt idx="2">
                  <c:v>0.3</c:v>
                </c:pt>
                <c:pt idx="3">
                  <c:v>1.7</c:v>
                </c:pt>
                <c:pt idx="4">
                  <c:v>2.6</c:v>
                </c:pt>
                <c:pt idx="5">
                  <c:v>2.7</c:v>
                </c:pt>
                <c:pt idx="6">
                  <c:v>2.8</c:v>
                </c:pt>
                <c:pt idx="7">
                  <c:v>3.7</c:v>
                </c:pt>
                <c:pt idx="8">
                  <c:v>4.8</c:v>
                </c:pt>
                <c:pt idx="9">
                  <c:v>6</c:v>
                </c:pt>
                <c:pt idx="10">
                  <c:v>7.5</c:v>
                </c:pt>
                <c:pt idx="11">
                  <c:v>7.9</c:v>
                </c:pt>
                <c:pt idx="12">
                  <c:v>7.4</c:v>
                </c:pt>
                <c:pt idx="13">
                  <c:v>8.6999999999999993</c:v>
                </c:pt>
                <c:pt idx="14">
                  <c:v>11.5</c:v>
                </c:pt>
                <c:pt idx="15">
                  <c:v>13</c:v>
                </c:pt>
                <c:pt idx="16">
                  <c:v>16.899999999999999</c:v>
                </c:pt>
                <c:pt idx="17">
                  <c:v>19.3</c:v>
                </c:pt>
                <c:pt idx="18">
                  <c:v>21.5</c:v>
                </c:pt>
                <c:pt idx="19">
                  <c:v>21.5</c:v>
                </c:pt>
                <c:pt idx="20">
                  <c:v>22.2</c:v>
                </c:pt>
                <c:pt idx="21">
                  <c:v>21.8</c:v>
                </c:pt>
                <c:pt idx="22">
                  <c:v>21.8</c:v>
                </c:pt>
                <c:pt idx="23">
                  <c:v>20.8</c:v>
                </c:pt>
                <c:pt idx="24">
                  <c:v>21.5</c:v>
                </c:pt>
                <c:pt idx="25">
                  <c:v>20.3</c:v>
                </c:pt>
                <c:pt idx="26">
                  <c:v>17.3</c:v>
                </c:pt>
                <c:pt idx="27">
                  <c:v>15.1</c:v>
                </c:pt>
                <c:pt idx="28">
                  <c:v>12.1</c:v>
                </c:pt>
                <c:pt idx="29">
                  <c:v>7.9</c:v>
                </c:pt>
                <c:pt idx="30">
                  <c:v>6.4</c:v>
                </c:pt>
                <c:pt idx="31">
                  <c:v>5.4</c:v>
                </c:pt>
              </c:numCache>
            </c:numRef>
          </c:val>
          <c:smooth val="0"/>
          <c:extLst>
            <c:ext xmlns:c16="http://schemas.microsoft.com/office/drawing/2014/chart" uri="{C3380CC4-5D6E-409C-BE32-E72D297353CC}">
              <c16:uniqueId val="{00000004-1B73-42B3-9B5E-1612D5D3DB05}"/>
            </c:ext>
          </c:extLst>
        </c:ser>
        <c:dLbls>
          <c:showLegendKey val="0"/>
          <c:showVal val="0"/>
          <c:showCatName val="0"/>
          <c:showSerName val="0"/>
          <c:showPercent val="0"/>
          <c:showBubbleSize val="0"/>
        </c:dLbls>
        <c:marker val="1"/>
        <c:smooth val="0"/>
        <c:axId val="1032225743"/>
        <c:axId val="1032226159"/>
      </c:lineChart>
      <c:catAx>
        <c:axId val="1032225743"/>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032226159"/>
        <c:crosses val="autoZero"/>
        <c:auto val="1"/>
        <c:lblAlgn val="ctr"/>
        <c:lblOffset val="100"/>
        <c:noMultiLvlLbl val="0"/>
      </c:catAx>
      <c:valAx>
        <c:axId val="103222615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032225743"/>
        <c:crosses val="autoZero"/>
        <c:crossBetween val="between"/>
        <c:majorUnit val="3"/>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4">
    <c:autoUpdate val="0"/>
  </c:externalData>
  <c:userShapes r:id="rId5"/>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8175969937299862E-2"/>
          <c:y val="4.2742611718989673E-2"/>
          <c:w val="0.91690723525920925"/>
          <c:h val="0.66317755735078565"/>
        </c:manualLayout>
      </c:layout>
      <c:barChart>
        <c:barDir val="col"/>
        <c:grouping val="clustered"/>
        <c:varyColors val="0"/>
        <c:ser>
          <c:idx val="0"/>
          <c:order val="0"/>
          <c:tx>
            <c:strRef>
              <c:f>'2 graf'!$J$3</c:f>
              <c:strCache>
                <c:ptCount val="1"/>
                <c:pt idx="0">
                  <c:v>Nodarbināto skaits, tūkstoši (labā ass)</c:v>
                </c:pt>
              </c:strCache>
            </c:strRef>
          </c:tx>
          <c:invertIfNegative val="0"/>
          <c:cat>
            <c:strRef>
              <c:f>'2 graf'!$K$2:$Z$2</c:f>
              <c:strCach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 1.puse</c:v>
                </c:pt>
              </c:strCache>
            </c:strRef>
          </c:cat>
          <c:val>
            <c:numRef>
              <c:f>'2 graf'!$K$3:$Z$3</c:f>
              <c:numCache>
                <c:formatCode>0.0</c:formatCode>
                <c:ptCount val="16"/>
                <c:pt idx="0">
                  <c:v>1054.9000000000001</c:v>
                </c:pt>
                <c:pt idx="1">
                  <c:v>908.5</c:v>
                </c:pt>
                <c:pt idx="2">
                  <c:v>851</c:v>
                </c:pt>
                <c:pt idx="3">
                  <c:v>862</c:v>
                </c:pt>
                <c:pt idx="4">
                  <c:v>876</c:v>
                </c:pt>
                <c:pt idx="5">
                  <c:v>894</c:v>
                </c:pt>
                <c:pt idx="6">
                  <c:v>885</c:v>
                </c:pt>
                <c:pt idx="7">
                  <c:v>896</c:v>
                </c:pt>
                <c:pt idx="8">
                  <c:v>893</c:v>
                </c:pt>
                <c:pt idx="9">
                  <c:v>895</c:v>
                </c:pt>
                <c:pt idx="10">
                  <c:v>909</c:v>
                </c:pt>
                <c:pt idx="11" formatCode="0">
                  <c:v>910</c:v>
                </c:pt>
                <c:pt idx="12" formatCode="0">
                  <c:v>893</c:v>
                </c:pt>
                <c:pt idx="13" formatCode="0">
                  <c:v>864</c:v>
                </c:pt>
                <c:pt idx="14" formatCode="0">
                  <c:v>886</c:v>
                </c:pt>
                <c:pt idx="15" formatCode="0">
                  <c:v>884</c:v>
                </c:pt>
              </c:numCache>
            </c:numRef>
          </c:val>
          <c:extLst>
            <c:ext xmlns:c16="http://schemas.microsoft.com/office/drawing/2014/chart" uri="{C3380CC4-5D6E-409C-BE32-E72D297353CC}">
              <c16:uniqueId val="{00000000-D05D-4010-B1C5-B36EA7D13815}"/>
            </c:ext>
          </c:extLst>
        </c:ser>
        <c:dLbls>
          <c:showLegendKey val="0"/>
          <c:showVal val="0"/>
          <c:showCatName val="0"/>
          <c:showSerName val="0"/>
          <c:showPercent val="0"/>
          <c:showBubbleSize val="0"/>
        </c:dLbls>
        <c:gapWidth val="65"/>
        <c:axId val="396118440"/>
        <c:axId val="393060176"/>
      </c:barChart>
      <c:lineChart>
        <c:grouping val="standard"/>
        <c:varyColors val="0"/>
        <c:ser>
          <c:idx val="1"/>
          <c:order val="1"/>
          <c:tx>
            <c:strRef>
              <c:f>'2 graf'!$J$4</c:f>
              <c:strCache>
                <c:ptCount val="1"/>
                <c:pt idx="0">
                  <c:v>Darba meklētāji, % no ekonomiski aktīvajiem iedzīvotājiem (kreisā ass)</c:v>
                </c:pt>
              </c:strCache>
            </c:strRef>
          </c:tx>
          <c:spPr>
            <a:ln>
              <a:solidFill>
                <a:srgbClr val="FF0000"/>
              </a:solidFill>
              <a:prstDash val="solid"/>
            </a:ln>
          </c:spPr>
          <c:marker>
            <c:symbol val="none"/>
          </c:marker>
          <c:dPt>
            <c:idx val="0"/>
            <c:bubble3D val="0"/>
            <c:extLst>
              <c:ext xmlns:c16="http://schemas.microsoft.com/office/drawing/2014/chart" uri="{C3380CC4-5D6E-409C-BE32-E72D297353CC}">
                <c16:uniqueId val="{00000001-D05D-4010-B1C5-B36EA7D13815}"/>
              </c:ext>
            </c:extLst>
          </c:dPt>
          <c:dPt>
            <c:idx val="1"/>
            <c:bubble3D val="0"/>
            <c:extLst>
              <c:ext xmlns:c16="http://schemas.microsoft.com/office/drawing/2014/chart" uri="{C3380CC4-5D6E-409C-BE32-E72D297353CC}">
                <c16:uniqueId val="{00000002-D05D-4010-B1C5-B36EA7D13815}"/>
              </c:ext>
            </c:extLst>
          </c:dPt>
          <c:dPt>
            <c:idx val="2"/>
            <c:bubble3D val="0"/>
            <c:extLst>
              <c:ext xmlns:c16="http://schemas.microsoft.com/office/drawing/2014/chart" uri="{C3380CC4-5D6E-409C-BE32-E72D297353CC}">
                <c16:uniqueId val="{00000003-D05D-4010-B1C5-B36EA7D13815}"/>
              </c:ext>
            </c:extLst>
          </c:dPt>
          <c:dPt>
            <c:idx val="3"/>
            <c:bubble3D val="0"/>
            <c:extLst>
              <c:ext xmlns:c16="http://schemas.microsoft.com/office/drawing/2014/chart" uri="{C3380CC4-5D6E-409C-BE32-E72D297353CC}">
                <c16:uniqueId val="{00000004-D05D-4010-B1C5-B36EA7D13815}"/>
              </c:ext>
            </c:extLst>
          </c:dPt>
          <c:dPt>
            <c:idx val="4"/>
            <c:bubble3D val="0"/>
            <c:extLst>
              <c:ext xmlns:c16="http://schemas.microsoft.com/office/drawing/2014/chart" uri="{C3380CC4-5D6E-409C-BE32-E72D297353CC}">
                <c16:uniqueId val="{00000005-D05D-4010-B1C5-B36EA7D13815}"/>
              </c:ext>
            </c:extLst>
          </c:dPt>
          <c:dPt>
            <c:idx val="5"/>
            <c:bubble3D val="0"/>
            <c:extLst>
              <c:ext xmlns:c16="http://schemas.microsoft.com/office/drawing/2014/chart" uri="{C3380CC4-5D6E-409C-BE32-E72D297353CC}">
                <c16:uniqueId val="{00000006-D05D-4010-B1C5-B36EA7D13815}"/>
              </c:ext>
            </c:extLst>
          </c:dPt>
          <c:dPt>
            <c:idx val="6"/>
            <c:bubble3D val="0"/>
            <c:extLst>
              <c:ext xmlns:c16="http://schemas.microsoft.com/office/drawing/2014/chart" uri="{C3380CC4-5D6E-409C-BE32-E72D297353CC}">
                <c16:uniqueId val="{00000007-D05D-4010-B1C5-B36EA7D13815}"/>
              </c:ext>
            </c:extLst>
          </c:dPt>
          <c:dPt>
            <c:idx val="7"/>
            <c:bubble3D val="0"/>
            <c:extLst>
              <c:ext xmlns:c16="http://schemas.microsoft.com/office/drawing/2014/chart" uri="{C3380CC4-5D6E-409C-BE32-E72D297353CC}">
                <c16:uniqueId val="{00000008-D05D-4010-B1C5-B36EA7D13815}"/>
              </c:ext>
            </c:extLst>
          </c:dPt>
          <c:dPt>
            <c:idx val="8"/>
            <c:bubble3D val="0"/>
            <c:extLst>
              <c:ext xmlns:c16="http://schemas.microsoft.com/office/drawing/2014/chart" uri="{C3380CC4-5D6E-409C-BE32-E72D297353CC}">
                <c16:uniqueId val="{00000009-D05D-4010-B1C5-B36EA7D13815}"/>
              </c:ext>
            </c:extLst>
          </c:dPt>
          <c:dPt>
            <c:idx val="9"/>
            <c:bubble3D val="0"/>
            <c:extLst>
              <c:ext xmlns:c16="http://schemas.microsoft.com/office/drawing/2014/chart" uri="{C3380CC4-5D6E-409C-BE32-E72D297353CC}">
                <c16:uniqueId val="{0000000A-D05D-4010-B1C5-B36EA7D13815}"/>
              </c:ext>
            </c:extLst>
          </c:dPt>
          <c:dPt>
            <c:idx val="10"/>
            <c:bubble3D val="0"/>
            <c:extLst>
              <c:ext xmlns:c16="http://schemas.microsoft.com/office/drawing/2014/chart" uri="{C3380CC4-5D6E-409C-BE32-E72D297353CC}">
                <c16:uniqueId val="{0000000B-D05D-4010-B1C5-B36EA7D13815}"/>
              </c:ext>
            </c:extLst>
          </c:dPt>
          <c:cat>
            <c:strRef>
              <c:f>'2 graf'!$K$2:$Z$2</c:f>
              <c:strCach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 1.puse</c:v>
                </c:pt>
              </c:strCache>
            </c:strRef>
          </c:cat>
          <c:val>
            <c:numRef>
              <c:f>'2 graf'!$K$4:$Z$4</c:f>
              <c:numCache>
                <c:formatCode>0.0</c:formatCode>
                <c:ptCount val="16"/>
                <c:pt idx="0">
                  <c:v>7.7</c:v>
                </c:pt>
                <c:pt idx="1">
                  <c:v>17.5</c:v>
                </c:pt>
                <c:pt idx="2">
                  <c:v>19.5</c:v>
                </c:pt>
                <c:pt idx="3">
                  <c:v>16.2</c:v>
                </c:pt>
                <c:pt idx="4">
                  <c:v>15</c:v>
                </c:pt>
                <c:pt idx="5">
                  <c:v>11.9</c:v>
                </c:pt>
                <c:pt idx="6">
                  <c:v>10.8</c:v>
                </c:pt>
                <c:pt idx="7">
                  <c:v>9.9</c:v>
                </c:pt>
                <c:pt idx="8">
                  <c:v>9.6</c:v>
                </c:pt>
                <c:pt idx="9">
                  <c:v>8.6999999999999993</c:v>
                </c:pt>
                <c:pt idx="10">
                  <c:v>7.4</c:v>
                </c:pt>
                <c:pt idx="11">
                  <c:v>6.3</c:v>
                </c:pt>
                <c:pt idx="12">
                  <c:v>8.1</c:v>
                </c:pt>
                <c:pt idx="13">
                  <c:v>7.6</c:v>
                </c:pt>
                <c:pt idx="14">
                  <c:v>6.9</c:v>
                </c:pt>
                <c:pt idx="15">
                  <c:v>6.4</c:v>
                </c:pt>
              </c:numCache>
            </c:numRef>
          </c:val>
          <c:smooth val="1"/>
          <c:extLst>
            <c:ext xmlns:c16="http://schemas.microsoft.com/office/drawing/2014/chart" uri="{C3380CC4-5D6E-409C-BE32-E72D297353CC}">
              <c16:uniqueId val="{0000000C-D05D-4010-B1C5-B36EA7D13815}"/>
            </c:ext>
          </c:extLst>
        </c:ser>
        <c:dLbls>
          <c:showLegendKey val="0"/>
          <c:showVal val="0"/>
          <c:showCatName val="0"/>
          <c:showSerName val="0"/>
          <c:showPercent val="0"/>
          <c:showBubbleSize val="0"/>
        </c:dLbls>
        <c:marker val="1"/>
        <c:smooth val="0"/>
        <c:axId val="387439344"/>
        <c:axId val="278229968"/>
      </c:lineChart>
      <c:catAx>
        <c:axId val="387439344"/>
        <c:scaling>
          <c:orientation val="minMax"/>
        </c:scaling>
        <c:delete val="0"/>
        <c:axPos val="b"/>
        <c:numFmt formatCode="General" sourceLinked="1"/>
        <c:majorTickMark val="out"/>
        <c:minorTickMark val="none"/>
        <c:tickLblPos val="low"/>
        <c:txPr>
          <a:bodyPr rot="-5400000" vert="horz"/>
          <a:lstStyle/>
          <a:p>
            <a:pPr>
              <a:defRPr sz="900"/>
            </a:pPr>
            <a:endParaRPr lang="lv-LV"/>
          </a:p>
        </c:txPr>
        <c:crossAx val="278229968"/>
        <c:crosses val="autoZero"/>
        <c:auto val="1"/>
        <c:lblAlgn val="ctr"/>
        <c:lblOffset val="100"/>
        <c:tickLblSkip val="1"/>
        <c:noMultiLvlLbl val="0"/>
      </c:catAx>
      <c:valAx>
        <c:axId val="278229968"/>
        <c:scaling>
          <c:orientation val="minMax"/>
          <c:min val="4"/>
        </c:scaling>
        <c:delete val="0"/>
        <c:axPos val="l"/>
        <c:majorGridlines/>
        <c:numFmt formatCode="0" sourceLinked="0"/>
        <c:majorTickMark val="out"/>
        <c:minorTickMark val="none"/>
        <c:tickLblPos val="nextTo"/>
        <c:txPr>
          <a:bodyPr/>
          <a:lstStyle/>
          <a:p>
            <a:pPr>
              <a:defRPr sz="900"/>
            </a:pPr>
            <a:endParaRPr lang="lv-LV"/>
          </a:p>
        </c:txPr>
        <c:crossAx val="387439344"/>
        <c:crosses val="autoZero"/>
        <c:crossBetween val="between"/>
      </c:valAx>
      <c:valAx>
        <c:axId val="393060176"/>
        <c:scaling>
          <c:orientation val="minMax"/>
          <c:min val="700"/>
        </c:scaling>
        <c:delete val="0"/>
        <c:axPos val="r"/>
        <c:numFmt formatCode="0" sourceLinked="0"/>
        <c:majorTickMark val="out"/>
        <c:minorTickMark val="none"/>
        <c:tickLblPos val="nextTo"/>
        <c:txPr>
          <a:bodyPr/>
          <a:lstStyle/>
          <a:p>
            <a:pPr>
              <a:defRPr sz="900"/>
            </a:pPr>
            <a:endParaRPr lang="lv-LV"/>
          </a:p>
        </c:txPr>
        <c:crossAx val="396118440"/>
        <c:crosses val="max"/>
        <c:crossBetween val="between"/>
      </c:valAx>
      <c:catAx>
        <c:axId val="396118440"/>
        <c:scaling>
          <c:orientation val="minMax"/>
        </c:scaling>
        <c:delete val="1"/>
        <c:axPos val="b"/>
        <c:numFmt formatCode="General" sourceLinked="1"/>
        <c:majorTickMark val="out"/>
        <c:minorTickMark val="none"/>
        <c:tickLblPos val="nextTo"/>
        <c:crossAx val="393060176"/>
        <c:crosses val="autoZero"/>
        <c:auto val="1"/>
        <c:lblAlgn val="ctr"/>
        <c:lblOffset val="100"/>
        <c:noMultiLvlLbl val="0"/>
      </c:catAx>
    </c:plotArea>
    <c:legend>
      <c:legendPos val="b"/>
      <c:layout>
        <c:manualLayout>
          <c:xMode val="edge"/>
          <c:yMode val="edge"/>
          <c:x val="5.2777777777777778E-2"/>
          <c:y val="0.88730238265671335"/>
          <c:w val="0.9"/>
          <c:h val="9.5156969015236709E-2"/>
        </c:manualLayout>
      </c:layout>
      <c:overlay val="0"/>
      <c:txPr>
        <a:bodyPr/>
        <a:lstStyle/>
        <a:p>
          <a:pPr>
            <a:defRPr sz="900"/>
          </a:pPr>
          <a:endParaRPr lang="lv-LV"/>
        </a:p>
      </c:txPr>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267795051670783"/>
          <c:y val="2.068997081651839E-2"/>
          <c:w val="0.62917037243192986"/>
          <c:h val="0.8876895398631971"/>
        </c:manualLayout>
      </c:layout>
      <c:barChart>
        <c:barDir val="bar"/>
        <c:grouping val="stacked"/>
        <c:varyColors val="0"/>
        <c:ser>
          <c:idx val="1"/>
          <c:order val="0"/>
          <c:tx>
            <c:strRef>
              <c:f>'2020'!$D$1</c:f>
              <c:strCache>
                <c:ptCount val="1"/>
                <c:pt idx="0">
                  <c:v>2022 I puse</c:v>
                </c:pt>
              </c:strCache>
            </c:strRef>
          </c:tx>
          <c:spPr>
            <a:solidFill>
              <a:sysClr val="window" lastClr="FFFFFF">
                <a:lumMod val="65000"/>
                <a:alpha val="73000"/>
              </a:sysClr>
            </a:solidFill>
            <a:ln>
              <a:solidFill>
                <a:sysClr val="window" lastClr="FFFFFF">
                  <a:lumMod val="75000"/>
                </a:sysClr>
              </a:solidFill>
            </a:ln>
            <a:effectLst/>
          </c:spPr>
          <c:invertIfNegative val="0"/>
          <c:dPt>
            <c:idx val="7"/>
            <c:invertIfNegative val="0"/>
            <c:bubble3D val="0"/>
            <c:spPr>
              <a:solidFill>
                <a:sysClr val="window" lastClr="FFFFFF">
                  <a:lumMod val="65000"/>
                  <a:alpha val="73000"/>
                </a:sysClr>
              </a:solidFill>
              <a:ln>
                <a:solidFill>
                  <a:sysClr val="window" lastClr="FFFFFF">
                    <a:lumMod val="75000"/>
                  </a:sysClr>
                </a:solidFill>
              </a:ln>
              <a:effectLst/>
            </c:spPr>
            <c:extLst>
              <c:ext xmlns:c16="http://schemas.microsoft.com/office/drawing/2014/chart" uri="{C3380CC4-5D6E-409C-BE32-E72D297353CC}">
                <c16:uniqueId val="{00000001-01A8-4BD7-A084-B7181325C2A8}"/>
              </c:ext>
            </c:extLst>
          </c:dPt>
          <c:dPt>
            <c:idx val="8"/>
            <c:invertIfNegative val="0"/>
            <c:bubble3D val="0"/>
            <c:spPr>
              <a:solidFill>
                <a:sysClr val="window" lastClr="FFFFFF">
                  <a:lumMod val="65000"/>
                  <a:alpha val="72941"/>
                </a:sysClr>
              </a:solidFill>
              <a:ln>
                <a:solidFill>
                  <a:sysClr val="window" lastClr="FFFFFF">
                    <a:lumMod val="75000"/>
                  </a:sysClr>
                </a:solidFill>
              </a:ln>
              <a:effectLst/>
            </c:spPr>
            <c:extLst>
              <c:ext xmlns:c16="http://schemas.microsoft.com/office/drawing/2014/chart" uri="{C3380CC4-5D6E-409C-BE32-E72D297353CC}">
                <c16:uniqueId val="{00000003-01A8-4BD7-A084-B7181325C2A8}"/>
              </c:ext>
            </c:extLst>
          </c:dPt>
          <c:dPt>
            <c:idx val="9"/>
            <c:invertIfNegative val="0"/>
            <c:bubble3D val="0"/>
            <c:spPr>
              <a:solidFill>
                <a:sysClr val="window" lastClr="FFFFFF">
                  <a:lumMod val="50000"/>
                  <a:alpha val="73000"/>
                </a:sysClr>
              </a:solidFill>
              <a:ln>
                <a:solidFill>
                  <a:sysClr val="window" lastClr="FFFFFF">
                    <a:lumMod val="75000"/>
                  </a:sysClr>
                </a:solidFill>
              </a:ln>
              <a:effectLst/>
            </c:spPr>
            <c:extLst>
              <c:ext xmlns:c16="http://schemas.microsoft.com/office/drawing/2014/chart" uri="{C3380CC4-5D6E-409C-BE32-E72D297353CC}">
                <c16:uniqueId val="{00000005-01A8-4BD7-A084-B7181325C2A8}"/>
              </c:ext>
            </c:extLst>
          </c:dPt>
          <c:cat>
            <c:strRef>
              <c:f>'2020'!$C$5:$C$24</c:f>
              <c:strCache>
                <c:ptCount val="20"/>
                <c:pt idx="0">
                  <c:v>Finanšu pak</c:v>
                </c:pt>
                <c:pt idx="1">
                  <c:v>Informācijas pak</c:v>
                </c:pt>
                <c:pt idx="2">
                  <c:v>Enerģētika</c:v>
                </c:pt>
                <c:pt idx="3">
                  <c:v>Profesionālie pak</c:v>
                </c:pt>
                <c:pt idx="4">
                  <c:v>Valsts pārvalde</c:v>
                </c:pt>
                <c:pt idx="5">
                  <c:v>Ieguves rūpniecība</c:v>
                </c:pt>
                <c:pt idx="6">
                  <c:v>Veselība</c:v>
                </c:pt>
                <c:pt idx="7">
                  <c:v>Lauksaimn, mežsaimn</c:v>
                </c:pt>
                <c:pt idx="8">
                  <c:v>Ūdens apgāde</c:v>
                </c:pt>
                <c:pt idx="9">
                  <c:v>PAVISAM</c:v>
                </c:pt>
                <c:pt idx="10">
                  <c:v>Transports</c:v>
                </c:pt>
                <c:pt idx="11">
                  <c:v>Apstrādes rūpniecība</c:v>
                </c:pt>
                <c:pt idx="12">
                  <c:v>Būvniecība</c:v>
                </c:pt>
                <c:pt idx="13">
                  <c:v>Tirdzniecība</c:v>
                </c:pt>
                <c:pt idx="14">
                  <c:v>Administratīvie pak</c:v>
                </c:pt>
                <c:pt idx="15">
                  <c:v>Māksla, izklaide</c:v>
                </c:pt>
                <c:pt idx="16">
                  <c:v>Nekustamais īpašums</c:v>
                </c:pt>
                <c:pt idx="17">
                  <c:v>Citi pakalpojumi</c:v>
                </c:pt>
                <c:pt idx="18">
                  <c:v>Izglītība</c:v>
                </c:pt>
                <c:pt idx="19">
                  <c:v>Izmitināšana, ēdināšana</c:v>
                </c:pt>
              </c:strCache>
            </c:strRef>
          </c:cat>
          <c:val>
            <c:numRef>
              <c:f>'2020'!$D$5:$D$24</c:f>
              <c:numCache>
                <c:formatCode>0</c:formatCode>
                <c:ptCount val="20"/>
                <c:pt idx="0">
                  <c:v>2481</c:v>
                </c:pt>
                <c:pt idx="1">
                  <c:v>2226</c:v>
                </c:pt>
                <c:pt idx="2">
                  <c:v>1694</c:v>
                </c:pt>
                <c:pt idx="3">
                  <c:v>1719</c:v>
                </c:pt>
                <c:pt idx="4">
                  <c:v>1490</c:v>
                </c:pt>
                <c:pt idx="5">
                  <c:v>1381</c:v>
                </c:pt>
                <c:pt idx="6">
                  <c:v>1597</c:v>
                </c:pt>
                <c:pt idx="7">
                  <c:v>1254</c:v>
                </c:pt>
                <c:pt idx="8">
                  <c:v>1288</c:v>
                </c:pt>
                <c:pt idx="9">
                  <c:v>1332</c:v>
                </c:pt>
                <c:pt idx="10">
                  <c:v>1223</c:v>
                </c:pt>
                <c:pt idx="11">
                  <c:v>1260</c:v>
                </c:pt>
                <c:pt idx="12">
                  <c:v>1273</c:v>
                </c:pt>
                <c:pt idx="13">
                  <c:v>1170</c:v>
                </c:pt>
                <c:pt idx="14">
                  <c:v>1186</c:v>
                </c:pt>
                <c:pt idx="15">
                  <c:v>1135</c:v>
                </c:pt>
                <c:pt idx="16">
                  <c:v>1097</c:v>
                </c:pt>
                <c:pt idx="17">
                  <c:v>1080</c:v>
                </c:pt>
                <c:pt idx="18">
                  <c:v>1048</c:v>
                </c:pt>
                <c:pt idx="19">
                  <c:v>844</c:v>
                </c:pt>
              </c:numCache>
            </c:numRef>
          </c:val>
          <c:extLst>
            <c:ext xmlns:c16="http://schemas.microsoft.com/office/drawing/2014/chart" uri="{C3380CC4-5D6E-409C-BE32-E72D297353CC}">
              <c16:uniqueId val="{00000006-01A8-4BD7-A084-B7181325C2A8}"/>
            </c:ext>
          </c:extLst>
        </c:ser>
        <c:ser>
          <c:idx val="0"/>
          <c:order val="1"/>
          <c:tx>
            <c:strRef>
              <c:f>'2020'!$E$1</c:f>
              <c:strCache>
                <c:ptCount val="1"/>
                <c:pt idx="0">
                  <c:v>+2023 I puse</c:v>
                </c:pt>
              </c:strCache>
            </c:strRef>
          </c:tx>
          <c:spPr>
            <a:solidFill>
              <a:srgbClr val="9BBB59">
                <a:lumMod val="75000"/>
              </a:srgbClr>
            </a:solidFill>
            <a:ln>
              <a:solidFill>
                <a:srgbClr val="9BBB59">
                  <a:lumMod val="75000"/>
                </a:srgbClr>
              </a:solidFill>
            </a:ln>
            <a:effectLst/>
          </c:spPr>
          <c:invertIfNegative val="0"/>
          <c:dPt>
            <c:idx val="6"/>
            <c:invertIfNegative val="0"/>
            <c:bubble3D val="0"/>
            <c:spPr>
              <a:solidFill>
                <a:srgbClr val="FF5050"/>
              </a:solidFill>
              <a:ln>
                <a:solidFill>
                  <a:srgbClr val="FF5050"/>
                </a:solidFill>
              </a:ln>
              <a:effectLst/>
            </c:spPr>
            <c:extLst>
              <c:ext xmlns:c16="http://schemas.microsoft.com/office/drawing/2014/chart" uri="{C3380CC4-5D6E-409C-BE32-E72D297353CC}">
                <c16:uniqueId val="{00000008-01A8-4BD7-A084-B7181325C2A8}"/>
              </c:ext>
            </c:extLst>
          </c:dPt>
          <c:cat>
            <c:strRef>
              <c:f>'2020'!$C$5:$C$24</c:f>
              <c:strCache>
                <c:ptCount val="20"/>
                <c:pt idx="0">
                  <c:v>Finanšu pak</c:v>
                </c:pt>
                <c:pt idx="1">
                  <c:v>Informācijas pak</c:v>
                </c:pt>
                <c:pt idx="2">
                  <c:v>Enerģētika</c:v>
                </c:pt>
                <c:pt idx="3">
                  <c:v>Profesionālie pak</c:v>
                </c:pt>
                <c:pt idx="4">
                  <c:v>Valsts pārvalde</c:v>
                </c:pt>
                <c:pt idx="5">
                  <c:v>Ieguves rūpniecība</c:v>
                </c:pt>
                <c:pt idx="6">
                  <c:v>Veselība</c:v>
                </c:pt>
                <c:pt idx="7">
                  <c:v>Lauksaimn, mežsaimn</c:v>
                </c:pt>
                <c:pt idx="8">
                  <c:v>Ūdens apgāde</c:v>
                </c:pt>
                <c:pt idx="9">
                  <c:v>PAVISAM</c:v>
                </c:pt>
                <c:pt idx="10">
                  <c:v>Transports</c:v>
                </c:pt>
                <c:pt idx="11">
                  <c:v>Apstrādes rūpniecība</c:v>
                </c:pt>
                <c:pt idx="12">
                  <c:v>Būvniecība</c:v>
                </c:pt>
                <c:pt idx="13">
                  <c:v>Tirdzniecība</c:v>
                </c:pt>
                <c:pt idx="14">
                  <c:v>Administratīvie pak</c:v>
                </c:pt>
                <c:pt idx="15">
                  <c:v>Māksla, izklaide</c:v>
                </c:pt>
                <c:pt idx="16">
                  <c:v>Nekustamais īpašums</c:v>
                </c:pt>
                <c:pt idx="17">
                  <c:v>Citi pakalpojumi</c:v>
                </c:pt>
                <c:pt idx="18">
                  <c:v>Izglītība</c:v>
                </c:pt>
                <c:pt idx="19">
                  <c:v>Izmitināšana, ēdināšana</c:v>
                </c:pt>
              </c:strCache>
            </c:strRef>
          </c:cat>
          <c:val>
            <c:numRef>
              <c:f>'2020'!$E$5:$E$24</c:f>
              <c:numCache>
                <c:formatCode>0</c:formatCode>
                <c:ptCount val="20"/>
                <c:pt idx="0">
                  <c:v>249</c:v>
                </c:pt>
                <c:pt idx="1">
                  <c:v>266</c:v>
                </c:pt>
                <c:pt idx="2">
                  <c:v>303</c:v>
                </c:pt>
                <c:pt idx="3">
                  <c:v>205</c:v>
                </c:pt>
                <c:pt idx="4">
                  <c:v>212</c:v>
                </c:pt>
                <c:pt idx="5">
                  <c:v>271</c:v>
                </c:pt>
                <c:pt idx="6">
                  <c:v>-1</c:v>
                </c:pt>
                <c:pt idx="7">
                  <c:v>266</c:v>
                </c:pt>
                <c:pt idx="8">
                  <c:v>209</c:v>
                </c:pt>
                <c:pt idx="9">
                  <c:v>162</c:v>
                </c:pt>
                <c:pt idx="10">
                  <c:v>212</c:v>
                </c:pt>
                <c:pt idx="11">
                  <c:v>163</c:v>
                </c:pt>
                <c:pt idx="12">
                  <c:v>128</c:v>
                </c:pt>
                <c:pt idx="13">
                  <c:v>171</c:v>
                </c:pt>
                <c:pt idx="14">
                  <c:v>100</c:v>
                </c:pt>
                <c:pt idx="15">
                  <c:v>105</c:v>
                </c:pt>
                <c:pt idx="16">
                  <c:v>122</c:v>
                </c:pt>
                <c:pt idx="17">
                  <c:v>118</c:v>
                </c:pt>
                <c:pt idx="18">
                  <c:v>145</c:v>
                </c:pt>
                <c:pt idx="19">
                  <c:v>121</c:v>
                </c:pt>
              </c:numCache>
            </c:numRef>
          </c:val>
          <c:extLst>
            <c:ext xmlns:c16="http://schemas.microsoft.com/office/drawing/2014/chart" uri="{C3380CC4-5D6E-409C-BE32-E72D297353CC}">
              <c16:uniqueId val="{00000009-01A8-4BD7-A084-B7181325C2A8}"/>
            </c:ext>
          </c:extLst>
        </c:ser>
        <c:ser>
          <c:idx val="2"/>
          <c:order val="2"/>
          <c:tx>
            <c:strRef>
              <c:f>'2020'!$F$1</c:f>
              <c:strCache>
                <c:ptCount val="1"/>
                <c:pt idx="0">
                  <c:v>Izmaiņas pret 2022.gadu, %, labā ass</c:v>
                </c:pt>
              </c:strCache>
            </c:strRef>
          </c:tx>
          <c:spPr>
            <a:solidFill>
              <a:schemeClr val="accent3"/>
            </a:solidFill>
            <a:ln>
              <a:noFill/>
            </a:ln>
            <a:effectLst/>
          </c:spPr>
          <c:invertIfNegative val="0"/>
          <c:dLbls>
            <c:dLbl>
              <c:idx val="6"/>
              <c:layout>
                <c:manualLayout>
                  <c:x val="4.5848796308248257E-2"/>
                  <c:y val="1.9616382023828778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1A8-4BD7-A084-B7181325C2A8}"/>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'2020'!$C$5:$C$24</c:f>
              <c:strCache>
                <c:ptCount val="20"/>
                <c:pt idx="0">
                  <c:v>Finanšu pak</c:v>
                </c:pt>
                <c:pt idx="1">
                  <c:v>Informācijas pak</c:v>
                </c:pt>
                <c:pt idx="2">
                  <c:v>Enerģētika</c:v>
                </c:pt>
                <c:pt idx="3">
                  <c:v>Profesionālie pak</c:v>
                </c:pt>
                <c:pt idx="4">
                  <c:v>Valsts pārvalde</c:v>
                </c:pt>
                <c:pt idx="5">
                  <c:v>Ieguves rūpniecība</c:v>
                </c:pt>
                <c:pt idx="6">
                  <c:v>Veselība</c:v>
                </c:pt>
                <c:pt idx="7">
                  <c:v>Lauksaimn, mežsaimn</c:v>
                </c:pt>
                <c:pt idx="8">
                  <c:v>Ūdens apgāde</c:v>
                </c:pt>
                <c:pt idx="9">
                  <c:v>PAVISAM</c:v>
                </c:pt>
                <c:pt idx="10">
                  <c:v>Transports</c:v>
                </c:pt>
                <c:pt idx="11">
                  <c:v>Apstrādes rūpniecība</c:v>
                </c:pt>
                <c:pt idx="12">
                  <c:v>Būvniecība</c:v>
                </c:pt>
                <c:pt idx="13">
                  <c:v>Tirdzniecība</c:v>
                </c:pt>
                <c:pt idx="14">
                  <c:v>Administratīvie pak</c:v>
                </c:pt>
                <c:pt idx="15">
                  <c:v>Māksla, izklaide</c:v>
                </c:pt>
                <c:pt idx="16">
                  <c:v>Nekustamais īpašums</c:v>
                </c:pt>
                <c:pt idx="17">
                  <c:v>Citi pakalpojumi</c:v>
                </c:pt>
                <c:pt idx="18">
                  <c:v>Izglītība</c:v>
                </c:pt>
                <c:pt idx="19">
                  <c:v>Izmitināšana, ēdināšana</c:v>
                </c:pt>
              </c:strCache>
            </c:strRef>
          </c:cat>
          <c:val>
            <c:numRef>
              <c:f>'2020'!$F$5:$F$24</c:f>
              <c:numCache>
                <c:formatCode>0.0%</c:formatCode>
                <c:ptCount val="20"/>
                <c:pt idx="0">
                  <c:v>0.1</c:v>
                </c:pt>
                <c:pt idx="1">
                  <c:v>0.11899999999999999</c:v>
                </c:pt>
                <c:pt idx="2">
                  <c:v>0.17899999999999999</c:v>
                </c:pt>
                <c:pt idx="3">
                  <c:v>0.11899999999999999</c:v>
                </c:pt>
                <c:pt idx="4">
                  <c:v>0.14199999999999999</c:v>
                </c:pt>
                <c:pt idx="5">
                  <c:v>0.19600000000000001</c:v>
                </c:pt>
                <c:pt idx="6">
                  <c:v>0</c:v>
                </c:pt>
                <c:pt idx="7">
                  <c:v>0.21199999999999999</c:v>
                </c:pt>
                <c:pt idx="8">
                  <c:v>0.16200000000000001</c:v>
                </c:pt>
                <c:pt idx="9">
                  <c:v>0.122</c:v>
                </c:pt>
                <c:pt idx="10">
                  <c:v>0.17299999999999999</c:v>
                </c:pt>
                <c:pt idx="11">
                  <c:v>0.129</c:v>
                </c:pt>
                <c:pt idx="12">
                  <c:v>0.1</c:v>
                </c:pt>
                <c:pt idx="13">
                  <c:v>0.14599999999999999</c:v>
                </c:pt>
                <c:pt idx="14">
                  <c:v>8.4000000000000005E-2</c:v>
                </c:pt>
                <c:pt idx="15">
                  <c:v>9.1999999999999998E-2</c:v>
                </c:pt>
                <c:pt idx="16">
                  <c:v>0.111</c:v>
                </c:pt>
                <c:pt idx="17">
                  <c:v>0.109</c:v>
                </c:pt>
                <c:pt idx="18">
                  <c:v>0.13800000000000001</c:v>
                </c:pt>
                <c:pt idx="19">
                  <c:v>0.14299999999999999</c:v>
                </c:pt>
              </c:numCache>
            </c:numRef>
          </c:val>
          <c:extLst>
            <c:ext xmlns:c16="http://schemas.microsoft.com/office/drawing/2014/chart" uri="{C3380CC4-5D6E-409C-BE32-E72D297353CC}">
              <c16:uniqueId val="{0000000B-01A8-4BD7-A084-B7181325C2A8}"/>
            </c:ext>
          </c:extLst>
        </c:ser>
        <c:dLbls>
          <c:showLegendKey val="0"/>
          <c:showVal val="0"/>
          <c:showCatName val="0"/>
          <c:showSerName val="0"/>
          <c:showPercent val="0"/>
          <c:showBubbleSize val="0"/>
        </c:dLbls>
        <c:gapWidth val="50"/>
        <c:overlap val="100"/>
        <c:axId val="395291424"/>
        <c:axId val="395291816"/>
      </c:barChart>
      <c:catAx>
        <c:axId val="395291424"/>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95291816"/>
        <c:crossesAt val="0"/>
        <c:auto val="1"/>
        <c:lblAlgn val="ctr"/>
        <c:lblOffset val="100"/>
        <c:noMultiLvlLbl val="0"/>
      </c:catAx>
      <c:valAx>
        <c:axId val="395291816"/>
        <c:scaling>
          <c:orientation val="minMax"/>
          <c:max val="2950"/>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95291424"/>
        <c:crosses val="autoZero"/>
        <c:crossBetween val="between"/>
        <c:majorUnit val="500"/>
      </c:valAx>
      <c:spPr>
        <a:noFill/>
        <a:ln>
          <a:noFill/>
        </a:ln>
        <a:effectLst/>
      </c:spPr>
    </c:plotArea>
    <c:legend>
      <c:legendPos val="b"/>
      <c:legendEntry>
        <c:idx val="2"/>
        <c:delete val="1"/>
      </c:legendEntry>
      <c:layout>
        <c:manualLayout>
          <c:xMode val="edge"/>
          <c:yMode val="edge"/>
          <c:x val="0.25933224151284368"/>
          <c:y val="0.95807331818948638"/>
          <c:w val="0.62981537207951466"/>
          <c:h val="4.192669634548783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1000">
          <a:solidFill>
            <a:schemeClr val="tx1"/>
          </a:solidFill>
          <a:latin typeface="Verdana" panose="020B0604030504040204" pitchFamily="34"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773790151992274E-2"/>
          <c:y val="2.8391359290119975E-2"/>
          <c:w val="0.85908335757664889"/>
          <c:h val="0.78047907580325682"/>
        </c:manualLayout>
      </c:layout>
      <c:barChart>
        <c:barDir val="col"/>
        <c:grouping val="clustered"/>
        <c:varyColors val="0"/>
        <c:ser>
          <c:idx val="1"/>
          <c:order val="0"/>
          <c:tx>
            <c:strRef>
              <c:f>Sheet1!$B$6</c:f>
              <c:strCache>
                <c:ptCount val="1"/>
                <c:pt idx="0">
                  <c:v>milj. eiro</c:v>
                </c:pt>
              </c:strCache>
            </c:strRef>
          </c:tx>
          <c:spPr>
            <a:solidFill>
              <a:sysClr val="window" lastClr="FFFFFF">
                <a:lumMod val="65000"/>
              </a:sysClr>
            </a:solidFill>
            <a:ln>
              <a:noFill/>
            </a:ln>
            <a:effectLst/>
          </c:spPr>
          <c:invertIfNegative val="0"/>
          <c:cat>
            <c:numRef>
              <c:f>Sheet1!$Q$4:$DB$4</c:f>
              <c:numCache>
                <c:formatCode>General</c:formatCode>
                <c:ptCount val="90"/>
                <c:pt idx="11">
                  <c:v>2017</c:v>
                </c:pt>
                <c:pt idx="23">
                  <c:v>2018</c:v>
                </c:pt>
                <c:pt idx="35">
                  <c:v>2019</c:v>
                </c:pt>
                <c:pt idx="47">
                  <c:v>2020</c:v>
                </c:pt>
                <c:pt idx="59">
                  <c:v>2021</c:v>
                </c:pt>
                <c:pt idx="71">
                  <c:v>2022</c:v>
                </c:pt>
                <c:pt idx="83">
                  <c:v>2023</c:v>
                </c:pt>
              </c:numCache>
            </c:numRef>
          </c:cat>
          <c:val>
            <c:numRef>
              <c:f>Sheet1!$Q$6:$DB$6</c:f>
              <c:numCache>
                <c:formatCode>General</c:formatCode>
                <c:ptCount val="90"/>
                <c:pt idx="0">
                  <c:v>5414.6</c:v>
                </c:pt>
                <c:pt idx="1">
                  <c:v>5399.9</c:v>
                </c:pt>
                <c:pt idx="2">
                  <c:v>5467.5</c:v>
                </c:pt>
                <c:pt idx="3">
                  <c:v>5490.4</c:v>
                </c:pt>
                <c:pt idx="4">
                  <c:v>5587</c:v>
                </c:pt>
                <c:pt idx="5">
                  <c:v>5597.9</c:v>
                </c:pt>
                <c:pt idx="6">
                  <c:v>5580</c:v>
                </c:pt>
                <c:pt idx="7">
                  <c:v>5580.2</c:v>
                </c:pt>
                <c:pt idx="8">
                  <c:v>5622.5</c:v>
                </c:pt>
                <c:pt idx="9">
                  <c:v>5706.8</c:v>
                </c:pt>
                <c:pt idx="10">
                  <c:v>5877.9</c:v>
                </c:pt>
                <c:pt idx="11">
                  <c:v>5839.8</c:v>
                </c:pt>
                <c:pt idx="12">
                  <c:v>5876.7</c:v>
                </c:pt>
                <c:pt idx="13">
                  <c:v>5885.6</c:v>
                </c:pt>
                <c:pt idx="14">
                  <c:v>5947.7</c:v>
                </c:pt>
                <c:pt idx="15">
                  <c:v>5921.5</c:v>
                </c:pt>
                <c:pt idx="16">
                  <c:v>6007.5</c:v>
                </c:pt>
                <c:pt idx="17">
                  <c:v>5985</c:v>
                </c:pt>
                <c:pt idx="18">
                  <c:v>5961.6</c:v>
                </c:pt>
                <c:pt idx="19">
                  <c:v>6053.1</c:v>
                </c:pt>
                <c:pt idx="20">
                  <c:v>6098.9</c:v>
                </c:pt>
                <c:pt idx="21">
                  <c:v>6160.8</c:v>
                </c:pt>
                <c:pt idx="22">
                  <c:v>6357.2</c:v>
                </c:pt>
                <c:pt idx="23">
                  <c:v>6306.6</c:v>
                </c:pt>
                <c:pt idx="24">
                  <c:v>6311.9</c:v>
                </c:pt>
                <c:pt idx="25">
                  <c:v>6339.8</c:v>
                </c:pt>
                <c:pt idx="26">
                  <c:v>6402</c:v>
                </c:pt>
                <c:pt idx="27">
                  <c:v>6399.7</c:v>
                </c:pt>
                <c:pt idx="28">
                  <c:v>6522.8</c:v>
                </c:pt>
                <c:pt idx="29">
                  <c:v>6533.6</c:v>
                </c:pt>
                <c:pt idx="30">
                  <c:v>6544.3</c:v>
                </c:pt>
                <c:pt idx="31">
                  <c:v>6581.7</c:v>
                </c:pt>
                <c:pt idx="32">
                  <c:v>6659.6</c:v>
                </c:pt>
                <c:pt idx="33">
                  <c:v>6731.9</c:v>
                </c:pt>
                <c:pt idx="34">
                  <c:v>6925.7</c:v>
                </c:pt>
                <c:pt idx="35">
                  <c:v>6900.8</c:v>
                </c:pt>
                <c:pt idx="36">
                  <c:v>6950.8</c:v>
                </c:pt>
                <c:pt idx="37">
                  <c:v>6959.3</c:v>
                </c:pt>
                <c:pt idx="38">
                  <c:v>6975.9</c:v>
                </c:pt>
                <c:pt idx="39">
                  <c:v>7022.2</c:v>
                </c:pt>
                <c:pt idx="40">
                  <c:v>7089.1</c:v>
                </c:pt>
                <c:pt idx="41">
                  <c:v>7093.3</c:v>
                </c:pt>
                <c:pt idx="42">
                  <c:v>7232.5</c:v>
                </c:pt>
                <c:pt idx="43">
                  <c:v>7090.9</c:v>
                </c:pt>
                <c:pt idx="44">
                  <c:v>7158.3</c:v>
                </c:pt>
                <c:pt idx="45">
                  <c:v>7233.5</c:v>
                </c:pt>
                <c:pt idx="46">
                  <c:v>7442.3</c:v>
                </c:pt>
                <c:pt idx="47">
                  <c:v>7415</c:v>
                </c:pt>
                <c:pt idx="48">
                  <c:v>7463.9</c:v>
                </c:pt>
                <c:pt idx="49">
                  <c:v>7534.1</c:v>
                </c:pt>
                <c:pt idx="50">
                  <c:v>7718.1</c:v>
                </c:pt>
                <c:pt idx="51">
                  <c:v>7739.4</c:v>
                </c:pt>
                <c:pt idx="52">
                  <c:v>7799.4</c:v>
                </c:pt>
                <c:pt idx="53">
                  <c:v>7805.3</c:v>
                </c:pt>
                <c:pt idx="54">
                  <c:v>7842.4</c:v>
                </c:pt>
                <c:pt idx="55">
                  <c:v>7921.3</c:v>
                </c:pt>
                <c:pt idx="56">
                  <c:v>8028.7</c:v>
                </c:pt>
                <c:pt idx="57">
                  <c:v>8117.3</c:v>
                </c:pt>
                <c:pt idx="58">
                  <c:v>8395.2999999999993</c:v>
                </c:pt>
                <c:pt idx="59">
                  <c:v>8452.2999999999993</c:v>
                </c:pt>
                <c:pt idx="60">
                  <c:v>8573.5</c:v>
                </c:pt>
                <c:pt idx="61">
                  <c:v>8845.2999999999993</c:v>
                </c:pt>
                <c:pt idx="62">
                  <c:v>8998.7999999999993</c:v>
                </c:pt>
                <c:pt idx="63">
                  <c:v>9019.7999999999993</c:v>
                </c:pt>
                <c:pt idx="64">
                  <c:v>9161.5</c:v>
                </c:pt>
                <c:pt idx="65">
                  <c:v>9184.9</c:v>
                </c:pt>
                <c:pt idx="66">
                  <c:v>9176.7999999999993</c:v>
                </c:pt>
                <c:pt idx="67">
                  <c:v>9222.5</c:v>
                </c:pt>
                <c:pt idx="68">
                  <c:v>9297.2999999999993</c:v>
                </c:pt>
                <c:pt idx="69">
                  <c:v>9389.5</c:v>
                </c:pt>
                <c:pt idx="70">
                  <c:v>9670.5</c:v>
                </c:pt>
                <c:pt idx="71">
                  <c:v>9626.2000000000007</c:v>
                </c:pt>
                <c:pt idx="72">
                  <c:v>9722.9</c:v>
                </c:pt>
                <c:pt idx="73">
                  <c:v>9724.9</c:v>
                </c:pt>
                <c:pt idx="74">
                  <c:v>9792.7000000000007</c:v>
                </c:pt>
                <c:pt idx="75">
                  <c:v>9755.2999999999993</c:v>
                </c:pt>
                <c:pt idx="76">
                  <c:v>9858.1</c:v>
                </c:pt>
                <c:pt idx="77">
                  <c:v>9833.9</c:v>
                </c:pt>
                <c:pt idx="78">
                  <c:v>9793.4</c:v>
                </c:pt>
                <c:pt idx="79">
                  <c:v>9902.9</c:v>
                </c:pt>
                <c:pt idx="80">
                  <c:v>9933.5</c:v>
                </c:pt>
                <c:pt idx="81">
                  <c:v>9929.4</c:v>
                </c:pt>
                <c:pt idx="82">
                  <c:v>10171.9</c:v>
                </c:pt>
                <c:pt idx="83">
                  <c:v>10039.4</c:v>
                </c:pt>
                <c:pt idx="84">
                  <c:v>10048.4</c:v>
                </c:pt>
                <c:pt idx="85">
                  <c:v>10043.200000000001</c:v>
                </c:pt>
                <c:pt idx="86">
                  <c:v>10004.5</c:v>
                </c:pt>
                <c:pt idx="87">
                  <c:v>9956.6</c:v>
                </c:pt>
                <c:pt idx="88">
                  <c:v>10033.200000000001</c:v>
                </c:pt>
                <c:pt idx="89">
                  <c:v>9915</c:v>
                </c:pt>
              </c:numCache>
            </c:numRef>
          </c:val>
          <c:extLst>
            <c:ext xmlns:c16="http://schemas.microsoft.com/office/drawing/2014/chart" uri="{C3380CC4-5D6E-409C-BE32-E72D297353CC}">
              <c16:uniqueId val="{00000000-5A74-4D20-A801-9C918CBCF7FB}"/>
            </c:ext>
          </c:extLst>
        </c:ser>
        <c:dLbls>
          <c:showLegendKey val="0"/>
          <c:showVal val="0"/>
          <c:showCatName val="0"/>
          <c:showSerName val="0"/>
          <c:showPercent val="0"/>
          <c:showBubbleSize val="0"/>
        </c:dLbls>
        <c:gapWidth val="0"/>
        <c:axId val="546921120"/>
        <c:axId val="546915872"/>
      </c:barChart>
      <c:lineChart>
        <c:grouping val="standard"/>
        <c:varyColors val="0"/>
        <c:ser>
          <c:idx val="3"/>
          <c:order val="1"/>
          <c:tx>
            <c:strRef>
              <c:f>Sheet1!$B$7</c:f>
              <c:strCache>
                <c:ptCount val="1"/>
                <c:pt idx="0">
                  <c:v>izmaiņas pret iepriekšējā gada attiecīgo mēnesi, % (labā ass)</c:v>
                </c:pt>
              </c:strCache>
            </c:strRef>
          </c:tx>
          <c:spPr>
            <a:ln w="28575" cap="rnd">
              <a:solidFill>
                <a:srgbClr val="C00000"/>
              </a:solidFill>
              <a:prstDash val="sysDash"/>
              <a:round/>
            </a:ln>
            <a:effectLst/>
          </c:spPr>
          <c:marker>
            <c:symbol val="none"/>
          </c:marker>
          <c:cat>
            <c:numRef>
              <c:f>Sheet1!$Q$4:$DB$4</c:f>
              <c:numCache>
                <c:formatCode>General</c:formatCode>
                <c:ptCount val="90"/>
                <c:pt idx="11">
                  <c:v>2017</c:v>
                </c:pt>
                <c:pt idx="23">
                  <c:v>2018</c:v>
                </c:pt>
                <c:pt idx="35">
                  <c:v>2019</c:v>
                </c:pt>
                <c:pt idx="47">
                  <c:v>2020</c:v>
                </c:pt>
                <c:pt idx="59">
                  <c:v>2021</c:v>
                </c:pt>
                <c:pt idx="71">
                  <c:v>2022</c:v>
                </c:pt>
                <c:pt idx="83">
                  <c:v>2023</c:v>
                </c:pt>
              </c:numCache>
            </c:numRef>
          </c:cat>
          <c:val>
            <c:numRef>
              <c:f>Sheet1!$Q$7:$DB$7</c:f>
              <c:numCache>
                <c:formatCode>General</c:formatCode>
                <c:ptCount val="90"/>
                <c:pt idx="0">
                  <c:v>6.4671529976208006</c:v>
                </c:pt>
                <c:pt idx="1">
                  <c:v>5.8803921568627402</c:v>
                </c:pt>
                <c:pt idx="2">
                  <c:v>5.8116581514166228</c:v>
                </c:pt>
                <c:pt idx="3">
                  <c:v>6.5848734275508463</c:v>
                </c:pt>
                <c:pt idx="4">
                  <c:v>7.5436468980385314</c:v>
                </c:pt>
                <c:pt idx="5">
                  <c:v>7.0651238404896048</c:v>
                </c:pt>
                <c:pt idx="6">
                  <c:v>7.3097559568453363</c:v>
                </c:pt>
                <c:pt idx="7">
                  <c:v>7.0932330249875264</c:v>
                </c:pt>
                <c:pt idx="8">
                  <c:v>7.3774874909285444</c:v>
                </c:pt>
                <c:pt idx="9">
                  <c:v>7.5314201729758139</c:v>
                </c:pt>
                <c:pt idx="10">
                  <c:v>8.9448223453746607</c:v>
                </c:pt>
                <c:pt idx="11">
                  <c:v>8.7162111847494117</c:v>
                </c:pt>
                <c:pt idx="12">
                  <c:v>8.5343330993979123</c:v>
                </c:pt>
                <c:pt idx="13">
                  <c:v>8.9946110113150439</c:v>
                </c:pt>
                <c:pt idx="14">
                  <c:v>8.7828074988568687</c:v>
                </c:pt>
                <c:pt idx="15">
                  <c:v>7.8518869299140306</c:v>
                </c:pt>
                <c:pt idx="16">
                  <c:v>7.5264005727581917</c:v>
                </c:pt>
                <c:pt idx="17">
                  <c:v>6.9150931599349974</c:v>
                </c:pt>
                <c:pt idx="18">
                  <c:v>6.8387096774193594</c:v>
                </c:pt>
                <c:pt idx="19">
                  <c:v>8.4746066449231279</c:v>
                </c:pt>
                <c:pt idx="20">
                  <c:v>8.4730991551800656</c:v>
                </c:pt>
                <c:pt idx="21">
                  <c:v>7.9554216022990119</c:v>
                </c:pt>
                <c:pt idx="22">
                  <c:v>8.1542727844978771</c:v>
                </c:pt>
                <c:pt idx="23">
                  <c:v>7.9934244323435593</c:v>
                </c:pt>
                <c:pt idx="24">
                  <c:v>7.4055167015501837</c:v>
                </c:pt>
                <c:pt idx="25">
                  <c:v>7.7171401386434582</c:v>
                </c:pt>
                <c:pt idx="26">
                  <c:v>7.6382467172184221</c:v>
                </c:pt>
                <c:pt idx="27">
                  <c:v>8.0756565059528782</c:v>
                </c:pt>
                <c:pt idx="28">
                  <c:v>8.5776113191843564</c:v>
                </c:pt>
                <c:pt idx="29">
                  <c:v>9.1662489557226507</c:v>
                </c:pt>
                <c:pt idx="30">
                  <c:v>9.7742216854535684</c:v>
                </c:pt>
                <c:pt idx="31">
                  <c:v>8.7327154681072301</c:v>
                </c:pt>
                <c:pt idx="32">
                  <c:v>9.1934611159389448</c:v>
                </c:pt>
                <c:pt idx="33">
                  <c:v>9.2699000129853175</c:v>
                </c:pt>
                <c:pt idx="34">
                  <c:v>8.9426162461461018</c:v>
                </c:pt>
                <c:pt idx="35">
                  <c:v>9.4218754955126371</c:v>
                </c:pt>
                <c:pt idx="36">
                  <c:v>10.122150224179734</c:v>
                </c:pt>
                <c:pt idx="37">
                  <c:v>9.7716016278116058</c:v>
                </c:pt>
                <c:pt idx="38">
                  <c:v>8.9643861293345708</c:v>
                </c:pt>
                <c:pt idx="39">
                  <c:v>9.7270184539900271</c:v>
                </c:pt>
                <c:pt idx="40">
                  <c:v>8.6818544183479389</c:v>
                </c:pt>
                <c:pt idx="41">
                  <c:v>8.5664870821598953</c:v>
                </c:pt>
                <c:pt idx="42">
                  <c:v>10.516021576027995</c:v>
                </c:pt>
                <c:pt idx="43">
                  <c:v>7.7366030053025838</c:v>
                </c:pt>
                <c:pt idx="44">
                  <c:v>7.4884377440086496</c:v>
                </c:pt>
                <c:pt idx="45">
                  <c:v>7.4510910738424485</c:v>
                </c:pt>
                <c:pt idx="46">
                  <c:v>7.4591738019261555</c:v>
                </c:pt>
                <c:pt idx="47">
                  <c:v>7.4513099930442905</c:v>
                </c:pt>
                <c:pt idx="48">
                  <c:v>7.3818840996719786</c:v>
                </c:pt>
                <c:pt idx="49">
                  <c:v>8.2594513816044639</c:v>
                </c:pt>
                <c:pt idx="50">
                  <c:v>10.639487377972756</c:v>
                </c:pt>
                <c:pt idx="51">
                  <c:v>10.213323459884379</c:v>
                </c:pt>
                <c:pt idx="52">
                  <c:v>10.019607566545801</c:v>
                </c:pt>
                <c:pt idx="53">
                  <c:v>10.037641154328725</c:v>
                </c:pt>
                <c:pt idx="54">
                  <c:v>8.4327687521603849</c:v>
                </c:pt>
                <c:pt idx="55">
                  <c:v>11.710784244595203</c:v>
                </c:pt>
                <c:pt idx="56">
                  <c:v>12.159311568389143</c:v>
                </c:pt>
                <c:pt idx="57">
                  <c:v>12.218151655491809</c:v>
                </c:pt>
                <c:pt idx="58">
                  <c:v>12.805181193985732</c:v>
                </c:pt>
                <c:pt idx="59">
                  <c:v>13.989211058664864</c:v>
                </c:pt>
                <c:pt idx="60">
                  <c:v>14.866222752180505</c:v>
                </c:pt>
                <c:pt idx="61">
                  <c:v>17.403538577932309</c:v>
                </c:pt>
                <c:pt idx="62">
                  <c:v>16.593462121506562</c:v>
                </c:pt>
                <c:pt idx="63">
                  <c:v>16.543918133188612</c:v>
                </c:pt>
                <c:pt idx="64">
                  <c:v>17.464163910044377</c:v>
                </c:pt>
                <c:pt idx="65">
                  <c:v>17.675169436152345</c:v>
                </c:pt>
                <c:pt idx="66">
                  <c:v>17.0151994287463</c:v>
                </c:pt>
                <c:pt idx="67">
                  <c:v>16.426596644490175</c:v>
                </c:pt>
                <c:pt idx="68">
                  <c:v>15.800814577702482</c:v>
                </c:pt>
                <c:pt idx="69">
                  <c:v>15.672699050176789</c:v>
                </c:pt>
                <c:pt idx="70">
                  <c:v>15.189451240575096</c:v>
                </c:pt>
                <c:pt idx="71">
                  <c:v>13.888527383079179</c:v>
                </c:pt>
                <c:pt idx="72">
                  <c:v>13.406426780194792</c:v>
                </c:pt>
                <c:pt idx="73">
                  <c:v>9.9442641854996481</c:v>
                </c:pt>
                <c:pt idx="74">
                  <c:v>8.8222874160999396</c:v>
                </c:pt>
                <c:pt idx="75">
                  <c:v>8.1542828000620915</c:v>
                </c:pt>
                <c:pt idx="76">
                  <c:v>7.6035583692626716</c:v>
                </c:pt>
                <c:pt idx="77">
                  <c:v>7.0659451926531602</c:v>
                </c:pt>
                <c:pt idx="78">
                  <c:v>6.7191177752593489</c:v>
                </c:pt>
                <c:pt idx="79">
                  <c:v>7.3776091081593904</c:v>
                </c:pt>
                <c:pt idx="80">
                  <c:v>6.8428468480096427</c:v>
                </c:pt>
                <c:pt idx="81">
                  <c:v>5.7500399382288663</c:v>
                </c:pt>
                <c:pt idx="82">
                  <c:v>5.1848404942867319</c:v>
                </c:pt>
                <c:pt idx="83">
                  <c:v>4.2924518501589404</c:v>
                </c:pt>
                <c:pt idx="84">
                  <c:v>3.3477666128418377</c:v>
                </c:pt>
                <c:pt idx="85">
                  <c:v>3.2730413680346402</c:v>
                </c:pt>
                <c:pt idx="86">
                  <c:v>2.1628355816067</c:v>
                </c:pt>
                <c:pt idx="87">
                  <c:v>2.0634936906092065</c:v>
                </c:pt>
                <c:pt idx="88">
                  <c:v>1.7762043395786407</c:v>
                </c:pt>
                <c:pt idx="89">
                  <c:v>0.82469823772868267</c:v>
                </c:pt>
              </c:numCache>
            </c:numRef>
          </c:val>
          <c:smooth val="1"/>
          <c:extLst>
            <c:ext xmlns:c16="http://schemas.microsoft.com/office/drawing/2014/chart" uri="{C3380CC4-5D6E-409C-BE32-E72D297353CC}">
              <c16:uniqueId val="{00000001-5A74-4D20-A801-9C918CBCF7FB}"/>
            </c:ext>
          </c:extLst>
        </c:ser>
        <c:dLbls>
          <c:showLegendKey val="0"/>
          <c:showVal val="0"/>
          <c:showCatName val="0"/>
          <c:showSerName val="0"/>
          <c:showPercent val="0"/>
          <c:showBubbleSize val="0"/>
        </c:dLbls>
        <c:marker val="1"/>
        <c:smooth val="0"/>
        <c:axId val="550711248"/>
        <c:axId val="550706328"/>
      </c:lineChart>
      <c:catAx>
        <c:axId val="5469211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r>
                  <a:rPr lang="lv-LV" b="0" dirty="0">
                    <a:latin typeface="Times New Roman" panose="02020603050405020304" pitchFamily="18" charset="0"/>
                    <a:cs typeface="Times New Roman" panose="02020603050405020304" pitchFamily="18" charset="0"/>
                  </a:rPr>
                  <a:t>milj. </a:t>
                </a:r>
                <a:r>
                  <a:rPr lang="lv-LV" b="0" i="1" dirty="0">
                    <a:latin typeface="Times New Roman" panose="02020603050405020304" pitchFamily="18" charset="0"/>
                    <a:cs typeface="Times New Roman" panose="02020603050405020304" pitchFamily="18" charset="0"/>
                  </a:rPr>
                  <a:t>euro</a:t>
                </a:r>
              </a:p>
            </c:rich>
          </c:tx>
          <c:layout>
            <c:manualLayout>
              <c:xMode val="edge"/>
              <c:yMode val="edge"/>
              <c:x val="1.7987682232790209E-2"/>
              <c:y val="5.649113563406804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title>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46915872"/>
        <c:crosses val="autoZero"/>
        <c:auto val="1"/>
        <c:lblAlgn val="ctr"/>
        <c:lblOffset val="0"/>
        <c:tickLblSkip val="1"/>
        <c:tickMarkSkip val="12"/>
        <c:noMultiLvlLbl val="0"/>
      </c:catAx>
      <c:valAx>
        <c:axId val="546915872"/>
        <c:scaling>
          <c:orientation val="minMax"/>
          <c:max val="12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46921120"/>
        <c:crosses val="autoZero"/>
        <c:crossBetween val="between"/>
        <c:majorUnit val="2000"/>
      </c:valAx>
      <c:valAx>
        <c:axId val="550706328"/>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50711248"/>
        <c:crosses val="max"/>
        <c:crossBetween val="between"/>
        <c:majorUnit val="5"/>
      </c:valAx>
      <c:catAx>
        <c:axId val="550711248"/>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r>
                  <a:rPr lang="lv-LV" b="0">
                    <a:latin typeface="Times New Roman" panose="02020603050405020304" pitchFamily="18" charset="0"/>
                    <a:cs typeface="Times New Roman" panose="02020603050405020304" pitchFamily="18" charset="0"/>
                  </a:rPr>
                  <a:t>%</a:t>
                </a:r>
              </a:p>
            </c:rich>
          </c:tx>
          <c:layout>
            <c:manualLayout>
              <c:xMode val="edge"/>
              <c:yMode val="edge"/>
              <c:x val="0.96097960032223695"/>
              <c:y val="6.598991111241206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title>
        <c:numFmt formatCode="General" sourceLinked="1"/>
        <c:majorTickMark val="out"/>
        <c:minorTickMark val="none"/>
        <c:tickLblPos val="nextTo"/>
        <c:crossAx val="550706328"/>
        <c:crosses val="autoZero"/>
        <c:auto val="1"/>
        <c:lblAlgn val="ctr"/>
        <c:lblOffset val="100"/>
        <c:noMultiLvlLbl val="0"/>
      </c:catAx>
      <c:spPr>
        <a:noFill/>
        <a:ln w="25400">
          <a:noFill/>
        </a:ln>
        <a:effectLst/>
      </c:spPr>
    </c:plotArea>
    <c:legend>
      <c:legendPos val="b"/>
      <c:layout>
        <c:manualLayout>
          <c:xMode val="edge"/>
          <c:yMode val="edge"/>
          <c:x val="3.5187298542848772E-2"/>
          <c:y val="0.89016591222296881"/>
          <c:w val="0.90797304137030821"/>
          <c:h val="0.1046437113071738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Verdana" panose="020B0604030504040204" pitchFamily="34" charset="0"/>
          <a:ea typeface="Verdana" panose="020B0604030504040204" pitchFamily="34" charset="0"/>
        </a:defRPr>
      </a:pPr>
      <a:endParaRPr lang="lv-LV"/>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346896560877158E-2"/>
          <c:y val="4.6491969568892642E-2"/>
          <c:w val="0.92920571600834989"/>
          <c:h val="0.66835068660544483"/>
        </c:manualLayout>
      </c:layout>
      <c:barChart>
        <c:barDir val="col"/>
        <c:grouping val="clustered"/>
        <c:varyColors val="0"/>
        <c:ser>
          <c:idx val="0"/>
          <c:order val="0"/>
          <c:spPr>
            <a:solidFill>
              <a:srgbClr val="5B9BD5"/>
            </a:solidFill>
            <a:ln>
              <a:solidFill>
                <a:srgbClr val="5B9BD5"/>
              </a:solidFill>
            </a:ln>
            <a:effectLst/>
          </c:spPr>
          <c:invertIfNegative val="0"/>
          <c:dPt>
            <c:idx val="1"/>
            <c:invertIfNegative val="0"/>
            <c:bubble3D val="0"/>
            <c:extLst>
              <c:ext xmlns:c16="http://schemas.microsoft.com/office/drawing/2014/chart" uri="{C3380CC4-5D6E-409C-BE32-E72D297353CC}">
                <c16:uniqueId val="{00000000-156D-44A6-8BCA-B8DBC83A74DC}"/>
              </c:ext>
            </c:extLst>
          </c:dPt>
          <c:dPt>
            <c:idx val="2"/>
            <c:invertIfNegative val="0"/>
            <c:bubble3D val="0"/>
            <c:extLst>
              <c:ext xmlns:c16="http://schemas.microsoft.com/office/drawing/2014/chart" uri="{C3380CC4-5D6E-409C-BE32-E72D297353CC}">
                <c16:uniqueId val="{00000001-156D-44A6-8BCA-B8DBC83A74DC}"/>
              </c:ext>
            </c:extLst>
          </c:dPt>
          <c:dPt>
            <c:idx val="3"/>
            <c:invertIfNegative val="0"/>
            <c:bubble3D val="0"/>
            <c:extLst>
              <c:ext xmlns:c16="http://schemas.microsoft.com/office/drawing/2014/chart" uri="{C3380CC4-5D6E-409C-BE32-E72D297353CC}">
                <c16:uniqueId val="{00000002-156D-44A6-8BCA-B8DBC83A74DC}"/>
              </c:ext>
            </c:extLst>
          </c:dPt>
          <c:dPt>
            <c:idx val="4"/>
            <c:invertIfNegative val="0"/>
            <c:bubble3D val="0"/>
            <c:extLst>
              <c:ext xmlns:c16="http://schemas.microsoft.com/office/drawing/2014/chart" uri="{C3380CC4-5D6E-409C-BE32-E72D297353CC}">
                <c16:uniqueId val="{00000003-156D-44A6-8BCA-B8DBC83A74DC}"/>
              </c:ext>
            </c:extLst>
          </c:dPt>
          <c:dPt>
            <c:idx val="7"/>
            <c:invertIfNegative val="0"/>
            <c:bubble3D val="0"/>
            <c:extLst>
              <c:ext xmlns:c16="http://schemas.microsoft.com/office/drawing/2014/chart" uri="{C3380CC4-5D6E-409C-BE32-E72D297353CC}">
                <c16:uniqueId val="{00000004-156D-44A6-8BCA-B8DBC83A74DC}"/>
              </c:ext>
            </c:extLst>
          </c:dPt>
          <c:dPt>
            <c:idx val="9"/>
            <c:invertIfNegative val="0"/>
            <c:bubble3D val="0"/>
            <c:extLst>
              <c:ext xmlns:c16="http://schemas.microsoft.com/office/drawing/2014/chart" uri="{C3380CC4-5D6E-409C-BE32-E72D297353CC}">
                <c16:uniqueId val="{00000005-156D-44A6-8BCA-B8DBC83A74DC}"/>
              </c:ext>
            </c:extLst>
          </c:dPt>
          <c:dPt>
            <c:idx val="10"/>
            <c:invertIfNegative val="0"/>
            <c:bubble3D val="0"/>
            <c:extLst>
              <c:ext xmlns:c16="http://schemas.microsoft.com/office/drawing/2014/chart" uri="{C3380CC4-5D6E-409C-BE32-E72D297353CC}">
                <c16:uniqueId val="{00000006-156D-44A6-8BCA-B8DBC83A74DC}"/>
              </c:ext>
            </c:extLst>
          </c:dPt>
          <c:dPt>
            <c:idx val="11"/>
            <c:invertIfNegative val="0"/>
            <c:bubble3D val="0"/>
            <c:extLst>
              <c:ext xmlns:c16="http://schemas.microsoft.com/office/drawing/2014/chart" uri="{C3380CC4-5D6E-409C-BE32-E72D297353CC}">
                <c16:uniqueId val="{00000007-156D-44A6-8BCA-B8DBC83A74DC}"/>
              </c:ext>
            </c:extLst>
          </c:dPt>
          <c:dPt>
            <c:idx val="12"/>
            <c:invertIfNegative val="0"/>
            <c:bubble3D val="0"/>
            <c:extLst>
              <c:ext xmlns:c16="http://schemas.microsoft.com/office/drawing/2014/chart" uri="{C3380CC4-5D6E-409C-BE32-E72D297353CC}">
                <c16:uniqueId val="{00000008-156D-44A6-8BCA-B8DBC83A74DC}"/>
              </c:ext>
            </c:extLst>
          </c:dPt>
          <c:dPt>
            <c:idx val="14"/>
            <c:invertIfNegative val="0"/>
            <c:bubble3D val="0"/>
            <c:extLst>
              <c:ext xmlns:c16="http://schemas.microsoft.com/office/drawing/2014/chart" uri="{C3380CC4-5D6E-409C-BE32-E72D297353CC}">
                <c16:uniqueId val="{00000009-156D-44A6-8BCA-B8DBC83A74DC}"/>
              </c:ext>
            </c:extLst>
          </c:dPt>
          <c:dPt>
            <c:idx val="15"/>
            <c:invertIfNegative val="0"/>
            <c:bubble3D val="0"/>
            <c:extLst>
              <c:ext xmlns:c16="http://schemas.microsoft.com/office/drawing/2014/chart" uri="{C3380CC4-5D6E-409C-BE32-E72D297353CC}">
                <c16:uniqueId val="{0000000A-156D-44A6-8BCA-B8DBC83A74DC}"/>
              </c:ext>
            </c:extLst>
          </c:dPt>
          <c:dPt>
            <c:idx val="18"/>
            <c:invertIfNegative val="0"/>
            <c:bubble3D val="0"/>
            <c:spPr>
              <a:pattFill prst="dkUpDiag">
                <a:fgClr>
                  <a:srgbClr val="C00000"/>
                </a:fgClr>
                <a:bgClr>
                  <a:sysClr val="window" lastClr="FFFFFF"/>
                </a:bgClr>
              </a:pattFill>
              <a:ln>
                <a:solidFill>
                  <a:srgbClr val="FF3B3B"/>
                </a:solidFill>
              </a:ln>
              <a:effectLst/>
            </c:spPr>
            <c:extLst>
              <c:ext xmlns:c16="http://schemas.microsoft.com/office/drawing/2014/chart" uri="{C3380CC4-5D6E-409C-BE32-E72D297353CC}">
                <c16:uniqueId val="{0000000C-156D-44A6-8BCA-B8DBC83A74DC}"/>
              </c:ext>
            </c:extLst>
          </c:dPt>
          <c:dPt>
            <c:idx val="23"/>
            <c:invertIfNegative val="0"/>
            <c:bubble3D val="0"/>
            <c:extLst>
              <c:ext xmlns:c16="http://schemas.microsoft.com/office/drawing/2014/chart" uri="{C3380CC4-5D6E-409C-BE32-E72D297353CC}">
                <c16:uniqueId val="{0000000D-156D-44A6-8BCA-B8DBC83A74DC}"/>
              </c:ext>
            </c:extLst>
          </c:dPt>
          <c:dLbls>
            <c:dLbl>
              <c:idx val="1"/>
              <c:layout>
                <c:manualLayout>
                  <c:x val="6.6217192391042623E-2"/>
                  <c:y val="0.8228522703048391"/>
                </c:manualLayout>
              </c:layout>
              <c:tx>
                <c:rich>
                  <a:bodyPr wrap="square" lIns="38100" tIns="19050" rIns="38100" bIns="19050" anchor="ctr" anchorCtr="0">
                    <a:spAutoFit/>
                  </a:bodyPr>
                  <a:lstStyle/>
                  <a:p>
                    <a:pPr algn="l">
                      <a:defRPr sz="900">
                        <a:latin typeface="Times New Roman" panose="02020603050405020304" pitchFamily="18" charset="0"/>
                        <a:cs typeface="Times New Roman" panose="02020603050405020304" pitchFamily="18" charset="0"/>
                      </a:defRPr>
                    </a:pPr>
                    <a:r>
                      <a:rPr lang="en-US" sz="900">
                        <a:latin typeface="Times New Roman" panose="02020603050405020304" pitchFamily="18" charset="0"/>
                        <a:cs typeface="Times New Roman" panose="02020603050405020304" pitchFamily="18" charset="0"/>
                      </a:rPr>
                      <a:t>Nav</a:t>
                    </a:r>
                    <a:r>
                      <a:rPr lang="en-US" sz="900" baseline="0">
                        <a:latin typeface="Times New Roman" panose="02020603050405020304" pitchFamily="18" charset="0"/>
                        <a:cs typeface="Times New Roman" panose="02020603050405020304" pitchFamily="18" charset="0"/>
                      </a:rPr>
                      <a:t> datu par Bulgāriju, Rumāniju un Maltu</a:t>
                    </a:r>
                    <a:endParaRPr lang="en-US" sz="90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64768832321194625"/>
                      <c:h val="6.4826430910589386E-2"/>
                    </c:manualLayout>
                  </c15:layout>
                  <c15:showDataLabelsRange val="0"/>
                </c:ext>
                <c:ext xmlns:c16="http://schemas.microsoft.com/office/drawing/2014/chart" uri="{C3380CC4-5D6E-409C-BE32-E72D297353CC}">
                  <c16:uniqueId val="{00000000-156D-44A6-8BCA-B8DBC83A74DC}"/>
                </c:ext>
              </c:extLst>
            </c:dLbl>
            <c:spPr>
              <a:noFill/>
              <a:ln>
                <a:noFill/>
              </a:ln>
              <a:effectLst/>
            </c:spPr>
            <c:txPr>
              <a:bodyPr wrap="square" lIns="38100" tIns="19050" rIns="38100" bIns="19050" anchor="ctr">
                <a:spAutoFit/>
              </a:bodyPr>
              <a:lstStyle/>
              <a:p>
                <a:pPr>
                  <a:defRPr sz="900">
                    <a:latin typeface="Times New Roman" panose="02020603050405020304" pitchFamily="18" charset="0"/>
                    <a:cs typeface="Times New Roman" panose="02020603050405020304" pitchFamily="18" charset="0"/>
                  </a:defRPr>
                </a:pPr>
                <a:endParaRPr lang="lv-LV"/>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Sheet1!$F$6:$F$29</c:f>
              <c:strCache>
                <c:ptCount val="24"/>
                <c:pt idx="0">
                  <c:v>Luksemburga</c:v>
                </c:pt>
                <c:pt idx="1">
                  <c:v>Vācija</c:v>
                </c:pt>
                <c:pt idx="2">
                  <c:v>Nīderlande</c:v>
                </c:pt>
                <c:pt idx="3">
                  <c:v>Austrija</c:v>
                </c:pt>
                <c:pt idx="4">
                  <c:v>Beļģija</c:v>
                </c:pt>
                <c:pt idx="5">
                  <c:v>Francija</c:v>
                </c:pt>
                <c:pt idx="6">
                  <c:v>Somija</c:v>
                </c:pt>
                <c:pt idx="7">
                  <c:v>Dānija</c:v>
                </c:pt>
                <c:pt idx="8">
                  <c:v>Zviedrija</c:v>
                </c:pt>
                <c:pt idx="9">
                  <c:v>Itālija</c:v>
                </c:pt>
                <c:pt idx="10">
                  <c:v>Īrija</c:v>
                </c:pt>
                <c:pt idx="11">
                  <c:v>Kipra</c:v>
                </c:pt>
                <c:pt idx="12">
                  <c:v>Slovēnija</c:v>
                </c:pt>
                <c:pt idx="13">
                  <c:v>Čehija</c:v>
                </c:pt>
                <c:pt idx="14">
                  <c:v>Lietuva</c:v>
                </c:pt>
                <c:pt idx="15">
                  <c:v>Spānija</c:v>
                </c:pt>
                <c:pt idx="16">
                  <c:v>Portugāle</c:v>
                </c:pt>
                <c:pt idx="17">
                  <c:v>Polija</c:v>
                </c:pt>
                <c:pt idx="18">
                  <c:v>Latvija</c:v>
                </c:pt>
                <c:pt idx="19">
                  <c:v>Igaunija</c:v>
                </c:pt>
                <c:pt idx="20">
                  <c:v>Ungārija</c:v>
                </c:pt>
                <c:pt idx="21">
                  <c:v>Horvātija</c:v>
                </c:pt>
                <c:pt idx="22">
                  <c:v>Grieķija</c:v>
                </c:pt>
                <c:pt idx="23">
                  <c:v>Slovākija</c:v>
                </c:pt>
              </c:strCache>
            </c:strRef>
          </c:cat>
          <c:val>
            <c:numRef>
              <c:f>Sheet1!$G$6:$G$29</c:f>
              <c:numCache>
                <c:formatCode>General</c:formatCode>
                <c:ptCount val="24"/>
                <c:pt idx="0">
                  <c:v>150.12809999999999</c:v>
                </c:pt>
                <c:pt idx="1">
                  <c:v>125.8557</c:v>
                </c:pt>
                <c:pt idx="2">
                  <c:v>116.8361</c:v>
                </c:pt>
                <c:pt idx="3">
                  <c:v>116.7824</c:v>
                </c:pt>
                <c:pt idx="4">
                  <c:v>114.60809999999999</c:v>
                </c:pt>
                <c:pt idx="5">
                  <c:v>112.6281</c:v>
                </c:pt>
                <c:pt idx="6">
                  <c:v>106.7543</c:v>
                </c:pt>
                <c:pt idx="7">
                  <c:v>105.89449999999999</c:v>
                </c:pt>
                <c:pt idx="8">
                  <c:v>104.7578</c:v>
                </c:pt>
                <c:pt idx="9">
                  <c:v>96.974209999999999</c:v>
                </c:pt>
                <c:pt idx="10">
                  <c:v>96.8626</c:v>
                </c:pt>
                <c:pt idx="11">
                  <c:v>89.058369999999996</c:v>
                </c:pt>
                <c:pt idx="12">
                  <c:v>87.561999999999998</c:v>
                </c:pt>
                <c:pt idx="13">
                  <c:v>87.177580000000006</c:v>
                </c:pt>
                <c:pt idx="14">
                  <c:v>86.801419999999993</c:v>
                </c:pt>
                <c:pt idx="15">
                  <c:v>84.755290000000002</c:v>
                </c:pt>
                <c:pt idx="16">
                  <c:v>79.803240000000002</c:v>
                </c:pt>
                <c:pt idx="17">
                  <c:v>74.156750000000002</c:v>
                </c:pt>
                <c:pt idx="18">
                  <c:v>73.908730000000006</c:v>
                </c:pt>
                <c:pt idx="19">
                  <c:v>72.652119999999996</c:v>
                </c:pt>
                <c:pt idx="20">
                  <c:v>70.973879999999994</c:v>
                </c:pt>
                <c:pt idx="21">
                  <c:v>67.927409999999995</c:v>
                </c:pt>
                <c:pt idx="22">
                  <c:v>67.555390000000003</c:v>
                </c:pt>
                <c:pt idx="23">
                  <c:v>67.410709999999995</c:v>
                </c:pt>
              </c:numCache>
            </c:numRef>
          </c:val>
          <c:extLst>
            <c:ext xmlns:c16="http://schemas.microsoft.com/office/drawing/2014/chart" uri="{C3380CC4-5D6E-409C-BE32-E72D297353CC}">
              <c16:uniqueId val="{0000000E-156D-44A6-8BCA-B8DBC83A74DC}"/>
            </c:ext>
          </c:extLst>
        </c:ser>
        <c:dLbls>
          <c:showLegendKey val="0"/>
          <c:showVal val="0"/>
          <c:showCatName val="0"/>
          <c:showSerName val="0"/>
          <c:showPercent val="0"/>
          <c:showBubbleSize val="0"/>
        </c:dLbls>
        <c:gapWidth val="50"/>
        <c:overlap val="-27"/>
        <c:axId val="567518600"/>
        <c:axId val="1"/>
      </c:barChart>
      <c:lineChart>
        <c:grouping val="standard"/>
        <c:varyColors val="0"/>
        <c:ser>
          <c:idx val="1"/>
          <c:order val="1"/>
          <c:spPr>
            <a:ln w="28575" cap="rnd">
              <a:solidFill>
                <a:sysClr val="windowText" lastClr="000000"/>
              </a:solidFill>
              <a:prstDash val="sysDash"/>
              <a:round/>
            </a:ln>
            <a:effectLst/>
          </c:spPr>
          <c:marker>
            <c:symbol val="none"/>
          </c:marker>
          <c:cat>
            <c:strRef>
              <c:f>Sheet1!$F$6:$F$29</c:f>
              <c:strCache>
                <c:ptCount val="24"/>
                <c:pt idx="0">
                  <c:v>Luksemburga</c:v>
                </c:pt>
                <c:pt idx="1">
                  <c:v>Vācija</c:v>
                </c:pt>
                <c:pt idx="2">
                  <c:v>Nīderlande</c:v>
                </c:pt>
                <c:pt idx="3">
                  <c:v>Austrija</c:v>
                </c:pt>
                <c:pt idx="4">
                  <c:v>Beļģija</c:v>
                </c:pt>
                <c:pt idx="5">
                  <c:v>Francija</c:v>
                </c:pt>
                <c:pt idx="6">
                  <c:v>Somija</c:v>
                </c:pt>
                <c:pt idx="7">
                  <c:v>Dānija</c:v>
                </c:pt>
                <c:pt idx="8">
                  <c:v>Zviedrija</c:v>
                </c:pt>
                <c:pt idx="9">
                  <c:v>Itālija</c:v>
                </c:pt>
                <c:pt idx="10">
                  <c:v>Īrija</c:v>
                </c:pt>
                <c:pt idx="11">
                  <c:v>Kipra</c:v>
                </c:pt>
                <c:pt idx="12">
                  <c:v>Slovēnija</c:v>
                </c:pt>
                <c:pt idx="13">
                  <c:v>Čehija</c:v>
                </c:pt>
                <c:pt idx="14">
                  <c:v>Lietuva</c:v>
                </c:pt>
                <c:pt idx="15">
                  <c:v>Spānija</c:v>
                </c:pt>
                <c:pt idx="16">
                  <c:v>Portugāle</c:v>
                </c:pt>
                <c:pt idx="17">
                  <c:v>Polija</c:v>
                </c:pt>
                <c:pt idx="18">
                  <c:v>Latvija</c:v>
                </c:pt>
                <c:pt idx="19">
                  <c:v>Igaunija</c:v>
                </c:pt>
                <c:pt idx="20">
                  <c:v>Ungārija</c:v>
                </c:pt>
                <c:pt idx="21">
                  <c:v>Horvātija</c:v>
                </c:pt>
                <c:pt idx="22">
                  <c:v>Grieķija</c:v>
                </c:pt>
                <c:pt idx="23">
                  <c:v>Slovākija</c:v>
                </c:pt>
              </c:strCache>
            </c:strRef>
          </c:cat>
          <c:val>
            <c:numRef>
              <c:f>Sheet1!$H$6:$H$29</c:f>
              <c:numCache>
                <c:formatCode>General</c:formatCode>
                <c:ptCount val="24"/>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pt idx="18">
                  <c:v>100</c:v>
                </c:pt>
                <c:pt idx="19">
                  <c:v>100</c:v>
                </c:pt>
                <c:pt idx="20">
                  <c:v>100</c:v>
                </c:pt>
                <c:pt idx="21">
                  <c:v>100</c:v>
                </c:pt>
                <c:pt idx="22">
                  <c:v>100</c:v>
                </c:pt>
                <c:pt idx="23">
                  <c:v>100</c:v>
                </c:pt>
              </c:numCache>
            </c:numRef>
          </c:val>
          <c:smooth val="0"/>
          <c:extLst>
            <c:ext xmlns:c16="http://schemas.microsoft.com/office/drawing/2014/chart" uri="{C3380CC4-5D6E-409C-BE32-E72D297353CC}">
              <c16:uniqueId val="{0000000F-156D-44A6-8BCA-B8DBC83A74DC}"/>
            </c:ext>
          </c:extLst>
        </c:ser>
        <c:dLbls>
          <c:showLegendKey val="0"/>
          <c:showVal val="0"/>
          <c:showCatName val="0"/>
          <c:showSerName val="0"/>
          <c:showPercent val="0"/>
          <c:showBubbleSize val="0"/>
        </c:dLbls>
        <c:marker val="1"/>
        <c:smooth val="0"/>
        <c:axId val="567518600"/>
        <c:axId val="1"/>
      </c:lineChart>
      <c:catAx>
        <c:axId val="5675186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67518600"/>
        <c:crosses val="autoZero"/>
        <c:crossBetween val="between"/>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1"/>
          <c:order val="0"/>
          <c:tx>
            <c:strRef>
              <c:f>izlietojums!$E$3</c:f>
              <c:strCache>
                <c:ptCount val="1"/>
                <c:pt idx="0">
                  <c:v>2022</c:v>
                </c:pt>
              </c:strCache>
            </c:strRef>
          </c:tx>
          <c:spPr>
            <a:solidFill>
              <a:sysClr val="window" lastClr="FFFFFF">
                <a:lumMod val="65000"/>
              </a:sys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izlietojums!$C$4:$C$9</c:f>
              <c:strCache>
                <c:ptCount val="6"/>
                <c:pt idx="0">
                  <c:v>IKP</c:v>
                </c:pt>
                <c:pt idx="1">
                  <c:v>Privātais patēriņš</c:v>
                </c:pt>
                <c:pt idx="2">
                  <c:v>Valdības patēriņš</c:v>
                </c:pt>
                <c:pt idx="3">
                  <c:v>Investīcijas</c:v>
                </c:pt>
                <c:pt idx="4">
                  <c:v>Eksports</c:v>
                </c:pt>
                <c:pt idx="5">
                  <c:v>Imports</c:v>
                </c:pt>
              </c:strCache>
            </c:strRef>
          </c:cat>
          <c:val>
            <c:numRef>
              <c:f>izlietojums!$E$4:$E$9</c:f>
              <c:numCache>
                <c:formatCode>0.0</c:formatCode>
                <c:ptCount val="6"/>
                <c:pt idx="0">
                  <c:v>3.4</c:v>
                </c:pt>
                <c:pt idx="1">
                  <c:v>6</c:v>
                </c:pt>
                <c:pt idx="2">
                  <c:v>2.8</c:v>
                </c:pt>
                <c:pt idx="3">
                  <c:v>0.6</c:v>
                </c:pt>
                <c:pt idx="4">
                  <c:v>10.3</c:v>
                </c:pt>
                <c:pt idx="5">
                  <c:v>11.1</c:v>
                </c:pt>
              </c:numCache>
            </c:numRef>
          </c:val>
          <c:extLst>
            <c:ext xmlns:c16="http://schemas.microsoft.com/office/drawing/2014/chart" uri="{C3380CC4-5D6E-409C-BE32-E72D297353CC}">
              <c16:uniqueId val="{00000000-9CBB-4C2D-94AF-FDFF0EBD2928}"/>
            </c:ext>
          </c:extLst>
        </c:ser>
        <c:ser>
          <c:idx val="2"/>
          <c:order val="1"/>
          <c:tx>
            <c:strRef>
              <c:f>izlietojums!$F$3</c:f>
              <c:strCache>
                <c:ptCount val="1"/>
                <c:pt idx="0">
                  <c:v>2023 1.puse</c:v>
                </c:pt>
              </c:strCache>
            </c:strRef>
          </c:tx>
          <c:spPr>
            <a:solidFill>
              <a:srgbClr val="70AD47">
                <a:lumMod val="75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izlietojums!$C$4:$C$9</c:f>
              <c:strCache>
                <c:ptCount val="6"/>
                <c:pt idx="0">
                  <c:v>IKP</c:v>
                </c:pt>
                <c:pt idx="1">
                  <c:v>Privātais patēriņš</c:v>
                </c:pt>
                <c:pt idx="2">
                  <c:v>Valdības patēriņš</c:v>
                </c:pt>
                <c:pt idx="3">
                  <c:v>Investīcijas</c:v>
                </c:pt>
                <c:pt idx="4">
                  <c:v>Eksports</c:v>
                </c:pt>
                <c:pt idx="5">
                  <c:v>Imports</c:v>
                </c:pt>
              </c:strCache>
            </c:strRef>
          </c:cat>
          <c:val>
            <c:numRef>
              <c:f>izlietojums!$F$4:$F$9</c:f>
              <c:numCache>
                <c:formatCode>0.0</c:formatCode>
                <c:ptCount val="6"/>
                <c:pt idx="0">
                  <c:v>-0.6</c:v>
                </c:pt>
                <c:pt idx="1">
                  <c:v>-1.9</c:v>
                </c:pt>
                <c:pt idx="2">
                  <c:v>6.3</c:v>
                </c:pt>
                <c:pt idx="3">
                  <c:v>8.6999999999999993</c:v>
                </c:pt>
                <c:pt idx="4">
                  <c:v>-2.5</c:v>
                </c:pt>
                <c:pt idx="5">
                  <c:v>1</c:v>
                </c:pt>
              </c:numCache>
            </c:numRef>
          </c:val>
          <c:extLst>
            <c:ext xmlns:c16="http://schemas.microsoft.com/office/drawing/2014/chart" uri="{C3380CC4-5D6E-409C-BE32-E72D297353CC}">
              <c16:uniqueId val="{00000001-9CBB-4C2D-94AF-FDFF0EBD2928}"/>
            </c:ext>
          </c:extLst>
        </c:ser>
        <c:dLbls>
          <c:showLegendKey val="0"/>
          <c:showVal val="0"/>
          <c:showCatName val="0"/>
          <c:showSerName val="0"/>
          <c:showPercent val="0"/>
          <c:showBubbleSize val="0"/>
        </c:dLbls>
        <c:gapWidth val="112"/>
        <c:axId val="1182926320"/>
        <c:axId val="1182925488"/>
      </c:barChart>
      <c:catAx>
        <c:axId val="1182926320"/>
        <c:scaling>
          <c:orientation val="maxMin"/>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5488"/>
        <c:crosses val="autoZero"/>
        <c:auto val="1"/>
        <c:lblAlgn val="ctr"/>
        <c:lblOffset val="100"/>
        <c:noMultiLvlLbl val="0"/>
      </c:catAx>
      <c:valAx>
        <c:axId val="1182925488"/>
        <c:scaling>
          <c:orientation val="minMax"/>
          <c:max val="20"/>
          <c:min val="-5"/>
        </c:scaling>
        <c:delete val="0"/>
        <c:axPos val="t"/>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6320"/>
        <c:crosses val="autoZero"/>
        <c:crossBetween val="between"/>
        <c:majorUnit val="5"/>
      </c:valAx>
      <c:spPr>
        <a:noFill/>
        <a:ln>
          <a:noFill/>
        </a:ln>
        <a:effectLst/>
      </c:spPr>
    </c:plotArea>
    <c:legend>
      <c:legendPos val="b"/>
      <c:layout>
        <c:manualLayout>
          <c:xMode val="edge"/>
          <c:yMode val="edge"/>
          <c:x val="0.30056292533823226"/>
          <c:y val="0.93926290463692041"/>
          <c:w val="0.56190530711090059"/>
          <c:h val="4.407042869641295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r">
              <a:defRPr sz="900" b="0" i="1"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v-LV" sz="900" i="1">
                <a:solidFill>
                  <a:schemeClr val="tx1"/>
                </a:solidFill>
                <a:latin typeface="Times New Roman" panose="02020603050405020304" pitchFamily="18" charset="0"/>
                <a:cs typeface="Times New Roman" panose="02020603050405020304" pitchFamily="18" charset="0"/>
              </a:rPr>
              <a:t>Tirdzniecības bilance </a:t>
            </a:r>
          </a:p>
          <a:p>
            <a:pPr algn="r">
              <a:defRPr sz="900" i="1">
                <a:latin typeface="Times New Roman" panose="02020603050405020304" pitchFamily="18" charset="0"/>
                <a:cs typeface="Times New Roman" panose="02020603050405020304" pitchFamily="18" charset="0"/>
              </a:defRPr>
            </a:pPr>
            <a:r>
              <a:rPr lang="lv-LV" sz="900" i="1">
                <a:solidFill>
                  <a:schemeClr val="tx1"/>
                </a:solidFill>
                <a:latin typeface="Times New Roman" panose="02020603050405020304" pitchFamily="18" charset="0"/>
                <a:cs typeface="Times New Roman" panose="02020603050405020304" pitchFamily="18" charset="0"/>
              </a:rPr>
              <a:t>milj. euro</a:t>
            </a:r>
          </a:p>
        </c:rich>
      </c:tx>
      <c:layout>
        <c:manualLayout>
          <c:xMode val="edge"/>
          <c:yMode val="edge"/>
          <c:x val="0.79928229997740352"/>
          <c:y val="1.064114003642189E-2"/>
        </c:manualLayout>
      </c:layout>
      <c:overlay val="0"/>
      <c:spPr>
        <a:noFill/>
        <a:ln>
          <a:noFill/>
        </a:ln>
        <a:effectLst/>
      </c:spPr>
      <c:txPr>
        <a:bodyPr rot="0" spcFirstLastPara="1" vertOverflow="ellipsis" vert="horz" wrap="square" anchor="ctr" anchorCtr="1"/>
        <a:lstStyle/>
        <a:p>
          <a:pPr algn="r">
            <a:defRPr sz="900" b="0" i="1"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title>
    <c:autoTitleDeleted val="0"/>
    <c:plotArea>
      <c:layout>
        <c:manualLayout>
          <c:layoutTarget val="inner"/>
          <c:xMode val="edge"/>
          <c:yMode val="edge"/>
          <c:x val="6.1647492083291566E-2"/>
          <c:y val="0.11154718533317662"/>
          <c:w val="0.86609681215590628"/>
          <c:h val="0.67182453872370429"/>
        </c:manualLayout>
      </c:layout>
      <c:barChart>
        <c:barDir val="col"/>
        <c:grouping val="clustered"/>
        <c:varyColors val="0"/>
        <c:ser>
          <c:idx val="0"/>
          <c:order val="0"/>
          <c:tx>
            <c:strRef>
              <c:f>'Ārējā tirdz'!$J$145</c:f>
              <c:strCache>
                <c:ptCount val="1"/>
                <c:pt idx="0">
                  <c:v>Preču ārējā tirdzniecības bilance, milj. euro (labā ass)</c:v>
                </c:pt>
              </c:strCache>
            </c:strRef>
          </c:tx>
          <c:spPr>
            <a:solidFill>
              <a:schemeClr val="accent6">
                <a:lumMod val="60000"/>
                <a:lumOff val="40000"/>
              </a:schemeClr>
            </a:solidFill>
            <a:ln>
              <a:noFill/>
            </a:ln>
            <a:effectLst/>
          </c:spPr>
          <c:invertIfNegative val="0"/>
          <c:cat>
            <c:multiLvlStrRef>
              <c:f>'Ārējā tirdz'!$A$158:$B$188</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2021</c:v>
                  </c:pt>
                  <c:pt idx="12">
                    <c:v>2022</c:v>
                  </c:pt>
                  <c:pt idx="24">
                    <c:v>2023</c:v>
                  </c:pt>
                </c:lvl>
              </c:multiLvlStrCache>
            </c:multiLvlStrRef>
          </c:cat>
          <c:val>
            <c:numRef>
              <c:f>'Ārējā tirdz'!$J$158:$J$188</c:f>
              <c:numCache>
                <c:formatCode>#,##0</c:formatCode>
                <c:ptCount val="31"/>
                <c:pt idx="0">
                  <c:v>-105.56152899999984</c:v>
                </c:pt>
                <c:pt idx="1">
                  <c:v>-73.160834000000023</c:v>
                </c:pt>
                <c:pt idx="2">
                  <c:v>-205.82048199999986</c:v>
                </c:pt>
                <c:pt idx="3">
                  <c:v>-268.9788759999999</c:v>
                </c:pt>
                <c:pt idx="4">
                  <c:v>-389.86489899999992</c:v>
                </c:pt>
                <c:pt idx="5">
                  <c:v>-410.06353899999999</c:v>
                </c:pt>
                <c:pt idx="6">
                  <c:v>-418.97462499999983</c:v>
                </c:pt>
                <c:pt idx="7">
                  <c:v>-514.37057600000003</c:v>
                </c:pt>
                <c:pt idx="8">
                  <c:v>-201.81432500000005</c:v>
                </c:pt>
                <c:pt idx="9">
                  <c:v>-296.83192099999997</c:v>
                </c:pt>
                <c:pt idx="10">
                  <c:v>-55.331672000000026</c:v>
                </c:pt>
                <c:pt idx="11">
                  <c:v>-125.81009999999992</c:v>
                </c:pt>
                <c:pt idx="12">
                  <c:v>-117.75286099999994</c:v>
                </c:pt>
                <c:pt idx="13">
                  <c:v>-268.67685399999982</c:v>
                </c:pt>
                <c:pt idx="14">
                  <c:v>-417.14671100000032</c:v>
                </c:pt>
                <c:pt idx="15">
                  <c:v>-455.26120399999991</c:v>
                </c:pt>
                <c:pt idx="16">
                  <c:v>-589.28054099999986</c:v>
                </c:pt>
                <c:pt idx="17">
                  <c:v>-342.61177199999997</c:v>
                </c:pt>
                <c:pt idx="18">
                  <c:v>-619.41907500000002</c:v>
                </c:pt>
                <c:pt idx="19">
                  <c:v>-554.26934199999982</c:v>
                </c:pt>
                <c:pt idx="20">
                  <c:v>-345.82726099999991</c:v>
                </c:pt>
                <c:pt idx="21">
                  <c:v>-529.83030799999983</c:v>
                </c:pt>
                <c:pt idx="22">
                  <c:v>-279.99702599999978</c:v>
                </c:pt>
                <c:pt idx="23">
                  <c:v>-641.97002900000007</c:v>
                </c:pt>
                <c:pt idx="24">
                  <c:v>-225.30930499999999</c:v>
                </c:pt>
                <c:pt idx="25">
                  <c:v>-202.72733700000003</c:v>
                </c:pt>
                <c:pt idx="26">
                  <c:v>-279.40799600000014</c:v>
                </c:pt>
                <c:pt idx="27">
                  <c:v>-431.99555999999984</c:v>
                </c:pt>
                <c:pt idx="28">
                  <c:v>-508.26254100000006</c:v>
                </c:pt>
                <c:pt idx="29">
                  <c:v>-472.89423199999987</c:v>
                </c:pt>
                <c:pt idx="30">
                  <c:v>-424.459969</c:v>
                </c:pt>
              </c:numCache>
            </c:numRef>
          </c:val>
          <c:extLst>
            <c:ext xmlns:c16="http://schemas.microsoft.com/office/drawing/2014/chart" uri="{C3380CC4-5D6E-409C-BE32-E72D297353CC}">
              <c16:uniqueId val="{00000000-A52F-468D-9E0D-0CFA2FA9230C}"/>
            </c:ext>
          </c:extLst>
        </c:ser>
        <c:dLbls>
          <c:showLegendKey val="0"/>
          <c:showVal val="0"/>
          <c:showCatName val="0"/>
          <c:showSerName val="0"/>
          <c:showPercent val="0"/>
          <c:showBubbleSize val="0"/>
        </c:dLbls>
        <c:gapWidth val="50"/>
        <c:axId val="464188688"/>
        <c:axId val="464173296"/>
      </c:barChart>
      <c:lineChart>
        <c:grouping val="standard"/>
        <c:varyColors val="0"/>
        <c:ser>
          <c:idx val="1"/>
          <c:order val="1"/>
          <c:tx>
            <c:strRef>
              <c:f>'Ārējā tirdz'!$K$145</c:f>
              <c:strCache>
                <c:ptCount val="1"/>
                <c:pt idx="0">
                  <c:v>Preču eksports</c:v>
                </c:pt>
              </c:strCache>
            </c:strRef>
          </c:tx>
          <c:spPr>
            <a:ln w="34925" cap="rnd">
              <a:solidFill>
                <a:schemeClr val="accent2">
                  <a:lumMod val="60000"/>
                  <a:lumOff val="40000"/>
                </a:schemeClr>
              </a:solidFill>
              <a:round/>
            </a:ln>
            <a:effectLst/>
          </c:spPr>
          <c:marker>
            <c:symbol val="none"/>
          </c:marker>
          <c:cat>
            <c:multiLvlStrRef>
              <c:f>'Ārējā tirdz'!$A$158:$B$188</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2021</c:v>
                  </c:pt>
                  <c:pt idx="12">
                    <c:v>2022</c:v>
                  </c:pt>
                  <c:pt idx="24">
                    <c:v>2023</c:v>
                  </c:pt>
                </c:lvl>
              </c:multiLvlStrCache>
            </c:multiLvlStrRef>
          </c:cat>
          <c:val>
            <c:numRef>
              <c:f>'Ārējā tirdz'!$K$158:$K$188</c:f>
              <c:numCache>
                <c:formatCode>0</c:formatCode>
                <c:ptCount val="31"/>
                <c:pt idx="0">
                  <c:v>-2.6653502652207286</c:v>
                </c:pt>
                <c:pt idx="1">
                  <c:v>6.0754300756678603</c:v>
                </c:pt>
                <c:pt idx="2">
                  <c:v>20.125490331313934</c:v>
                </c:pt>
                <c:pt idx="3">
                  <c:v>32.555371796580005</c:v>
                </c:pt>
                <c:pt idx="4">
                  <c:v>36.151518285003782</c:v>
                </c:pt>
                <c:pt idx="5">
                  <c:v>30.002686626620989</c:v>
                </c:pt>
                <c:pt idx="6">
                  <c:v>25.467022559807873</c:v>
                </c:pt>
                <c:pt idx="7">
                  <c:v>32.140802161190365</c:v>
                </c:pt>
                <c:pt idx="8">
                  <c:v>24.205268191504224</c:v>
                </c:pt>
                <c:pt idx="9">
                  <c:v>18.634738876017849</c:v>
                </c:pt>
                <c:pt idx="10">
                  <c:v>29.806324215241887</c:v>
                </c:pt>
                <c:pt idx="11">
                  <c:v>34.174176840314487</c:v>
                </c:pt>
                <c:pt idx="12">
                  <c:v>41.634593211365136</c:v>
                </c:pt>
                <c:pt idx="13">
                  <c:v>34.243417008432786</c:v>
                </c:pt>
                <c:pt idx="14">
                  <c:v>39.866715604917417</c:v>
                </c:pt>
                <c:pt idx="15">
                  <c:v>38.878222332361773</c:v>
                </c:pt>
                <c:pt idx="16">
                  <c:v>42.768512869224566</c:v>
                </c:pt>
                <c:pt idx="17">
                  <c:v>31.22151240716607</c:v>
                </c:pt>
                <c:pt idx="18">
                  <c:v>20.694201830657533</c:v>
                </c:pt>
                <c:pt idx="19">
                  <c:v>34.532173970909525</c:v>
                </c:pt>
                <c:pt idx="20">
                  <c:v>32.825055502844243</c:v>
                </c:pt>
                <c:pt idx="21">
                  <c:v>19.071940690339144</c:v>
                </c:pt>
                <c:pt idx="22">
                  <c:v>21.424732281227467</c:v>
                </c:pt>
                <c:pt idx="23">
                  <c:v>9.6225830700343664</c:v>
                </c:pt>
                <c:pt idx="24">
                  <c:v>10.696555869386579</c:v>
                </c:pt>
                <c:pt idx="25">
                  <c:v>4.7588489404329355</c:v>
                </c:pt>
                <c:pt idx="26">
                  <c:v>0.28557989425211278</c:v>
                </c:pt>
                <c:pt idx="27">
                  <c:v>-10.510996140992338</c:v>
                </c:pt>
                <c:pt idx="28">
                  <c:v>-15.088143017035161</c:v>
                </c:pt>
                <c:pt idx="29">
                  <c:v>-13.03180321279196</c:v>
                </c:pt>
                <c:pt idx="30">
                  <c:v>-14.996418756328161</c:v>
                </c:pt>
              </c:numCache>
            </c:numRef>
          </c:val>
          <c:smooth val="0"/>
          <c:extLst>
            <c:ext xmlns:c16="http://schemas.microsoft.com/office/drawing/2014/chart" uri="{C3380CC4-5D6E-409C-BE32-E72D297353CC}">
              <c16:uniqueId val="{00000001-A52F-468D-9E0D-0CFA2FA9230C}"/>
            </c:ext>
          </c:extLst>
        </c:ser>
        <c:ser>
          <c:idx val="2"/>
          <c:order val="2"/>
          <c:tx>
            <c:strRef>
              <c:f>'Ārējā tirdz'!$L$145</c:f>
              <c:strCache>
                <c:ptCount val="1"/>
                <c:pt idx="0">
                  <c:v>Preču imports</c:v>
                </c:pt>
              </c:strCache>
            </c:strRef>
          </c:tx>
          <c:spPr>
            <a:ln w="34925" cap="rnd">
              <a:solidFill>
                <a:schemeClr val="accent1">
                  <a:lumMod val="60000"/>
                  <a:lumOff val="40000"/>
                </a:schemeClr>
              </a:solidFill>
              <a:round/>
            </a:ln>
            <a:effectLst/>
          </c:spPr>
          <c:marker>
            <c:symbol val="none"/>
          </c:marker>
          <c:cat>
            <c:multiLvlStrRef>
              <c:f>'Ārējā tirdz'!$A$158:$B$188</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2021</c:v>
                  </c:pt>
                  <c:pt idx="12">
                    <c:v>2022</c:v>
                  </c:pt>
                  <c:pt idx="24">
                    <c:v>2023</c:v>
                  </c:pt>
                </c:lvl>
              </c:multiLvlStrCache>
            </c:multiLvlStrRef>
          </c:cat>
          <c:val>
            <c:numRef>
              <c:f>'Ārējā tirdz'!$L$158:$L$188</c:f>
              <c:numCache>
                <c:formatCode>0</c:formatCode>
                <c:ptCount val="31"/>
                <c:pt idx="0">
                  <c:v>-3.068353387132384</c:v>
                </c:pt>
                <c:pt idx="1">
                  <c:v>2.5552758905771396</c:v>
                </c:pt>
                <c:pt idx="2">
                  <c:v>14.618691112219906</c:v>
                </c:pt>
                <c:pt idx="3">
                  <c:v>50.439379788421434</c:v>
                </c:pt>
                <c:pt idx="4">
                  <c:v>56.748792897242183</c:v>
                </c:pt>
                <c:pt idx="5">
                  <c:v>43.837806865322015</c:v>
                </c:pt>
                <c:pt idx="6">
                  <c:v>29.506491664765015</c:v>
                </c:pt>
                <c:pt idx="7">
                  <c:v>57.283644370748164</c:v>
                </c:pt>
                <c:pt idx="8">
                  <c:v>25.437298941013164</c:v>
                </c:pt>
                <c:pt idx="9">
                  <c:v>31.466421539258434</c:v>
                </c:pt>
                <c:pt idx="10">
                  <c:v>26.215179353185992</c:v>
                </c:pt>
                <c:pt idx="11">
                  <c:v>19.582888849663362</c:v>
                </c:pt>
                <c:pt idx="12">
                  <c:v>38.900075146338146</c:v>
                </c:pt>
                <c:pt idx="13">
                  <c:v>48.345427651954637</c:v>
                </c:pt>
                <c:pt idx="14">
                  <c:v>48.258175774290535</c:v>
                </c:pt>
                <c:pt idx="15">
                  <c:v>44.274565978176284</c:v>
                </c:pt>
                <c:pt idx="16">
                  <c:v>44.76354370342294</c:v>
                </c:pt>
                <c:pt idx="17">
                  <c:v>19.674272950571776</c:v>
                </c:pt>
                <c:pt idx="18">
                  <c:v>27.204072572917141</c:v>
                </c:pt>
                <c:pt idx="19">
                  <c:v>27.501917881202591</c:v>
                </c:pt>
                <c:pt idx="20">
                  <c:v>37.103633103891767</c:v>
                </c:pt>
                <c:pt idx="21">
                  <c:v>28.524904475960188</c:v>
                </c:pt>
                <c:pt idx="22">
                  <c:v>34.091232307701276</c:v>
                </c:pt>
                <c:pt idx="23">
                  <c:v>39.387500297964358</c:v>
                </c:pt>
                <c:pt idx="24">
                  <c:v>16.583087875673254</c:v>
                </c:pt>
                <c:pt idx="25">
                  <c:v>0.36802138703279391</c:v>
                </c:pt>
                <c:pt idx="26">
                  <c:v>-5.7972999947328114</c:v>
                </c:pt>
                <c:pt idx="27">
                  <c:v>-9.3854912969876967</c:v>
                </c:pt>
                <c:pt idx="28">
                  <c:v>-14.755232382180598</c:v>
                </c:pt>
                <c:pt idx="29">
                  <c:v>-4.3972049750780808</c:v>
                </c:pt>
                <c:pt idx="30">
                  <c:v>-19.588882635506806</c:v>
                </c:pt>
              </c:numCache>
            </c:numRef>
          </c:val>
          <c:smooth val="0"/>
          <c:extLst>
            <c:ext xmlns:c16="http://schemas.microsoft.com/office/drawing/2014/chart" uri="{C3380CC4-5D6E-409C-BE32-E72D297353CC}">
              <c16:uniqueId val="{00000002-A52F-468D-9E0D-0CFA2FA9230C}"/>
            </c:ext>
          </c:extLst>
        </c:ser>
        <c:dLbls>
          <c:showLegendKey val="0"/>
          <c:showVal val="0"/>
          <c:showCatName val="0"/>
          <c:showSerName val="0"/>
          <c:showPercent val="0"/>
          <c:showBubbleSize val="0"/>
        </c:dLbls>
        <c:marker val="1"/>
        <c:smooth val="0"/>
        <c:axId val="464174128"/>
        <c:axId val="464178704"/>
      </c:lineChart>
      <c:catAx>
        <c:axId val="46417412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464178704"/>
        <c:crosses val="autoZero"/>
        <c:auto val="1"/>
        <c:lblAlgn val="ctr"/>
        <c:lblOffset val="100"/>
        <c:noMultiLvlLbl val="0"/>
      </c:catAx>
      <c:valAx>
        <c:axId val="4641787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464174128"/>
        <c:crosses val="autoZero"/>
        <c:crossBetween val="between"/>
      </c:valAx>
      <c:valAx>
        <c:axId val="464173296"/>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464188688"/>
        <c:crosses val="max"/>
        <c:crossBetween val="between"/>
      </c:valAx>
      <c:catAx>
        <c:axId val="464188688"/>
        <c:scaling>
          <c:orientation val="minMax"/>
        </c:scaling>
        <c:delete val="1"/>
        <c:axPos val="b"/>
        <c:numFmt formatCode="General" sourceLinked="1"/>
        <c:majorTickMark val="out"/>
        <c:minorTickMark val="none"/>
        <c:tickLblPos val="nextTo"/>
        <c:crossAx val="464173296"/>
        <c:crosses val="autoZero"/>
        <c:auto val="1"/>
        <c:lblAlgn val="ctr"/>
        <c:lblOffset val="100"/>
        <c:noMultiLvlLbl val="0"/>
      </c:catAx>
      <c:spPr>
        <a:noFill/>
        <a:ln>
          <a:noFill/>
        </a:ln>
        <a:effectLst/>
      </c:spPr>
    </c:plotArea>
    <c:legend>
      <c:legendPos val="b"/>
      <c:layout>
        <c:manualLayout>
          <c:xMode val="edge"/>
          <c:yMode val="edge"/>
          <c:x val="4.3377483443708606E-2"/>
          <c:y val="0.94080091667646026"/>
          <c:w val="0.9"/>
          <c:h val="5.919908332353978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lv-LV"/>
    </a:p>
  </c:txPr>
  <c:externalData r:id="rId4">
    <c:autoUpdate val="0"/>
  </c:externalData>
  <c:userShapes r:id="rId5"/>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361714883132643"/>
          <c:y val="1.5492909468406001E-2"/>
          <c:w val="0.78138749369420746"/>
          <c:h val="0.58646580091667655"/>
        </c:manualLayout>
      </c:layout>
      <c:barChart>
        <c:barDir val="col"/>
        <c:grouping val="stacked"/>
        <c:varyColors val="0"/>
        <c:ser>
          <c:idx val="0"/>
          <c:order val="0"/>
          <c:tx>
            <c:strRef>
              <c:f>Pakalp_eksports_Q!$AF$7</c:f>
              <c:strCache>
                <c:ptCount val="1"/>
                <c:pt idx="0">
                  <c:v>Transporta pakalpojumi</c:v>
                </c:pt>
              </c:strCache>
            </c:strRef>
          </c:tx>
          <c:spPr>
            <a:solidFill>
              <a:schemeClr val="accent5">
                <a:lumMod val="60000"/>
                <a:lumOff val="40000"/>
              </a:schemeClr>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Pakalp_eksports_Q!$BU$7:$CD$7</c:f>
              <c:numCache>
                <c:formatCode>0</c:formatCode>
                <c:ptCount val="10"/>
                <c:pt idx="0" formatCode="General">
                  <c:v>352</c:v>
                </c:pt>
                <c:pt idx="1">
                  <c:v>370</c:v>
                </c:pt>
                <c:pt idx="2">
                  <c:v>418</c:v>
                </c:pt>
                <c:pt idx="3">
                  <c:v>458</c:v>
                </c:pt>
                <c:pt idx="4">
                  <c:v>443</c:v>
                </c:pt>
                <c:pt idx="5">
                  <c:v>569</c:v>
                </c:pt>
                <c:pt idx="6">
                  <c:v>662</c:v>
                </c:pt>
                <c:pt idx="7">
                  <c:v>660</c:v>
                </c:pt>
                <c:pt idx="8">
                  <c:v>503</c:v>
                </c:pt>
                <c:pt idx="9">
                  <c:v>612</c:v>
                </c:pt>
              </c:numCache>
            </c:numRef>
          </c:val>
          <c:extLst>
            <c:ext xmlns:c16="http://schemas.microsoft.com/office/drawing/2014/chart" uri="{C3380CC4-5D6E-409C-BE32-E72D297353CC}">
              <c16:uniqueId val="{00000000-7D44-4C60-9C53-B9C675CDBB0A}"/>
            </c:ext>
          </c:extLst>
        </c:ser>
        <c:ser>
          <c:idx val="1"/>
          <c:order val="1"/>
          <c:tx>
            <c:strRef>
              <c:f>Pakalp_eksports_Q!$AF$8</c:f>
              <c:strCache>
                <c:ptCount val="1"/>
                <c:pt idx="0">
                  <c:v>Braucieni</c:v>
                </c:pt>
              </c:strCache>
            </c:strRef>
          </c:tx>
          <c:spPr>
            <a:solidFill>
              <a:schemeClr val="accent2">
                <a:lumMod val="60000"/>
                <a:lumOff val="40000"/>
              </a:schemeClr>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Pakalp_eksports_Q!$BU$8:$CD$8</c:f>
              <c:numCache>
                <c:formatCode>0</c:formatCode>
                <c:ptCount val="10"/>
                <c:pt idx="0" formatCode="General">
                  <c:v>93</c:v>
                </c:pt>
                <c:pt idx="1">
                  <c:v>129</c:v>
                </c:pt>
                <c:pt idx="2">
                  <c:v>249</c:v>
                </c:pt>
                <c:pt idx="3">
                  <c:v>163</c:v>
                </c:pt>
                <c:pt idx="4">
                  <c:v>181</c:v>
                </c:pt>
                <c:pt idx="5">
                  <c:v>255</c:v>
                </c:pt>
                <c:pt idx="6">
                  <c:v>361</c:v>
                </c:pt>
                <c:pt idx="7">
                  <c:v>253</c:v>
                </c:pt>
                <c:pt idx="8">
                  <c:v>223</c:v>
                </c:pt>
                <c:pt idx="9">
                  <c:v>316</c:v>
                </c:pt>
              </c:numCache>
            </c:numRef>
          </c:val>
          <c:extLst>
            <c:ext xmlns:c16="http://schemas.microsoft.com/office/drawing/2014/chart" uri="{C3380CC4-5D6E-409C-BE32-E72D297353CC}">
              <c16:uniqueId val="{00000001-7D44-4C60-9C53-B9C675CDBB0A}"/>
            </c:ext>
          </c:extLst>
        </c:ser>
        <c:ser>
          <c:idx val="2"/>
          <c:order val="2"/>
          <c:tx>
            <c:strRef>
              <c:f>Pakalp_eksports_Q!$AF$9</c:f>
              <c:strCache>
                <c:ptCount val="1"/>
                <c:pt idx="0">
                  <c:v>Telesakaru un IT</c:v>
                </c:pt>
              </c:strCache>
            </c:strRef>
          </c:tx>
          <c:spPr>
            <a:solidFill>
              <a:schemeClr val="accent3"/>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Pakalp_eksports_Q!$BU$9:$CD$9</c:f>
              <c:numCache>
                <c:formatCode>0</c:formatCode>
                <c:ptCount val="10"/>
                <c:pt idx="0" formatCode="General">
                  <c:v>208</c:v>
                </c:pt>
                <c:pt idx="1">
                  <c:v>241</c:v>
                </c:pt>
                <c:pt idx="2">
                  <c:v>243</c:v>
                </c:pt>
                <c:pt idx="3">
                  <c:v>272</c:v>
                </c:pt>
                <c:pt idx="4">
                  <c:v>274</c:v>
                </c:pt>
                <c:pt idx="5">
                  <c:v>305</c:v>
                </c:pt>
                <c:pt idx="6">
                  <c:v>313</c:v>
                </c:pt>
                <c:pt idx="7">
                  <c:v>352</c:v>
                </c:pt>
                <c:pt idx="8">
                  <c:v>312</c:v>
                </c:pt>
                <c:pt idx="9">
                  <c:v>320</c:v>
                </c:pt>
              </c:numCache>
            </c:numRef>
          </c:val>
          <c:extLst>
            <c:ext xmlns:c16="http://schemas.microsoft.com/office/drawing/2014/chart" uri="{C3380CC4-5D6E-409C-BE32-E72D297353CC}">
              <c16:uniqueId val="{00000002-7D44-4C60-9C53-B9C675CDBB0A}"/>
            </c:ext>
          </c:extLst>
        </c:ser>
        <c:ser>
          <c:idx val="3"/>
          <c:order val="3"/>
          <c:tx>
            <c:strRef>
              <c:f>Pakalp_eksports_Q!$AF$10</c:f>
              <c:strCache>
                <c:ptCount val="1"/>
                <c:pt idx="0">
                  <c:v>Finanšu pakalpojumi</c:v>
                </c:pt>
              </c:strCache>
            </c:strRef>
          </c:tx>
          <c:spPr>
            <a:solidFill>
              <a:schemeClr val="accent4"/>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Pakalp_eksports_Q!$BU$10:$CD$10</c:f>
              <c:numCache>
                <c:formatCode>0</c:formatCode>
                <c:ptCount val="10"/>
                <c:pt idx="0" formatCode="General">
                  <c:v>42</c:v>
                </c:pt>
                <c:pt idx="1">
                  <c:v>33</c:v>
                </c:pt>
                <c:pt idx="2">
                  <c:v>45</c:v>
                </c:pt>
                <c:pt idx="3">
                  <c:v>65</c:v>
                </c:pt>
                <c:pt idx="4">
                  <c:v>42</c:v>
                </c:pt>
                <c:pt idx="5">
                  <c:v>49</c:v>
                </c:pt>
                <c:pt idx="6">
                  <c:v>81</c:v>
                </c:pt>
                <c:pt idx="7">
                  <c:v>36</c:v>
                </c:pt>
                <c:pt idx="8">
                  <c:v>35</c:v>
                </c:pt>
                <c:pt idx="9">
                  <c:v>51</c:v>
                </c:pt>
              </c:numCache>
            </c:numRef>
          </c:val>
          <c:extLst>
            <c:ext xmlns:c16="http://schemas.microsoft.com/office/drawing/2014/chart" uri="{C3380CC4-5D6E-409C-BE32-E72D297353CC}">
              <c16:uniqueId val="{00000003-7D44-4C60-9C53-B9C675CDBB0A}"/>
            </c:ext>
          </c:extLst>
        </c:ser>
        <c:ser>
          <c:idx val="4"/>
          <c:order val="4"/>
          <c:tx>
            <c:strRef>
              <c:f>Pakalp_eksports_Q!$AF$11</c:f>
              <c:strCache>
                <c:ptCount val="1"/>
                <c:pt idx="0">
                  <c:v>Būvniecība</c:v>
                </c:pt>
              </c:strCache>
            </c:strRef>
          </c:tx>
          <c:spPr>
            <a:solidFill>
              <a:schemeClr val="accent5"/>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Pakalp_eksports_Q!$BU$11:$CD$11</c:f>
              <c:numCache>
                <c:formatCode>0</c:formatCode>
                <c:ptCount val="10"/>
                <c:pt idx="0" formatCode="General">
                  <c:v>85</c:v>
                </c:pt>
                <c:pt idx="1">
                  <c:v>84</c:v>
                </c:pt>
                <c:pt idx="2">
                  <c:v>90</c:v>
                </c:pt>
                <c:pt idx="3">
                  <c:v>114</c:v>
                </c:pt>
                <c:pt idx="4">
                  <c:v>69</c:v>
                </c:pt>
                <c:pt idx="5">
                  <c:v>70</c:v>
                </c:pt>
                <c:pt idx="6">
                  <c:v>93</c:v>
                </c:pt>
                <c:pt idx="7">
                  <c:v>97</c:v>
                </c:pt>
                <c:pt idx="8">
                  <c:v>71</c:v>
                </c:pt>
                <c:pt idx="9">
                  <c:v>93</c:v>
                </c:pt>
              </c:numCache>
            </c:numRef>
          </c:val>
          <c:extLst>
            <c:ext xmlns:c16="http://schemas.microsoft.com/office/drawing/2014/chart" uri="{C3380CC4-5D6E-409C-BE32-E72D297353CC}">
              <c16:uniqueId val="{00000004-7D44-4C60-9C53-B9C675CDBB0A}"/>
            </c:ext>
          </c:extLst>
        </c:ser>
        <c:ser>
          <c:idx val="5"/>
          <c:order val="5"/>
          <c:tx>
            <c:strRef>
              <c:f>Pakalp_eksports_Q!$AF$12</c:f>
              <c:strCache>
                <c:ptCount val="1"/>
                <c:pt idx="0">
                  <c:v>Citi pakalpojumi</c:v>
                </c:pt>
              </c:strCache>
            </c:strRef>
          </c:tx>
          <c:spPr>
            <a:solidFill>
              <a:schemeClr val="accent6">
                <a:lumMod val="60000"/>
                <a:lumOff val="40000"/>
              </a:schemeClr>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Pakalp_eksports_Q!$BU$12:$CD$12</c:f>
              <c:numCache>
                <c:formatCode>0</c:formatCode>
                <c:ptCount val="10"/>
                <c:pt idx="0">
                  <c:v>335</c:v>
                </c:pt>
                <c:pt idx="1">
                  <c:v>378</c:v>
                </c:pt>
                <c:pt idx="2">
                  <c:v>390</c:v>
                </c:pt>
                <c:pt idx="3">
                  <c:v>469</c:v>
                </c:pt>
                <c:pt idx="4">
                  <c:v>456</c:v>
                </c:pt>
                <c:pt idx="5">
                  <c:v>504</c:v>
                </c:pt>
                <c:pt idx="6">
                  <c:v>539</c:v>
                </c:pt>
                <c:pt idx="7">
                  <c:v>577</c:v>
                </c:pt>
                <c:pt idx="8">
                  <c:v>530</c:v>
                </c:pt>
                <c:pt idx="9">
                  <c:v>550</c:v>
                </c:pt>
              </c:numCache>
            </c:numRef>
          </c:val>
          <c:extLst>
            <c:ext xmlns:c16="http://schemas.microsoft.com/office/drawing/2014/chart" uri="{C3380CC4-5D6E-409C-BE32-E72D297353CC}">
              <c16:uniqueId val="{00000005-7D44-4C60-9C53-B9C675CDBB0A}"/>
            </c:ext>
          </c:extLst>
        </c:ser>
        <c:dLbls>
          <c:showLegendKey val="0"/>
          <c:showVal val="0"/>
          <c:showCatName val="0"/>
          <c:showSerName val="0"/>
          <c:showPercent val="0"/>
          <c:showBubbleSize val="0"/>
        </c:dLbls>
        <c:gapWidth val="50"/>
        <c:overlap val="100"/>
        <c:axId val="493465056"/>
        <c:axId val="493457184"/>
      </c:barChart>
      <c:catAx>
        <c:axId val="49346505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493457184"/>
        <c:crosses val="autoZero"/>
        <c:auto val="1"/>
        <c:lblAlgn val="ctr"/>
        <c:lblOffset val="100"/>
        <c:noMultiLvlLbl val="0"/>
      </c:catAx>
      <c:valAx>
        <c:axId val="493457184"/>
        <c:scaling>
          <c:orientation val="minMax"/>
          <c:max val="22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493465056"/>
        <c:crosses val="autoZero"/>
        <c:crossBetween val="between"/>
        <c:majorUnit val="300"/>
      </c:valAx>
      <c:spPr>
        <a:noFill/>
        <a:ln>
          <a:noFill/>
        </a:ln>
        <a:effectLst/>
      </c:spPr>
    </c:plotArea>
    <c:legend>
      <c:legendPos val="b"/>
      <c:layout>
        <c:manualLayout>
          <c:xMode val="edge"/>
          <c:yMode val="edge"/>
          <c:x val="0.1419029968050651"/>
          <c:y val="0.73080635209777878"/>
          <c:w val="0.74272032831156221"/>
          <c:h val="0.2669553316096681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047467405982008E-2"/>
          <c:y val="3.5800721539021106E-2"/>
          <c:w val="0.85023326793886478"/>
          <c:h val="0.56436909571696781"/>
        </c:manualLayout>
      </c:layout>
      <c:barChart>
        <c:barDir val="col"/>
        <c:grouping val="stacked"/>
        <c:varyColors val="0"/>
        <c:ser>
          <c:idx val="0"/>
          <c:order val="0"/>
          <c:tx>
            <c:strRef>
              <c:f>Pakalp_eksports_Q!$AK$35</c:f>
              <c:strCache>
                <c:ptCount val="1"/>
                <c:pt idx="0">
                  <c:v>Transporta pakalpojumi</c:v>
                </c:pt>
              </c:strCache>
            </c:strRef>
          </c:tx>
          <c:spPr>
            <a:solidFill>
              <a:schemeClr val="accent5">
                <a:lumMod val="60000"/>
                <a:lumOff val="40000"/>
              </a:schemeClr>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Pakalp_eksports_Q!$BU$35:$CD$35</c:f>
              <c:numCache>
                <c:formatCode>0.0</c:formatCode>
                <c:ptCount val="10"/>
                <c:pt idx="0">
                  <c:v>-4.700162074554294</c:v>
                </c:pt>
                <c:pt idx="1">
                  <c:v>6.0129509713228488</c:v>
                </c:pt>
                <c:pt idx="2">
                  <c:v>6.1698717948717938</c:v>
                </c:pt>
                <c:pt idx="3">
                  <c:v>6.4112587959343239</c:v>
                </c:pt>
                <c:pt idx="4">
                  <c:v>8.1614349775784749</c:v>
                </c:pt>
                <c:pt idx="5">
                  <c:v>16.113360323886639</c:v>
                </c:pt>
                <c:pt idx="6">
                  <c:v>17.003484320557494</c:v>
                </c:pt>
                <c:pt idx="7">
                  <c:v>13.108371187540557</c:v>
                </c:pt>
                <c:pt idx="8">
                  <c:v>4.0955631399317403</c:v>
                </c:pt>
                <c:pt idx="9">
                  <c:v>2.4543378995433787</c:v>
                </c:pt>
              </c:numCache>
            </c:numRef>
          </c:val>
          <c:extLst>
            <c:ext xmlns:c16="http://schemas.microsoft.com/office/drawing/2014/chart" uri="{C3380CC4-5D6E-409C-BE32-E72D297353CC}">
              <c16:uniqueId val="{00000000-1607-4A74-8B57-4E8125286A22}"/>
            </c:ext>
          </c:extLst>
        </c:ser>
        <c:ser>
          <c:idx val="1"/>
          <c:order val="1"/>
          <c:tx>
            <c:strRef>
              <c:f>Pakalp_eksports_Q!$AK$36</c:f>
              <c:strCache>
                <c:ptCount val="1"/>
                <c:pt idx="0">
                  <c:v>Braucieni</c:v>
                </c:pt>
              </c:strCache>
            </c:strRef>
          </c:tx>
          <c:spPr>
            <a:solidFill>
              <a:schemeClr val="accent2">
                <a:lumMod val="60000"/>
                <a:lumOff val="40000"/>
              </a:schemeClr>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Pakalp_eksports_Q!$BU$36:$CD$36</c:f>
              <c:numCache>
                <c:formatCode>0.0</c:formatCode>
                <c:ptCount val="10"/>
                <c:pt idx="0">
                  <c:v>-8.5089141004862245</c:v>
                </c:pt>
                <c:pt idx="1">
                  <c:v>0.83256244218316366</c:v>
                </c:pt>
                <c:pt idx="2">
                  <c:v>0.64102564102564108</c:v>
                </c:pt>
                <c:pt idx="3">
                  <c:v>1.7982799061767005</c:v>
                </c:pt>
                <c:pt idx="4">
                  <c:v>7.8923766816143495</c:v>
                </c:pt>
                <c:pt idx="5">
                  <c:v>10.202429149797569</c:v>
                </c:pt>
                <c:pt idx="6">
                  <c:v>7.8048780487804876</c:v>
                </c:pt>
                <c:pt idx="7">
                  <c:v>5.8403634003893581</c:v>
                </c:pt>
                <c:pt idx="8">
                  <c:v>2.8668941979522184</c:v>
                </c:pt>
                <c:pt idx="9">
                  <c:v>3.4817351598173518</c:v>
                </c:pt>
              </c:numCache>
            </c:numRef>
          </c:val>
          <c:extLst>
            <c:ext xmlns:c16="http://schemas.microsoft.com/office/drawing/2014/chart" uri="{C3380CC4-5D6E-409C-BE32-E72D297353CC}">
              <c16:uniqueId val="{00000001-1607-4A74-8B57-4E8125286A22}"/>
            </c:ext>
          </c:extLst>
        </c:ser>
        <c:ser>
          <c:idx val="2"/>
          <c:order val="2"/>
          <c:tx>
            <c:strRef>
              <c:f>Pakalp_eksports_Q!$AK$37</c:f>
              <c:strCache>
                <c:ptCount val="1"/>
                <c:pt idx="0">
                  <c:v>Telesakaru un IT</c:v>
                </c:pt>
              </c:strCache>
            </c:strRef>
          </c:tx>
          <c:spPr>
            <a:solidFill>
              <a:schemeClr val="accent3"/>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Pakalp_eksports_Q!$BU$37:$CD$37</c:f>
              <c:numCache>
                <c:formatCode>0.0</c:formatCode>
                <c:ptCount val="10"/>
                <c:pt idx="0">
                  <c:v>8.1037277147487846E-2</c:v>
                </c:pt>
                <c:pt idx="1">
                  <c:v>3.0527289546716001</c:v>
                </c:pt>
                <c:pt idx="2">
                  <c:v>3.125</c:v>
                </c:pt>
                <c:pt idx="3">
                  <c:v>2.7365129007036746</c:v>
                </c:pt>
                <c:pt idx="4">
                  <c:v>5.9192825112107625</c:v>
                </c:pt>
                <c:pt idx="5">
                  <c:v>5.1821862348178138</c:v>
                </c:pt>
                <c:pt idx="6">
                  <c:v>4.8780487804878057</c:v>
                </c:pt>
                <c:pt idx="7">
                  <c:v>5.1914341336794294</c:v>
                </c:pt>
                <c:pt idx="8">
                  <c:v>2.5938566552901023</c:v>
                </c:pt>
                <c:pt idx="9">
                  <c:v>0.85616438356164393</c:v>
                </c:pt>
              </c:numCache>
            </c:numRef>
          </c:val>
          <c:extLst>
            <c:ext xmlns:c16="http://schemas.microsoft.com/office/drawing/2014/chart" uri="{C3380CC4-5D6E-409C-BE32-E72D297353CC}">
              <c16:uniqueId val="{00000002-1607-4A74-8B57-4E8125286A22}"/>
            </c:ext>
          </c:extLst>
        </c:ser>
        <c:ser>
          <c:idx val="3"/>
          <c:order val="3"/>
          <c:tx>
            <c:strRef>
              <c:f>Pakalp_eksports_Q!$AK$38</c:f>
              <c:strCache>
                <c:ptCount val="1"/>
                <c:pt idx="0">
                  <c:v>Finanšu pakalpojumi</c:v>
                </c:pt>
              </c:strCache>
            </c:strRef>
          </c:tx>
          <c:spPr>
            <a:solidFill>
              <a:schemeClr val="accent4"/>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Pakalp_eksports_Q!$BU$38:$CD$38</c:f>
              <c:numCache>
                <c:formatCode>0.0</c:formatCode>
                <c:ptCount val="10"/>
                <c:pt idx="0">
                  <c:v>0.32414910858995133</c:v>
                </c:pt>
                <c:pt idx="1">
                  <c:v>-0.27752081406105455</c:v>
                </c:pt>
                <c:pt idx="2">
                  <c:v>0.56089743589743579</c:v>
                </c:pt>
                <c:pt idx="3">
                  <c:v>2.5019546520719311</c:v>
                </c:pt>
                <c:pt idx="4">
                  <c:v>0</c:v>
                </c:pt>
                <c:pt idx="5">
                  <c:v>1.2955465587044535</c:v>
                </c:pt>
                <c:pt idx="6">
                  <c:v>2.508710801393728</c:v>
                </c:pt>
                <c:pt idx="7">
                  <c:v>-1.8818948734587932</c:v>
                </c:pt>
                <c:pt idx="8">
                  <c:v>-0.47781569965870302</c:v>
                </c:pt>
                <c:pt idx="9">
                  <c:v>0.11415525114155251</c:v>
                </c:pt>
              </c:numCache>
            </c:numRef>
          </c:val>
          <c:extLst>
            <c:ext xmlns:c16="http://schemas.microsoft.com/office/drawing/2014/chart" uri="{C3380CC4-5D6E-409C-BE32-E72D297353CC}">
              <c16:uniqueId val="{00000003-1607-4A74-8B57-4E8125286A22}"/>
            </c:ext>
          </c:extLst>
        </c:ser>
        <c:ser>
          <c:idx val="4"/>
          <c:order val="4"/>
          <c:tx>
            <c:strRef>
              <c:f>Pakalp_eksports_Q!$AK$39</c:f>
              <c:strCache>
                <c:ptCount val="1"/>
                <c:pt idx="0">
                  <c:v>Būvniecība</c:v>
                </c:pt>
              </c:strCache>
            </c:strRef>
          </c:tx>
          <c:spPr>
            <a:solidFill>
              <a:schemeClr val="accent5"/>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Pakalp_eksports_Q!$BU$39:$CD$39</c:f>
              <c:numCache>
                <c:formatCode>0.0</c:formatCode>
                <c:ptCount val="10"/>
                <c:pt idx="0">
                  <c:v>0.64829821717990277</c:v>
                </c:pt>
                <c:pt idx="1">
                  <c:v>-0.74005550416281218</c:v>
                </c:pt>
                <c:pt idx="2">
                  <c:v>0.16025641025641027</c:v>
                </c:pt>
                <c:pt idx="3">
                  <c:v>0.46911649726348709</c:v>
                </c:pt>
                <c:pt idx="4">
                  <c:v>-1.4349775784753362</c:v>
                </c:pt>
                <c:pt idx="5">
                  <c:v>-1.1336032388663966</c:v>
                </c:pt>
                <c:pt idx="6">
                  <c:v>0.20905923344947736</c:v>
                </c:pt>
                <c:pt idx="7">
                  <c:v>-1.1031797534068786</c:v>
                </c:pt>
                <c:pt idx="8">
                  <c:v>0.13651877133105803</c:v>
                </c:pt>
                <c:pt idx="9">
                  <c:v>1.3127853881278537</c:v>
                </c:pt>
              </c:numCache>
            </c:numRef>
          </c:val>
          <c:extLst>
            <c:ext xmlns:c16="http://schemas.microsoft.com/office/drawing/2014/chart" uri="{C3380CC4-5D6E-409C-BE32-E72D297353CC}">
              <c16:uniqueId val="{00000004-1607-4A74-8B57-4E8125286A22}"/>
            </c:ext>
          </c:extLst>
        </c:ser>
        <c:ser>
          <c:idx val="5"/>
          <c:order val="5"/>
          <c:tx>
            <c:strRef>
              <c:f>Pakalp_eksports_Q!$AK$40</c:f>
              <c:strCache>
                <c:ptCount val="1"/>
                <c:pt idx="0">
                  <c:v>Citi pakalpojumi</c:v>
                </c:pt>
              </c:strCache>
            </c:strRef>
          </c:tx>
          <c:spPr>
            <a:solidFill>
              <a:schemeClr val="accent6">
                <a:lumMod val="60000"/>
                <a:lumOff val="40000"/>
              </a:schemeClr>
            </a:solidFill>
            <a:ln>
              <a:noFill/>
            </a:ln>
            <a:effectLst/>
          </c:spPr>
          <c:invertIfNegative val="0"/>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Pakalp_eksports_Q!$BU$40:$CD$40</c:f>
              <c:numCache>
                <c:formatCode>0.0</c:formatCode>
                <c:ptCount val="10"/>
                <c:pt idx="0">
                  <c:v>2.5121555915721232</c:v>
                </c:pt>
                <c:pt idx="1">
                  <c:v>5.3654024051803884</c:v>
                </c:pt>
                <c:pt idx="2">
                  <c:v>4.3269230769230775</c:v>
                </c:pt>
                <c:pt idx="3">
                  <c:v>6.5676309616888187</c:v>
                </c:pt>
                <c:pt idx="4">
                  <c:v>10.852017937219731</c:v>
                </c:pt>
                <c:pt idx="5">
                  <c:v>10.202429149797569</c:v>
                </c:pt>
                <c:pt idx="6">
                  <c:v>10.383275261324041</c:v>
                </c:pt>
                <c:pt idx="7">
                  <c:v>7.008436080467229</c:v>
                </c:pt>
                <c:pt idx="8">
                  <c:v>5.0511945392491464</c:v>
                </c:pt>
                <c:pt idx="9">
                  <c:v>2.6255707762557075</c:v>
                </c:pt>
              </c:numCache>
            </c:numRef>
          </c:val>
          <c:extLst>
            <c:ext xmlns:c16="http://schemas.microsoft.com/office/drawing/2014/chart" uri="{C3380CC4-5D6E-409C-BE32-E72D297353CC}">
              <c16:uniqueId val="{00000005-1607-4A74-8B57-4E8125286A22}"/>
            </c:ext>
          </c:extLst>
        </c:ser>
        <c:dLbls>
          <c:showLegendKey val="0"/>
          <c:showVal val="0"/>
          <c:showCatName val="0"/>
          <c:showSerName val="0"/>
          <c:showPercent val="0"/>
          <c:showBubbleSize val="0"/>
        </c:dLbls>
        <c:gapWidth val="50"/>
        <c:overlap val="100"/>
        <c:axId val="348099048"/>
        <c:axId val="348099440"/>
      </c:barChart>
      <c:lineChart>
        <c:grouping val="standard"/>
        <c:varyColors val="0"/>
        <c:ser>
          <c:idx val="6"/>
          <c:order val="6"/>
          <c:tx>
            <c:strRef>
              <c:f>Pakalp_eksports_Q!$AK$41</c:f>
              <c:strCache>
                <c:ptCount val="1"/>
                <c:pt idx="0">
                  <c:v>Kopējais pieaugums</c:v>
                </c:pt>
              </c:strCache>
            </c:strRef>
          </c:tx>
          <c:spPr>
            <a:ln w="28575" cap="rnd">
              <a:solidFill>
                <a:schemeClr val="accent1">
                  <a:lumMod val="60000"/>
                </a:schemeClr>
              </a:solidFill>
              <a:round/>
            </a:ln>
            <a:effectLst/>
          </c:spPr>
          <c:marker>
            <c:symbol val="none"/>
          </c:marker>
          <c:cat>
            <c:multiLvlStrRef>
              <c:f>Pakalp_eksports_Q!$BU$5:$CD$6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Pakalp_eksports_Q!$BU$41:$CD$41</c:f>
              <c:numCache>
                <c:formatCode>0.0</c:formatCode>
                <c:ptCount val="10"/>
                <c:pt idx="0">
                  <c:v>-9.6434359805510539</c:v>
                </c:pt>
                <c:pt idx="1">
                  <c:v>14.246068455134134</c:v>
                </c:pt>
                <c:pt idx="2">
                  <c:v>14.983974358974358</c:v>
                </c:pt>
                <c:pt idx="3">
                  <c:v>20.484753713838934</c:v>
                </c:pt>
                <c:pt idx="4">
                  <c:v>31.390134529147982</c:v>
                </c:pt>
                <c:pt idx="5">
                  <c:v>41.862348178137644</c:v>
                </c:pt>
                <c:pt idx="6">
                  <c:v>42.78745644599303</c:v>
                </c:pt>
                <c:pt idx="7">
                  <c:v>28.163530175210902</c:v>
                </c:pt>
                <c:pt idx="8">
                  <c:v>14.266211604095563</c:v>
                </c:pt>
                <c:pt idx="9">
                  <c:v>10.844748858447488</c:v>
                </c:pt>
              </c:numCache>
            </c:numRef>
          </c:val>
          <c:smooth val="0"/>
          <c:extLst>
            <c:ext xmlns:c16="http://schemas.microsoft.com/office/drawing/2014/chart" uri="{C3380CC4-5D6E-409C-BE32-E72D297353CC}">
              <c16:uniqueId val="{00000006-1607-4A74-8B57-4E8125286A22}"/>
            </c:ext>
          </c:extLst>
        </c:ser>
        <c:dLbls>
          <c:showLegendKey val="0"/>
          <c:showVal val="0"/>
          <c:showCatName val="0"/>
          <c:showSerName val="0"/>
          <c:showPercent val="0"/>
          <c:showBubbleSize val="0"/>
        </c:dLbls>
        <c:marker val="1"/>
        <c:smooth val="0"/>
        <c:axId val="348099048"/>
        <c:axId val="348099440"/>
      </c:lineChart>
      <c:catAx>
        <c:axId val="34809904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vert="horz"/>
          <a:lstStyle/>
          <a:p>
            <a:pPr>
              <a:defRPr/>
            </a:pPr>
            <a:endParaRPr lang="lv-LV"/>
          </a:p>
        </c:txPr>
        <c:crossAx val="348099440"/>
        <c:crosses val="autoZero"/>
        <c:auto val="1"/>
        <c:lblAlgn val="ctr"/>
        <c:lblOffset val="100"/>
        <c:noMultiLvlLbl val="0"/>
      </c:catAx>
      <c:valAx>
        <c:axId val="348099440"/>
        <c:scaling>
          <c:orientation val="minMax"/>
          <c:max val="45"/>
          <c:min val="-15"/>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lv-LV"/>
          </a:p>
        </c:txPr>
        <c:crossAx val="348099048"/>
        <c:crosses val="autoZero"/>
        <c:crossBetween val="between"/>
        <c:majorUnit val="5"/>
      </c:valAx>
      <c:spPr>
        <a:noFill/>
        <a:ln w="25400">
          <a:noFill/>
        </a:ln>
      </c:spPr>
    </c:plotArea>
    <c:legend>
      <c:legendPos val="b"/>
      <c:layout>
        <c:manualLayout>
          <c:xMode val="edge"/>
          <c:yMode val="edge"/>
          <c:x val="0.16519034059075574"/>
          <c:y val="0.70518906072468734"/>
          <c:w val="0.70124344350789436"/>
          <c:h val="0.29235446467112214"/>
        </c:manualLayout>
      </c:layout>
      <c:overlay val="0"/>
      <c:spPr>
        <a:noFill/>
        <a:ln>
          <a:noFill/>
        </a:ln>
        <a:effectLst/>
      </c:spPr>
      <c:txPr>
        <a:bodyPr rot="0" vert="horz"/>
        <a:lstStyle/>
        <a:p>
          <a:pPr>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1"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v-LV" sz="900" i="1">
                <a:solidFill>
                  <a:sysClr val="windowText" lastClr="000000"/>
                </a:solidFill>
              </a:rPr>
              <a:t>milj. euro</a:t>
            </a:r>
          </a:p>
        </c:rich>
      </c:tx>
      <c:layout>
        <c:manualLayout>
          <c:xMode val="edge"/>
          <c:yMode val="edge"/>
          <c:x val="1.7082118878786561E-3"/>
          <c:y val="1.659885834506444E-3"/>
        </c:manualLayout>
      </c:layout>
      <c:overlay val="0"/>
      <c:spPr>
        <a:noFill/>
        <a:ln>
          <a:noFill/>
        </a:ln>
        <a:effectLst/>
      </c:spPr>
      <c:txPr>
        <a:bodyPr rot="0" spcFirstLastPara="1" vertOverflow="ellipsis" vert="horz" wrap="square" anchor="ctr" anchorCtr="1"/>
        <a:lstStyle/>
        <a:p>
          <a:pPr>
            <a:defRPr sz="900" b="0" i="1"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title>
    <c:autoTitleDeleted val="0"/>
    <c:plotArea>
      <c:layout>
        <c:manualLayout>
          <c:layoutTarget val="inner"/>
          <c:xMode val="edge"/>
          <c:yMode val="edge"/>
          <c:x val="0.16183640028421861"/>
          <c:y val="8.3971969122720175E-2"/>
          <c:w val="0.70397434781978219"/>
          <c:h val="0.57012618019997019"/>
        </c:manualLayout>
      </c:layout>
      <c:barChart>
        <c:barDir val="col"/>
        <c:grouping val="stacked"/>
        <c:varyColors val="0"/>
        <c:ser>
          <c:idx val="0"/>
          <c:order val="0"/>
          <c:tx>
            <c:strRef>
              <c:f>'Tekošais konts_Y'!$B$4</c:f>
              <c:strCache>
                <c:ptCount val="1"/>
                <c:pt idx="0">
                  <c:v>Preces</c:v>
                </c:pt>
              </c:strCache>
            </c:strRef>
          </c:tx>
          <c:spPr>
            <a:solidFill>
              <a:schemeClr val="accent1"/>
            </a:solidFill>
            <a:ln>
              <a:noFill/>
            </a:ln>
            <a:effectLst/>
          </c:spPr>
          <c:invertIfNegative val="0"/>
          <c:cat>
            <c:numRef>
              <c:f>'Tekošais konts_Y'!$P$2:$T$2</c:f>
              <c:numCache>
                <c:formatCode>General</c:formatCode>
                <c:ptCount val="5"/>
                <c:pt idx="0">
                  <c:v>2018</c:v>
                </c:pt>
                <c:pt idx="1">
                  <c:v>2019</c:v>
                </c:pt>
                <c:pt idx="2">
                  <c:v>2020</c:v>
                </c:pt>
                <c:pt idx="3">
                  <c:v>2021</c:v>
                </c:pt>
                <c:pt idx="4">
                  <c:v>2022</c:v>
                </c:pt>
              </c:numCache>
            </c:numRef>
          </c:cat>
          <c:val>
            <c:numRef>
              <c:f>'Tekošais konts_Y'!$P$4:$T$4</c:f>
              <c:numCache>
                <c:formatCode>General</c:formatCode>
                <c:ptCount val="5"/>
                <c:pt idx="0">
                  <c:v>-2501</c:v>
                </c:pt>
                <c:pt idx="1">
                  <c:v>-2639</c:v>
                </c:pt>
                <c:pt idx="2">
                  <c:v>-1544</c:v>
                </c:pt>
                <c:pt idx="3">
                  <c:v>-2756</c:v>
                </c:pt>
                <c:pt idx="4">
                  <c:v>-4093</c:v>
                </c:pt>
              </c:numCache>
            </c:numRef>
          </c:val>
          <c:extLst>
            <c:ext xmlns:c16="http://schemas.microsoft.com/office/drawing/2014/chart" uri="{C3380CC4-5D6E-409C-BE32-E72D297353CC}">
              <c16:uniqueId val="{00000000-BA52-447B-854B-A4D3B52899E2}"/>
            </c:ext>
          </c:extLst>
        </c:ser>
        <c:ser>
          <c:idx val="1"/>
          <c:order val="1"/>
          <c:tx>
            <c:strRef>
              <c:f>'Tekošais konts_Y'!$B$5</c:f>
              <c:strCache>
                <c:ptCount val="1"/>
                <c:pt idx="0">
                  <c:v>Pakalpojumi</c:v>
                </c:pt>
              </c:strCache>
            </c:strRef>
          </c:tx>
          <c:spPr>
            <a:solidFill>
              <a:schemeClr val="accent2"/>
            </a:solidFill>
            <a:ln>
              <a:noFill/>
            </a:ln>
            <a:effectLst/>
          </c:spPr>
          <c:invertIfNegative val="0"/>
          <c:cat>
            <c:numRef>
              <c:f>'Tekošais konts_Y'!$P$2:$T$2</c:f>
              <c:numCache>
                <c:formatCode>General</c:formatCode>
                <c:ptCount val="5"/>
                <c:pt idx="0">
                  <c:v>2018</c:v>
                </c:pt>
                <c:pt idx="1">
                  <c:v>2019</c:v>
                </c:pt>
                <c:pt idx="2">
                  <c:v>2020</c:v>
                </c:pt>
                <c:pt idx="3">
                  <c:v>2021</c:v>
                </c:pt>
                <c:pt idx="4">
                  <c:v>2022</c:v>
                </c:pt>
              </c:numCache>
            </c:numRef>
          </c:cat>
          <c:val>
            <c:numRef>
              <c:f>'Tekošais konts_Y'!$P$5:$T$5</c:f>
              <c:numCache>
                <c:formatCode>General</c:formatCode>
                <c:ptCount val="5"/>
                <c:pt idx="0">
                  <c:v>2296</c:v>
                </c:pt>
                <c:pt idx="1">
                  <c:v>2425</c:v>
                </c:pt>
                <c:pt idx="2">
                  <c:v>1937</c:v>
                </c:pt>
                <c:pt idx="3">
                  <c:v>1705</c:v>
                </c:pt>
                <c:pt idx="4">
                  <c:v>2332</c:v>
                </c:pt>
              </c:numCache>
            </c:numRef>
          </c:val>
          <c:extLst>
            <c:ext xmlns:c16="http://schemas.microsoft.com/office/drawing/2014/chart" uri="{C3380CC4-5D6E-409C-BE32-E72D297353CC}">
              <c16:uniqueId val="{00000001-BA52-447B-854B-A4D3B52899E2}"/>
            </c:ext>
          </c:extLst>
        </c:ser>
        <c:ser>
          <c:idx val="2"/>
          <c:order val="2"/>
          <c:tx>
            <c:strRef>
              <c:f>'Tekošais konts_Y'!$B$6</c:f>
              <c:strCache>
                <c:ptCount val="1"/>
                <c:pt idx="0">
                  <c:v>Sākotnējie ienākumi</c:v>
                </c:pt>
              </c:strCache>
            </c:strRef>
          </c:tx>
          <c:spPr>
            <a:solidFill>
              <a:schemeClr val="accent3"/>
            </a:solidFill>
            <a:ln>
              <a:noFill/>
            </a:ln>
            <a:effectLst/>
          </c:spPr>
          <c:invertIfNegative val="0"/>
          <c:cat>
            <c:numRef>
              <c:f>'Tekošais konts_Y'!$P$2:$T$2</c:f>
              <c:numCache>
                <c:formatCode>General</c:formatCode>
                <c:ptCount val="5"/>
                <c:pt idx="0">
                  <c:v>2018</c:v>
                </c:pt>
                <c:pt idx="1">
                  <c:v>2019</c:v>
                </c:pt>
                <c:pt idx="2">
                  <c:v>2020</c:v>
                </c:pt>
                <c:pt idx="3">
                  <c:v>2021</c:v>
                </c:pt>
                <c:pt idx="4">
                  <c:v>2022</c:v>
                </c:pt>
              </c:numCache>
            </c:numRef>
          </c:cat>
          <c:val>
            <c:numRef>
              <c:f>'Tekošais konts_Y'!$P$6:$T$6</c:f>
              <c:numCache>
                <c:formatCode>General</c:formatCode>
                <c:ptCount val="5"/>
                <c:pt idx="0">
                  <c:v>-463</c:v>
                </c:pt>
                <c:pt idx="1">
                  <c:v>-445</c:v>
                </c:pt>
                <c:pt idx="2">
                  <c:v>-5</c:v>
                </c:pt>
                <c:pt idx="3">
                  <c:v>-619</c:v>
                </c:pt>
                <c:pt idx="4">
                  <c:v>-577</c:v>
                </c:pt>
              </c:numCache>
            </c:numRef>
          </c:val>
          <c:extLst>
            <c:ext xmlns:c16="http://schemas.microsoft.com/office/drawing/2014/chart" uri="{C3380CC4-5D6E-409C-BE32-E72D297353CC}">
              <c16:uniqueId val="{00000002-BA52-447B-854B-A4D3B52899E2}"/>
            </c:ext>
          </c:extLst>
        </c:ser>
        <c:ser>
          <c:idx val="3"/>
          <c:order val="3"/>
          <c:tx>
            <c:strRef>
              <c:f>'Tekošais konts_Y'!$B$7</c:f>
              <c:strCache>
                <c:ptCount val="1"/>
                <c:pt idx="0">
                  <c:v>Otrreizējie ienākumi</c:v>
                </c:pt>
              </c:strCache>
            </c:strRef>
          </c:tx>
          <c:spPr>
            <a:solidFill>
              <a:schemeClr val="accent4"/>
            </a:solidFill>
            <a:ln>
              <a:noFill/>
            </a:ln>
            <a:effectLst/>
          </c:spPr>
          <c:invertIfNegative val="0"/>
          <c:cat>
            <c:numRef>
              <c:f>'Tekošais konts_Y'!$P$2:$T$2</c:f>
              <c:numCache>
                <c:formatCode>General</c:formatCode>
                <c:ptCount val="5"/>
                <c:pt idx="0">
                  <c:v>2018</c:v>
                </c:pt>
                <c:pt idx="1">
                  <c:v>2019</c:v>
                </c:pt>
                <c:pt idx="2">
                  <c:v>2020</c:v>
                </c:pt>
                <c:pt idx="3">
                  <c:v>2021</c:v>
                </c:pt>
                <c:pt idx="4">
                  <c:v>2022</c:v>
                </c:pt>
              </c:numCache>
            </c:numRef>
          </c:cat>
          <c:val>
            <c:numRef>
              <c:f>'Tekošais konts_Y'!$P$7:$T$7</c:f>
              <c:numCache>
                <c:formatCode>General</c:formatCode>
                <c:ptCount val="5"/>
                <c:pt idx="0">
                  <c:v>617</c:v>
                </c:pt>
                <c:pt idx="1">
                  <c:v>471</c:v>
                </c:pt>
                <c:pt idx="2">
                  <c:v>489</c:v>
                </c:pt>
                <c:pt idx="3">
                  <c:v>359</c:v>
                </c:pt>
                <c:pt idx="4">
                  <c:v>505</c:v>
                </c:pt>
              </c:numCache>
            </c:numRef>
          </c:val>
          <c:extLst>
            <c:ext xmlns:c16="http://schemas.microsoft.com/office/drawing/2014/chart" uri="{C3380CC4-5D6E-409C-BE32-E72D297353CC}">
              <c16:uniqueId val="{00000003-BA52-447B-854B-A4D3B52899E2}"/>
            </c:ext>
          </c:extLst>
        </c:ser>
        <c:dLbls>
          <c:showLegendKey val="0"/>
          <c:showVal val="0"/>
          <c:showCatName val="0"/>
          <c:showSerName val="0"/>
          <c:showPercent val="0"/>
          <c:showBubbleSize val="0"/>
        </c:dLbls>
        <c:gapWidth val="80"/>
        <c:overlap val="100"/>
        <c:axId val="522491375"/>
        <c:axId val="522492623"/>
      </c:barChart>
      <c:lineChart>
        <c:grouping val="standard"/>
        <c:varyColors val="0"/>
        <c:ser>
          <c:idx val="4"/>
          <c:order val="4"/>
          <c:tx>
            <c:strRef>
              <c:f>'Tekošais konts_Y'!$B$8</c:f>
              <c:strCache>
                <c:ptCount val="1"/>
                <c:pt idx="0">
                  <c:v>Tekošais konts (% no IKP, l.a.)</c:v>
                </c:pt>
              </c:strCache>
            </c:strRef>
          </c:tx>
          <c:spPr>
            <a:ln w="28575" cap="rnd">
              <a:solidFill>
                <a:schemeClr val="tx1"/>
              </a:solidFill>
              <a:round/>
            </a:ln>
            <a:effectLst/>
          </c:spPr>
          <c:marker>
            <c:symbol val="none"/>
          </c:marker>
          <c:cat>
            <c:numRef>
              <c:f>'Tekošais konts_Y'!$P$2:$T$2</c:f>
              <c:numCache>
                <c:formatCode>General</c:formatCode>
                <c:ptCount val="5"/>
                <c:pt idx="0">
                  <c:v>2018</c:v>
                </c:pt>
                <c:pt idx="1">
                  <c:v>2019</c:v>
                </c:pt>
                <c:pt idx="2">
                  <c:v>2020</c:v>
                </c:pt>
                <c:pt idx="3">
                  <c:v>2021</c:v>
                </c:pt>
                <c:pt idx="4">
                  <c:v>2022</c:v>
                </c:pt>
              </c:numCache>
            </c:numRef>
          </c:cat>
          <c:val>
            <c:numRef>
              <c:f>'Tekošais konts_Y'!$P$8:$T$8</c:f>
              <c:numCache>
                <c:formatCode>0.0%</c:formatCode>
                <c:ptCount val="5"/>
                <c:pt idx="0">
                  <c:v>-2E-3</c:v>
                </c:pt>
                <c:pt idx="1">
                  <c:v>-6.0000000000000001E-3</c:v>
                </c:pt>
                <c:pt idx="2">
                  <c:v>2.9000000000000001E-2</c:v>
                </c:pt>
                <c:pt idx="3">
                  <c:v>-3.9E-2</c:v>
                </c:pt>
                <c:pt idx="4">
                  <c:v>-4.7E-2</c:v>
                </c:pt>
              </c:numCache>
            </c:numRef>
          </c:val>
          <c:smooth val="0"/>
          <c:extLst>
            <c:ext xmlns:c16="http://schemas.microsoft.com/office/drawing/2014/chart" uri="{C3380CC4-5D6E-409C-BE32-E72D297353CC}">
              <c16:uniqueId val="{00000004-BA52-447B-854B-A4D3B52899E2}"/>
            </c:ext>
          </c:extLst>
        </c:ser>
        <c:dLbls>
          <c:showLegendKey val="0"/>
          <c:showVal val="0"/>
          <c:showCatName val="0"/>
          <c:showSerName val="0"/>
          <c:showPercent val="0"/>
          <c:showBubbleSize val="0"/>
        </c:dLbls>
        <c:marker val="1"/>
        <c:smooth val="0"/>
        <c:axId val="819454831"/>
        <c:axId val="819451919"/>
      </c:lineChart>
      <c:catAx>
        <c:axId val="522491375"/>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22492623"/>
        <c:crosses val="autoZero"/>
        <c:auto val="1"/>
        <c:lblAlgn val="ctr"/>
        <c:lblOffset val="100"/>
        <c:noMultiLvlLbl val="0"/>
      </c:catAx>
      <c:valAx>
        <c:axId val="52249262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22491375"/>
        <c:crosses val="autoZero"/>
        <c:crossBetween val="between"/>
      </c:valAx>
      <c:valAx>
        <c:axId val="819451919"/>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819454831"/>
        <c:crosses val="max"/>
        <c:crossBetween val="between"/>
      </c:valAx>
      <c:catAx>
        <c:axId val="819454831"/>
        <c:scaling>
          <c:orientation val="minMax"/>
        </c:scaling>
        <c:delete val="1"/>
        <c:axPos val="b"/>
        <c:numFmt formatCode="General" sourceLinked="1"/>
        <c:majorTickMark val="out"/>
        <c:minorTickMark val="none"/>
        <c:tickLblPos val="nextTo"/>
        <c:crossAx val="819451919"/>
        <c:crosses val="autoZero"/>
        <c:auto val="1"/>
        <c:lblAlgn val="ctr"/>
        <c:lblOffset val="100"/>
        <c:noMultiLvlLbl val="0"/>
      </c:catAx>
      <c:spPr>
        <a:noFill/>
        <a:ln>
          <a:noFill/>
        </a:ln>
        <a:effectLst/>
      </c:spPr>
    </c:plotArea>
    <c:legend>
      <c:legendPos val="b"/>
      <c:layout>
        <c:manualLayout>
          <c:xMode val="edge"/>
          <c:yMode val="edge"/>
          <c:x val="0.14785820971273619"/>
          <c:y val="0.75171325588230742"/>
          <c:w val="0.80096830092371063"/>
          <c:h val="0.22864037869529569"/>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spc="0" baseline="0">
                <a:solidFill>
                  <a:sysClr val="windowText" lastClr="000000"/>
                </a:solidFill>
                <a:latin typeface="+mn-lt"/>
                <a:ea typeface="+mn-ea"/>
                <a:cs typeface="+mn-cs"/>
              </a:defRPr>
            </a:pPr>
            <a:r>
              <a:rPr lang="lv-LV" sz="900" b="0" i="1" baseline="0">
                <a:solidFill>
                  <a:sysClr val="windowText" lastClr="000000"/>
                </a:solidFill>
                <a:effectLst/>
                <a:latin typeface="Times New Roman" panose="02020603050405020304" pitchFamily="18" charset="0"/>
                <a:cs typeface="Times New Roman" panose="02020603050405020304" pitchFamily="18" charset="0"/>
              </a:rPr>
              <a:t>milj. euro</a:t>
            </a:r>
            <a:endParaRPr lang="lv-LV" sz="900" i="1">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4.7687172150715855E-5"/>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spc="0" baseline="0">
              <a:solidFill>
                <a:sysClr val="windowText" lastClr="000000"/>
              </a:solidFill>
              <a:latin typeface="+mn-lt"/>
              <a:ea typeface="+mn-ea"/>
              <a:cs typeface="+mn-cs"/>
            </a:defRPr>
          </a:pPr>
          <a:endParaRPr lang="lv-LV"/>
        </a:p>
      </c:txPr>
    </c:title>
    <c:autoTitleDeleted val="0"/>
    <c:plotArea>
      <c:layout>
        <c:manualLayout>
          <c:layoutTarget val="inner"/>
          <c:xMode val="edge"/>
          <c:yMode val="edge"/>
          <c:x val="8.5465362966968189E-2"/>
          <c:y val="8.2436224622119858E-2"/>
          <c:w val="0.83547118305490786"/>
          <c:h val="0.56658652599255133"/>
        </c:manualLayout>
      </c:layout>
      <c:barChart>
        <c:barDir val="col"/>
        <c:grouping val="stacked"/>
        <c:varyColors val="0"/>
        <c:ser>
          <c:idx val="0"/>
          <c:order val="0"/>
          <c:tx>
            <c:strRef>
              <c:f>'Tekošais konts_Q'!$U$7</c:f>
              <c:strCache>
                <c:ptCount val="1"/>
                <c:pt idx="0">
                  <c:v>Preces</c:v>
                </c:pt>
              </c:strCache>
            </c:strRef>
          </c:tx>
          <c:spPr>
            <a:solidFill>
              <a:schemeClr val="accent1"/>
            </a:solidFill>
            <a:ln>
              <a:noFill/>
            </a:ln>
            <a:effectLst/>
          </c:spPr>
          <c:invertIfNegative val="0"/>
          <c:cat>
            <c:multiLvlStrRef>
              <c:f>'Tekošais konts_Q'!$AY$5:$BH$6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'Tekošais konts_Q'!$AY$7:$BH$7</c:f>
              <c:numCache>
                <c:formatCode>General</c:formatCode>
                <c:ptCount val="10"/>
                <c:pt idx="0">
                  <c:v>-439</c:v>
                </c:pt>
                <c:pt idx="1">
                  <c:v>-927</c:v>
                </c:pt>
                <c:pt idx="2">
                  <c:v>-839</c:v>
                </c:pt>
                <c:pt idx="3">
                  <c:v>-552</c:v>
                </c:pt>
                <c:pt idx="4">
                  <c:v>-746</c:v>
                </c:pt>
                <c:pt idx="5">
                  <c:v>-1035</c:v>
                </c:pt>
                <c:pt idx="6">
                  <c:v>-1202</c:v>
                </c:pt>
                <c:pt idx="7">
                  <c:v>-1110</c:v>
                </c:pt>
                <c:pt idx="8">
                  <c:v>-822</c:v>
                </c:pt>
                <c:pt idx="9">
                  <c:v>-962</c:v>
                </c:pt>
              </c:numCache>
            </c:numRef>
          </c:val>
          <c:extLst>
            <c:ext xmlns:c16="http://schemas.microsoft.com/office/drawing/2014/chart" uri="{C3380CC4-5D6E-409C-BE32-E72D297353CC}">
              <c16:uniqueId val="{00000000-E00A-452B-9BDB-4FC81F6BD5C1}"/>
            </c:ext>
          </c:extLst>
        </c:ser>
        <c:ser>
          <c:idx val="1"/>
          <c:order val="1"/>
          <c:tx>
            <c:strRef>
              <c:f>'Tekošais konts_Q'!$U$8</c:f>
              <c:strCache>
                <c:ptCount val="1"/>
                <c:pt idx="0">
                  <c:v>Pakalpojumi</c:v>
                </c:pt>
              </c:strCache>
            </c:strRef>
          </c:tx>
          <c:spPr>
            <a:solidFill>
              <a:schemeClr val="accent2"/>
            </a:solidFill>
            <a:ln>
              <a:noFill/>
            </a:ln>
            <a:effectLst/>
          </c:spPr>
          <c:invertIfNegative val="0"/>
          <c:cat>
            <c:multiLvlStrRef>
              <c:f>'Tekošais konts_Q'!$AY$5:$BH$6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'Tekošais konts_Q'!$AY$8:$BH$8</c:f>
              <c:numCache>
                <c:formatCode>General</c:formatCode>
                <c:ptCount val="10"/>
                <c:pt idx="0">
                  <c:v>398</c:v>
                </c:pt>
                <c:pt idx="1">
                  <c:v>393</c:v>
                </c:pt>
                <c:pt idx="2">
                  <c:v>435</c:v>
                </c:pt>
                <c:pt idx="3">
                  <c:v>480</c:v>
                </c:pt>
                <c:pt idx="4">
                  <c:v>457</c:v>
                </c:pt>
                <c:pt idx="5">
                  <c:v>578</c:v>
                </c:pt>
                <c:pt idx="6">
                  <c:v>691</c:v>
                </c:pt>
                <c:pt idx="7">
                  <c:v>606</c:v>
                </c:pt>
                <c:pt idx="8">
                  <c:v>400</c:v>
                </c:pt>
                <c:pt idx="9">
                  <c:v>603</c:v>
                </c:pt>
              </c:numCache>
            </c:numRef>
          </c:val>
          <c:extLst>
            <c:ext xmlns:c16="http://schemas.microsoft.com/office/drawing/2014/chart" uri="{C3380CC4-5D6E-409C-BE32-E72D297353CC}">
              <c16:uniqueId val="{00000001-E00A-452B-9BDB-4FC81F6BD5C1}"/>
            </c:ext>
          </c:extLst>
        </c:ser>
        <c:ser>
          <c:idx val="2"/>
          <c:order val="2"/>
          <c:tx>
            <c:strRef>
              <c:f>'Tekošais konts_Q'!$U$9</c:f>
              <c:strCache>
                <c:ptCount val="1"/>
                <c:pt idx="0">
                  <c:v>Sākotnējie ienākumi</c:v>
                </c:pt>
              </c:strCache>
            </c:strRef>
          </c:tx>
          <c:spPr>
            <a:solidFill>
              <a:schemeClr val="accent3"/>
            </a:solidFill>
            <a:ln>
              <a:noFill/>
            </a:ln>
            <a:effectLst/>
          </c:spPr>
          <c:invertIfNegative val="0"/>
          <c:cat>
            <c:multiLvlStrRef>
              <c:f>'Tekošais konts_Q'!$AY$5:$BH$6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'Tekošais konts_Q'!$AY$9:$BH$9</c:f>
              <c:numCache>
                <c:formatCode>General</c:formatCode>
                <c:ptCount val="10"/>
                <c:pt idx="0">
                  <c:v>-193</c:v>
                </c:pt>
                <c:pt idx="1">
                  <c:v>-287</c:v>
                </c:pt>
                <c:pt idx="2">
                  <c:v>-319</c:v>
                </c:pt>
                <c:pt idx="3">
                  <c:v>179</c:v>
                </c:pt>
                <c:pt idx="4">
                  <c:v>-264</c:v>
                </c:pt>
                <c:pt idx="5">
                  <c:v>-230</c:v>
                </c:pt>
                <c:pt idx="6">
                  <c:v>-259</c:v>
                </c:pt>
                <c:pt idx="7">
                  <c:v>176</c:v>
                </c:pt>
                <c:pt idx="8">
                  <c:v>-288</c:v>
                </c:pt>
                <c:pt idx="9">
                  <c:v>-277</c:v>
                </c:pt>
              </c:numCache>
            </c:numRef>
          </c:val>
          <c:extLst>
            <c:ext xmlns:c16="http://schemas.microsoft.com/office/drawing/2014/chart" uri="{C3380CC4-5D6E-409C-BE32-E72D297353CC}">
              <c16:uniqueId val="{00000002-E00A-452B-9BDB-4FC81F6BD5C1}"/>
            </c:ext>
          </c:extLst>
        </c:ser>
        <c:ser>
          <c:idx val="3"/>
          <c:order val="3"/>
          <c:tx>
            <c:strRef>
              <c:f>'Tekošais konts_Q'!$U$10</c:f>
              <c:strCache>
                <c:ptCount val="1"/>
                <c:pt idx="0">
                  <c:v>Otrreizējie ienākumi</c:v>
                </c:pt>
              </c:strCache>
            </c:strRef>
          </c:tx>
          <c:spPr>
            <a:solidFill>
              <a:schemeClr val="accent4"/>
            </a:solidFill>
            <a:ln>
              <a:noFill/>
            </a:ln>
            <a:effectLst/>
          </c:spPr>
          <c:invertIfNegative val="0"/>
          <c:cat>
            <c:multiLvlStrRef>
              <c:f>'Tekošais konts_Q'!$AY$5:$BH$6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'Tekošais konts_Q'!$AY$10:$BH$10</c:f>
              <c:numCache>
                <c:formatCode>General</c:formatCode>
                <c:ptCount val="10"/>
                <c:pt idx="0">
                  <c:v>35</c:v>
                </c:pt>
                <c:pt idx="1">
                  <c:v>91</c:v>
                </c:pt>
                <c:pt idx="2">
                  <c:v>130</c:v>
                </c:pt>
                <c:pt idx="3">
                  <c:v>103</c:v>
                </c:pt>
                <c:pt idx="4">
                  <c:v>82</c:v>
                </c:pt>
                <c:pt idx="5">
                  <c:v>78</c:v>
                </c:pt>
                <c:pt idx="6">
                  <c:v>146</c:v>
                </c:pt>
                <c:pt idx="7">
                  <c:v>199</c:v>
                </c:pt>
                <c:pt idx="8">
                  <c:v>243</c:v>
                </c:pt>
                <c:pt idx="9">
                  <c:v>220</c:v>
                </c:pt>
              </c:numCache>
            </c:numRef>
          </c:val>
          <c:extLst>
            <c:ext xmlns:c16="http://schemas.microsoft.com/office/drawing/2014/chart" uri="{C3380CC4-5D6E-409C-BE32-E72D297353CC}">
              <c16:uniqueId val="{00000003-E00A-452B-9BDB-4FC81F6BD5C1}"/>
            </c:ext>
          </c:extLst>
        </c:ser>
        <c:dLbls>
          <c:showLegendKey val="0"/>
          <c:showVal val="0"/>
          <c:showCatName val="0"/>
          <c:showSerName val="0"/>
          <c:showPercent val="0"/>
          <c:showBubbleSize val="0"/>
        </c:dLbls>
        <c:gapWidth val="50"/>
        <c:overlap val="100"/>
        <c:axId val="779003200"/>
        <c:axId val="779008192"/>
      </c:barChart>
      <c:lineChart>
        <c:grouping val="standard"/>
        <c:varyColors val="0"/>
        <c:ser>
          <c:idx val="4"/>
          <c:order val="4"/>
          <c:tx>
            <c:strRef>
              <c:f>'Tekošais konts_Q'!$U$11</c:f>
              <c:strCache>
                <c:ptCount val="1"/>
                <c:pt idx="0">
                  <c:v>Tekošais konts (% no IKP, l.a.)</c:v>
                </c:pt>
              </c:strCache>
            </c:strRef>
          </c:tx>
          <c:spPr>
            <a:ln w="28575" cap="rnd">
              <a:solidFill>
                <a:schemeClr val="tx1"/>
              </a:solidFill>
              <a:round/>
            </a:ln>
            <a:effectLst/>
          </c:spPr>
          <c:marker>
            <c:symbol val="none"/>
          </c:marker>
          <c:cat>
            <c:multiLvlStrRef>
              <c:f>'Tekošais konts_Q'!$AY$5:$BH$6</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'Tekošais konts_Q'!$AY$11:$BH$11</c:f>
              <c:numCache>
                <c:formatCode>0.00%</c:formatCode>
                <c:ptCount val="10"/>
                <c:pt idx="0">
                  <c:v>-2.8000000000000001E-2</c:v>
                </c:pt>
                <c:pt idx="1">
                  <c:v>-8.8999999999999996E-2</c:v>
                </c:pt>
                <c:pt idx="2" formatCode="0.0%">
                  <c:v>-6.6000000000000003E-2</c:v>
                </c:pt>
                <c:pt idx="3" formatCode="0.0%">
                  <c:v>2.3E-2</c:v>
                </c:pt>
                <c:pt idx="4" formatCode="0.0%">
                  <c:v>-5.7000000000000002E-2</c:v>
                </c:pt>
                <c:pt idx="5" formatCode="0.0%">
                  <c:v>-6.3E-2</c:v>
                </c:pt>
                <c:pt idx="6" formatCode="0.0%">
                  <c:v>-0.06</c:v>
                </c:pt>
                <c:pt idx="7">
                  <c:v>-1.2E-2</c:v>
                </c:pt>
                <c:pt idx="8">
                  <c:v>-5.0999999999999997E-2</c:v>
                </c:pt>
                <c:pt idx="9">
                  <c:v>-4.1000000000000002E-2</c:v>
                </c:pt>
              </c:numCache>
            </c:numRef>
          </c:val>
          <c:smooth val="1"/>
          <c:extLst>
            <c:ext xmlns:c16="http://schemas.microsoft.com/office/drawing/2014/chart" uri="{C3380CC4-5D6E-409C-BE32-E72D297353CC}">
              <c16:uniqueId val="{00000004-E00A-452B-9BDB-4FC81F6BD5C1}"/>
            </c:ext>
          </c:extLst>
        </c:ser>
        <c:dLbls>
          <c:showLegendKey val="0"/>
          <c:showVal val="0"/>
          <c:showCatName val="0"/>
          <c:showSerName val="0"/>
          <c:showPercent val="0"/>
          <c:showBubbleSize val="0"/>
        </c:dLbls>
        <c:marker val="1"/>
        <c:smooth val="0"/>
        <c:axId val="778899200"/>
        <c:axId val="778907104"/>
      </c:lineChart>
      <c:catAx>
        <c:axId val="779003200"/>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779008192"/>
        <c:crosses val="autoZero"/>
        <c:auto val="1"/>
        <c:lblAlgn val="ctr"/>
        <c:lblOffset val="100"/>
        <c:noMultiLvlLbl val="0"/>
      </c:catAx>
      <c:valAx>
        <c:axId val="779008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779003200"/>
        <c:crosses val="autoZero"/>
        <c:crossBetween val="between"/>
        <c:majorUnit val="300"/>
      </c:valAx>
      <c:valAx>
        <c:axId val="778907104"/>
        <c:scaling>
          <c:orientation val="minMax"/>
          <c:max val="6.0000000000000012E-2"/>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778899200"/>
        <c:crosses val="max"/>
        <c:crossBetween val="between"/>
      </c:valAx>
      <c:catAx>
        <c:axId val="778899200"/>
        <c:scaling>
          <c:orientation val="minMax"/>
        </c:scaling>
        <c:delete val="1"/>
        <c:axPos val="b"/>
        <c:numFmt formatCode="General" sourceLinked="1"/>
        <c:majorTickMark val="out"/>
        <c:minorTickMark val="none"/>
        <c:tickLblPos val="nextTo"/>
        <c:crossAx val="778907104"/>
        <c:crosses val="autoZero"/>
        <c:auto val="1"/>
        <c:lblAlgn val="ctr"/>
        <c:lblOffset val="100"/>
        <c:noMultiLvlLbl val="0"/>
      </c:catAx>
      <c:spPr>
        <a:noFill/>
        <a:ln>
          <a:noFill/>
        </a:ln>
        <a:effectLst/>
      </c:spPr>
    </c:plotArea>
    <c:legend>
      <c:legendPos val="b"/>
      <c:layout>
        <c:manualLayout>
          <c:xMode val="edge"/>
          <c:yMode val="edge"/>
          <c:x val="0.14660488365920551"/>
          <c:y val="0.77000404593694571"/>
          <c:w val="0.79574117490931606"/>
          <c:h val="0.2102331082132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37199516727076"/>
          <c:y val="4.4150110375275942E-2"/>
          <c:w val="0.86352747573220012"/>
          <c:h val="0.62075168438996675"/>
        </c:manualLayout>
      </c:layout>
      <c:barChart>
        <c:barDir val="col"/>
        <c:grouping val="stacked"/>
        <c:varyColors val="0"/>
        <c:ser>
          <c:idx val="0"/>
          <c:order val="0"/>
          <c:tx>
            <c:strRef>
              <c:f>Invest_Eurostat_Q!$D$26</c:f>
              <c:strCache>
                <c:ptCount val="1"/>
                <c:pt idx="0">
                  <c:v>Ēkas, būves, celtnes</c:v>
                </c:pt>
              </c:strCache>
            </c:strRef>
          </c:tx>
          <c:spPr>
            <a:solidFill>
              <a:schemeClr val="accent1">
                <a:lumMod val="60000"/>
                <a:lumOff val="40000"/>
              </a:schemeClr>
            </a:solidFill>
            <a:ln w="25400">
              <a:noFill/>
            </a:ln>
          </c:spPr>
          <c:invertIfNegative val="0"/>
          <c:cat>
            <c:multiLvlStrRef>
              <c:f>Invest_Eurostat_Q!$S$9:$AB$10</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Invest_Eurostat_Q!$S$20:$AB$20</c:f>
              <c:numCache>
                <c:formatCode>0</c:formatCode>
                <c:ptCount val="10"/>
                <c:pt idx="0">
                  <c:v>590.6</c:v>
                </c:pt>
                <c:pt idx="1">
                  <c:v>692.4</c:v>
                </c:pt>
                <c:pt idx="2">
                  <c:v>824</c:v>
                </c:pt>
                <c:pt idx="3">
                  <c:v>833.9</c:v>
                </c:pt>
                <c:pt idx="4">
                  <c:v>544.9</c:v>
                </c:pt>
                <c:pt idx="5">
                  <c:v>594</c:v>
                </c:pt>
                <c:pt idx="6">
                  <c:v>712.6</c:v>
                </c:pt>
                <c:pt idx="7">
                  <c:v>763.6</c:v>
                </c:pt>
                <c:pt idx="8">
                  <c:v>636.4</c:v>
                </c:pt>
                <c:pt idx="9">
                  <c:v>684.9</c:v>
                </c:pt>
              </c:numCache>
            </c:numRef>
          </c:val>
          <c:extLst>
            <c:ext xmlns:c16="http://schemas.microsoft.com/office/drawing/2014/chart" uri="{C3380CC4-5D6E-409C-BE32-E72D297353CC}">
              <c16:uniqueId val="{00000000-697E-4370-B95F-5CAFB10F241F}"/>
            </c:ext>
          </c:extLst>
        </c:ser>
        <c:ser>
          <c:idx val="1"/>
          <c:order val="1"/>
          <c:tx>
            <c:strRef>
              <c:f>Invest_Eurostat_Q!$D$27</c:f>
              <c:strCache>
                <c:ptCount val="1"/>
                <c:pt idx="0">
                  <c:v>Tehnoģiskās iekārtas un mašīnas</c:v>
                </c:pt>
              </c:strCache>
            </c:strRef>
          </c:tx>
          <c:spPr>
            <a:solidFill>
              <a:schemeClr val="accent2">
                <a:lumMod val="60000"/>
                <a:lumOff val="40000"/>
              </a:schemeClr>
            </a:solidFill>
            <a:ln w="25400">
              <a:noFill/>
            </a:ln>
          </c:spPr>
          <c:invertIfNegative val="0"/>
          <c:cat>
            <c:multiLvlStrRef>
              <c:f>Invest_Eurostat_Q!$S$9:$AB$10</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Invest_Eurostat_Q!$S$21:$AB$21</c:f>
              <c:numCache>
                <c:formatCode>0</c:formatCode>
                <c:ptCount val="10"/>
                <c:pt idx="0">
                  <c:v>535</c:v>
                </c:pt>
                <c:pt idx="1">
                  <c:v>704.4</c:v>
                </c:pt>
                <c:pt idx="2">
                  <c:v>843.1</c:v>
                </c:pt>
                <c:pt idx="3">
                  <c:v>929.8</c:v>
                </c:pt>
                <c:pt idx="4">
                  <c:v>594.4</c:v>
                </c:pt>
                <c:pt idx="5">
                  <c:v>780.1</c:v>
                </c:pt>
                <c:pt idx="6">
                  <c:v>934.3</c:v>
                </c:pt>
                <c:pt idx="7">
                  <c:v>987.5</c:v>
                </c:pt>
                <c:pt idx="8">
                  <c:v>635.70000000000005</c:v>
                </c:pt>
                <c:pt idx="9">
                  <c:v>781.6</c:v>
                </c:pt>
              </c:numCache>
            </c:numRef>
          </c:val>
          <c:extLst>
            <c:ext xmlns:c16="http://schemas.microsoft.com/office/drawing/2014/chart" uri="{C3380CC4-5D6E-409C-BE32-E72D297353CC}">
              <c16:uniqueId val="{00000001-697E-4370-B95F-5CAFB10F241F}"/>
            </c:ext>
          </c:extLst>
        </c:ser>
        <c:ser>
          <c:idx val="2"/>
          <c:order val="2"/>
          <c:tx>
            <c:strRef>
              <c:f>Invest_Eurostat_Q!$D$28</c:f>
              <c:strCache>
                <c:ptCount val="1"/>
                <c:pt idx="0">
                  <c:v>Intelektuāla īpašuma produkti</c:v>
                </c:pt>
              </c:strCache>
            </c:strRef>
          </c:tx>
          <c:spPr>
            <a:solidFill>
              <a:srgbClr val="A5A5A5"/>
            </a:solidFill>
            <a:ln w="25400">
              <a:noFill/>
            </a:ln>
          </c:spPr>
          <c:invertIfNegative val="0"/>
          <c:cat>
            <c:multiLvlStrRef>
              <c:f>Invest_Eurostat_Q!$S$9:$AB$10</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Invest_Eurostat_Q!$S$22:$AB$22</c:f>
              <c:numCache>
                <c:formatCode>0</c:formatCode>
                <c:ptCount val="10"/>
                <c:pt idx="0">
                  <c:v>78.2</c:v>
                </c:pt>
                <c:pt idx="1">
                  <c:v>188.9</c:v>
                </c:pt>
                <c:pt idx="2">
                  <c:v>221.7</c:v>
                </c:pt>
                <c:pt idx="3">
                  <c:v>94.8</c:v>
                </c:pt>
                <c:pt idx="4">
                  <c:v>97.6</c:v>
                </c:pt>
                <c:pt idx="5">
                  <c:v>226.5</c:v>
                </c:pt>
                <c:pt idx="6">
                  <c:v>261.8</c:v>
                </c:pt>
                <c:pt idx="7">
                  <c:v>120.4</c:v>
                </c:pt>
                <c:pt idx="8">
                  <c:v>101.8</c:v>
                </c:pt>
                <c:pt idx="9">
                  <c:v>226.7</c:v>
                </c:pt>
              </c:numCache>
            </c:numRef>
          </c:val>
          <c:extLst>
            <c:ext xmlns:c16="http://schemas.microsoft.com/office/drawing/2014/chart" uri="{C3380CC4-5D6E-409C-BE32-E72D297353CC}">
              <c16:uniqueId val="{00000002-697E-4370-B95F-5CAFB10F241F}"/>
            </c:ext>
          </c:extLst>
        </c:ser>
        <c:ser>
          <c:idx val="3"/>
          <c:order val="3"/>
          <c:tx>
            <c:strRef>
              <c:f>Invest_Eurostat_Q!$D$29</c:f>
              <c:strCache>
                <c:ptCount val="1"/>
                <c:pt idx="0">
                  <c:v>Pārējie pamatlīdzekļi </c:v>
                </c:pt>
              </c:strCache>
            </c:strRef>
          </c:tx>
          <c:spPr>
            <a:solidFill>
              <a:srgbClr val="FFC000"/>
            </a:solidFill>
            <a:ln w="25400">
              <a:noFill/>
            </a:ln>
          </c:spPr>
          <c:invertIfNegative val="0"/>
          <c:cat>
            <c:multiLvlStrRef>
              <c:f>Invest_Eurostat_Q!$S$9:$AB$10</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Invest_Eurostat_Q!$S$23:$AB$23</c:f>
              <c:numCache>
                <c:formatCode>0</c:formatCode>
                <c:ptCount val="10"/>
                <c:pt idx="0">
                  <c:v>8.8000000000000007</c:v>
                </c:pt>
                <c:pt idx="1">
                  <c:v>9.1</c:v>
                </c:pt>
                <c:pt idx="2">
                  <c:v>12.4</c:v>
                </c:pt>
                <c:pt idx="3">
                  <c:v>10.8</c:v>
                </c:pt>
                <c:pt idx="4">
                  <c:v>8.1</c:v>
                </c:pt>
                <c:pt idx="5">
                  <c:v>8.3000000000000007</c:v>
                </c:pt>
                <c:pt idx="6">
                  <c:v>11.4</c:v>
                </c:pt>
                <c:pt idx="7">
                  <c:v>9.9</c:v>
                </c:pt>
                <c:pt idx="8">
                  <c:v>7.4</c:v>
                </c:pt>
                <c:pt idx="9">
                  <c:v>7.7</c:v>
                </c:pt>
              </c:numCache>
            </c:numRef>
          </c:val>
          <c:extLst>
            <c:ext xmlns:c16="http://schemas.microsoft.com/office/drawing/2014/chart" uri="{C3380CC4-5D6E-409C-BE32-E72D297353CC}">
              <c16:uniqueId val="{00000003-697E-4370-B95F-5CAFB10F241F}"/>
            </c:ext>
          </c:extLst>
        </c:ser>
        <c:dLbls>
          <c:showLegendKey val="0"/>
          <c:showVal val="0"/>
          <c:showCatName val="0"/>
          <c:showSerName val="0"/>
          <c:showPercent val="0"/>
          <c:showBubbleSize val="0"/>
        </c:dLbls>
        <c:gapWidth val="50"/>
        <c:overlap val="100"/>
        <c:axId val="661115376"/>
        <c:axId val="1"/>
      </c:barChart>
      <c:catAx>
        <c:axId val="661115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
        <c:crosses val="autoZero"/>
        <c:auto val="1"/>
        <c:lblAlgn val="ctr"/>
        <c:lblOffset val="100"/>
        <c:noMultiLvlLbl val="0"/>
      </c:catAx>
      <c:valAx>
        <c:axId val="1"/>
        <c:scaling>
          <c:orientation val="minMax"/>
          <c:max val="21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661115376"/>
        <c:crosses val="autoZero"/>
        <c:crossBetween val="between"/>
        <c:majorUnit val="300"/>
      </c:valAx>
      <c:spPr>
        <a:noFill/>
        <a:ln w="25400">
          <a:noFill/>
        </a:ln>
      </c:spPr>
    </c:plotArea>
    <c:legend>
      <c:legendPos val="b"/>
      <c:layout>
        <c:manualLayout>
          <c:xMode val="edge"/>
          <c:yMode val="edge"/>
          <c:x val="0.1127565236410666"/>
          <c:y val="0.80341815716744014"/>
          <c:w val="0.81977657004830906"/>
          <c:h val="0.16512488919017573"/>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lgn="just">
        <a:defRPr/>
      </a:pPr>
      <a:endParaRPr lang="lv-LV"/>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Invest_Eurostat_Q!$D$26</c:f>
              <c:strCache>
                <c:ptCount val="1"/>
                <c:pt idx="0">
                  <c:v>Ēkas, būves, celtnes</c:v>
                </c:pt>
              </c:strCache>
            </c:strRef>
          </c:tx>
          <c:spPr>
            <a:solidFill>
              <a:schemeClr val="accent1">
                <a:lumMod val="60000"/>
                <a:lumOff val="40000"/>
              </a:schemeClr>
            </a:solidFill>
            <a:ln w="25400">
              <a:noFill/>
            </a:ln>
          </c:spPr>
          <c:invertIfNegative val="0"/>
          <c:cat>
            <c:multiLvlStrRef>
              <c:f>Invest_Eurostat_Q!$S$9:$AB$10</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Invest_Eurostat_Q!$S$26:$AB$26</c:f>
              <c:numCache>
                <c:formatCode>0</c:formatCode>
                <c:ptCount val="10"/>
                <c:pt idx="0">
                  <c:v>-18.899999999999977</c:v>
                </c:pt>
                <c:pt idx="1">
                  <c:v>53.899999999999977</c:v>
                </c:pt>
                <c:pt idx="2">
                  <c:v>14.700000000000045</c:v>
                </c:pt>
                <c:pt idx="3">
                  <c:v>-65.600000000000023</c:v>
                </c:pt>
                <c:pt idx="4">
                  <c:v>-45.700000000000045</c:v>
                </c:pt>
                <c:pt idx="5">
                  <c:v>-98.399999999999977</c:v>
                </c:pt>
                <c:pt idx="6">
                  <c:v>-111.39999999999998</c:v>
                </c:pt>
                <c:pt idx="7">
                  <c:v>-70.299999999999955</c:v>
                </c:pt>
                <c:pt idx="8">
                  <c:v>91.5</c:v>
                </c:pt>
                <c:pt idx="9">
                  <c:v>90.899999999999977</c:v>
                </c:pt>
              </c:numCache>
            </c:numRef>
          </c:val>
          <c:extLst>
            <c:ext xmlns:c16="http://schemas.microsoft.com/office/drawing/2014/chart" uri="{C3380CC4-5D6E-409C-BE32-E72D297353CC}">
              <c16:uniqueId val="{00000000-97EB-44D6-BBC2-117D7EE4C06D}"/>
            </c:ext>
          </c:extLst>
        </c:ser>
        <c:ser>
          <c:idx val="1"/>
          <c:order val="1"/>
          <c:tx>
            <c:strRef>
              <c:f>Invest_Eurostat_Q!$D$27</c:f>
              <c:strCache>
                <c:ptCount val="1"/>
                <c:pt idx="0">
                  <c:v>Tehnoģiskās iekārtas un mašīnas</c:v>
                </c:pt>
              </c:strCache>
            </c:strRef>
          </c:tx>
          <c:spPr>
            <a:solidFill>
              <a:schemeClr val="accent2">
                <a:lumMod val="60000"/>
                <a:lumOff val="40000"/>
              </a:schemeClr>
            </a:solidFill>
            <a:ln w="25400">
              <a:noFill/>
            </a:ln>
          </c:spPr>
          <c:invertIfNegative val="0"/>
          <c:cat>
            <c:multiLvlStrRef>
              <c:f>Invest_Eurostat_Q!$S$9:$AB$10</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Invest_Eurostat_Q!$S$27:$AB$27</c:f>
              <c:numCache>
                <c:formatCode>0</c:formatCode>
                <c:ptCount val="10"/>
                <c:pt idx="0">
                  <c:v>49.899999999999977</c:v>
                </c:pt>
                <c:pt idx="1">
                  <c:v>152.5</c:v>
                </c:pt>
                <c:pt idx="2">
                  <c:v>129.80000000000007</c:v>
                </c:pt>
                <c:pt idx="3">
                  <c:v>79.299999999999955</c:v>
                </c:pt>
                <c:pt idx="4">
                  <c:v>59.399999999999977</c:v>
                </c:pt>
                <c:pt idx="5">
                  <c:v>75.700000000000045</c:v>
                </c:pt>
                <c:pt idx="6">
                  <c:v>91.199999999999932</c:v>
                </c:pt>
                <c:pt idx="7">
                  <c:v>57.700000000000045</c:v>
                </c:pt>
                <c:pt idx="8">
                  <c:v>41.300000000000068</c:v>
                </c:pt>
                <c:pt idx="9">
                  <c:v>1.5</c:v>
                </c:pt>
              </c:numCache>
            </c:numRef>
          </c:val>
          <c:extLst>
            <c:ext xmlns:c16="http://schemas.microsoft.com/office/drawing/2014/chart" uri="{C3380CC4-5D6E-409C-BE32-E72D297353CC}">
              <c16:uniqueId val="{00000001-97EB-44D6-BBC2-117D7EE4C06D}"/>
            </c:ext>
          </c:extLst>
        </c:ser>
        <c:ser>
          <c:idx val="2"/>
          <c:order val="2"/>
          <c:tx>
            <c:strRef>
              <c:f>Invest_Eurostat_Q!$D$28</c:f>
              <c:strCache>
                <c:ptCount val="1"/>
                <c:pt idx="0">
                  <c:v>Intelektuāla īpašuma produkti</c:v>
                </c:pt>
              </c:strCache>
            </c:strRef>
          </c:tx>
          <c:spPr>
            <a:solidFill>
              <a:srgbClr val="A5A5A5"/>
            </a:solidFill>
            <a:ln w="25400">
              <a:noFill/>
            </a:ln>
          </c:spPr>
          <c:invertIfNegative val="0"/>
          <c:cat>
            <c:multiLvlStrRef>
              <c:f>Invest_Eurostat_Q!$S$9:$AB$10</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Invest_Eurostat_Q!$S$28:$AB$28</c:f>
              <c:numCache>
                <c:formatCode>0</c:formatCode>
                <c:ptCount val="10"/>
                <c:pt idx="0">
                  <c:v>-0.89999999999999147</c:v>
                </c:pt>
                <c:pt idx="1">
                  <c:v>22.900000000000006</c:v>
                </c:pt>
                <c:pt idx="2">
                  <c:v>39.899999999999977</c:v>
                </c:pt>
                <c:pt idx="3">
                  <c:v>17.5</c:v>
                </c:pt>
                <c:pt idx="4">
                  <c:v>19.399999999999991</c:v>
                </c:pt>
                <c:pt idx="5">
                  <c:v>37.599999999999994</c:v>
                </c:pt>
                <c:pt idx="6">
                  <c:v>40.100000000000023</c:v>
                </c:pt>
                <c:pt idx="7">
                  <c:v>25.600000000000009</c:v>
                </c:pt>
                <c:pt idx="8">
                  <c:v>4.2000000000000028</c:v>
                </c:pt>
                <c:pt idx="9">
                  <c:v>0.19999999999998863</c:v>
                </c:pt>
              </c:numCache>
            </c:numRef>
          </c:val>
          <c:extLst>
            <c:ext xmlns:c16="http://schemas.microsoft.com/office/drawing/2014/chart" uri="{C3380CC4-5D6E-409C-BE32-E72D297353CC}">
              <c16:uniqueId val="{00000002-97EB-44D6-BBC2-117D7EE4C06D}"/>
            </c:ext>
          </c:extLst>
        </c:ser>
        <c:ser>
          <c:idx val="3"/>
          <c:order val="3"/>
          <c:tx>
            <c:strRef>
              <c:f>Invest_Eurostat_Q!$D$29</c:f>
              <c:strCache>
                <c:ptCount val="1"/>
                <c:pt idx="0">
                  <c:v>Pārējie pamatlīdzekļi </c:v>
                </c:pt>
              </c:strCache>
            </c:strRef>
          </c:tx>
          <c:spPr>
            <a:solidFill>
              <a:srgbClr val="FFC000"/>
            </a:solidFill>
            <a:ln w="25400">
              <a:noFill/>
            </a:ln>
          </c:spPr>
          <c:invertIfNegative val="0"/>
          <c:cat>
            <c:multiLvlStrRef>
              <c:f>Invest_Eurostat_Q!$S$9:$AB$10</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Invest_Eurostat_Q!$S$29:$AB$29</c:f>
              <c:numCache>
                <c:formatCode>0</c:formatCode>
                <c:ptCount val="10"/>
                <c:pt idx="0">
                  <c:v>1.4000000000000004</c:v>
                </c:pt>
                <c:pt idx="1">
                  <c:v>1.5</c:v>
                </c:pt>
                <c:pt idx="2">
                  <c:v>2</c:v>
                </c:pt>
                <c:pt idx="3">
                  <c:v>1.7000000000000011</c:v>
                </c:pt>
                <c:pt idx="4">
                  <c:v>-0.70000000000000107</c:v>
                </c:pt>
                <c:pt idx="5">
                  <c:v>-0.79999999999999893</c:v>
                </c:pt>
                <c:pt idx="6">
                  <c:v>-1</c:v>
                </c:pt>
                <c:pt idx="7">
                  <c:v>-0.90000000000000036</c:v>
                </c:pt>
                <c:pt idx="8">
                  <c:v>-0.69999999999999929</c:v>
                </c:pt>
                <c:pt idx="9">
                  <c:v>-0.60000000000000053</c:v>
                </c:pt>
              </c:numCache>
            </c:numRef>
          </c:val>
          <c:extLst>
            <c:ext xmlns:c16="http://schemas.microsoft.com/office/drawing/2014/chart" uri="{C3380CC4-5D6E-409C-BE32-E72D297353CC}">
              <c16:uniqueId val="{00000003-97EB-44D6-BBC2-117D7EE4C06D}"/>
            </c:ext>
          </c:extLst>
        </c:ser>
        <c:dLbls>
          <c:showLegendKey val="0"/>
          <c:showVal val="0"/>
          <c:showCatName val="0"/>
          <c:showSerName val="0"/>
          <c:showPercent val="0"/>
          <c:showBubbleSize val="0"/>
        </c:dLbls>
        <c:gapWidth val="50"/>
        <c:overlap val="100"/>
        <c:axId val="661113408"/>
        <c:axId val="1"/>
      </c:barChart>
      <c:lineChart>
        <c:grouping val="standard"/>
        <c:varyColors val="0"/>
        <c:ser>
          <c:idx val="4"/>
          <c:order val="4"/>
          <c:tx>
            <c:strRef>
              <c:f>Invest_Eurostat_Q!$D$30</c:f>
              <c:strCache>
                <c:ptCount val="1"/>
                <c:pt idx="0">
                  <c:v>Investīciju izmaiņas, % (labā ass)</c:v>
                </c:pt>
              </c:strCache>
            </c:strRef>
          </c:tx>
          <c:spPr>
            <a:ln w="28575" cap="rnd">
              <a:solidFill>
                <a:schemeClr val="tx1"/>
              </a:solidFill>
              <a:round/>
            </a:ln>
            <a:effectLst/>
          </c:spPr>
          <c:marker>
            <c:symbol val="none"/>
          </c:marker>
          <c:cat>
            <c:multiLvlStrRef>
              <c:f>Invest_Eurostat_Q!$S$9:$AB$10</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Invest_Eurostat_Q!$S$30:$AB$30</c:f>
              <c:numCache>
                <c:formatCode>0</c:formatCode>
                <c:ptCount val="10"/>
                <c:pt idx="0">
                  <c:v>2.1041068108838825</c:v>
                </c:pt>
                <c:pt idx="1">
                  <c:v>16.060738793984523</c:v>
                </c:pt>
                <c:pt idx="2">
                  <c:v>10.261335195855899</c:v>
                </c:pt>
                <c:pt idx="3">
                  <c:v>1.0421809006637048</c:v>
                </c:pt>
                <c:pt idx="4" formatCode="0.0">
                  <c:v>1.9779855996027551</c:v>
                </c:pt>
                <c:pt idx="5">
                  <c:v>0.20128318027425118</c:v>
                </c:pt>
                <c:pt idx="6" formatCode="0.0">
                  <c:v>0.30088682432431468</c:v>
                </c:pt>
                <c:pt idx="7">
                  <c:v>0.19000054285869389</c:v>
                </c:pt>
                <c:pt idx="8" formatCode="0.0">
                  <c:v>12.157117351079366</c:v>
                </c:pt>
                <c:pt idx="9" formatCode="0.0">
                  <c:v>6.0514752040175823</c:v>
                </c:pt>
              </c:numCache>
            </c:numRef>
          </c:val>
          <c:smooth val="0"/>
          <c:extLst>
            <c:ext xmlns:c16="http://schemas.microsoft.com/office/drawing/2014/chart" uri="{C3380CC4-5D6E-409C-BE32-E72D297353CC}">
              <c16:uniqueId val="{00000004-97EB-44D6-BBC2-117D7EE4C06D}"/>
            </c:ext>
          </c:extLst>
        </c:ser>
        <c:dLbls>
          <c:showLegendKey val="0"/>
          <c:showVal val="0"/>
          <c:showCatName val="0"/>
          <c:showSerName val="0"/>
          <c:showPercent val="0"/>
          <c:showBubbleSize val="0"/>
        </c:dLbls>
        <c:marker val="1"/>
        <c:smooth val="0"/>
        <c:axId val="3"/>
        <c:axId val="4"/>
      </c:lineChart>
      <c:catAx>
        <c:axId val="66111340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
        <c:crosses val="autoZero"/>
        <c:auto val="1"/>
        <c:lblAlgn val="ctr"/>
        <c:lblOffset val="100"/>
        <c:noMultiLvlLbl val="0"/>
      </c:catAx>
      <c:valAx>
        <c:axId val="1"/>
        <c:scaling>
          <c:orientation val="minMax"/>
          <c:max val="2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661113408"/>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20"/>
          <c:min val="-15"/>
        </c:scaling>
        <c:delete val="0"/>
        <c:axPos val="r"/>
        <c:numFmt formatCode="0"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
        <c:crosses val="max"/>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Sheet1!$E$10</c:f>
              <c:strCache>
                <c:ptCount val="1"/>
                <c:pt idx="0">
                  <c:v>2015</c:v>
                </c:pt>
              </c:strCache>
            </c:strRef>
          </c:tx>
          <c:spPr>
            <a:solidFill>
              <a:schemeClr val="accent5">
                <a:tint val="48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Sheet1!$E$11:$E$24</c:f>
            </c:numRef>
          </c:val>
          <c:extLst>
            <c:ext xmlns:c16="http://schemas.microsoft.com/office/drawing/2014/chart" uri="{C3380CC4-5D6E-409C-BE32-E72D297353CC}">
              <c16:uniqueId val="{00000000-5565-485C-BD88-318C40335D8D}"/>
            </c:ext>
          </c:extLst>
        </c:ser>
        <c:ser>
          <c:idx val="1"/>
          <c:order val="1"/>
          <c:tx>
            <c:strRef>
              <c:f>Sheet1!$F$10</c:f>
              <c:strCache>
                <c:ptCount val="1"/>
                <c:pt idx="0">
                  <c:v>2016</c:v>
                </c:pt>
              </c:strCache>
            </c:strRef>
          </c:tx>
          <c:spPr>
            <a:solidFill>
              <a:schemeClr val="accent5">
                <a:tint val="65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Sheet1!$F$11:$F$24</c:f>
            </c:numRef>
          </c:val>
          <c:extLst>
            <c:ext xmlns:c16="http://schemas.microsoft.com/office/drawing/2014/chart" uri="{C3380CC4-5D6E-409C-BE32-E72D297353CC}">
              <c16:uniqueId val="{00000001-5565-485C-BD88-318C40335D8D}"/>
            </c:ext>
          </c:extLst>
        </c:ser>
        <c:ser>
          <c:idx val="2"/>
          <c:order val="2"/>
          <c:tx>
            <c:strRef>
              <c:f>Sheet1!$G$10</c:f>
              <c:strCache>
                <c:ptCount val="1"/>
                <c:pt idx="0">
                  <c:v>2017</c:v>
                </c:pt>
              </c:strCache>
            </c:strRef>
          </c:tx>
          <c:spPr>
            <a:solidFill>
              <a:schemeClr val="accent5">
                <a:tint val="83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Sheet1!$G$11:$G$24</c:f>
              <c:numCache>
                <c:formatCode>General</c:formatCode>
                <c:ptCount val="14"/>
                <c:pt idx="0">
                  <c:v>6</c:v>
                </c:pt>
                <c:pt idx="1">
                  <c:v>13</c:v>
                </c:pt>
                <c:pt idx="2">
                  <c:v>2</c:v>
                </c:pt>
                <c:pt idx="3">
                  <c:v>1</c:v>
                </c:pt>
                <c:pt idx="4">
                  <c:v>4</c:v>
                </c:pt>
                <c:pt idx="5">
                  <c:v>6</c:v>
                </c:pt>
                <c:pt idx="6">
                  <c:v>0</c:v>
                </c:pt>
                <c:pt idx="7">
                  <c:v>12</c:v>
                </c:pt>
                <c:pt idx="8">
                  <c:v>15</c:v>
                </c:pt>
                <c:pt idx="9">
                  <c:v>7</c:v>
                </c:pt>
                <c:pt idx="10">
                  <c:v>2</c:v>
                </c:pt>
                <c:pt idx="11">
                  <c:v>3</c:v>
                </c:pt>
                <c:pt idx="12">
                  <c:v>1</c:v>
                </c:pt>
                <c:pt idx="13">
                  <c:v>0</c:v>
                </c:pt>
              </c:numCache>
            </c:numRef>
          </c:val>
          <c:extLst>
            <c:ext xmlns:c16="http://schemas.microsoft.com/office/drawing/2014/chart" uri="{C3380CC4-5D6E-409C-BE32-E72D297353CC}">
              <c16:uniqueId val="{00000002-5565-485C-BD88-318C40335D8D}"/>
            </c:ext>
          </c:extLst>
        </c:ser>
        <c:ser>
          <c:idx val="3"/>
          <c:order val="3"/>
          <c:tx>
            <c:strRef>
              <c:f>Sheet1!$H$10</c:f>
              <c:strCache>
                <c:ptCount val="1"/>
                <c:pt idx="0">
                  <c:v>2018</c:v>
                </c:pt>
              </c:strCache>
            </c:strRef>
          </c:tx>
          <c:spPr>
            <a:solidFill>
              <a:schemeClr val="accent5"/>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Sheet1!$H$11:$H$24</c:f>
              <c:numCache>
                <c:formatCode>General</c:formatCode>
                <c:ptCount val="14"/>
                <c:pt idx="0">
                  <c:v>6</c:v>
                </c:pt>
                <c:pt idx="1">
                  <c:v>12</c:v>
                </c:pt>
                <c:pt idx="2">
                  <c:v>6</c:v>
                </c:pt>
                <c:pt idx="3">
                  <c:v>1</c:v>
                </c:pt>
                <c:pt idx="4">
                  <c:v>8</c:v>
                </c:pt>
                <c:pt idx="5">
                  <c:v>7</c:v>
                </c:pt>
                <c:pt idx="6">
                  <c:v>0</c:v>
                </c:pt>
                <c:pt idx="7">
                  <c:v>12</c:v>
                </c:pt>
                <c:pt idx="8">
                  <c:v>14</c:v>
                </c:pt>
                <c:pt idx="9">
                  <c:v>5</c:v>
                </c:pt>
                <c:pt idx="10">
                  <c:v>1</c:v>
                </c:pt>
                <c:pt idx="11">
                  <c:v>2</c:v>
                </c:pt>
                <c:pt idx="12">
                  <c:v>0</c:v>
                </c:pt>
                <c:pt idx="13">
                  <c:v>0</c:v>
                </c:pt>
              </c:numCache>
            </c:numRef>
          </c:val>
          <c:extLst>
            <c:ext xmlns:c16="http://schemas.microsoft.com/office/drawing/2014/chart" uri="{C3380CC4-5D6E-409C-BE32-E72D297353CC}">
              <c16:uniqueId val="{00000003-5565-485C-BD88-318C40335D8D}"/>
            </c:ext>
          </c:extLst>
        </c:ser>
        <c:ser>
          <c:idx val="4"/>
          <c:order val="4"/>
          <c:tx>
            <c:strRef>
              <c:f>Sheet1!$I$10</c:f>
              <c:strCache>
                <c:ptCount val="1"/>
                <c:pt idx="0">
                  <c:v>2019</c:v>
                </c:pt>
              </c:strCache>
            </c:strRef>
          </c:tx>
          <c:spPr>
            <a:solidFill>
              <a:schemeClr val="accent5">
                <a:shade val="82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Sheet1!$I$11:$I$24</c:f>
              <c:numCache>
                <c:formatCode>General</c:formatCode>
                <c:ptCount val="14"/>
                <c:pt idx="0">
                  <c:v>5</c:v>
                </c:pt>
                <c:pt idx="1">
                  <c:v>11</c:v>
                </c:pt>
                <c:pt idx="2">
                  <c:v>1</c:v>
                </c:pt>
                <c:pt idx="3">
                  <c:v>0</c:v>
                </c:pt>
                <c:pt idx="4">
                  <c:v>8</c:v>
                </c:pt>
                <c:pt idx="5">
                  <c:v>8</c:v>
                </c:pt>
                <c:pt idx="6">
                  <c:v>0</c:v>
                </c:pt>
                <c:pt idx="7">
                  <c:v>10</c:v>
                </c:pt>
                <c:pt idx="8">
                  <c:v>11</c:v>
                </c:pt>
                <c:pt idx="9">
                  <c:v>3</c:v>
                </c:pt>
                <c:pt idx="10">
                  <c:v>1</c:v>
                </c:pt>
                <c:pt idx="11">
                  <c:v>1</c:v>
                </c:pt>
                <c:pt idx="12">
                  <c:v>0</c:v>
                </c:pt>
                <c:pt idx="13">
                  <c:v>0</c:v>
                </c:pt>
              </c:numCache>
            </c:numRef>
          </c:val>
          <c:extLst>
            <c:ext xmlns:c16="http://schemas.microsoft.com/office/drawing/2014/chart" uri="{C3380CC4-5D6E-409C-BE32-E72D297353CC}">
              <c16:uniqueId val="{00000004-5565-485C-BD88-318C40335D8D}"/>
            </c:ext>
          </c:extLst>
        </c:ser>
        <c:ser>
          <c:idx val="5"/>
          <c:order val="5"/>
          <c:tx>
            <c:strRef>
              <c:f>Sheet1!$J$10</c:f>
              <c:strCache>
                <c:ptCount val="1"/>
                <c:pt idx="0">
                  <c:v>2020</c:v>
                </c:pt>
              </c:strCache>
            </c:strRef>
          </c:tx>
          <c:spPr>
            <a:solidFill>
              <a:schemeClr val="accent5">
                <a:shade val="65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Sheet1!$J$11:$J$24</c:f>
              <c:numCache>
                <c:formatCode>General</c:formatCode>
                <c:ptCount val="14"/>
                <c:pt idx="0">
                  <c:v>7</c:v>
                </c:pt>
                <c:pt idx="1">
                  <c:v>10</c:v>
                </c:pt>
                <c:pt idx="2">
                  <c:v>4</c:v>
                </c:pt>
                <c:pt idx="3">
                  <c:v>3</c:v>
                </c:pt>
                <c:pt idx="4">
                  <c:v>18</c:v>
                </c:pt>
                <c:pt idx="5">
                  <c:v>10</c:v>
                </c:pt>
                <c:pt idx="6">
                  <c:v>2</c:v>
                </c:pt>
                <c:pt idx="7">
                  <c:v>12</c:v>
                </c:pt>
                <c:pt idx="8">
                  <c:v>13</c:v>
                </c:pt>
                <c:pt idx="9">
                  <c:v>2</c:v>
                </c:pt>
                <c:pt idx="10">
                  <c:v>4</c:v>
                </c:pt>
                <c:pt idx="11">
                  <c:v>6</c:v>
                </c:pt>
                <c:pt idx="12">
                  <c:v>0</c:v>
                </c:pt>
                <c:pt idx="13">
                  <c:v>6</c:v>
                </c:pt>
              </c:numCache>
            </c:numRef>
          </c:val>
          <c:extLst>
            <c:ext xmlns:c16="http://schemas.microsoft.com/office/drawing/2014/chart" uri="{C3380CC4-5D6E-409C-BE32-E72D297353CC}">
              <c16:uniqueId val="{00000005-5565-485C-BD88-318C40335D8D}"/>
            </c:ext>
          </c:extLst>
        </c:ser>
        <c:ser>
          <c:idx val="6"/>
          <c:order val="6"/>
          <c:tx>
            <c:strRef>
              <c:f>Sheet1!$K$10</c:f>
              <c:strCache>
                <c:ptCount val="1"/>
                <c:pt idx="0">
                  <c:v>2021</c:v>
                </c:pt>
              </c:strCache>
            </c:strRef>
          </c:tx>
          <c:spPr>
            <a:solidFill>
              <a:schemeClr val="accent5">
                <a:shade val="47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Sheet1!$K$11:$K$24</c:f>
              <c:numCache>
                <c:formatCode>General</c:formatCode>
                <c:ptCount val="14"/>
                <c:pt idx="0">
                  <c:v>7</c:v>
                </c:pt>
                <c:pt idx="1">
                  <c:v>10</c:v>
                </c:pt>
                <c:pt idx="2">
                  <c:v>0</c:v>
                </c:pt>
                <c:pt idx="3">
                  <c:v>3</c:v>
                </c:pt>
                <c:pt idx="4">
                  <c:v>15</c:v>
                </c:pt>
                <c:pt idx="5">
                  <c:v>14</c:v>
                </c:pt>
                <c:pt idx="6">
                  <c:v>2</c:v>
                </c:pt>
                <c:pt idx="7">
                  <c:v>11</c:v>
                </c:pt>
                <c:pt idx="8">
                  <c:v>14</c:v>
                </c:pt>
                <c:pt idx="9">
                  <c:v>2</c:v>
                </c:pt>
                <c:pt idx="10">
                  <c:v>4</c:v>
                </c:pt>
                <c:pt idx="11">
                  <c:v>4</c:v>
                </c:pt>
                <c:pt idx="12">
                  <c:v>1</c:v>
                </c:pt>
                <c:pt idx="13">
                  <c:v>10</c:v>
                </c:pt>
              </c:numCache>
            </c:numRef>
          </c:val>
          <c:extLst>
            <c:ext xmlns:c16="http://schemas.microsoft.com/office/drawing/2014/chart" uri="{C3380CC4-5D6E-409C-BE32-E72D297353CC}">
              <c16:uniqueId val="{00000006-5565-485C-BD88-318C40335D8D}"/>
            </c:ext>
          </c:extLst>
        </c:ser>
        <c:dLbls>
          <c:showLegendKey val="0"/>
          <c:showVal val="0"/>
          <c:showCatName val="0"/>
          <c:showSerName val="0"/>
          <c:showPercent val="0"/>
          <c:showBubbleSize val="0"/>
        </c:dLbls>
        <c:gapWidth val="219"/>
        <c:overlap val="-27"/>
        <c:axId val="1245898511"/>
        <c:axId val="1618127343"/>
      </c:barChart>
      <c:catAx>
        <c:axId val="124589851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18127343"/>
        <c:crosses val="autoZero"/>
        <c:auto val="1"/>
        <c:lblAlgn val="ctr"/>
        <c:lblOffset val="100"/>
        <c:noMultiLvlLbl val="0"/>
      </c:catAx>
      <c:valAx>
        <c:axId val="1618127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12458985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976357119730006E-2"/>
          <c:y val="4.3581616481774964E-2"/>
          <c:w val="0.89045611323124485"/>
          <c:h val="0.64299520043725544"/>
        </c:manualLayout>
      </c:layout>
      <c:lineChart>
        <c:grouping val="standard"/>
        <c:varyColors val="0"/>
        <c:ser>
          <c:idx val="0"/>
          <c:order val="0"/>
          <c:tx>
            <c:strRef>
              <c:f>LV!$A$13</c:f>
              <c:strCache>
                <c:ptCount val="1"/>
                <c:pt idx="0">
                  <c:v>2024.g. budž. progn.</c:v>
                </c:pt>
              </c:strCache>
            </c:strRef>
          </c:tx>
          <c:spPr>
            <a:ln w="28575" cap="rnd">
              <a:solidFill>
                <a:schemeClr val="accent1"/>
              </a:solidFill>
              <a:round/>
            </a:ln>
            <a:effectLst/>
          </c:spPr>
          <c:marker>
            <c:symbol val="none"/>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LV!$H$13:$U$13</c:f>
              <c:numCache>
                <c:formatCode>General</c:formatCode>
                <c:ptCount val="14"/>
                <c:pt idx="9" formatCode="0.0">
                  <c:v>110.65423405813964</c:v>
                </c:pt>
                <c:pt idx="10" formatCode="0.0">
                  <c:v>111.74890124632435</c:v>
                </c:pt>
                <c:pt idx="11" formatCode="0.0">
                  <c:v>114.52184121096649</c:v>
                </c:pt>
                <c:pt idx="12" formatCode="0.0">
                  <c:v>117.87601899132655</c:v>
                </c:pt>
                <c:pt idx="13" formatCode="0.0">
                  <c:v>121.31954549290739</c:v>
                </c:pt>
              </c:numCache>
            </c:numRef>
          </c:val>
          <c:smooth val="0"/>
          <c:extLst>
            <c:ext xmlns:c16="http://schemas.microsoft.com/office/drawing/2014/chart" uri="{C3380CC4-5D6E-409C-BE32-E72D297353CC}">
              <c16:uniqueId val="{00000000-0CBD-4624-B4FC-5501C1F1FC39}"/>
            </c:ext>
          </c:extLst>
        </c:ser>
        <c:ser>
          <c:idx val="1"/>
          <c:order val="1"/>
          <c:tx>
            <c:strRef>
              <c:f>LV!$A$14</c:f>
              <c:strCache>
                <c:ptCount val="1"/>
                <c:pt idx="0">
                  <c:v>2023.g. budž. progn.</c:v>
                </c:pt>
              </c:strCache>
            </c:strRef>
          </c:tx>
          <c:spPr>
            <a:ln w="28575" cap="rnd">
              <a:solidFill>
                <a:schemeClr val="accent2"/>
              </a:solidFill>
              <a:round/>
            </a:ln>
            <a:effectLst/>
          </c:spPr>
          <c:marker>
            <c:symbol val="none"/>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LV!$H$14:$U$14</c:f>
              <c:numCache>
                <c:formatCode>General</c:formatCode>
                <c:ptCount val="14"/>
                <c:pt idx="8" formatCode="0.0">
                  <c:v>107.05869934895357</c:v>
                </c:pt>
                <c:pt idx="9" formatCode="0.0">
                  <c:v>110.08975056018505</c:v>
                </c:pt>
                <c:pt idx="10" formatCode="0.0">
                  <c:v>111.2026361173546</c:v>
                </c:pt>
                <c:pt idx="11" formatCode="0.0">
                  <c:v>114.56010780810581</c:v>
                </c:pt>
                <c:pt idx="12" formatCode="0.0">
                  <c:v>118.49446284726675</c:v>
                </c:pt>
              </c:numCache>
            </c:numRef>
          </c:val>
          <c:smooth val="0"/>
          <c:extLst>
            <c:ext xmlns:c16="http://schemas.microsoft.com/office/drawing/2014/chart" uri="{C3380CC4-5D6E-409C-BE32-E72D297353CC}">
              <c16:uniqueId val="{00000001-0CBD-4624-B4FC-5501C1F1FC39}"/>
            </c:ext>
          </c:extLst>
        </c:ser>
        <c:ser>
          <c:idx val="2"/>
          <c:order val="2"/>
          <c:tx>
            <c:strRef>
              <c:f>LV!$A$15</c:f>
              <c:strCache>
                <c:ptCount val="1"/>
                <c:pt idx="0">
                  <c:v>2022.g. budž. progn.</c:v>
                </c:pt>
              </c:strCache>
            </c:strRef>
          </c:tx>
          <c:spPr>
            <a:ln w="28575" cap="rnd">
              <a:solidFill>
                <a:schemeClr val="accent3"/>
              </a:solidFill>
              <a:round/>
            </a:ln>
            <a:effectLst/>
          </c:spPr>
          <c:marker>
            <c:symbol val="none"/>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LV!$H$15:$U$15</c:f>
              <c:numCache>
                <c:formatCode>General</c:formatCode>
                <c:ptCount val="14"/>
                <c:pt idx="7" formatCode="0.0">
                  <c:v>100.30634194211734</c:v>
                </c:pt>
                <c:pt idx="8" formatCode="0.0">
                  <c:v>103.99831568770352</c:v>
                </c:pt>
                <c:pt idx="9" formatCode="0.0">
                  <c:v>109.15560893124901</c:v>
                </c:pt>
                <c:pt idx="10" formatCode="0.0">
                  <c:v>112.93517272589591</c:v>
                </c:pt>
                <c:pt idx="11" formatCode="0.0">
                  <c:v>116.7312131594839</c:v>
                </c:pt>
              </c:numCache>
            </c:numRef>
          </c:val>
          <c:smooth val="0"/>
          <c:extLst>
            <c:ext xmlns:c16="http://schemas.microsoft.com/office/drawing/2014/chart" uri="{C3380CC4-5D6E-409C-BE32-E72D297353CC}">
              <c16:uniqueId val="{00000002-0CBD-4624-B4FC-5501C1F1FC39}"/>
            </c:ext>
          </c:extLst>
        </c:ser>
        <c:ser>
          <c:idx val="3"/>
          <c:order val="3"/>
          <c:tx>
            <c:strRef>
              <c:f>LV!$A$16</c:f>
              <c:strCache>
                <c:ptCount val="1"/>
                <c:pt idx="0">
                  <c:v>2021.g.  budž. progn.</c:v>
                </c:pt>
              </c:strCache>
            </c:strRef>
          </c:tx>
          <c:spPr>
            <a:ln w="28575" cap="rnd">
              <a:solidFill>
                <a:schemeClr val="accent4"/>
              </a:solidFill>
              <a:round/>
            </a:ln>
            <a:effectLst/>
          </c:spPr>
          <c:marker>
            <c:symbol val="none"/>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LV!$H$16:$U$16</c:f>
              <c:numCache>
                <c:formatCode>General</c:formatCode>
                <c:ptCount val="14"/>
                <c:pt idx="6" formatCode="0.0">
                  <c:v>103.95926557022445</c:v>
                </c:pt>
                <c:pt idx="7" formatCode="0.0">
                  <c:v>96.682116980308535</c:v>
                </c:pt>
                <c:pt idx="8" formatCode="0.0">
                  <c:v>101.61394063458715</c:v>
                </c:pt>
                <c:pt idx="9" formatCode="0.0">
                  <c:v>104.81443297203299</c:v>
                </c:pt>
                <c:pt idx="10" formatCode="0.0">
                  <c:v>108.08956753015599</c:v>
                </c:pt>
              </c:numCache>
            </c:numRef>
          </c:val>
          <c:smooth val="0"/>
          <c:extLst>
            <c:ext xmlns:c16="http://schemas.microsoft.com/office/drawing/2014/chart" uri="{C3380CC4-5D6E-409C-BE32-E72D297353CC}">
              <c16:uniqueId val="{00000003-0CBD-4624-B4FC-5501C1F1FC39}"/>
            </c:ext>
          </c:extLst>
        </c:ser>
        <c:ser>
          <c:idx val="4"/>
          <c:order val="4"/>
          <c:tx>
            <c:strRef>
              <c:f>LV!$A$17</c:f>
              <c:strCache>
                <c:ptCount val="1"/>
                <c:pt idx="0">
                  <c:v>2020.g.  budž. progn.</c:v>
                </c:pt>
              </c:strCache>
            </c:strRef>
          </c:tx>
          <c:spPr>
            <a:ln w="28575" cap="rnd">
              <a:solidFill>
                <a:schemeClr val="accent5"/>
              </a:solidFill>
              <a:round/>
            </a:ln>
            <a:effectLst/>
          </c:spPr>
          <c:marker>
            <c:symbol val="none"/>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LV!$H$17:$U$17</c:f>
              <c:numCache>
                <c:formatCode>General</c:formatCode>
                <c:ptCount val="14"/>
                <c:pt idx="5" formatCode="0.0">
                  <c:v>103.35206969736198</c:v>
                </c:pt>
                <c:pt idx="6" formatCode="0.0">
                  <c:v>106.62334456019224</c:v>
                </c:pt>
                <c:pt idx="7" formatCode="0.0">
                  <c:v>109.61087068716661</c:v>
                </c:pt>
                <c:pt idx="8" formatCode="0.0">
                  <c:v>112.67594416837234</c:v>
                </c:pt>
                <c:pt idx="9" formatCode="0.0">
                  <c:v>115.82506443493426</c:v>
                </c:pt>
              </c:numCache>
            </c:numRef>
          </c:val>
          <c:smooth val="0"/>
          <c:extLst>
            <c:ext xmlns:c16="http://schemas.microsoft.com/office/drawing/2014/chart" uri="{C3380CC4-5D6E-409C-BE32-E72D297353CC}">
              <c16:uniqueId val="{00000004-0CBD-4624-B4FC-5501C1F1FC39}"/>
            </c:ext>
          </c:extLst>
        </c:ser>
        <c:ser>
          <c:idx val="5"/>
          <c:order val="5"/>
          <c:tx>
            <c:strRef>
              <c:f>LV!$A$18</c:f>
              <c:strCache>
                <c:ptCount val="1"/>
                <c:pt idx="0">
                  <c:v>2019.g.  budž. progn.</c:v>
                </c:pt>
              </c:strCache>
            </c:strRef>
          </c:tx>
          <c:spPr>
            <a:ln w="28575" cap="rnd">
              <a:solidFill>
                <a:schemeClr val="accent6"/>
              </a:solidFill>
              <a:round/>
            </a:ln>
            <a:effectLst/>
          </c:spPr>
          <c:marker>
            <c:symbol val="none"/>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LV!$H$18:$U$18</c:f>
              <c:numCache>
                <c:formatCode>General</c:formatCode>
                <c:ptCount val="14"/>
                <c:pt idx="4" formatCode="0.0">
                  <c:v>99.386050239971425</c:v>
                </c:pt>
                <c:pt idx="5" formatCode="0.0">
                  <c:v>103.5602643500502</c:v>
                </c:pt>
                <c:pt idx="6" formatCode="0.0">
                  <c:v>106.66707228055171</c:v>
                </c:pt>
                <c:pt idx="7" formatCode="0.0">
                  <c:v>109.8670845556353</c:v>
                </c:pt>
                <c:pt idx="8" formatCode="0.0">
                  <c:v>113.05323011761581</c:v>
                </c:pt>
              </c:numCache>
            </c:numRef>
          </c:val>
          <c:smooth val="0"/>
          <c:extLst>
            <c:ext xmlns:c16="http://schemas.microsoft.com/office/drawing/2014/chart" uri="{C3380CC4-5D6E-409C-BE32-E72D297353CC}">
              <c16:uniqueId val="{00000005-0CBD-4624-B4FC-5501C1F1FC39}"/>
            </c:ext>
          </c:extLst>
        </c:ser>
        <c:ser>
          <c:idx val="6"/>
          <c:order val="6"/>
          <c:tx>
            <c:strRef>
              <c:f>LV!$A$19</c:f>
              <c:strCache>
                <c:ptCount val="1"/>
                <c:pt idx="0">
                  <c:v>2018.g.  budž. progn.</c:v>
                </c:pt>
              </c:strCache>
            </c:strRef>
          </c:tx>
          <c:spPr>
            <a:ln w="28575" cap="rnd">
              <a:solidFill>
                <a:schemeClr val="accent1">
                  <a:lumMod val="60000"/>
                </a:schemeClr>
              </a:solidFill>
              <a:round/>
            </a:ln>
            <a:effectLst/>
          </c:spPr>
          <c:marker>
            <c:symbol val="none"/>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LV!$H$19:$U$19</c:f>
              <c:numCache>
                <c:formatCode>General</c:formatCode>
                <c:ptCount val="14"/>
                <c:pt idx="3" formatCode="0.0">
                  <c:v>96.199466075771653</c:v>
                </c:pt>
                <c:pt idx="4" formatCode="0.0">
                  <c:v>99.753137906152077</c:v>
                </c:pt>
                <c:pt idx="5" formatCode="0.0">
                  <c:v>103.16454250735801</c:v>
                </c:pt>
                <c:pt idx="6" formatCode="0.0">
                  <c:v>106.47839130852951</c:v>
                </c:pt>
                <c:pt idx="7" formatCode="0.0">
                  <c:v>109.88861137474551</c:v>
                </c:pt>
              </c:numCache>
            </c:numRef>
          </c:val>
          <c:smooth val="0"/>
          <c:extLst>
            <c:ext xmlns:c16="http://schemas.microsoft.com/office/drawing/2014/chart" uri="{C3380CC4-5D6E-409C-BE32-E72D297353CC}">
              <c16:uniqueId val="{00000006-0CBD-4624-B4FC-5501C1F1FC39}"/>
            </c:ext>
          </c:extLst>
        </c:ser>
        <c:ser>
          <c:idx val="7"/>
          <c:order val="7"/>
          <c:tx>
            <c:strRef>
              <c:f>LV!$A$20</c:f>
              <c:strCache>
                <c:ptCount val="1"/>
                <c:pt idx="0">
                  <c:v>2017.g.  budž. progn.</c:v>
                </c:pt>
              </c:strCache>
            </c:strRef>
          </c:tx>
          <c:spPr>
            <a:ln w="28575" cap="rnd">
              <a:solidFill>
                <a:schemeClr val="accent2">
                  <a:lumMod val="60000"/>
                </a:schemeClr>
              </a:solidFill>
              <a:round/>
            </a:ln>
            <a:effectLst/>
          </c:spPr>
          <c:marker>
            <c:symbol val="none"/>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LV!$H$20:$U$20</c:f>
              <c:numCache>
                <c:formatCode>General</c:formatCode>
                <c:ptCount val="14"/>
                <c:pt idx="2" formatCode="0.0">
                  <c:v>93.973593677963876</c:v>
                </c:pt>
                <c:pt idx="3" formatCode="0.0">
                  <c:v>96.756696282162721</c:v>
                </c:pt>
                <c:pt idx="4" formatCode="0.0">
                  <c:v>100.24963221054303</c:v>
                </c:pt>
                <c:pt idx="5" formatCode="0.0">
                  <c:v>103.83895982121916</c:v>
                </c:pt>
              </c:numCache>
            </c:numRef>
          </c:val>
          <c:smooth val="0"/>
          <c:extLst>
            <c:ext xmlns:c16="http://schemas.microsoft.com/office/drawing/2014/chart" uri="{C3380CC4-5D6E-409C-BE32-E72D297353CC}">
              <c16:uniqueId val="{00000007-0CBD-4624-B4FC-5501C1F1FC39}"/>
            </c:ext>
          </c:extLst>
        </c:ser>
        <c:ser>
          <c:idx val="8"/>
          <c:order val="8"/>
          <c:tx>
            <c:strRef>
              <c:f>LV!$A$21</c:f>
              <c:strCache>
                <c:ptCount val="1"/>
                <c:pt idx="0">
                  <c:v>2016.g. budž. progn.</c:v>
                </c:pt>
              </c:strCache>
            </c:strRef>
          </c:tx>
          <c:spPr>
            <a:ln w="28575" cap="rnd">
              <a:solidFill>
                <a:schemeClr val="accent3">
                  <a:lumMod val="60000"/>
                </a:schemeClr>
              </a:solidFill>
              <a:round/>
            </a:ln>
            <a:effectLst/>
          </c:spPr>
          <c:marker>
            <c:symbol val="none"/>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LV!$H$21:$U$21</c:f>
              <c:numCache>
                <c:formatCode>0.0</c:formatCode>
                <c:ptCount val="14"/>
                <c:pt idx="1">
                  <c:v>90.459025302409501</c:v>
                </c:pt>
                <c:pt idx="2">
                  <c:v>92.948112378214759</c:v>
                </c:pt>
                <c:pt idx="3">
                  <c:v>95.994238707518576</c:v>
                </c:pt>
                <c:pt idx="4">
                  <c:v>99.429498134607073</c:v>
                </c:pt>
              </c:numCache>
            </c:numRef>
          </c:val>
          <c:smooth val="0"/>
          <c:extLst>
            <c:ext xmlns:c16="http://schemas.microsoft.com/office/drawing/2014/chart" uri="{C3380CC4-5D6E-409C-BE32-E72D297353CC}">
              <c16:uniqueId val="{00000008-0CBD-4624-B4FC-5501C1F1FC39}"/>
            </c:ext>
          </c:extLst>
        </c:ser>
        <c:ser>
          <c:idx val="9"/>
          <c:order val="9"/>
          <c:tx>
            <c:strRef>
              <c:f>LV!$A$22</c:f>
              <c:strCache>
                <c:ptCount val="1"/>
                <c:pt idx="0">
                  <c:v>Faktiskā IKP izaugsme</c:v>
                </c:pt>
              </c:strCache>
            </c:strRef>
          </c:tx>
          <c:spPr>
            <a:ln w="28575" cap="rnd">
              <a:solidFill>
                <a:schemeClr val="accent4">
                  <a:lumMod val="60000"/>
                </a:schemeClr>
              </a:solidFill>
              <a:round/>
            </a:ln>
            <a:effectLst/>
          </c:spPr>
          <c:marker>
            <c:symbol val="circle"/>
            <c:size val="6"/>
            <c:spPr>
              <a:solidFill>
                <a:schemeClr val="bg1"/>
              </a:solidFill>
              <a:ln w="9525">
                <a:solidFill>
                  <a:schemeClr val="tx1"/>
                </a:solidFill>
              </a:ln>
              <a:effectLst/>
            </c:spPr>
          </c:marker>
          <c:cat>
            <c:numRef>
              <c:f>LV!$H$12:$U$12</c:f>
              <c:numCache>
                <c:formatCode>General</c:formatCode>
                <c:ptCount val="14"/>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numCache>
            </c:numRef>
          </c:cat>
          <c:val>
            <c:numRef>
              <c:f>LV!$H$22:$U$22</c:f>
              <c:numCache>
                <c:formatCode>0.0</c:formatCode>
                <c:ptCount val="14"/>
                <c:pt idx="0">
                  <c:v>88.770457900929358</c:v>
                </c:pt>
                <c:pt idx="1">
                  <c:v>90.459025302409501</c:v>
                </c:pt>
                <c:pt idx="2">
                  <c:v>93.973593677963876</c:v>
                </c:pt>
                <c:pt idx="3">
                  <c:v>96.199466075771653</c:v>
                </c:pt>
                <c:pt idx="4">
                  <c:v>99.386050239971425</c:v>
                </c:pt>
                <c:pt idx="5">
                  <c:v>103.35206969736198</c:v>
                </c:pt>
                <c:pt idx="6">
                  <c:v>103.95926557022445</c:v>
                </c:pt>
                <c:pt idx="7">
                  <c:v>100.30634194211734</c:v>
                </c:pt>
                <c:pt idx="8">
                  <c:v>107.05869934895357</c:v>
                </c:pt>
                <c:pt idx="9">
                  <c:v>110.65423405813964</c:v>
                </c:pt>
              </c:numCache>
            </c:numRef>
          </c:val>
          <c:smooth val="0"/>
          <c:extLst>
            <c:ext xmlns:c16="http://schemas.microsoft.com/office/drawing/2014/chart" uri="{C3380CC4-5D6E-409C-BE32-E72D297353CC}">
              <c16:uniqueId val="{00000009-0CBD-4624-B4FC-5501C1F1FC39}"/>
            </c:ext>
          </c:extLst>
        </c:ser>
        <c:dLbls>
          <c:showLegendKey val="0"/>
          <c:showVal val="0"/>
          <c:showCatName val="0"/>
          <c:showSerName val="0"/>
          <c:showPercent val="0"/>
          <c:showBubbleSize val="0"/>
        </c:dLbls>
        <c:smooth val="0"/>
        <c:axId val="581874224"/>
        <c:axId val="581892944"/>
      </c:lineChart>
      <c:catAx>
        <c:axId val="5818742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81892944"/>
        <c:crossesAt val="70"/>
        <c:auto val="1"/>
        <c:lblAlgn val="ctr"/>
        <c:lblOffset val="100"/>
        <c:noMultiLvlLbl val="0"/>
      </c:catAx>
      <c:valAx>
        <c:axId val="581892944"/>
        <c:scaling>
          <c:orientation val="minMax"/>
          <c:min val="8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81874224"/>
        <c:crosses val="autoZero"/>
        <c:crossBetween val="between"/>
        <c:majorUnit val="10"/>
      </c:valAx>
      <c:spPr>
        <a:noFill/>
        <a:ln>
          <a:noFill/>
        </a:ln>
        <a:effectLst/>
      </c:spPr>
    </c:plotArea>
    <c:legend>
      <c:legendPos val="b"/>
      <c:layout>
        <c:manualLayout>
          <c:xMode val="edge"/>
          <c:yMode val="edge"/>
          <c:x val="5.6343265767779468E-2"/>
          <c:y val="0.7935972147697069"/>
          <c:w val="0.90054226630336187"/>
          <c:h val="0.2064027852302931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1813124285492312E-2"/>
          <c:y val="5.7082138416908415E-2"/>
          <c:w val="0.91679107669212534"/>
          <c:h val="0.61716575200827173"/>
        </c:manualLayout>
      </c:layout>
      <c:barChart>
        <c:barDir val="col"/>
        <c:grouping val="stacked"/>
        <c:varyColors val="0"/>
        <c:ser>
          <c:idx val="1"/>
          <c:order val="1"/>
          <c:tx>
            <c:strRef>
              <c:f>LV!$C$3</c:f>
              <c:strCache>
                <c:ptCount val="1"/>
                <c:pt idx="0">
                  <c:v>Privātais patēriņš</c:v>
                </c:pt>
              </c:strCache>
            </c:strRef>
          </c:tx>
          <c:spPr>
            <a:solidFill>
              <a:schemeClr val="accent2">
                <a:lumMod val="75000"/>
              </a:schemeClr>
            </a:solidFill>
            <a:ln>
              <a:noFill/>
            </a:ln>
          </c:spPr>
          <c:invertIfNegative val="0"/>
          <c:cat>
            <c:numRef>
              <c:f>LV!$H$1:$Q$1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LV!$H$3:$Q$3</c:f>
              <c:numCache>
                <c:formatCode>0.0</c:formatCode>
                <c:ptCount val="10"/>
                <c:pt idx="0">
                  <c:v>0.92728403921679936</c:v>
                </c:pt>
                <c:pt idx="1">
                  <c:v>-1.5464236546618346</c:v>
                </c:pt>
                <c:pt idx="2">
                  <c:v>7.804516690147012E-2</c:v>
                </c:pt>
                <c:pt idx="3">
                  <c:v>-0.33980239802496026</c:v>
                </c:pt>
                <c:pt idx="4">
                  <c:v>0.39844253191305201</c:v>
                </c:pt>
                <c:pt idx="5">
                  <c:v>0.17135905289370879</c:v>
                </c:pt>
                <c:pt idx="6">
                  <c:v>-0.36061137046721514</c:v>
                </c:pt>
                <c:pt idx="7">
                  <c:v>-1.4596911800303989</c:v>
                </c:pt>
                <c:pt idx="8">
                  <c:v>1.1663910934763972</c:v>
                </c:pt>
                <c:pt idx="9">
                  <c:v>0.65283734824009265</c:v>
                </c:pt>
              </c:numCache>
            </c:numRef>
          </c:val>
          <c:extLst>
            <c:ext xmlns:c16="http://schemas.microsoft.com/office/drawing/2014/chart" uri="{C3380CC4-5D6E-409C-BE32-E72D297353CC}">
              <c16:uniqueId val="{00000000-E67D-482B-8262-03213045ADD8}"/>
            </c:ext>
          </c:extLst>
        </c:ser>
        <c:ser>
          <c:idx val="2"/>
          <c:order val="2"/>
          <c:tx>
            <c:strRef>
              <c:f>LV!$C$4</c:f>
              <c:strCache>
                <c:ptCount val="1"/>
                <c:pt idx="0">
                  <c:v>Sabiedriskais patēriņš</c:v>
                </c:pt>
              </c:strCache>
            </c:strRef>
          </c:tx>
          <c:spPr>
            <a:ln>
              <a:noFill/>
            </a:ln>
          </c:spPr>
          <c:invertIfNegative val="0"/>
          <c:cat>
            <c:numRef>
              <c:f>LV!$H$1:$Q$1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LV!$H$4:$Q$4</c:f>
              <c:numCache>
                <c:formatCode>0.0</c:formatCode>
                <c:ptCount val="10"/>
                <c:pt idx="0">
                  <c:v>0.38269293624611989</c:v>
                </c:pt>
                <c:pt idx="1">
                  <c:v>0.70398361310636481</c:v>
                </c:pt>
                <c:pt idx="2">
                  <c:v>8.0392296951586839E-2</c:v>
                </c:pt>
                <c:pt idx="3">
                  <c:v>-0.14404450952870496</c:v>
                </c:pt>
                <c:pt idx="4">
                  <c:v>0.17935539454491423</c:v>
                </c:pt>
                <c:pt idx="5">
                  <c:v>3.1992948200467719E-2</c:v>
                </c:pt>
                <c:pt idx="6">
                  <c:v>-7.466315739407442E-2</c:v>
                </c:pt>
                <c:pt idx="7">
                  <c:v>-0.10039478898724752</c:v>
                </c:pt>
                <c:pt idx="8">
                  <c:v>0.1751861029272086</c:v>
                </c:pt>
                <c:pt idx="9">
                  <c:v>0.18350487114790809</c:v>
                </c:pt>
              </c:numCache>
            </c:numRef>
          </c:val>
          <c:extLst>
            <c:ext xmlns:c16="http://schemas.microsoft.com/office/drawing/2014/chart" uri="{C3380CC4-5D6E-409C-BE32-E72D297353CC}">
              <c16:uniqueId val="{00000001-E67D-482B-8262-03213045ADD8}"/>
            </c:ext>
          </c:extLst>
        </c:ser>
        <c:ser>
          <c:idx val="3"/>
          <c:order val="3"/>
          <c:tx>
            <c:strRef>
              <c:f>LV!$C$5</c:f>
              <c:strCache>
                <c:ptCount val="1"/>
                <c:pt idx="0">
                  <c:v>Kopējā pamatkapitāla veidošana</c:v>
                </c:pt>
              </c:strCache>
            </c:strRef>
          </c:tx>
          <c:spPr>
            <a:solidFill>
              <a:schemeClr val="accent4">
                <a:lumMod val="60000"/>
                <a:lumOff val="40000"/>
              </a:schemeClr>
            </a:solidFill>
            <a:ln>
              <a:noFill/>
            </a:ln>
          </c:spPr>
          <c:invertIfNegative val="0"/>
          <c:cat>
            <c:numRef>
              <c:f>LV!$H$1:$Q$1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LV!$H$5:$Q$5</c:f>
              <c:numCache>
                <c:formatCode>0.0</c:formatCode>
                <c:ptCount val="10"/>
                <c:pt idx="0">
                  <c:v>-3.0573538822515669</c:v>
                </c:pt>
                <c:pt idx="1">
                  <c:v>-1.2393014584765654</c:v>
                </c:pt>
                <c:pt idx="2">
                  <c:v>-0.17750299636338718</c:v>
                </c:pt>
                <c:pt idx="3">
                  <c:v>0.14386357414500139</c:v>
                </c:pt>
                <c:pt idx="4">
                  <c:v>0.7319804554215279</c:v>
                </c:pt>
                <c:pt idx="5">
                  <c:v>0.47507424921853403</c:v>
                </c:pt>
                <c:pt idx="6">
                  <c:v>-1.1937216479336445</c:v>
                </c:pt>
                <c:pt idx="7">
                  <c:v>2.4869176291223072</c:v>
                </c:pt>
                <c:pt idx="8">
                  <c:v>-0.29018956961746789</c:v>
                </c:pt>
                <c:pt idx="9">
                  <c:v>2.4656873109300065E-2</c:v>
                </c:pt>
              </c:numCache>
            </c:numRef>
          </c:val>
          <c:extLst>
            <c:ext xmlns:c16="http://schemas.microsoft.com/office/drawing/2014/chart" uri="{C3380CC4-5D6E-409C-BE32-E72D297353CC}">
              <c16:uniqueId val="{00000002-E67D-482B-8262-03213045ADD8}"/>
            </c:ext>
          </c:extLst>
        </c:ser>
        <c:ser>
          <c:idx val="4"/>
          <c:order val="4"/>
          <c:tx>
            <c:strRef>
              <c:f>LV!$C$6</c:f>
              <c:strCache>
                <c:ptCount val="1"/>
                <c:pt idx="0">
                  <c:v>Krājumu izmaiņas</c:v>
                </c:pt>
              </c:strCache>
            </c:strRef>
          </c:tx>
          <c:spPr>
            <a:solidFill>
              <a:srgbClr val="4472C4">
                <a:lumMod val="60000"/>
                <a:lumOff val="40000"/>
              </a:srgbClr>
            </a:solidFill>
            <a:ln>
              <a:noFill/>
            </a:ln>
          </c:spPr>
          <c:invertIfNegative val="0"/>
          <c:cat>
            <c:numRef>
              <c:f>LV!$H$1:$Q$1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LV!$H$6:$Q$6</c:f>
              <c:numCache>
                <c:formatCode>0.0</c:formatCode>
                <c:ptCount val="10"/>
                <c:pt idx="0">
                  <c:v>-0.62257650429221179</c:v>
                </c:pt>
                <c:pt idx="1">
                  <c:v>-1.4010806305132375</c:v>
                </c:pt>
                <c:pt idx="2">
                  <c:v>-0.17750299636338718</c:v>
                </c:pt>
                <c:pt idx="3">
                  <c:v>-2.5443102383546083</c:v>
                </c:pt>
                <c:pt idx="4">
                  <c:v>0.54013884388881594</c:v>
                </c:pt>
                <c:pt idx="5">
                  <c:v>1.4610419477111545</c:v>
                </c:pt>
                <c:pt idx="6">
                  <c:v>2.1416462212983629</c:v>
                </c:pt>
                <c:pt idx="7">
                  <c:v>3.1334359079828884</c:v>
                </c:pt>
                <c:pt idx="8">
                  <c:v>4.3102551941826945</c:v>
                </c:pt>
                <c:pt idx="9">
                  <c:v>2.224497503688617</c:v>
                </c:pt>
              </c:numCache>
            </c:numRef>
          </c:val>
          <c:extLst>
            <c:ext xmlns:c16="http://schemas.microsoft.com/office/drawing/2014/chart" uri="{C3380CC4-5D6E-409C-BE32-E72D297353CC}">
              <c16:uniqueId val="{00000003-E67D-482B-8262-03213045ADD8}"/>
            </c:ext>
          </c:extLst>
        </c:ser>
        <c:ser>
          <c:idx val="5"/>
          <c:order val="5"/>
          <c:tx>
            <c:strRef>
              <c:f>LV!$C$7</c:f>
              <c:strCache>
                <c:ptCount val="1"/>
                <c:pt idx="0">
                  <c:v>Neto eksports</c:v>
                </c:pt>
              </c:strCache>
            </c:strRef>
          </c:tx>
          <c:spPr>
            <a:solidFill>
              <a:schemeClr val="accent6">
                <a:lumMod val="60000"/>
                <a:lumOff val="40000"/>
              </a:schemeClr>
            </a:solidFill>
            <a:ln>
              <a:noFill/>
            </a:ln>
          </c:spPr>
          <c:invertIfNegative val="0"/>
          <c:cat>
            <c:numRef>
              <c:f>LV!$H$1:$Q$1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LV!$H$7:$Q$7</c:f>
              <c:numCache>
                <c:formatCode>0.0</c:formatCode>
                <c:ptCount val="10"/>
                <c:pt idx="0">
                  <c:v>2.7699387500953661</c:v>
                </c:pt>
                <c:pt idx="1">
                  <c:v>1.6529063072662975</c:v>
                </c:pt>
                <c:pt idx="2">
                  <c:v>-0.45365311295598909</c:v>
                </c:pt>
                <c:pt idx="3">
                  <c:v>2.31368614132648</c:v>
                </c:pt>
                <c:pt idx="4">
                  <c:v>-0.7485053373674373</c:v>
                </c:pt>
                <c:pt idx="5">
                  <c:v>-1.5697515163893736</c:v>
                </c:pt>
                <c:pt idx="6">
                  <c:v>-1.4803842358104242</c:v>
                </c:pt>
                <c:pt idx="7">
                  <c:v>-0.68395148377766479</c:v>
                </c:pt>
                <c:pt idx="8">
                  <c:v>-4.9742671808072636</c:v>
                </c:pt>
                <c:pt idx="9">
                  <c:v>-1.9251474793095458</c:v>
                </c:pt>
              </c:numCache>
            </c:numRef>
          </c:val>
          <c:extLst>
            <c:ext xmlns:c16="http://schemas.microsoft.com/office/drawing/2014/chart" uri="{C3380CC4-5D6E-409C-BE32-E72D297353CC}">
              <c16:uniqueId val="{00000004-E67D-482B-8262-03213045ADD8}"/>
            </c:ext>
          </c:extLst>
        </c:ser>
        <c:ser>
          <c:idx val="6"/>
          <c:order val="6"/>
          <c:tx>
            <c:strRef>
              <c:f>LV!$C$8</c:f>
              <c:strCache>
                <c:ptCount val="1"/>
                <c:pt idx="0">
                  <c:v>Statistikas korekcijas</c:v>
                </c:pt>
              </c:strCache>
            </c:strRef>
          </c:tx>
          <c:spPr>
            <a:solidFill>
              <a:srgbClr val="FF0000"/>
            </a:solidFill>
            <a:ln>
              <a:noFill/>
            </a:ln>
          </c:spPr>
          <c:invertIfNegative val="0"/>
          <c:cat>
            <c:numRef>
              <c:f>LV!$H$1:$Q$1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LV!$H$8:$Q$8</c:f>
              <c:numCache>
                <c:formatCode>0.0</c:formatCode>
                <c:ptCount val="10"/>
                <c:pt idx="0">
                  <c:v>2.1021289265026306</c:v>
                </c:pt>
                <c:pt idx="1">
                  <c:v>0.45944647419946194</c:v>
                </c:pt>
                <c:pt idx="2">
                  <c:v>-1.7576769687688256</c:v>
                </c:pt>
                <c:pt idx="3">
                  <c:v>-0.41824914027199611</c:v>
                </c:pt>
                <c:pt idx="4">
                  <c:v>1.3240036855523125</c:v>
                </c:pt>
                <c:pt idx="5">
                  <c:v>0.77786217692700177</c:v>
                </c:pt>
                <c:pt idx="6">
                  <c:v>-0.37226211936555842</c:v>
                </c:pt>
                <c:pt idx="7">
                  <c:v>-1.3256092667934638</c:v>
                </c:pt>
                <c:pt idx="8">
                  <c:v>-0.20855126707191118</c:v>
                </c:pt>
                <c:pt idx="9">
                  <c:v>0</c:v>
                </c:pt>
              </c:numCache>
            </c:numRef>
          </c:val>
          <c:extLst>
            <c:ext xmlns:c16="http://schemas.microsoft.com/office/drawing/2014/chart" uri="{C3380CC4-5D6E-409C-BE32-E72D297353CC}">
              <c16:uniqueId val="{00000005-E67D-482B-8262-03213045ADD8}"/>
            </c:ext>
          </c:extLst>
        </c:ser>
        <c:dLbls>
          <c:showLegendKey val="0"/>
          <c:showVal val="0"/>
          <c:showCatName val="0"/>
          <c:showSerName val="0"/>
          <c:showPercent val="0"/>
          <c:showBubbleSize val="0"/>
        </c:dLbls>
        <c:gapWidth val="50"/>
        <c:overlap val="100"/>
        <c:axId val="435172480"/>
        <c:axId val="435172872"/>
      </c:barChart>
      <c:lineChart>
        <c:grouping val="standard"/>
        <c:varyColors val="0"/>
        <c:ser>
          <c:idx val="0"/>
          <c:order val="0"/>
          <c:tx>
            <c:strRef>
              <c:f>LV!$C$2</c:f>
              <c:strCache>
                <c:ptCount val="1"/>
                <c:pt idx="0">
                  <c:v>IKP</c:v>
                </c:pt>
              </c:strCache>
            </c:strRef>
          </c:tx>
          <c:spPr>
            <a:ln>
              <a:solidFill>
                <a:schemeClr val="tx1"/>
              </a:solidFill>
            </a:ln>
          </c:spPr>
          <c:marker>
            <c:symbol val="none"/>
          </c:marker>
          <c:cat>
            <c:numRef>
              <c:f>LV!$H$1:$Q$1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LV!$H$2:$Q$2</c:f>
              <c:numCache>
                <c:formatCode>0.0</c:formatCode>
                <c:ptCount val="10"/>
                <c:pt idx="0">
                  <c:v>0.40003964242507895</c:v>
                </c:pt>
                <c:pt idx="1">
                  <c:v>-1.8299158232789585</c:v>
                </c:pt>
                <c:pt idx="2">
                  <c:v>-1.0835124894503778E-2</c:v>
                </c:pt>
                <c:pt idx="3">
                  <c:v>-0.57060743043677409</c:v>
                </c:pt>
                <c:pt idx="4">
                  <c:v>1.1014118884008246</c:v>
                </c:pt>
                <c:pt idx="5">
                  <c:v>0.56971668163448896</c:v>
                </c:pt>
                <c:pt idx="6">
                  <c:v>-0.96773419030701291</c:v>
                </c:pt>
                <c:pt idx="7">
                  <c:v>3.3763160843098774</c:v>
                </c:pt>
                <c:pt idx="8">
                  <c:v>0.38737564016155046</c:v>
                </c:pt>
                <c:pt idx="9">
                  <c:v>1.1603491168763895</c:v>
                </c:pt>
              </c:numCache>
            </c:numRef>
          </c:val>
          <c:smooth val="0"/>
          <c:extLst>
            <c:ext xmlns:c16="http://schemas.microsoft.com/office/drawing/2014/chart" uri="{C3380CC4-5D6E-409C-BE32-E72D297353CC}">
              <c16:uniqueId val="{00000006-E67D-482B-8262-03213045ADD8}"/>
            </c:ext>
          </c:extLst>
        </c:ser>
        <c:dLbls>
          <c:showLegendKey val="0"/>
          <c:showVal val="0"/>
          <c:showCatName val="0"/>
          <c:showSerName val="0"/>
          <c:showPercent val="0"/>
          <c:showBubbleSize val="0"/>
        </c:dLbls>
        <c:marker val="1"/>
        <c:smooth val="0"/>
        <c:axId val="435172480"/>
        <c:axId val="435172872"/>
      </c:lineChart>
      <c:catAx>
        <c:axId val="435172480"/>
        <c:scaling>
          <c:orientation val="minMax"/>
        </c:scaling>
        <c:delete val="0"/>
        <c:axPos val="b"/>
        <c:numFmt formatCode="General" sourceLinked="1"/>
        <c:majorTickMark val="out"/>
        <c:minorTickMark val="none"/>
        <c:tickLblPos val="low"/>
        <c:txPr>
          <a:bodyPr/>
          <a:lstStyle/>
          <a:p>
            <a:pPr>
              <a:defRPr b="1">
                <a:solidFill>
                  <a:sysClr val="windowText" lastClr="000000"/>
                </a:solidFill>
              </a:defRPr>
            </a:pPr>
            <a:endParaRPr lang="lv-LV"/>
          </a:p>
        </c:txPr>
        <c:crossAx val="435172872"/>
        <c:crosses val="autoZero"/>
        <c:auto val="1"/>
        <c:lblAlgn val="ctr"/>
        <c:lblOffset val="100"/>
        <c:noMultiLvlLbl val="0"/>
      </c:catAx>
      <c:valAx>
        <c:axId val="435172872"/>
        <c:scaling>
          <c:orientation val="minMax"/>
        </c:scaling>
        <c:delete val="0"/>
        <c:axPos val="l"/>
        <c:numFmt formatCode="0" sourceLinked="0"/>
        <c:majorTickMark val="out"/>
        <c:minorTickMark val="none"/>
        <c:tickLblPos val="nextTo"/>
        <c:txPr>
          <a:bodyPr/>
          <a:lstStyle/>
          <a:p>
            <a:pPr>
              <a:defRPr b="1">
                <a:solidFill>
                  <a:sysClr val="windowText" lastClr="000000"/>
                </a:solidFill>
              </a:defRPr>
            </a:pPr>
            <a:endParaRPr lang="lv-LV"/>
          </a:p>
        </c:txPr>
        <c:crossAx val="435172480"/>
        <c:crosses val="autoZero"/>
        <c:crossBetween val="between"/>
      </c:valAx>
    </c:plotArea>
    <c:legend>
      <c:legendPos val="b"/>
      <c:layout>
        <c:manualLayout>
          <c:xMode val="edge"/>
          <c:yMode val="edge"/>
          <c:x val="1.4340453873145025E-2"/>
          <c:y val="0.75777061958164316"/>
          <c:w val="0.95423114219840055"/>
          <c:h val="0.24222938041835679"/>
        </c:manualLayout>
      </c:layout>
      <c:overlay val="0"/>
      <c:txPr>
        <a:bodyPr/>
        <a:lstStyle/>
        <a:p>
          <a:pPr>
            <a:defRPr b="0"/>
          </a:pPr>
          <a:endParaRPr lang="lv-LV"/>
        </a:p>
      </c:txPr>
    </c:legend>
    <c:plotVisOnly val="1"/>
    <c:dispBlanksAs val="gap"/>
    <c:showDLblsOverMax val="0"/>
  </c:chart>
  <c:spPr>
    <a:ln>
      <a:noFill/>
    </a:ln>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2641934954684342E-2"/>
          <c:y val="9.4827872908027175E-2"/>
          <c:w val="0.88152115819150556"/>
          <c:h val="0.68205080559620312"/>
        </c:manualLayout>
      </c:layout>
      <c:barChart>
        <c:barDir val="col"/>
        <c:grouping val="clustered"/>
        <c:varyColors val="0"/>
        <c:ser>
          <c:idx val="0"/>
          <c:order val="0"/>
          <c:tx>
            <c:strRef>
              <c:f>Rūpniecība!$J$1</c:f>
              <c:strCache>
                <c:ptCount val="1"/>
                <c:pt idx="0">
                  <c:v>Rūpniecības produkcijas apjoma indekss, sez. izl. (2015=100)</c:v>
                </c:pt>
              </c:strCache>
            </c:strRef>
          </c:tx>
          <c:spPr>
            <a:pattFill prst="dkUpDiag">
              <a:fgClr>
                <a:srgbClr val="00B050"/>
              </a:fgClr>
              <a:bgClr>
                <a:sysClr val="window" lastClr="FFFFFF"/>
              </a:bgClr>
            </a:pattFill>
            <a:ln>
              <a:solidFill>
                <a:srgbClr val="00B050"/>
              </a:solidFill>
            </a:ln>
            <a:effectLst/>
          </c:spPr>
          <c:invertIfNegative val="0"/>
          <c:cat>
            <c:multiLvlStrRef>
              <c:f>Rūpniecība!$A$170:$B$200</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2021</c:v>
                  </c:pt>
                  <c:pt idx="12">
                    <c:v>2022</c:v>
                  </c:pt>
                  <c:pt idx="24">
                    <c:v>2023</c:v>
                  </c:pt>
                </c:lvl>
              </c:multiLvlStrCache>
              <c:extLst/>
            </c:multiLvlStrRef>
          </c:cat>
          <c:val>
            <c:numRef>
              <c:f>Rūpniecība!$J$170:$J$200</c:f>
              <c:numCache>
                <c:formatCode>General</c:formatCode>
                <c:ptCount val="31"/>
                <c:pt idx="0">
                  <c:v>119.38</c:v>
                </c:pt>
                <c:pt idx="1">
                  <c:v>121.52</c:v>
                </c:pt>
                <c:pt idx="2">
                  <c:v>119.88</c:v>
                </c:pt>
                <c:pt idx="3">
                  <c:v>122.62</c:v>
                </c:pt>
                <c:pt idx="4">
                  <c:v>120.07</c:v>
                </c:pt>
                <c:pt idx="5">
                  <c:v>122.5</c:v>
                </c:pt>
                <c:pt idx="6">
                  <c:v>125.54</c:v>
                </c:pt>
                <c:pt idx="7">
                  <c:v>122.48</c:v>
                </c:pt>
                <c:pt idx="8">
                  <c:v>124.61</c:v>
                </c:pt>
                <c:pt idx="9">
                  <c:v>123.01</c:v>
                </c:pt>
                <c:pt idx="10">
                  <c:v>120.59</c:v>
                </c:pt>
                <c:pt idx="11">
                  <c:v>126.27</c:v>
                </c:pt>
                <c:pt idx="12">
                  <c:v>127.19</c:v>
                </c:pt>
                <c:pt idx="13">
                  <c:v>121.8</c:v>
                </c:pt>
                <c:pt idx="14">
                  <c:v>126.27</c:v>
                </c:pt>
                <c:pt idx="15">
                  <c:v>125.88</c:v>
                </c:pt>
                <c:pt idx="16">
                  <c:v>126.65</c:v>
                </c:pt>
                <c:pt idx="17">
                  <c:v>122.94</c:v>
                </c:pt>
                <c:pt idx="18">
                  <c:v>122.74</c:v>
                </c:pt>
                <c:pt idx="19">
                  <c:v>122.1</c:v>
                </c:pt>
                <c:pt idx="20">
                  <c:v>120.73</c:v>
                </c:pt>
                <c:pt idx="21">
                  <c:v>120.53</c:v>
                </c:pt>
                <c:pt idx="22">
                  <c:v>123.74</c:v>
                </c:pt>
                <c:pt idx="23">
                  <c:v>120.19</c:v>
                </c:pt>
                <c:pt idx="24">
                  <c:v>116.43</c:v>
                </c:pt>
                <c:pt idx="25">
                  <c:v>119.15</c:v>
                </c:pt>
                <c:pt idx="26">
                  <c:v>117.78</c:v>
                </c:pt>
                <c:pt idx="27">
                  <c:v>117.25</c:v>
                </c:pt>
                <c:pt idx="28">
                  <c:v>115.75</c:v>
                </c:pt>
                <c:pt idx="29">
                  <c:v>116.35</c:v>
                </c:pt>
                <c:pt idx="30">
                  <c:v>113.14</c:v>
                </c:pt>
              </c:numCache>
              <c:extLst/>
            </c:numRef>
          </c:val>
          <c:extLst>
            <c:ext xmlns:c16="http://schemas.microsoft.com/office/drawing/2014/chart" uri="{C3380CC4-5D6E-409C-BE32-E72D297353CC}">
              <c16:uniqueId val="{00000000-31CB-47CA-B452-B0C8C0C1C745}"/>
            </c:ext>
          </c:extLst>
        </c:ser>
        <c:dLbls>
          <c:showLegendKey val="0"/>
          <c:showVal val="0"/>
          <c:showCatName val="0"/>
          <c:showSerName val="0"/>
          <c:showPercent val="0"/>
          <c:showBubbleSize val="0"/>
        </c:dLbls>
        <c:gapWidth val="50"/>
        <c:axId val="343594496"/>
        <c:axId val="343594888"/>
      </c:barChart>
      <c:catAx>
        <c:axId val="3435944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343594888"/>
        <c:crosses val="autoZero"/>
        <c:auto val="1"/>
        <c:lblAlgn val="ctr"/>
        <c:lblOffset val="100"/>
        <c:tickMarkSkip val="1"/>
        <c:noMultiLvlLbl val="0"/>
      </c:catAx>
      <c:valAx>
        <c:axId val="343594888"/>
        <c:scaling>
          <c:orientation val="minMax"/>
          <c:max val="130"/>
          <c:min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343594496"/>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pie"/>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BD6-45F1-8F07-0970A0295D4E}"/>
              </c:ext>
            </c:extLst>
          </c:dPt>
          <c:dPt>
            <c:idx val="1"/>
            <c:bubble3D val="0"/>
            <c:explosion val="21"/>
            <c:spPr>
              <a:solidFill>
                <a:schemeClr val="accent2"/>
              </a:solidFill>
              <a:ln w="19050">
                <a:solidFill>
                  <a:schemeClr val="lt1"/>
                </a:solidFill>
              </a:ln>
              <a:effectLst/>
            </c:spPr>
            <c:extLst>
              <c:ext xmlns:c16="http://schemas.microsoft.com/office/drawing/2014/chart" uri="{C3380CC4-5D6E-409C-BE32-E72D297353CC}">
                <c16:uniqueId val="{00000003-7BD6-45F1-8F07-0970A0295D4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BD6-45F1-8F07-0970A0295D4E}"/>
              </c:ext>
            </c:extLst>
          </c:dPt>
          <c:dPt>
            <c:idx val="3"/>
            <c:bubble3D val="0"/>
            <c:spPr>
              <a:solidFill>
                <a:schemeClr val="accent2"/>
              </a:solidFill>
              <a:ln w="19050">
                <a:solidFill>
                  <a:schemeClr val="lt1"/>
                </a:solidFill>
              </a:ln>
              <a:effectLst/>
            </c:spPr>
            <c:extLst>
              <c:ext xmlns:c16="http://schemas.microsoft.com/office/drawing/2014/chart" uri="{C3380CC4-5D6E-409C-BE32-E72D297353CC}">
                <c16:uniqueId val="{00000007-7BD6-45F1-8F07-0970A0295D4E}"/>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BD6-45F1-8F07-0970A0295D4E}"/>
              </c:ext>
            </c:extLst>
          </c:dPt>
          <c:dPt>
            <c:idx val="5"/>
            <c:bubble3D val="0"/>
            <c:explosion val="19"/>
            <c:spPr>
              <a:solidFill>
                <a:schemeClr val="accent6"/>
              </a:solidFill>
              <a:ln w="19050">
                <a:solidFill>
                  <a:schemeClr val="lt1"/>
                </a:solidFill>
              </a:ln>
              <a:effectLst/>
            </c:spPr>
            <c:extLst>
              <c:ext xmlns:c16="http://schemas.microsoft.com/office/drawing/2014/chart" uri="{C3380CC4-5D6E-409C-BE32-E72D297353CC}">
                <c16:uniqueId val="{0000000B-7BD6-45F1-8F07-0970A0295D4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7BD6-45F1-8F07-0970A0295D4E}"/>
              </c:ext>
            </c:extLst>
          </c:dPt>
          <c:dLbls>
            <c:dLbl>
              <c:idx val="0"/>
              <c:layout>
                <c:manualLayout>
                  <c:x val="0.11244625730349465"/>
                  <c:y val="-1.4200033506450063E-2"/>
                </c:manualLayout>
              </c:layout>
              <c:spPr>
                <a:noFill/>
                <a:ln>
                  <a:noFill/>
                </a:ln>
                <a:effectLst/>
              </c:spPr>
              <c:txPr>
                <a:bodyPr rot="0" spcFirstLastPara="1" vertOverflow="ellipsis" vert="horz" wrap="square" lIns="0" tIns="0" rIns="0"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7BD6-45F1-8F07-0970A0295D4E}"/>
                </c:ext>
              </c:extLst>
            </c:dLbl>
            <c:dLbl>
              <c:idx val="1"/>
              <c:layout>
                <c:manualLayout>
                  <c:x val="5.8007650928762339E-2"/>
                  <c:y val="6.8636439787386344E-3"/>
                </c:manualLayout>
              </c:layout>
              <c:spPr>
                <a:noFill/>
                <a:ln>
                  <a:noFill/>
                </a:ln>
                <a:effectLst/>
              </c:spPr>
              <c:txPr>
                <a:bodyPr rot="0" spcFirstLastPara="1" vertOverflow="ellipsis" vert="horz" wrap="square" lIns="0" tIns="0" rIns="0" bIns="0"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7BD6-45F1-8F07-0970A0295D4E}"/>
                </c:ext>
              </c:extLst>
            </c:dLbl>
            <c:dLbl>
              <c:idx val="2"/>
              <c:layout>
                <c:manualLayout>
                  <c:x val="-4.4694479334940376E-2"/>
                  <c:y val="-3.2863272364135977E-2"/>
                </c:manualLayout>
              </c:layout>
              <c:tx>
                <c:rich>
                  <a:bodyPr rot="0" spcFirstLastPara="1" vertOverflow="ellipsis" vert="horz" wrap="square" lIns="0" tIns="0" rIns="0" bIns="0"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VSAOI</a:t>
                    </a:r>
                    <a:r>
                      <a:rPr lang="en-US" baseline="30000"/>
                      <a:t>1</a:t>
                    </a:r>
                    <a:r>
                      <a:rPr lang="en-US" baseline="0"/>
                      <a:t>
</a:t>
                    </a:r>
                    <a:fld id="{1D987756-A5BC-4F50-B6BD-B04794761106}" type="VALUE">
                      <a:rPr lang="en-US" baseline="0"/>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t>[VALUE]</a:t>
                    </a:fld>
                    <a:endParaRPr lang="en-US" baseline="0"/>
                  </a:p>
                </c:rich>
              </c:tx>
              <c:spPr>
                <a:noFill/>
                <a:ln>
                  <a:noFill/>
                </a:ln>
                <a:effectLst/>
              </c:sp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15:layout>
                    <c:manualLayout>
                      <c:w val="7.4313833910437083E-2"/>
                      <c:h val="0.12005821400901914"/>
                    </c:manualLayout>
                  </c15:layout>
                  <c15:dlblFieldTable/>
                  <c15:showDataLabelsRange val="0"/>
                </c:ext>
                <c:ext xmlns:c16="http://schemas.microsoft.com/office/drawing/2014/chart" uri="{C3380CC4-5D6E-409C-BE32-E72D297353CC}">
                  <c16:uniqueId val="{00000005-7BD6-45F1-8F07-0970A0295D4E}"/>
                </c:ext>
              </c:extLst>
            </c:dLbl>
            <c:dLbl>
              <c:idx val="3"/>
              <c:layout>
                <c:manualLayout>
                  <c:x val="-2.8800877070390453E-2"/>
                  <c:y val="-0.17444479083391723"/>
                </c:manualLayout>
              </c:layout>
              <c:tx>
                <c:rich>
                  <a:bodyPr rot="0" spcFirstLastPara="1" vertOverflow="ellipsis" vert="horz" wrap="square" lIns="0" tIns="0" rIns="0" bIns="0"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UIN</a:t>
                    </a:r>
                    <a:r>
                      <a:rPr lang="en-US" baseline="0"/>
                      <a:t>
</a:t>
                    </a:r>
                    <a:fld id="{5C05434B-D6F4-49D9-89FB-6DF489FE624B}" type="VALUE">
                      <a:rPr lang="en-US" baseline="0"/>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t>[VALUE]</a:t>
                    </a:fld>
                    <a:endParaRPr lang="en-US" baseline="0"/>
                  </a:p>
                </c:rich>
              </c:tx>
              <c:spPr>
                <a:noFill/>
                <a:ln>
                  <a:noFill/>
                </a:ln>
                <a:effectLst/>
              </c:sp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15:layout>
                    <c:manualLayout>
                      <c:w val="4.7834363555398912E-2"/>
                      <c:h val="8.4932572373964815E-2"/>
                    </c:manualLayout>
                  </c15:layout>
                  <c15:dlblFieldTable/>
                  <c15:showDataLabelsRange val="0"/>
                </c:ext>
                <c:ext xmlns:c16="http://schemas.microsoft.com/office/drawing/2014/chart" uri="{C3380CC4-5D6E-409C-BE32-E72D297353CC}">
                  <c16:uniqueId val="{00000007-7BD6-45F1-8F07-0970A0295D4E}"/>
                </c:ext>
              </c:extLst>
            </c:dLbl>
            <c:dLbl>
              <c:idx val="4"/>
              <c:layout>
                <c:manualLayout>
                  <c:x val="-1.5772336692948113E-2"/>
                  <c:y val="0.16142917534878376"/>
                </c:manualLayout>
              </c:layout>
              <c:tx>
                <c:rich>
                  <a:bodyPr rot="0" spcFirstLastPara="1" vertOverflow="ellipsis" vert="horz" wrap="square" lIns="0" tIns="0" rIns="0" bIns="0"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IIN</a:t>
                    </a:r>
                  </a:p>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fld id="{7E732FBB-4026-4FA3-84A2-5E3880C3C9AB}" type="VALUE">
                      <a:rPr lang="en-US" sz="800" baseline="0"/>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t>[VALUE]</a:t>
                    </a:fld>
                    <a:endParaRPr lang="lv-LV"/>
                  </a:p>
                </c:rich>
              </c:tx>
              <c:spPr>
                <a:noFill/>
                <a:ln>
                  <a:noFill/>
                </a:ln>
                <a:effectLst/>
              </c:sp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15:layout>
                    <c:manualLayout>
                      <c:w val="0.22560135831328879"/>
                      <c:h val="8.6864808304293203E-2"/>
                    </c:manualLayout>
                  </c15:layout>
                  <c15:dlblFieldTable/>
                  <c15:showDataLabelsRange val="0"/>
                </c:ext>
                <c:ext xmlns:c16="http://schemas.microsoft.com/office/drawing/2014/chart" uri="{C3380CC4-5D6E-409C-BE32-E72D297353CC}">
                  <c16:uniqueId val="{00000009-7BD6-45F1-8F07-0970A0295D4E}"/>
                </c:ext>
              </c:extLst>
            </c:dLbl>
            <c:dLbl>
              <c:idx val="5"/>
              <c:layout>
                <c:manualLayout>
                  <c:x val="-9.5016045770157875E-2"/>
                  <c:y val="0.10102079374273704"/>
                </c:manualLayout>
              </c:layout>
              <c:spPr>
                <a:noFill/>
                <a:ln>
                  <a:noFill/>
                </a:ln>
                <a:effectLst/>
              </c:spPr>
              <c:txPr>
                <a:bodyPr rot="0" spcFirstLastPara="1" vertOverflow="ellipsis" vert="horz" wrap="square" lIns="0" tIns="0" rIns="0" bIns="0"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1021946724744514"/>
                      <c:h val="8.8801056865147832E-2"/>
                    </c:manualLayout>
                  </c15:layout>
                </c:ext>
                <c:ext xmlns:c16="http://schemas.microsoft.com/office/drawing/2014/chart" uri="{C3380CC4-5D6E-409C-BE32-E72D297353CC}">
                  <c16:uniqueId val="{0000000B-7BD6-45F1-8F07-0970A0295D4E}"/>
                </c:ext>
              </c:extLst>
            </c:dLbl>
            <c:dLbl>
              <c:idx val="6"/>
              <c:layout>
                <c:manualLayout>
                  <c:x val="-0.17638628596626615"/>
                  <c:y val="-6.7698259187620891E-3"/>
                </c:manualLayout>
              </c:layout>
              <c:tx>
                <c:rich>
                  <a:bodyPr rot="0" spcFirstLastPara="1" vertOverflow="ellipsis" vert="horz" wrap="square" lIns="0" tIns="0" rIns="0" bIns="0"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r>
                      <a:rPr lang="lv-LV" b="1">
                        <a:solidFill>
                          <a:schemeClr val="bg1"/>
                        </a:solidFill>
                      </a:rPr>
                      <a:t>Tiešie nodokļi</a:t>
                    </a:r>
                    <a:r>
                      <a:rPr lang="lv-LV" b="1" baseline="30000">
                        <a:solidFill>
                          <a:schemeClr val="bg1"/>
                        </a:solidFill>
                      </a:rPr>
                      <a:t>1</a:t>
                    </a:r>
                    <a:r>
                      <a:rPr lang="lv-LV" b="1">
                        <a:solidFill>
                          <a:schemeClr val="bg1"/>
                        </a:solidFill>
                      </a:rPr>
                      <a:t> </a:t>
                    </a:r>
                    <a:fld id="{4FBF4D83-896E-4F23-B919-23E6000A788F}" type="VALUE">
                      <a:rPr lang="en-US" b="1">
                        <a:solidFill>
                          <a:schemeClr val="bg1"/>
                        </a:solidFill>
                      </a:rPr>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t>[VALUE]</a:t>
                    </a:fld>
                    <a:endParaRPr lang="lv-LV" b="1">
                      <a:solidFill>
                        <a:schemeClr val="bg1"/>
                      </a:solidFill>
                    </a:endParaRPr>
                  </a:p>
                </c:rich>
              </c:tx>
              <c:spPr>
                <a:noFill/>
                <a:ln>
                  <a:noFill/>
                </a:ln>
                <a:effectLst/>
              </c:sp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14496747877852498"/>
                      <c:h val="8.3172147001934232E-2"/>
                    </c:manualLayout>
                  </c15:layout>
                  <c15:dlblFieldTable/>
                  <c15:showDataLabelsRange val="0"/>
                </c:ext>
                <c:ext xmlns:c16="http://schemas.microsoft.com/office/drawing/2014/chart" uri="{C3380CC4-5D6E-409C-BE32-E72D297353CC}">
                  <c16:uniqueId val="{0000000D-7BD6-45F1-8F07-0970A0295D4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Sheet2!$J$3:$J$8</c:f>
              <c:strCache>
                <c:ptCount val="6"/>
                <c:pt idx="0">
                  <c:v>Netiešie nodokļi</c:v>
                </c:pt>
                <c:pt idx="1">
                  <c:v>Pārējie nodokļi</c:v>
                </c:pt>
                <c:pt idx="2">
                  <c:v>VSAOI (valsts un speciālajā budžetā)</c:v>
                </c:pt>
                <c:pt idx="3">
                  <c:v>Uzņēmumu ienākuma nodoklis</c:v>
                </c:pt>
                <c:pt idx="4">
                  <c:v>IIN</c:v>
                </c:pt>
                <c:pt idx="5">
                  <c:v>Nekustamā īpašuma nodoklis</c:v>
                </c:pt>
              </c:strCache>
            </c:strRef>
          </c:cat>
          <c:val>
            <c:numRef>
              <c:f>Sheet2!$K$3:$K$8</c:f>
              <c:numCache>
                <c:formatCode>0.0%</c:formatCode>
                <c:ptCount val="6"/>
                <c:pt idx="0">
                  <c:v>0.40305235081690094</c:v>
                </c:pt>
                <c:pt idx="1">
                  <c:v>9.3327713923336154E-3</c:v>
                </c:pt>
                <c:pt idx="2">
                  <c:v>0.32918696101167699</c:v>
                </c:pt>
                <c:pt idx="3">
                  <c:v>5.0393188302052486E-2</c:v>
                </c:pt>
                <c:pt idx="4">
                  <c:v>0.19083922320856461</c:v>
                </c:pt>
                <c:pt idx="5">
                  <c:v>1.7195505268471394E-2</c:v>
                </c:pt>
              </c:numCache>
            </c:numRef>
          </c:val>
          <c:extLst>
            <c:ext xmlns:c16="http://schemas.microsoft.com/office/drawing/2014/chart" uri="{C3380CC4-5D6E-409C-BE32-E72D297353CC}">
              <c16:uniqueId val="{0000000E-7BD6-45F1-8F07-0970A0295D4E}"/>
            </c:ext>
          </c:extLst>
        </c:ser>
        <c:dLbls>
          <c:dLblPos val="bestFit"/>
          <c:showLegendKey val="0"/>
          <c:showVal val="1"/>
          <c:showCatName val="1"/>
          <c:showSerName val="0"/>
          <c:showPercent val="0"/>
          <c:showBubbleSize val="0"/>
          <c:showLeaderLines val="1"/>
        </c:dLbls>
        <c:gapWidth val="100"/>
        <c:splitType val="pos"/>
        <c:splitPos val="4"/>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lv-LV"/>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pie"/>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56A-4CDB-855D-9463365E4B84}"/>
              </c:ext>
            </c:extLst>
          </c:dPt>
          <c:dPt>
            <c:idx val="1"/>
            <c:bubble3D val="0"/>
            <c:explosion val="26"/>
            <c:spPr>
              <a:solidFill>
                <a:schemeClr val="accent2"/>
              </a:solidFill>
              <a:ln w="19050">
                <a:solidFill>
                  <a:schemeClr val="lt1"/>
                </a:solidFill>
              </a:ln>
              <a:effectLst/>
            </c:spPr>
            <c:extLst>
              <c:ext xmlns:c16="http://schemas.microsoft.com/office/drawing/2014/chart" uri="{C3380CC4-5D6E-409C-BE32-E72D297353CC}">
                <c16:uniqueId val="{00000003-656A-4CDB-855D-9463365E4B84}"/>
              </c:ext>
            </c:extLst>
          </c:dPt>
          <c:dPt>
            <c:idx val="2"/>
            <c:bubble3D val="0"/>
            <c:explosion val="29"/>
            <c:spPr>
              <a:solidFill>
                <a:schemeClr val="accent2"/>
              </a:solidFill>
              <a:ln w="19050">
                <a:solidFill>
                  <a:schemeClr val="lt1"/>
                </a:solidFill>
              </a:ln>
              <a:effectLst/>
            </c:spPr>
            <c:extLst>
              <c:ext xmlns:c16="http://schemas.microsoft.com/office/drawing/2014/chart" uri="{C3380CC4-5D6E-409C-BE32-E72D297353CC}">
                <c16:uniqueId val="{00000005-656A-4CDB-855D-9463365E4B84}"/>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656A-4CDB-855D-9463365E4B84}"/>
              </c:ext>
            </c:extLst>
          </c:dPt>
          <c:dPt>
            <c:idx val="4"/>
            <c:bubble3D val="0"/>
            <c:explosion val="28"/>
            <c:spPr>
              <a:solidFill>
                <a:srgbClr val="C00000"/>
              </a:solidFill>
              <a:ln w="19050">
                <a:solidFill>
                  <a:schemeClr val="lt1"/>
                </a:solidFill>
              </a:ln>
              <a:effectLst/>
            </c:spPr>
            <c:extLst>
              <c:ext xmlns:c16="http://schemas.microsoft.com/office/drawing/2014/chart" uri="{C3380CC4-5D6E-409C-BE32-E72D297353CC}">
                <c16:uniqueId val="{00000009-656A-4CDB-855D-9463365E4B84}"/>
              </c:ext>
            </c:extLst>
          </c:dPt>
          <c:dPt>
            <c:idx val="5"/>
            <c:bubble3D val="0"/>
            <c:spPr>
              <a:solidFill>
                <a:schemeClr val="accent3"/>
              </a:solidFill>
              <a:ln w="19050">
                <a:solidFill>
                  <a:schemeClr val="lt1"/>
                </a:solidFill>
              </a:ln>
              <a:effectLst/>
            </c:spPr>
            <c:extLst>
              <c:ext xmlns:c16="http://schemas.microsoft.com/office/drawing/2014/chart" uri="{C3380CC4-5D6E-409C-BE32-E72D297353CC}">
                <c16:uniqueId val="{0000000B-656A-4CDB-855D-9463365E4B84}"/>
              </c:ext>
            </c:extLst>
          </c:dPt>
          <c:dPt>
            <c:idx val="6"/>
            <c:bubble3D val="0"/>
            <c:explosion val="44"/>
            <c:spPr>
              <a:solidFill>
                <a:schemeClr val="accent6"/>
              </a:solidFill>
              <a:ln w="19050">
                <a:solidFill>
                  <a:schemeClr val="lt1"/>
                </a:solidFill>
              </a:ln>
              <a:effectLst/>
            </c:spPr>
            <c:extLst>
              <c:ext xmlns:c16="http://schemas.microsoft.com/office/drawing/2014/chart" uri="{C3380CC4-5D6E-409C-BE32-E72D297353CC}">
                <c16:uniqueId val="{0000000D-656A-4CDB-855D-9463365E4B84}"/>
              </c:ext>
            </c:extLst>
          </c:dPt>
          <c:dPt>
            <c:idx val="7"/>
            <c:bubble3D val="0"/>
            <c:spPr>
              <a:solidFill>
                <a:schemeClr val="accent5">
                  <a:lumMod val="75000"/>
                </a:schemeClr>
              </a:solidFill>
              <a:ln w="19050">
                <a:solidFill>
                  <a:schemeClr val="lt1"/>
                </a:solidFill>
              </a:ln>
              <a:effectLst/>
            </c:spPr>
            <c:extLst>
              <c:ext xmlns:c16="http://schemas.microsoft.com/office/drawing/2014/chart" uri="{C3380CC4-5D6E-409C-BE32-E72D297353CC}">
                <c16:uniqueId val="{0000000F-656A-4CDB-855D-9463365E4B84}"/>
              </c:ext>
            </c:extLst>
          </c:dPt>
          <c:dLbls>
            <c:dLbl>
              <c:idx val="0"/>
              <c:layout>
                <c:manualLayout>
                  <c:x val="0.1181219975180203"/>
                  <c:y val="6.2712499920566695E-4"/>
                </c:manualLayout>
              </c:layout>
              <c:numFmt formatCode="0.0%" sourceLinked="0"/>
              <c:spPr>
                <a:noFill/>
                <a:ln>
                  <a:noFill/>
                </a:ln>
                <a:effectLst/>
              </c:spPr>
              <c:txPr>
                <a:bodyPr rot="0" spcFirstLastPara="1" vertOverflow="ellipsis" vert="horz" wrap="square" lIns="0" tIns="0" rIns="0" bIns="0"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656A-4CDB-855D-9463365E4B84}"/>
                </c:ext>
              </c:extLst>
            </c:dLbl>
            <c:dLbl>
              <c:idx val="1"/>
              <c:layout>
                <c:manualLayout>
                  <c:x val="-3.9400692705833559E-2"/>
                  <c:y val="1.14552630073783E-2"/>
                </c:manualLayout>
              </c:layout>
              <c:numFmt formatCode="0.0%" sourceLinked="0"/>
              <c:spPr>
                <a:noFill/>
                <a:ln>
                  <a:noFill/>
                </a:ln>
                <a:effectLst/>
              </c:spPr>
              <c:txPr>
                <a:bodyPr rot="0" spcFirstLastPara="1" vertOverflow="ellipsis" vert="horz" wrap="square" lIns="0" tIns="0" rIns="0" bIns="0"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656A-4CDB-855D-9463365E4B84}"/>
                </c:ext>
              </c:extLst>
            </c:dLbl>
            <c:dLbl>
              <c:idx val="2"/>
              <c:layout>
                <c:manualLayout>
                  <c:x val="-0.26872005085031597"/>
                  <c:y val="3.264812237453369E-2"/>
                </c:manualLayout>
              </c:layout>
              <c:numFmt formatCode="0.0%" sourceLinked="0"/>
              <c:spPr>
                <a:noFill/>
                <a:ln>
                  <a:noFill/>
                </a:ln>
                <a:effectLst/>
              </c:spPr>
              <c:txPr>
                <a:bodyPr rot="0" spcFirstLastPara="1" vertOverflow="ellipsis" vert="horz" wrap="square" lIns="0" tIns="0" rIns="0" bIns="0"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0.3047227663263673"/>
                      <c:h val="9.0508601679027412E-2"/>
                    </c:manualLayout>
                  </c15:layout>
                </c:ext>
                <c:ext xmlns:c16="http://schemas.microsoft.com/office/drawing/2014/chart" uri="{C3380CC4-5D6E-409C-BE32-E72D297353CC}">
                  <c16:uniqueId val="{00000005-656A-4CDB-855D-9463365E4B84}"/>
                </c:ext>
              </c:extLst>
            </c:dLbl>
            <c:dLbl>
              <c:idx val="3"/>
              <c:layout>
                <c:manualLayout>
                  <c:x val="-5.8531135008453354E-2"/>
                  <c:y val="-6.3984798510355698E-2"/>
                </c:manualLayout>
              </c:layout>
              <c:numFmt formatCode="0.0%" sourceLinked="0"/>
              <c:spPr>
                <a:noFill/>
                <a:ln>
                  <a:noFill/>
                </a:ln>
                <a:effectLst/>
              </c:spPr>
              <c:txPr>
                <a:bodyPr rot="0" spcFirstLastPara="1" vertOverflow="ellipsis" vert="horz" wrap="square" lIns="0" tIns="0" rIns="0" bIns="0"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656A-4CDB-855D-9463365E4B84}"/>
                </c:ext>
              </c:extLst>
            </c:dLbl>
            <c:dLbl>
              <c:idx val="4"/>
              <c:layout>
                <c:manualLayout>
                  <c:x val="2.9126392277040343E-2"/>
                  <c:y val="-0.13781796238621877"/>
                </c:manualLayout>
              </c:layout>
              <c:numFmt formatCode="0.0%" sourceLinked="0"/>
              <c:spPr>
                <a:noFill/>
                <a:ln>
                  <a:noFill/>
                </a:ln>
                <a:effectLst/>
              </c:spPr>
              <c:txPr>
                <a:bodyPr rot="0" spcFirstLastPara="1" vertOverflow="ellipsis" vert="horz" wrap="square" lIns="0" tIns="0" rIns="0" bIns="0"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0.14230647023587323"/>
                      <c:h val="0.16704550014352867"/>
                    </c:manualLayout>
                  </c15:layout>
                </c:ext>
                <c:ext xmlns:c16="http://schemas.microsoft.com/office/drawing/2014/chart" uri="{C3380CC4-5D6E-409C-BE32-E72D297353CC}">
                  <c16:uniqueId val="{00000009-656A-4CDB-855D-9463365E4B84}"/>
                </c:ext>
              </c:extLst>
            </c:dLbl>
            <c:dLbl>
              <c:idx val="5"/>
              <c:layout>
                <c:manualLayout>
                  <c:x val="-5.3884398683902109E-2"/>
                  <c:y val="-6.5044432166480967E-2"/>
                </c:manualLayout>
              </c:layout>
              <c:tx>
                <c:rich>
                  <a:bodyPr rot="0" spcFirstLastPara="1" vertOverflow="ellipsis" vert="horz" wrap="square" lIns="0" tIns="0" rIns="0" bIns="0"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PVN</a:t>
                    </a:r>
                    <a:r>
                      <a:rPr lang="en-US" sz="800" baseline="0"/>
                      <a:t>
</a:t>
                    </a:r>
                    <a:fld id="{F8F71E8A-E0CE-40E0-83D3-283B5EFE3E9D}" type="PERCENTAGE">
                      <a:rPr lang="en-US" sz="800" baseline="0"/>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t>[PERCENTAGE]</a:t>
                    </a:fld>
                    <a:endParaRPr lang="en-US" sz="800" baseline="0"/>
                  </a:p>
                </c:rich>
              </c:tx>
              <c:numFmt formatCode="0.0%" sourceLinked="0"/>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8.9551780117893193E-2"/>
                      <c:h val="8.5090916947808029E-2"/>
                    </c:manualLayout>
                  </c15:layout>
                  <c15:dlblFieldTable/>
                  <c15:showDataLabelsRange val="0"/>
                </c:ext>
                <c:ext xmlns:c16="http://schemas.microsoft.com/office/drawing/2014/chart" uri="{C3380CC4-5D6E-409C-BE32-E72D297353CC}">
                  <c16:uniqueId val="{0000000B-656A-4CDB-855D-9463365E4B84}"/>
                </c:ext>
              </c:extLst>
            </c:dLbl>
            <c:dLbl>
              <c:idx val="6"/>
              <c:layout>
                <c:manualLayout>
                  <c:x val="1.3703814206090795E-2"/>
                  <c:y val="2.245473553093999E-2"/>
                </c:manualLayout>
              </c:layout>
              <c:numFmt formatCode="0.0%" sourceLinked="0"/>
              <c:spPr>
                <a:noFill/>
                <a:ln>
                  <a:noFill/>
                </a:ln>
                <a:effectLst/>
              </c:spPr>
              <c:txPr>
                <a:bodyPr rot="0" spcFirstLastPara="1" vertOverflow="ellipsis" vert="horz" wrap="square" lIns="0" tIns="0" rIns="0" bIns="0"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D-656A-4CDB-855D-9463365E4B84}"/>
                </c:ext>
              </c:extLst>
            </c:dLbl>
            <c:dLbl>
              <c:idx val="7"/>
              <c:layout>
                <c:manualLayout>
                  <c:x val="-0.17639101125538878"/>
                  <c:y val="6.8121993225423684E-3"/>
                </c:manualLayout>
              </c:layout>
              <c:tx>
                <c:rich>
                  <a:bodyPr rot="0" spcFirstLastPara="1" vertOverflow="ellipsis" vert="horz" wrap="square" lIns="0" tIns="0" rIns="0" bIns="0"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r>
                      <a:rPr lang="lv-LV" b="1">
                        <a:solidFill>
                          <a:schemeClr val="bg1"/>
                        </a:solidFill>
                      </a:rPr>
                      <a:t>Netiešie nodokļi</a:t>
                    </a:r>
                    <a:r>
                      <a:rPr lang="lv-LV" b="1" baseline="30000">
                        <a:solidFill>
                          <a:schemeClr val="bg1"/>
                        </a:solidFill>
                      </a:rPr>
                      <a:t>1</a:t>
                    </a:r>
                    <a:r>
                      <a:rPr lang="lv-LV" b="1">
                        <a:solidFill>
                          <a:schemeClr val="bg1"/>
                        </a:solidFill>
                      </a:rPr>
                      <a:t>
</a:t>
                    </a:r>
                    <a:fld id="{538DD57E-281B-4A74-BE38-ECD95CE2D0B5}" type="PERCENTAGE">
                      <a:rPr lang="en-US" b="1">
                        <a:solidFill>
                          <a:schemeClr val="bg1"/>
                        </a:solidFill>
                      </a:rPr>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t>[PERCENTAGE]</a:t>
                    </a:fld>
                    <a:endParaRPr lang="lv-LV" b="1">
                      <a:solidFill>
                        <a:schemeClr val="bg1"/>
                      </a:solidFill>
                    </a:endParaRPr>
                  </a:p>
                </c:rich>
              </c:tx>
              <c:numFmt formatCode="0.0%" sourceLinked="0"/>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F-656A-4CDB-855D-9463365E4B84}"/>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Sheet2!$R$3:$R$9</c:f>
              <c:strCache>
                <c:ptCount val="7"/>
                <c:pt idx="0">
                  <c:v>Tiešie nodokļi</c:v>
                </c:pt>
                <c:pt idx="1">
                  <c:v>Pārējie nodokļi</c:v>
                </c:pt>
                <c:pt idx="2">
                  <c:v>Transportlīdzekļu ekspluatācijas nodoklis</c:v>
                </c:pt>
                <c:pt idx="3">
                  <c:v>Akcīzes nodoklis</c:v>
                </c:pt>
                <c:pt idx="4">
                  <c:v>Uzņēmumu vieglo transportlīdzekļu nodoklis</c:v>
                </c:pt>
                <c:pt idx="5">
                  <c:v>PVN</c:v>
                </c:pt>
                <c:pt idx="6">
                  <c:v>Muitas nodoklis</c:v>
                </c:pt>
              </c:strCache>
            </c:strRef>
          </c:cat>
          <c:val>
            <c:numRef>
              <c:f>Sheet2!$S$3:$S$9</c:f>
              <c:numCache>
                <c:formatCode>General</c:formatCode>
                <c:ptCount val="7"/>
                <c:pt idx="0">
                  <c:v>8112.5718500000003</c:v>
                </c:pt>
                <c:pt idx="1">
                  <c:v>128.84762000000001</c:v>
                </c:pt>
                <c:pt idx="2">
                  <c:v>105.3</c:v>
                </c:pt>
                <c:pt idx="3">
                  <c:v>1246.6369999999999</c:v>
                </c:pt>
                <c:pt idx="4">
                  <c:v>33.4</c:v>
                </c:pt>
                <c:pt idx="5">
                  <c:v>4110.7768999999998</c:v>
                </c:pt>
                <c:pt idx="6">
                  <c:v>68.400000000000006</c:v>
                </c:pt>
              </c:numCache>
            </c:numRef>
          </c:val>
          <c:extLst>
            <c:ext xmlns:c16="http://schemas.microsoft.com/office/drawing/2014/chart" uri="{C3380CC4-5D6E-409C-BE32-E72D297353CC}">
              <c16:uniqueId val="{00000010-656A-4CDB-855D-9463365E4B84}"/>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12-656A-4CDB-855D-9463365E4B8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4-656A-4CDB-855D-9463365E4B8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6-656A-4CDB-855D-9463365E4B8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8-656A-4CDB-855D-9463365E4B8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A-656A-4CDB-855D-9463365E4B8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C-656A-4CDB-855D-9463365E4B84}"/>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1E-656A-4CDB-855D-9463365E4B84}"/>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20-656A-4CDB-855D-9463365E4B84}"/>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Sheet2!$R$3:$R$9</c:f>
              <c:strCache>
                <c:ptCount val="7"/>
                <c:pt idx="0">
                  <c:v>Tiešie nodokļi</c:v>
                </c:pt>
                <c:pt idx="1">
                  <c:v>Pārējie nodokļi</c:v>
                </c:pt>
                <c:pt idx="2">
                  <c:v>Transportlīdzekļu ekspluatācijas nodoklis</c:v>
                </c:pt>
                <c:pt idx="3">
                  <c:v>Akcīzes nodoklis</c:v>
                </c:pt>
                <c:pt idx="4">
                  <c:v>Uzņēmumu vieglo transportlīdzekļu nodoklis</c:v>
                </c:pt>
                <c:pt idx="5">
                  <c:v>PVN</c:v>
                </c:pt>
                <c:pt idx="6">
                  <c:v>Muitas nodoklis</c:v>
                </c:pt>
              </c:strCache>
            </c:strRef>
          </c:cat>
          <c:val>
            <c:numRef>
              <c:f>Sheet2!$T$3:$T$9</c:f>
              <c:numCache>
                <c:formatCode>0.0%</c:formatCode>
                <c:ptCount val="7"/>
                <c:pt idx="0">
                  <c:v>0.58761487779076538</c:v>
                </c:pt>
                <c:pt idx="1">
                  <c:v>9.3327713923336136E-3</c:v>
                </c:pt>
                <c:pt idx="2">
                  <c:v>7.6271554539597197E-3</c:v>
                </c:pt>
                <c:pt idx="3">
                  <c:v>9.0297190822962795E-2</c:v>
                </c:pt>
                <c:pt idx="4">
                  <c:v>2.4192496881505661E-3</c:v>
                </c:pt>
                <c:pt idx="5">
                  <c:v>0.29775436327489674</c:v>
                </c:pt>
                <c:pt idx="6">
                  <c:v>4.9543915769311008E-3</c:v>
                </c:pt>
              </c:numCache>
            </c:numRef>
          </c:val>
          <c:extLst>
            <c:ext xmlns:c16="http://schemas.microsoft.com/office/drawing/2014/chart" uri="{C3380CC4-5D6E-409C-BE32-E72D297353CC}">
              <c16:uniqueId val="{00000021-656A-4CDB-855D-9463365E4B84}"/>
            </c:ext>
          </c:extLst>
        </c:ser>
        <c:dLbls>
          <c:dLblPos val="bestFit"/>
          <c:showLegendKey val="0"/>
          <c:showVal val="0"/>
          <c:showCatName val="1"/>
          <c:showSerName val="0"/>
          <c:showPercent val="1"/>
          <c:showBubbleSize val="0"/>
          <c:showLeaderLines val="1"/>
        </c:dLbls>
        <c:gapWidth val="100"/>
        <c:splitType val="pos"/>
        <c:splitPos val="5"/>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lv-LV"/>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42958845225374276"/>
          <c:y val="2.5532178416526951E-2"/>
          <c:w val="0.56873731051077758"/>
          <c:h val="0.74028038304085708"/>
        </c:manualLayout>
      </c:layout>
      <c:barChart>
        <c:barDir val="bar"/>
        <c:grouping val="clustered"/>
        <c:varyColors val="0"/>
        <c:ser>
          <c:idx val="0"/>
          <c:order val="0"/>
          <c:tx>
            <c:strRef>
              <c:f>Sheet1!$D$6</c:f>
              <c:strCache>
                <c:ptCount val="1"/>
                <c:pt idx="0">
                  <c:v>2023. gada prognoze</c:v>
                </c:pt>
              </c:strCache>
            </c:strRef>
          </c:tx>
          <c:spPr>
            <a:solidFill>
              <a:schemeClr val="accent5">
                <a:shade val="76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Sheet1!$C$7:$C$10</c:f>
              <c:strCache>
                <c:ptCount val="4"/>
                <c:pt idx="0">
                  <c:v>Ieņēmumi no uzņēmējdarbības un īpašuma</c:v>
                </c:pt>
                <c:pt idx="1">
                  <c:v>Naudas sodi un sankcijas</c:v>
                </c:pt>
                <c:pt idx="2">
                  <c:v>Valsts (pašvaldību) nodevas un kancelejas nodevas</c:v>
                </c:pt>
                <c:pt idx="3">
                  <c:v>Pārējie nenodokļu ieņēmumi</c:v>
                </c:pt>
              </c:strCache>
            </c:strRef>
          </c:cat>
          <c:val>
            <c:numRef>
              <c:f>Sheet1!$D$7:$D$10</c:f>
              <c:numCache>
                <c:formatCode>0.0</c:formatCode>
                <c:ptCount val="4"/>
                <c:pt idx="0">
                  <c:v>553.90691900000002</c:v>
                </c:pt>
                <c:pt idx="1">
                  <c:v>34.641961000000002</c:v>
                </c:pt>
                <c:pt idx="2">
                  <c:v>197.01898</c:v>
                </c:pt>
                <c:pt idx="3">
                  <c:v>57.527549999999998</c:v>
                </c:pt>
              </c:numCache>
            </c:numRef>
          </c:val>
          <c:extLst>
            <c:ext xmlns:c16="http://schemas.microsoft.com/office/drawing/2014/chart" uri="{C3380CC4-5D6E-409C-BE32-E72D297353CC}">
              <c16:uniqueId val="{00000000-8B3D-4F48-80F1-58B4006E321E}"/>
            </c:ext>
          </c:extLst>
        </c:ser>
        <c:ser>
          <c:idx val="1"/>
          <c:order val="1"/>
          <c:tx>
            <c:strRef>
              <c:f>Sheet1!$E$6</c:f>
              <c:strCache>
                <c:ptCount val="1"/>
                <c:pt idx="0">
                  <c:v>2024. gada plāns</c:v>
                </c:pt>
              </c:strCache>
            </c:strRef>
          </c:tx>
          <c:spPr>
            <a:solidFill>
              <a:schemeClr val="accent5">
                <a:tint val="77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Sheet1!$C$7:$C$10</c:f>
              <c:strCache>
                <c:ptCount val="4"/>
                <c:pt idx="0">
                  <c:v>Ieņēmumi no uzņēmējdarbības un īpašuma</c:v>
                </c:pt>
                <c:pt idx="1">
                  <c:v>Naudas sodi un sankcijas</c:v>
                </c:pt>
                <c:pt idx="2">
                  <c:v>Valsts (pašvaldību) nodevas un kancelejas nodevas</c:v>
                </c:pt>
                <c:pt idx="3">
                  <c:v>Pārējie nenodokļu ieņēmumi</c:v>
                </c:pt>
              </c:strCache>
            </c:strRef>
          </c:cat>
          <c:val>
            <c:numRef>
              <c:f>Sheet1!$E$7:$E$10</c:f>
              <c:numCache>
                <c:formatCode>0.0</c:formatCode>
                <c:ptCount val="4"/>
                <c:pt idx="0">
                  <c:v>573.23904700000003</c:v>
                </c:pt>
                <c:pt idx="1">
                  <c:v>34.264895000000003</c:v>
                </c:pt>
                <c:pt idx="2">
                  <c:v>152.07935699999999</c:v>
                </c:pt>
                <c:pt idx="3">
                  <c:v>93.982658999999998</c:v>
                </c:pt>
              </c:numCache>
            </c:numRef>
          </c:val>
          <c:extLst>
            <c:ext xmlns:c16="http://schemas.microsoft.com/office/drawing/2014/chart" uri="{C3380CC4-5D6E-409C-BE32-E72D297353CC}">
              <c16:uniqueId val="{00000001-8B3D-4F48-80F1-58B4006E321E}"/>
            </c:ext>
          </c:extLst>
        </c:ser>
        <c:dLbls>
          <c:showLegendKey val="0"/>
          <c:showVal val="0"/>
          <c:showCatName val="0"/>
          <c:showSerName val="0"/>
          <c:showPercent val="0"/>
          <c:showBubbleSize val="0"/>
        </c:dLbls>
        <c:gapWidth val="182"/>
        <c:axId val="1532269120"/>
        <c:axId val="1532275360"/>
      </c:barChart>
      <c:catAx>
        <c:axId val="15322691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1532275360"/>
        <c:crosses val="autoZero"/>
        <c:auto val="1"/>
        <c:lblAlgn val="ctr"/>
        <c:lblOffset val="100"/>
        <c:noMultiLvlLbl val="0"/>
      </c:catAx>
      <c:valAx>
        <c:axId val="153227536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1532269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no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4.0922139169821271E-2"/>
          <c:y val="5.2817020961364543E-2"/>
          <c:w val="0.834618065532019"/>
          <c:h val="0.78366087716103305"/>
        </c:manualLayout>
      </c:layout>
      <c:ofPieChart>
        <c:ofPieType val="pie"/>
        <c:varyColors val="1"/>
        <c:ser>
          <c:idx val="0"/>
          <c:order val="0"/>
          <c:tx>
            <c:strRef>
              <c:f>Sheet1!$E$17</c:f>
              <c:strCache>
                <c:ptCount val="1"/>
                <c:pt idx="0">
                  <c:v>2024. gada plāns</c:v>
                </c:pt>
              </c:strCache>
            </c:strRef>
          </c:tx>
          <c:dPt>
            <c:idx val="0"/>
            <c:bubble3D val="0"/>
            <c:explosion val="18"/>
            <c:spPr>
              <a:solidFill>
                <a:schemeClr val="accent5">
                  <a:shade val="47000"/>
                </a:schemeClr>
              </a:solidFill>
              <a:ln w="19050">
                <a:solidFill>
                  <a:schemeClr val="lt1"/>
                </a:solidFill>
              </a:ln>
              <a:effectLst/>
            </c:spPr>
            <c:extLst>
              <c:ext xmlns:c16="http://schemas.microsoft.com/office/drawing/2014/chart" uri="{C3380CC4-5D6E-409C-BE32-E72D297353CC}">
                <c16:uniqueId val="{00000001-C449-4FFA-9EF8-93672AC09133}"/>
              </c:ext>
            </c:extLst>
          </c:dPt>
          <c:dPt>
            <c:idx val="1"/>
            <c:bubble3D val="0"/>
            <c:spPr>
              <a:solidFill>
                <a:schemeClr val="accent5">
                  <a:shade val="65000"/>
                </a:schemeClr>
              </a:solidFill>
              <a:ln w="19050">
                <a:solidFill>
                  <a:schemeClr val="lt1"/>
                </a:solidFill>
              </a:ln>
              <a:effectLst/>
            </c:spPr>
            <c:extLst>
              <c:ext xmlns:c16="http://schemas.microsoft.com/office/drawing/2014/chart" uri="{C3380CC4-5D6E-409C-BE32-E72D297353CC}">
                <c16:uniqueId val="{00000003-C449-4FFA-9EF8-93672AC09133}"/>
              </c:ext>
            </c:extLst>
          </c:dPt>
          <c:dPt>
            <c:idx val="2"/>
            <c:bubble3D val="0"/>
            <c:spPr>
              <a:solidFill>
                <a:schemeClr val="accent5">
                  <a:shade val="82000"/>
                </a:schemeClr>
              </a:solidFill>
              <a:ln w="19050">
                <a:solidFill>
                  <a:schemeClr val="lt1"/>
                </a:solidFill>
              </a:ln>
              <a:effectLst/>
            </c:spPr>
            <c:extLst>
              <c:ext xmlns:c16="http://schemas.microsoft.com/office/drawing/2014/chart" uri="{C3380CC4-5D6E-409C-BE32-E72D297353CC}">
                <c16:uniqueId val="{00000005-C449-4FFA-9EF8-93672AC09133}"/>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C449-4FFA-9EF8-93672AC09133}"/>
              </c:ext>
            </c:extLst>
          </c:dPt>
          <c:dPt>
            <c:idx val="4"/>
            <c:bubble3D val="0"/>
            <c:spPr>
              <a:solidFill>
                <a:schemeClr val="accent5">
                  <a:tint val="83000"/>
                </a:schemeClr>
              </a:solidFill>
              <a:ln w="19050">
                <a:solidFill>
                  <a:schemeClr val="lt1"/>
                </a:solidFill>
              </a:ln>
              <a:effectLst/>
            </c:spPr>
            <c:extLst>
              <c:ext xmlns:c16="http://schemas.microsoft.com/office/drawing/2014/chart" uri="{C3380CC4-5D6E-409C-BE32-E72D297353CC}">
                <c16:uniqueId val="{00000009-C449-4FFA-9EF8-93672AC09133}"/>
              </c:ext>
            </c:extLst>
          </c:dPt>
          <c:dPt>
            <c:idx val="5"/>
            <c:bubble3D val="0"/>
            <c:explosion val="39"/>
            <c:spPr>
              <a:solidFill>
                <a:schemeClr val="accent5">
                  <a:tint val="65000"/>
                </a:schemeClr>
              </a:solidFill>
              <a:ln w="19050">
                <a:solidFill>
                  <a:schemeClr val="lt1"/>
                </a:solidFill>
              </a:ln>
              <a:effectLst/>
            </c:spPr>
            <c:extLst>
              <c:ext xmlns:c16="http://schemas.microsoft.com/office/drawing/2014/chart" uri="{C3380CC4-5D6E-409C-BE32-E72D297353CC}">
                <c16:uniqueId val="{0000000B-C449-4FFA-9EF8-93672AC09133}"/>
              </c:ext>
            </c:extLst>
          </c:dPt>
          <c:dPt>
            <c:idx val="6"/>
            <c:bubble3D val="0"/>
            <c:spPr>
              <a:solidFill>
                <a:schemeClr val="accent5">
                  <a:tint val="48000"/>
                </a:schemeClr>
              </a:solidFill>
              <a:ln w="19050">
                <a:solidFill>
                  <a:schemeClr val="lt1"/>
                </a:solidFill>
              </a:ln>
              <a:effectLst/>
            </c:spPr>
            <c:extLst>
              <c:ext xmlns:c16="http://schemas.microsoft.com/office/drawing/2014/chart" uri="{C3380CC4-5D6E-409C-BE32-E72D297353CC}">
                <c16:uniqueId val="{0000000D-C449-4FFA-9EF8-93672AC09133}"/>
              </c:ext>
            </c:extLst>
          </c:dPt>
          <c:dPt>
            <c:idx val="7"/>
            <c:bubble3D val="0"/>
            <c:spPr>
              <a:solidFill>
                <a:schemeClr val="accent5">
                  <a:tint val="30000"/>
                </a:schemeClr>
              </a:solidFill>
              <a:ln w="19050">
                <a:solidFill>
                  <a:schemeClr val="lt1"/>
                </a:solidFill>
              </a:ln>
              <a:effectLst/>
            </c:spPr>
            <c:extLst>
              <c:ext xmlns:c16="http://schemas.microsoft.com/office/drawing/2014/chart" uri="{C3380CC4-5D6E-409C-BE32-E72D297353CC}">
                <c16:uniqueId val="{0000000F-C449-4FFA-9EF8-93672AC09133}"/>
              </c:ext>
            </c:extLst>
          </c:dPt>
          <c:dLbls>
            <c:dLbl>
              <c:idx val="1"/>
              <c:layout>
                <c:manualLayout>
                  <c:x val="3.6691298826319406E-2"/>
                  <c:y val="-4.7114764319689362E-2"/>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449-4FFA-9EF8-93672AC09133}"/>
                </c:ext>
              </c:extLst>
            </c:dLbl>
            <c:dLbl>
              <c:idx val="2"/>
              <c:layout>
                <c:manualLayout>
                  <c:x val="2.2946015553589921E-2"/>
                  <c:y val="-8.537982634569737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449-4FFA-9EF8-93672AC09133}"/>
                </c:ext>
              </c:extLst>
            </c:dLbl>
            <c:dLbl>
              <c:idx val="3"/>
              <c:layout>
                <c:manualLayout>
                  <c:x val="0.21994119878439286"/>
                  <c:y val="0.22468693765298153"/>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15:layout>
                    <c:manualLayout>
                      <c:w val="0.2716678660123939"/>
                      <c:h val="0.19208153665229322"/>
                    </c:manualLayout>
                  </c15:layout>
                </c:ext>
                <c:ext xmlns:c16="http://schemas.microsoft.com/office/drawing/2014/chart" uri="{C3380CC4-5D6E-409C-BE32-E72D297353CC}">
                  <c16:uniqueId val="{00000007-C449-4FFA-9EF8-93672AC09133}"/>
                </c:ext>
              </c:extLst>
            </c:dLbl>
            <c:dLbl>
              <c:idx val="4"/>
              <c:layout>
                <c:manualLayout>
                  <c:x val="1.4571139141175868E-2"/>
                  <c:y val="-0.1077525565086411"/>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1341100001128455"/>
                      <c:h val="0.17875343002744021"/>
                    </c:manualLayout>
                  </c15:layout>
                </c:ext>
                <c:ext xmlns:c16="http://schemas.microsoft.com/office/drawing/2014/chart" uri="{C3380CC4-5D6E-409C-BE32-E72D297353CC}">
                  <c16:uniqueId val="{00000009-C449-4FFA-9EF8-93672AC09133}"/>
                </c:ext>
              </c:extLst>
            </c:dLbl>
            <c:dLbl>
              <c:idx val="5"/>
              <c:layout>
                <c:manualLayout>
                  <c:x val="-8.2681071546687247E-4"/>
                  <c:y val="7.1440256561422569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8673795612391134"/>
                      <c:h val="0.1372014062726675"/>
                    </c:manualLayout>
                  </c15:layout>
                </c:ext>
                <c:ext xmlns:c16="http://schemas.microsoft.com/office/drawing/2014/chart" uri="{C3380CC4-5D6E-409C-BE32-E72D297353CC}">
                  <c16:uniqueId val="{0000000B-C449-4FFA-9EF8-93672AC09133}"/>
                </c:ext>
              </c:extLst>
            </c:dLbl>
            <c:dLbl>
              <c:idx val="6"/>
              <c:layout>
                <c:manualLayout>
                  <c:x val="-0.10583177157975968"/>
                  <c:y val="4.9188676973982708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9447699122495588"/>
                      <c:h val="9.7216777734221854E-2"/>
                    </c:manualLayout>
                  </c15:layout>
                </c:ext>
                <c:ext xmlns:c16="http://schemas.microsoft.com/office/drawing/2014/chart" uri="{C3380CC4-5D6E-409C-BE32-E72D297353CC}">
                  <c16:uniqueId val="{0000000D-C449-4FFA-9EF8-93672AC09133}"/>
                </c:ext>
              </c:extLst>
            </c:dLbl>
            <c:dLbl>
              <c:idx val="7"/>
              <c:layout>
                <c:manualLayout>
                  <c:x val="-0.18590420106647731"/>
                  <c:y val="-1.0250419011226105E-2"/>
                </c:manualLayout>
              </c:layout>
              <c:tx>
                <c:rich>
                  <a:bodyPr/>
                  <a:lstStyle/>
                  <a:p>
                    <a:r>
                      <a:rPr lang="lv-LV"/>
                      <a:t>Ieņēmumi no uzņēmējdarbības un īpašuma</a:t>
                    </a:r>
                    <a:r>
                      <a:rPr lang="lv-LV" baseline="0"/>
                      <a:t>
</a:t>
                    </a:r>
                    <a:fld id="{42D74D56-AFAA-4B0D-850D-A865C30DFF1B}" type="PERCENTAGE">
                      <a:rPr lang="en-US" baseline="0"/>
                      <a:pPr/>
                      <a:t>[PERCENTAGE]</a:t>
                    </a:fld>
                    <a:endParaRPr lang="lv-LV"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C449-4FFA-9EF8-93672AC09133}"/>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Sheet1!$C$18:$C$24</c:f>
              <c:strCache>
                <c:ptCount val="7"/>
                <c:pt idx="0">
                  <c:v>Naudas sodi un sankcijas</c:v>
                </c:pt>
                <c:pt idx="1">
                  <c:v>Valsts (pašvaldību) nodevas un kancelejas nodevas</c:v>
                </c:pt>
                <c:pt idx="2">
                  <c:v>Pārējie nenodokļu ieņēmumi</c:v>
                </c:pt>
                <c:pt idx="3">
                  <c:v>Ieņēmumi no dividendēm (ieņēmumi no valsts  (pašvaldību) kapitāla izmantošanas) </c:v>
                </c:pt>
                <c:pt idx="4">
                  <c:v>Procentu ieņēmumi par aizdevumiem</c:v>
                </c:pt>
                <c:pt idx="5">
                  <c:v>Procentu ieņēmumi par depozītiem un kontu atlikumiem</c:v>
                </c:pt>
                <c:pt idx="6">
                  <c:v>Pārējie finanšu ieņēmumi</c:v>
                </c:pt>
              </c:strCache>
            </c:strRef>
          </c:cat>
          <c:val>
            <c:numRef>
              <c:f>Sheet1!$E$18:$E$24</c:f>
              <c:numCache>
                <c:formatCode>0.00</c:formatCode>
                <c:ptCount val="7"/>
                <c:pt idx="0">
                  <c:v>34.264895000000003</c:v>
                </c:pt>
                <c:pt idx="1">
                  <c:v>152.07935699999999</c:v>
                </c:pt>
                <c:pt idx="2">
                  <c:v>93.982658999999998</c:v>
                </c:pt>
                <c:pt idx="3">
                  <c:v>373.20656500000001</c:v>
                </c:pt>
                <c:pt idx="4">
                  <c:v>91.1</c:v>
                </c:pt>
                <c:pt idx="5">
                  <c:v>20.2</c:v>
                </c:pt>
                <c:pt idx="6">
                  <c:v>88.732482000000005</c:v>
                </c:pt>
              </c:numCache>
            </c:numRef>
          </c:val>
          <c:extLst>
            <c:ext xmlns:c16="http://schemas.microsoft.com/office/drawing/2014/chart" uri="{C3380CC4-5D6E-409C-BE32-E72D297353CC}">
              <c16:uniqueId val="{00000010-C449-4FFA-9EF8-93672AC09133}"/>
            </c:ext>
          </c:extLst>
        </c:ser>
        <c:dLbls>
          <c:dLblPos val="bestFit"/>
          <c:showLegendKey val="0"/>
          <c:showVal val="0"/>
          <c:showCatName val="1"/>
          <c:showSerName val="0"/>
          <c:showPercent val="1"/>
          <c:showBubbleSize val="0"/>
          <c:showLeaderLines val="1"/>
        </c:dLbls>
        <c:gapWidth val="100"/>
        <c:splitType val="cust"/>
        <c:custSplit>
          <c:secondPiePt val="3"/>
          <c:secondPiePt val="4"/>
          <c:secondPiePt val="5"/>
          <c:secondPiePt val="6"/>
        </c:custSplit>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109264210641713"/>
          <c:y val="0.10575366937316102"/>
          <c:w val="0.6520601472110974"/>
          <c:h val="0.72758290891783262"/>
        </c:manualLayout>
      </c:layout>
      <c:barChart>
        <c:barDir val="bar"/>
        <c:grouping val="clustered"/>
        <c:varyColors val="0"/>
        <c:ser>
          <c:idx val="0"/>
          <c:order val="0"/>
          <c:tx>
            <c:strRef>
              <c:f>'Subsect graf'!$AD$4</c:f>
              <c:strCache>
                <c:ptCount val="1"/>
                <c:pt idx="0">
                  <c:v>2023 I-VII</c:v>
                </c:pt>
              </c:strCache>
            </c:strRef>
          </c:tx>
          <c:spPr>
            <a:solidFill>
              <a:srgbClr val="E7E6E6">
                <a:lumMod val="50000"/>
              </a:srgbClr>
            </a:solidFill>
            <a:ln>
              <a:noFill/>
            </a:ln>
            <a:effectLst/>
          </c:spPr>
          <c:invertIfNegative val="0"/>
          <c:dPt>
            <c:idx val="0"/>
            <c:invertIfNegative val="0"/>
            <c:bubble3D val="0"/>
            <c:extLst>
              <c:ext xmlns:c16="http://schemas.microsoft.com/office/drawing/2014/chart" uri="{C3380CC4-5D6E-409C-BE32-E72D297353CC}">
                <c16:uniqueId val="{00000000-0B52-4F7D-BDF8-A824B73FA707}"/>
              </c:ext>
            </c:extLst>
          </c:dPt>
          <c:dPt>
            <c:idx val="1"/>
            <c:invertIfNegative val="0"/>
            <c:bubble3D val="0"/>
            <c:extLst>
              <c:ext xmlns:c16="http://schemas.microsoft.com/office/drawing/2014/chart" uri="{C3380CC4-5D6E-409C-BE32-E72D297353CC}">
                <c16:uniqueId val="{00000001-0B52-4F7D-BDF8-A824B73FA707}"/>
              </c:ext>
            </c:extLst>
          </c:dPt>
          <c:dPt>
            <c:idx val="4"/>
            <c:invertIfNegative val="0"/>
            <c:bubble3D val="0"/>
            <c:extLst>
              <c:ext xmlns:c16="http://schemas.microsoft.com/office/drawing/2014/chart" uri="{C3380CC4-5D6E-409C-BE32-E72D297353CC}">
                <c16:uniqueId val="{00000002-0B52-4F7D-BDF8-A824B73FA707}"/>
              </c:ext>
            </c:extLst>
          </c:dPt>
          <c:dPt>
            <c:idx val="5"/>
            <c:invertIfNegative val="0"/>
            <c:bubble3D val="0"/>
            <c:extLst>
              <c:ext xmlns:c16="http://schemas.microsoft.com/office/drawing/2014/chart" uri="{C3380CC4-5D6E-409C-BE32-E72D297353CC}">
                <c16:uniqueId val="{00000003-0B52-4F7D-BDF8-A824B73FA707}"/>
              </c:ext>
            </c:extLst>
          </c:dPt>
          <c:dPt>
            <c:idx val="6"/>
            <c:invertIfNegative val="0"/>
            <c:bubble3D val="0"/>
            <c:extLst>
              <c:ext xmlns:c16="http://schemas.microsoft.com/office/drawing/2014/chart" uri="{C3380CC4-5D6E-409C-BE32-E72D297353CC}">
                <c16:uniqueId val="{00000004-0B52-4F7D-BDF8-A824B73FA707}"/>
              </c:ext>
            </c:extLst>
          </c:dPt>
          <c:dPt>
            <c:idx val="7"/>
            <c:invertIfNegative val="0"/>
            <c:bubble3D val="0"/>
            <c:extLst>
              <c:ext xmlns:c16="http://schemas.microsoft.com/office/drawing/2014/chart" uri="{C3380CC4-5D6E-409C-BE32-E72D297353CC}">
                <c16:uniqueId val="{00000005-0B52-4F7D-BDF8-A824B73FA707}"/>
              </c:ext>
            </c:extLst>
          </c:dPt>
          <c:dPt>
            <c:idx val="9"/>
            <c:invertIfNegative val="0"/>
            <c:bubble3D val="0"/>
            <c:extLst>
              <c:ext xmlns:c16="http://schemas.microsoft.com/office/drawing/2014/chart" uri="{C3380CC4-5D6E-409C-BE32-E72D297353CC}">
                <c16:uniqueId val="{00000006-0B52-4F7D-BDF8-A824B73FA707}"/>
              </c:ext>
            </c:extLst>
          </c:dPt>
          <c:dPt>
            <c:idx val="10"/>
            <c:invertIfNegative val="0"/>
            <c:bubble3D val="0"/>
            <c:extLst>
              <c:ext xmlns:c16="http://schemas.microsoft.com/office/drawing/2014/chart" uri="{C3380CC4-5D6E-409C-BE32-E72D297353CC}">
                <c16:uniqueId val="{00000007-0B52-4F7D-BDF8-A824B73FA707}"/>
              </c:ext>
            </c:extLst>
          </c:dPt>
          <c:dPt>
            <c:idx val="11"/>
            <c:invertIfNegative val="0"/>
            <c:bubble3D val="0"/>
            <c:extLst>
              <c:ext xmlns:c16="http://schemas.microsoft.com/office/drawing/2014/chart" uri="{C3380CC4-5D6E-409C-BE32-E72D297353CC}">
                <c16:uniqueId val="{00000008-0B52-4F7D-BDF8-A824B73FA707}"/>
              </c:ext>
            </c:extLst>
          </c:dPt>
          <c:dPt>
            <c:idx val="12"/>
            <c:invertIfNegative val="0"/>
            <c:bubble3D val="0"/>
            <c:extLst>
              <c:ext xmlns:c16="http://schemas.microsoft.com/office/drawing/2014/chart" uri="{C3380CC4-5D6E-409C-BE32-E72D297353CC}">
                <c16:uniqueId val="{00000009-0B52-4F7D-BDF8-A824B73FA707}"/>
              </c:ext>
            </c:extLst>
          </c:dPt>
          <c:dPt>
            <c:idx val="13"/>
            <c:invertIfNegative val="0"/>
            <c:bubble3D val="0"/>
            <c:extLst>
              <c:ext xmlns:c16="http://schemas.microsoft.com/office/drawing/2014/chart" uri="{C3380CC4-5D6E-409C-BE32-E72D297353CC}">
                <c16:uniqueId val="{0000000A-0B52-4F7D-BDF8-A824B73FA70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'Subsect graf'!$AB$5:$AB$18</c:f>
              <c:strCache>
                <c:ptCount val="14"/>
                <c:pt idx="0">
                  <c:v>ELEKTROENERĢIJA UN GĀZES APGĀDE</c:v>
                </c:pt>
                <c:pt idx="1">
                  <c:v>Mēbeļu ražošana</c:v>
                </c:pt>
                <c:pt idx="2">
                  <c:v>Datoru un elektronikas ražošana</c:v>
                </c:pt>
                <c:pt idx="3">
                  <c:v>Mašīnbūve </c:v>
                </c:pt>
                <c:pt idx="4">
                  <c:v>Gatavo metālizstrādājumu ražošana</c:v>
                </c:pt>
                <c:pt idx="5">
                  <c:v>Nemetālisko minerālu ražošana</c:v>
                </c:pt>
                <c:pt idx="6">
                  <c:v>Ķīmiskās vielas un produkti</c:v>
                </c:pt>
                <c:pt idx="7">
                  <c:v>Poligrāfija un papīra izstr. ražošana</c:v>
                </c:pt>
                <c:pt idx="8">
                  <c:v>Kokapstrāde</c:v>
                </c:pt>
                <c:pt idx="9">
                  <c:v>Vieglā rūpniecība</c:v>
                </c:pt>
                <c:pt idx="10">
                  <c:v>Pārtika un dzērieni</c:v>
                </c:pt>
                <c:pt idx="11">
                  <c:v>APSTRĀDES RŪPNIECĪBA</c:v>
                </c:pt>
                <c:pt idx="12">
                  <c:v>IEGUVES RŪPNIECĪBA</c:v>
                </c:pt>
                <c:pt idx="13">
                  <c:v>RŪPNIECĪBA</c:v>
                </c:pt>
              </c:strCache>
            </c:strRef>
          </c:cat>
          <c:val>
            <c:numRef>
              <c:f>'Subsect graf'!$AD$5:$AD$18</c:f>
              <c:numCache>
                <c:formatCode>0.0</c:formatCode>
                <c:ptCount val="14"/>
                <c:pt idx="0">
                  <c:v>-5.8200556398583529</c:v>
                </c:pt>
                <c:pt idx="1">
                  <c:v>-18.133194181723297</c:v>
                </c:pt>
                <c:pt idx="2">
                  <c:v>34.396525622587262</c:v>
                </c:pt>
                <c:pt idx="3">
                  <c:v>2.2481314156880634</c:v>
                </c:pt>
                <c:pt idx="4">
                  <c:v>-8.4417466773249998</c:v>
                </c:pt>
                <c:pt idx="5">
                  <c:v>-18.827348126275567</c:v>
                </c:pt>
                <c:pt idx="6">
                  <c:v>-9.8173560675762985</c:v>
                </c:pt>
                <c:pt idx="7">
                  <c:v>-25.465387035352265</c:v>
                </c:pt>
                <c:pt idx="8">
                  <c:v>-10.746575115634684</c:v>
                </c:pt>
                <c:pt idx="9">
                  <c:v>-3.7947197751989843</c:v>
                </c:pt>
                <c:pt idx="10">
                  <c:v>3.1696083717012877</c:v>
                </c:pt>
                <c:pt idx="11">
                  <c:v>-6.2366624582416392</c:v>
                </c:pt>
                <c:pt idx="12">
                  <c:v>-19.219551231428539</c:v>
                </c:pt>
                <c:pt idx="13">
                  <c:v>-6.6713383058577591</c:v>
                </c:pt>
              </c:numCache>
            </c:numRef>
          </c:val>
          <c:extLst>
            <c:ext xmlns:c16="http://schemas.microsoft.com/office/drawing/2014/chart" uri="{C3380CC4-5D6E-409C-BE32-E72D297353CC}">
              <c16:uniqueId val="{0000000B-0B52-4F7D-BDF8-A824B73FA707}"/>
            </c:ext>
          </c:extLst>
        </c:ser>
        <c:ser>
          <c:idx val="1"/>
          <c:order val="1"/>
          <c:tx>
            <c:strRef>
              <c:f>'Subsect graf'!$AC$4</c:f>
              <c:strCache>
                <c:ptCount val="1"/>
                <c:pt idx="0">
                  <c:v>2022</c:v>
                </c:pt>
              </c:strCache>
            </c:strRef>
          </c:tx>
          <c:spPr>
            <a:solidFill>
              <a:srgbClr val="4472C4">
                <a:lumMod val="60000"/>
                <a:lumOff val="40000"/>
              </a:srgbClr>
            </a:solidFill>
            <a:ln>
              <a:noFill/>
            </a:ln>
            <a:effectLst/>
          </c:spPr>
          <c:invertIfNegative val="0"/>
          <c:cat>
            <c:strRef>
              <c:f>'Subsect graf'!$AB$5:$AB$18</c:f>
              <c:strCache>
                <c:ptCount val="14"/>
                <c:pt idx="0">
                  <c:v>ELEKTROENERĢIJA UN GĀZES APGĀDE</c:v>
                </c:pt>
                <c:pt idx="1">
                  <c:v>Mēbeļu ražošana</c:v>
                </c:pt>
                <c:pt idx="2">
                  <c:v>Datoru un elektronikas ražošana</c:v>
                </c:pt>
                <c:pt idx="3">
                  <c:v>Mašīnbūve </c:v>
                </c:pt>
                <c:pt idx="4">
                  <c:v>Gatavo metālizstrādājumu ražošana</c:v>
                </c:pt>
                <c:pt idx="5">
                  <c:v>Nemetālisko minerālu ražošana</c:v>
                </c:pt>
                <c:pt idx="6">
                  <c:v>Ķīmiskās vielas un produkti</c:v>
                </c:pt>
                <c:pt idx="7">
                  <c:v>Poligrāfija un papīra izstr. ražošana</c:v>
                </c:pt>
                <c:pt idx="8">
                  <c:v>Kokapstrāde</c:v>
                </c:pt>
                <c:pt idx="9">
                  <c:v>Vieglā rūpniecība</c:v>
                </c:pt>
                <c:pt idx="10">
                  <c:v>Pārtika un dzērieni</c:v>
                </c:pt>
                <c:pt idx="11">
                  <c:v>APSTRĀDES RŪPNIECĪBA</c:v>
                </c:pt>
                <c:pt idx="12">
                  <c:v>IEGUVES RŪPNIECĪBA</c:v>
                </c:pt>
                <c:pt idx="13">
                  <c:v>RŪPNIECĪBA</c:v>
                </c:pt>
              </c:strCache>
            </c:strRef>
          </c:cat>
          <c:val>
            <c:numRef>
              <c:f>'Subsect graf'!$AC$5:$AC$18</c:f>
              <c:numCache>
                <c:formatCode>0.0</c:formatCode>
                <c:ptCount val="14"/>
                <c:pt idx="0">
                  <c:v>-11.488870409094218</c:v>
                </c:pt>
                <c:pt idx="1">
                  <c:v>0.33923859781378951</c:v>
                </c:pt>
                <c:pt idx="2">
                  <c:v>-2</c:v>
                </c:pt>
                <c:pt idx="3">
                  <c:v>2.3936544766467236</c:v>
                </c:pt>
                <c:pt idx="4">
                  <c:v>0.34835815672407477</c:v>
                </c:pt>
                <c:pt idx="5">
                  <c:v>5.1860225289544672</c:v>
                </c:pt>
                <c:pt idx="6">
                  <c:v>-4.9555733228740735</c:v>
                </c:pt>
                <c:pt idx="7">
                  <c:v>-2.9686853949297007</c:v>
                </c:pt>
                <c:pt idx="8">
                  <c:v>-1.2326408660641732</c:v>
                </c:pt>
                <c:pt idx="9">
                  <c:v>4.6771482061967919</c:v>
                </c:pt>
                <c:pt idx="10">
                  <c:v>1.8888422324511316</c:v>
                </c:pt>
                <c:pt idx="11">
                  <c:v>2.5522300816372194</c:v>
                </c:pt>
                <c:pt idx="12">
                  <c:v>-0.65853536740657148</c:v>
                </c:pt>
                <c:pt idx="13">
                  <c:v>0.78280284259537325</c:v>
                </c:pt>
              </c:numCache>
            </c:numRef>
          </c:val>
          <c:extLst>
            <c:ext xmlns:c16="http://schemas.microsoft.com/office/drawing/2014/chart" uri="{C3380CC4-5D6E-409C-BE32-E72D297353CC}">
              <c16:uniqueId val="{0000000C-0B52-4F7D-BDF8-A824B73FA707}"/>
            </c:ext>
          </c:extLst>
        </c:ser>
        <c:dLbls>
          <c:showLegendKey val="0"/>
          <c:showVal val="0"/>
          <c:showCatName val="0"/>
          <c:showSerName val="0"/>
          <c:showPercent val="0"/>
          <c:showBubbleSize val="0"/>
        </c:dLbls>
        <c:gapWidth val="100"/>
        <c:axId val="239680264"/>
        <c:axId val="239680656"/>
      </c:barChart>
      <c:catAx>
        <c:axId val="239680264"/>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239680656"/>
        <c:crosses val="autoZero"/>
        <c:auto val="1"/>
        <c:lblAlgn val="ctr"/>
        <c:lblOffset val="100"/>
        <c:noMultiLvlLbl val="0"/>
      </c:catAx>
      <c:valAx>
        <c:axId val="239680656"/>
        <c:scaling>
          <c:orientation val="minMax"/>
          <c:max val="40"/>
          <c:min val="-35"/>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239680264"/>
        <c:crosses val="autoZero"/>
        <c:crossBetween val="between"/>
        <c:majorUnit val="5"/>
      </c:valAx>
      <c:spPr>
        <a:noFill/>
        <a:ln>
          <a:noFill/>
        </a:ln>
        <a:effectLst/>
      </c:spPr>
    </c:plotArea>
    <c:legend>
      <c:legendPos val="b"/>
      <c:layout>
        <c:manualLayout>
          <c:xMode val="edge"/>
          <c:yMode val="edge"/>
          <c:x val="0.45497443570177964"/>
          <c:y val="0.91298101879489457"/>
          <c:w val="0.30738269977838006"/>
          <c:h val="6.759259639901223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223540140795671E-2"/>
          <c:y val="3.8512416717141125E-2"/>
          <c:w val="0.9138012477016686"/>
          <c:h val="0.6231355542095699"/>
        </c:manualLayout>
      </c:layout>
      <c:areaChart>
        <c:grouping val="standard"/>
        <c:varyColors val="0"/>
        <c:ser>
          <c:idx val="0"/>
          <c:order val="0"/>
          <c:tx>
            <c:strRef>
              <c:f>'Apgr. indeksi'!$A$115</c:f>
              <c:strCache>
                <c:ptCount val="1"/>
                <c:pt idx="0">
                  <c:v>Visa apstrādes rūpniecības produkcija</c:v>
                </c:pt>
              </c:strCache>
            </c:strRef>
          </c:tx>
          <c:spPr>
            <a:pattFill prst="pct25">
              <a:fgClr>
                <a:schemeClr val="tx1">
                  <a:lumMod val="50000"/>
                  <a:lumOff val="50000"/>
                </a:schemeClr>
              </a:fgClr>
              <a:bgClr>
                <a:schemeClr val="bg1"/>
              </a:bgClr>
            </a:pattFill>
            <a:ln w="0">
              <a:solidFill>
                <a:schemeClr val="tx1">
                  <a:lumMod val="50000"/>
                  <a:lumOff val="50000"/>
                </a:schemeClr>
              </a:solidFill>
            </a:ln>
            <a:effectLst/>
          </c:spPr>
          <c:cat>
            <c:multiLvlStrRef>
              <c:f>'Apgr. indeksi'!$IT$111:$JX$112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2021</c:v>
                  </c:pt>
                  <c:pt idx="12">
                    <c:v>2022</c:v>
                  </c:pt>
                  <c:pt idx="24">
                    <c:v>2023</c:v>
                  </c:pt>
                </c:lvl>
              </c:multiLvlStrCache>
              <c:extLst/>
            </c:multiLvlStrRef>
          </c:cat>
          <c:val>
            <c:numRef>
              <c:f>'Apgr. indeksi'!$IT$115:$JX$115</c:f>
              <c:numCache>
                <c:formatCode>0.0</c:formatCode>
                <c:ptCount val="31"/>
                <c:pt idx="0">
                  <c:v>2.2999999999999998</c:v>
                </c:pt>
                <c:pt idx="1">
                  <c:v>3</c:v>
                </c:pt>
                <c:pt idx="2">
                  <c:v>14.3</c:v>
                </c:pt>
                <c:pt idx="3">
                  <c:v>26.8</c:v>
                </c:pt>
                <c:pt idx="4">
                  <c:v>26</c:v>
                </c:pt>
                <c:pt idx="5">
                  <c:v>31.3</c:v>
                </c:pt>
                <c:pt idx="6">
                  <c:v>27.6</c:v>
                </c:pt>
                <c:pt idx="7">
                  <c:v>28.3</c:v>
                </c:pt>
                <c:pt idx="8">
                  <c:v>29.5</c:v>
                </c:pt>
                <c:pt idx="9">
                  <c:v>21.7</c:v>
                </c:pt>
                <c:pt idx="10">
                  <c:v>21.4</c:v>
                </c:pt>
                <c:pt idx="11">
                  <c:v>18.899999999999999</c:v>
                </c:pt>
                <c:pt idx="12">
                  <c:v>29.1</c:v>
                </c:pt>
                <c:pt idx="13">
                  <c:v>23.2</c:v>
                </c:pt>
                <c:pt idx="14">
                  <c:v>26.7</c:v>
                </c:pt>
                <c:pt idx="15">
                  <c:v>28.7</c:v>
                </c:pt>
                <c:pt idx="16">
                  <c:v>29.6</c:v>
                </c:pt>
                <c:pt idx="17">
                  <c:v>11.9</c:v>
                </c:pt>
                <c:pt idx="18">
                  <c:v>15.3</c:v>
                </c:pt>
                <c:pt idx="19">
                  <c:v>9.4</c:v>
                </c:pt>
                <c:pt idx="20">
                  <c:v>13.2</c:v>
                </c:pt>
                <c:pt idx="21">
                  <c:v>14.8</c:v>
                </c:pt>
                <c:pt idx="22">
                  <c:v>12.5</c:v>
                </c:pt>
                <c:pt idx="23">
                  <c:v>9.6</c:v>
                </c:pt>
                <c:pt idx="24">
                  <c:v>9.1</c:v>
                </c:pt>
                <c:pt idx="25">
                  <c:v>10.3</c:v>
                </c:pt>
                <c:pt idx="26">
                  <c:v>5.0999999999999996</c:v>
                </c:pt>
                <c:pt idx="27">
                  <c:v>-5.6</c:v>
                </c:pt>
                <c:pt idx="28">
                  <c:v>-3.8</c:v>
                </c:pt>
                <c:pt idx="29">
                  <c:v>-2.8</c:v>
                </c:pt>
                <c:pt idx="30">
                  <c:v>-6.1</c:v>
                </c:pt>
              </c:numCache>
              <c:extLst/>
            </c:numRef>
          </c:val>
          <c:extLst>
            <c:ext xmlns:c16="http://schemas.microsoft.com/office/drawing/2014/chart" uri="{C3380CC4-5D6E-409C-BE32-E72D297353CC}">
              <c16:uniqueId val="{00000000-B80A-499C-8323-1F554A6D98F2}"/>
            </c:ext>
          </c:extLst>
        </c:ser>
        <c:dLbls>
          <c:showLegendKey val="0"/>
          <c:showVal val="0"/>
          <c:showCatName val="0"/>
          <c:showSerName val="0"/>
          <c:showPercent val="0"/>
          <c:showBubbleSize val="0"/>
        </c:dLbls>
        <c:axId val="116528976"/>
        <c:axId val="116529368"/>
      </c:areaChart>
      <c:lineChart>
        <c:grouping val="standard"/>
        <c:varyColors val="0"/>
        <c:ser>
          <c:idx val="1"/>
          <c:order val="1"/>
          <c:tx>
            <c:strRef>
              <c:f>'Apgr. indeksi'!$A$147</c:f>
              <c:strCache>
                <c:ptCount val="1"/>
                <c:pt idx="0">
                  <c:v>Vietējais tirgus</c:v>
                </c:pt>
              </c:strCache>
            </c:strRef>
          </c:tx>
          <c:spPr>
            <a:ln w="28575" cap="rnd">
              <a:solidFill>
                <a:srgbClr val="00B050"/>
              </a:solidFill>
              <a:round/>
            </a:ln>
            <a:effectLst/>
          </c:spPr>
          <c:marker>
            <c:symbol val="none"/>
          </c:marker>
          <c:cat>
            <c:multiLvlStrRef>
              <c:f>'Apgr. indeksi'!$GX$111:$JX$112</c:f>
              <c:multiLvlStrCache>
                <c:ptCount val="7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pt idx="55">
                    <c:v>VIII</c:v>
                  </c:pt>
                  <c:pt idx="56">
                    <c:v>IX</c:v>
                  </c:pt>
                  <c:pt idx="57">
                    <c:v>X</c:v>
                  </c:pt>
                  <c:pt idx="58">
                    <c:v>XI</c:v>
                  </c:pt>
                  <c:pt idx="59">
                    <c:v>XII</c:v>
                  </c:pt>
                  <c:pt idx="60">
                    <c:v>I</c:v>
                  </c:pt>
                  <c:pt idx="61">
                    <c:v>II</c:v>
                  </c:pt>
                  <c:pt idx="62">
                    <c:v>III</c:v>
                  </c:pt>
                  <c:pt idx="63">
                    <c:v>IV</c:v>
                  </c:pt>
                  <c:pt idx="64">
                    <c:v>V</c:v>
                  </c:pt>
                  <c:pt idx="65">
                    <c:v>VI</c:v>
                  </c:pt>
                  <c:pt idx="66">
                    <c:v>VII</c:v>
                  </c:pt>
                  <c:pt idx="67">
                    <c:v>VIII</c:v>
                  </c:pt>
                  <c:pt idx="68">
                    <c:v>IX</c:v>
                  </c:pt>
                  <c:pt idx="69">
                    <c:v>X</c:v>
                  </c:pt>
                  <c:pt idx="70">
                    <c:v>XI</c:v>
                  </c:pt>
                  <c:pt idx="71">
                    <c:v>XII</c:v>
                  </c:pt>
                  <c:pt idx="72">
                    <c:v>I</c:v>
                  </c:pt>
                  <c:pt idx="73">
                    <c:v>II</c:v>
                  </c:pt>
                  <c:pt idx="74">
                    <c:v>III</c:v>
                  </c:pt>
                  <c:pt idx="75">
                    <c:v>IV</c:v>
                  </c:pt>
                  <c:pt idx="76">
                    <c:v>V</c:v>
                  </c:pt>
                  <c:pt idx="77">
                    <c:v>VI</c:v>
                  </c:pt>
                  <c:pt idx="78">
                    <c:v>VII</c:v>
                  </c:pt>
                </c:lvl>
                <c:lvl>
                  <c:pt idx="0">
                    <c:v>2017</c:v>
                  </c:pt>
                  <c:pt idx="12">
                    <c:v>2018</c:v>
                  </c:pt>
                  <c:pt idx="24">
                    <c:v>2019</c:v>
                  </c:pt>
                  <c:pt idx="36">
                    <c:v>2020</c:v>
                  </c:pt>
                  <c:pt idx="48">
                    <c:v>2021</c:v>
                  </c:pt>
                  <c:pt idx="60">
                    <c:v>2022</c:v>
                  </c:pt>
                  <c:pt idx="72">
                    <c:v>2023</c:v>
                  </c:pt>
                </c:lvl>
              </c:multiLvlStrCache>
              <c:extLst/>
            </c:multiLvlStrRef>
          </c:cat>
          <c:val>
            <c:numRef>
              <c:f>'Apgr. indeksi'!$IT$150:$JX$150</c:f>
              <c:numCache>
                <c:formatCode>0.0</c:formatCode>
                <c:ptCount val="31"/>
                <c:pt idx="0">
                  <c:v>0.8</c:v>
                </c:pt>
                <c:pt idx="1">
                  <c:v>3.9</c:v>
                </c:pt>
                <c:pt idx="2">
                  <c:v>6.6</c:v>
                </c:pt>
                <c:pt idx="3">
                  <c:v>16.7</c:v>
                </c:pt>
                <c:pt idx="4">
                  <c:v>16.5</c:v>
                </c:pt>
                <c:pt idx="5">
                  <c:v>29.2</c:v>
                </c:pt>
                <c:pt idx="6">
                  <c:v>27.8</c:v>
                </c:pt>
                <c:pt idx="7">
                  <c:v>22.4</c:v>
                </c:pt>
                <c:pt idx="8">
                  <c:v>23</c:v>
                </c:pt>
                <c:pt idx="9">
                  <c:v>15.2</c:v>
                </c:pt>
                <c:pt idx="10">
                  <c:v>12.4</c:v>
                </c:pt>
                <c:pt idx="11">
                  <c:v>13.4</c:v>
                </c:pt>
                <c:pt idx="12">
                  <c:v>22.8</c:v>
                </c:pt>
                <c:pt idx="13">
                  <c:v>18.399999999999999</c:v>
                </c:pt>
                <c:pt idx="14">
                  <c:v>25.3</c:v>
                </c:pt>
                <c:pt idx="15">
                  <c:v>29</c:v>
                </c:pt>
                <c:pt idx="16">
                  <c:v>29.8</c:v>
                </c:pt>
                <c:pt idx="17">
                  <c:v>15.7</c:v>
                </c:pt>
                <c:pt idx="18">
                  <c:v>14.4</c:v>
                </c:pt>
                <c:pt idx="19">
                  <c:v>19.2</c:v>
                </c:pt>
                <c:pt idx="20">
                  <c:v>20.100000000000001</c:v>
                </c:pt>
                <c:pt idx="21">
                  <c:v>24.7</c:v>
                </c:pt>
                <c:pt idx="22">
                  <c:v>22.4</c:v>
                </c:pt>
                <c:pt idx="23">
                  <c:v>19.8</c:v>
                </c:pt>
                <c:pt idx="24">
                  <c:v>21.5</c:v>
                </c:pt>
                <c:pt idx="25">
                  <c:v>24.6</c:v>
                </c:pt>
                <c:pt idx="26">
                  <c:v>6.2</c:v>
                </c:pt>
                <c:pt idx="27">
                  <c:v>-1.6</c:v>
                </c:pt>
                <c:pt idx="28">
                  <c:v>-1</c:v>
                </c:pt>
                <c:pt idx="29">
                  <c:v>-4.9000000000000004</c:v>
                </c:pt>
                <c:pt idx="30">
                  <c:v>-2.4</c:v>
                </c:pt>
              </c:numCache>
              <c:extLst/>
            </c:numRef>
          </c:val>
          <c:smooth val="1"/>
          <c:extLst>
            <c:ext xmlns:c16="http://schemas.microsoft.com/office/drawing/2014/chart" uri="{C3380CC4-5D6E-409C-BE32-E72D297353CC}">
              <c16:uniqueId val="{00000001-B80A-499C-8323-1F554A6D98F2}"/>
            </c:ext>
          </c:extLst>
        </c:ser>
        <c:ser>
          <c:idx val="2"/>
          <c:order val="2"/>
          <c:tx>
            <c:strRef>
              <c:f>'Apgr. indeksi'!$A$182</c:f>
              <c:strCache>
                <c:ptCount val="1"/>
                <c:pt idx="0">
                  <c:v>Eksports</c:v>
                </c:pt>
              </c:strCache>
            </c:strRef>
          </c:tx>
          <c:spPr>
            <a:ln w="28575" cap="rnd">
              <a:solidFill>
                <a:srgbClr val="0070C0"/>
              </a:solidFill>
              <a:round/>
            </a:ln>
            <a:effectLst/>
          </c:spPr>
          <c:marker>
            <c:symbol val="none"/>
          </c:marker>
          <c:cat>
            <c:multiLvlStrRef>
              <c:f>'Apgr. indeksi'!$GX$111:$JX$112</c:f>
              <c:multiLvlStrCache>
                <c:ptCount val="7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pt idx="55">
                    <c:v>VIII</c:v>
                  </c:pt>
                  <c:pt idx="56">
                    <c:v>IX</c:v>
                  </c:pt>
                  <c:pt idx="57">
                    <c:v>X</c:v>
                  </c:pt>
                  <c:pt idx="58">
                    <c:v>XI</c:v>
                  </c:pt>
                  <c:pt idx="59">
                    <c:v>XII</c:v>
                  </c:pt>
                  <c:pt idx="60">
                    <c:v>I</c:v>
                  </c:pt>
                  <c:pt idx="61">
                    <c:v>II</c:v>
                  </c:pt>
                  <c:pt idx="62">
                    <c:v>III</c:v>
                  </c:pt>
                  <c:pt idx="63">
                    <c:v>IV</c:v>
                  </c:pt>
                  <c:pt idx="64">
                    <c:v>V</c:v>
                  </c:pt>
                  <c:pt idx="65">
                    <c:v>VI</c:v>
                  </c:pt>
                  <c:pt idx="66">
                    <c:v>VII</c:v>
                  </c:pt>
                  <c:pt idx="67">
                    <c:v>VIII</c:v>
                  </c:pt>
                  <c:pt idx="68">
                    <c:v>IX</c:v>
                  </c:pt>
                  <c:pt idx="69">
                    <c:v>X</c:v>
                  </c:pt>
                  <c:pt idx="70">
                    <c:v>XI</c:v>
                  </c:pt>
                  <c:pt idx="71">
                    <c:v>XII</c:v>
                  </c:pt>
                  <c:pt idx="72">
                    <c:v>I</c:v>
                  </c:pt>
                  <c:pt idx="73">
                    <c:v>II</c:v>
                  </c:pt>
                  <c:pt idx="74">
                    <c:v>III</c:v>
                  </c:pt>
                  <c:pt idx="75">
                    <c:v>IV</c:v>
                  </c:pt>
                  <c:pt idx="76">
                    <c:v>V</c:v>
                  </c:pt>
                  <c:pt idx="77">
                    <c:v>VI</c:v>
                  </c:pt>
                  <c:pt idx="78">
                    <c:v>VII</c:v>
                  </c:pt>
                </c:lvl>
                <c:lvl>
                  <c:pt idx="0">
                    <c:v>2017</c:v>
                  </c:pt>
                  <c:pt idx="12">
                    <c:v>2018</c:v>
                  </c:pt>
                  <c:pt idx="24">
                    <c:v>2019</c:v>
                  </c:pt>
                  <c:pt idx="36">
                    <c:v>2020</c:v>
                  </c:pt>
                  <c:pt idx="48">
                    <c:v>2021</c:v>
                  </c:pt>
                  <c:pt idx="60">
                    <c:v>2022</c:v>
                  </c:pt>
                  <c:pt idx="72">
                    <c:v>2023</c:v>
                  </c:pt>
                </c:lvl>
              </c:multiLvlStrCache>
              <c:extLst/>
            </c:multiLvlStrRef>
          </c:cat>
          <c:val>
            <c:numRef>
              <c:f>'Apgr. indeksi'!$IT$185:$JX$185</c:f>
              <c:numCache>
                <c:formatCode>0.0</c:formatCode>
                <c:ptCount val="31"/>
                <c:pt idx="0">
                  <c:v>3</c:v>
                </c:pt>
                <c:pt idx="1">
                  <c:v>2.6</c:v>
                </c:pt>
                <c:pt idx="2">
                  <c:v>18.3</c:v>
                </c:pt>
                <c:pt idx="3">
                  <c:v>32.1</c:v>
                </c:pt>
                <c:pt idx="4">
                  <c:v>31.4</c:v>
                </c:pt>
                <c:pt idx="5">
                  <c:v>32.5</c:v>
                </c:pt>
                <c:pt idx="6">
                  <c:v>27.5</c:v>
                </c:pt>
                <c:pt idx="7">
                  <c:v>31.5</c:v>
                </c:pt>
                <c:pt idx="8">
                  <c:v>32.9</c:v>
                </c:pt>
                <c:pt idx="9">
                  <c:v>24.9</c:v>
                </c:pt>
                <c:pt idx="10">
                  <c:v>25.9</c:v>
                </c:pt>
                <c:pt idx="11">
                  <c:v>21.9</c:v>
                </c:pt>
                <c:pt idx="12">
                  <c:v>32</c:v>
                </c:pt>
                <c:pt idx="13">
                  <c:v>25.4</c:v>
                </c:pt>
                <c:pt idx="14">
                  <c:v>27.4</c:v>
                </c:pt>
                <c:pt idx="15">
                  <c:v>28.5</c:v>
                </c:pt>
                <c:pt idx="16">
                  <c:v>29.6</c:v>
                </c:pt>
                <c:pt idx="17">
                  <c:v>9.8000000000000007</c:v>
                </c:pt>
                <c:pt idx="18">
                  <c:v>15.8</c:v>
                </c:pt>
                <c:pt idx="19">
                  <c:v>4.5999999999999996</c:v>
                </c:pt>
                <c:pt idx="20">
                  <c:v>9.9</c:v>
                </c:pt>
                <c:pt idx="21">
                  <c:v>10.199999999999999</c:v>
                </c:pt>
                <c:pt idx="22">
                  <c:v>8.1</c:v>
                </c:pt>
                <c:pt idx="23">
                  <c:v>4.7</c:v>
                </c:pt>
                <c:pt idx="24">
                  <c:v>3.9</c:v>
                </c:pt>
                <c:pt idx="25">
                  <c:v>4.3</c:v>
                </c:pt>
                <c:pt idx="26">
                  <c:v>4.5</c:v>
                </c:pt>
                <c:pt idx="27">
                  <c:v>-7.5</c:v>
                </c:pt>
                <c:pt idx="28">
                  <c:v>-5.2</c:v>
                </c:pt>
                <c:pt idx="29">
                  <c:v>-1.7</c:v>
                </c:pt>
                <c:pt idx="30">
                  <c:v>-8.1</c:v>
                </c:pt>
              </c:numCache>
              <c:extLst/>
            </c:numRef>
          </c:val>
          <c:smooth val="1"/>
          <c:extLst>
            <c:ext xmlns:c16="http://schemas.microsoft.com/office/drawing/2014/chart" uri="{C3380CC4-5D6E-409C-BE32-E72D297353CC}">
              <c16:uniqueId val="{00000002-B80A-499C-8323-1F554A6D98F2}"/>
            </c:ext>
          </c:extLst>
        </c:ser>
        <c:dLbls>
          <c:showLegendKey val="0"/>
          <c:showVal val="0"/>
          <c:showCatName val="0"/>
          <c:showSerName val="0"/>
          <c:showPercent val="0"/>
          <c:showBubbleSize val="0"/>
        </c:dLbls>
        <c:marker val="1"/>
        <c:smooth val="0"/>
        <c:axId val="116528976"/>
        <c:axId val="116529368"/>
      </c:lineChart>
      <c:catAx>
        <c:axId val="1165289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16529368"/>
        <c:crosses val="autoZero"/>
        <c:auto val="1"/>
        <c:lblAlgn val="ctr"/>
        <c:lblOffset val="100"/>
        <c:noMultiLvlLbl val="0"/>
      </c:catAx>
      <c:valAx>
        <c:axId val="116529368"/>
        <c:scaling>
          <c:orientation val="minMax"/>
          <c:max val="40"/>
          <c:min val="-15"/>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16528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lv-LV"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lgn="ct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1"/>
          <c:order val="1"/>
          <c:tx>
            <c:strRef>
              <c:f>Mazumtirdzniecība!$L$2</c:f>
              <c:strCache>
                <c:ptCount val="1"/>
                <c:pt idx="0">
                  <c:v>Degviela</c:v>
                </c:pt>
              </c:strCache>
            </c:strRef>
          </c:tx>
          <c:spPr>
            <a:solidFill>
              <a:schemeClr val="tx1">
                <a:lumMod val="50000"/>
                <a:lumOff val="50000"/>
              </a:schemeClr>
            </a:solidFill>
            <a:ln>
              <a:solidFill>
                <a:schemeClr val="tx1">
                  <a:lumMod val="50000"/>
                  <a:lumOff val="50000"/>
                </a:schemeClr>
              </a:solidFill>
            </a:ln>
            <a:effectLst/>
          </c:spPr>
          <c:invertIfNegative val="0"/>
          <c:cat>
            <c:multiLvlStrRef>
              <c:f>Mazumtirdzniecība!$A$231:$B$276</c:f>
              <c:multiLvlStrCache>
                <c:ptCount val="4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lvl>
                <c:lvl>
                  <c:pt idx="0">
                    <c:v>2019</c:v>
                  </c:pt>
                  <c:pt idx="12">
                    <c:v>2020</c:v>
                  </c:pt>
                  <c:pt idx="24">
                    <c:v>2021</c:v>
                  </c:pt>
                  <c:pt idx="36">
                    <c:v>2022</c:v>
                  </c:pt>
                </c:lvl>
              </c:multiLvlStrCache>
              <c:extLst/>
            </c:multiLvlStrRef>
          </c:cat>
          <c:val>
            <c:numRef>
              <c:f>Mazumtirdzniecība!$L$255:$L$285</c:f>
              <c:numCache>
                <c:formatCode>0.0</c:formatCode>
                <c:ptCount val="31"/>
                <c:pt idx="0">
                  <c:v>2.7690706998487715</c:v>
                </c:pt>
                <c:pt idx="1">
                  <c:v>1.0198042600571611</c:v>
                </c:pt>
                <c:pt idx="2">
                  <c:v>0.86541552066264793</c:v>
                </c:pt>
                <c:pt idx="3">
                  <c:v>1.8139219908437463</c:v>
                </c:pt>
                <c:pt idx="4">
                  <c:v>0.96677035466490269</c:v>
                </c:pt>
                <c:pt idx="5">
                  <c:v>2.3613569615628527</c:v>
                </c:pt>
                <c:pt idx="6">
                  <c:v>2.4482152272751603</c:v>
                </c:pt>
                <c:pt idx="7">
                  <c:v>0.61700447252865276</c:v>
                </c:pt>
                <c:pt idx="8">
                  <c:v>1.1148239548169561</c:v>
                </c:pt>
                <c:pt idx="9">
                  <c:v>0.33202510993965401</c:v>
                </c:pt>
                <c:pt idx="10">
                  <c:v>-0.56317842777822102</c:v>
                </c:pt>
                <c:pt idx="11">
                  <c:v>0.13575795483618658</c:v>
                </c:pt>
                <c:pt idx="12">
                  <c:v>0.3468693860829552</c:v>
                </c:pt>
                <c:pt idx="13">
                  <c:v>-7.7394228315503549E-2</c:v>
                </c:pt>
                <c:pt idx="14">
                  <c:v>2.8604990684062614</c:v>
                </c:pt>
                <c:pt idx="15">
                  <c:v>-0.74343098383297235</c:v>
                </c:pt>
                <c:pt idx="16">
                  <c:v>-0.69731127467003651</c:v>
                </c:pt>
                <c:pt idx="17">
                  <c:v>-2.0295206094048739</c:v>
                </c:pt>
                <c:pt idx="18">
                  <c:v>-1.9512084836364882</c:v>
                </c:pt>
                <c:pt idx="19">
                  <c:v>0.33435725174750996</c:v>
                </c:pt>
                <c:pt idx="20">
                  <c:v>0.36505639818621438</c:v>
                </c:pt>
                <c:pt idx="21">
                  <c:v>0.61168441028312148</c:v>
                </c:pt>
                <c:pt idx="22">
                  <c:v>2.0036239177765571</c:v>
                </c:pt>
                <c:pt idx="23">
                  <c:v>2.0419693193035924</c:v>
                </c:pt>
                <c:pt idx="24">
                  <c:v>1.7661509147209251</c:v>
                </c:pt>
                <c:pt idx="25">
                  <c:v>0.59066680087600498</c:v>
                </c:pt>
                <c:pt idx="26">
                  <c:v>-1.3319726761679449</c:v>
                </c:pt>
                <c:pt idx="27">
                  <c:v>1.6648924721719276</c:v>
                </c:pt>
                <c:pt idx="28">
                  <c:v>1.999772781180146</c:v>
                </c:pt>
                <c:pt idx="29">
                  <c:v>1.0192427428870678</c:v>
                </c:pt>
                <c:pt idx="30">
                  <c:v>0.99792931605246693</c:v>
                </c:pt>
              </c:numCache>
              <c:extLst/>
            </c:numRef>
          </c:val>
          <c:extLst>
            <c:ext xmlns:c16="http://schemas.microsoft.com/office/drawing/2014/chart" uri="{C3380CC4-5D6E-409C-BE32-E72D297353CC}">
              <c16:uniqueId val="{00000000-EB6B-433D-A728-13A6DE0AD6DD}"/>
            </c:ext>
          </c:extLst>
        </c:ser>
        <c:ser>
          <c:idx val="2"/>
          <c:order val="2"/>
          <c:tx>
            <c:strRef>
              <c:f>Mazumtirdzniecība!$M$2</c:f>
              <c:strCache>
                <c:ptCount val="1"/>
                <c:pt idx="0">
                  <c:v>Pārtika</c:v>
                </c:pt>
              </c:strCache>
            </c:strRef>
          </c:tx>
          <c:spPr>
            <a:pattFill prst="dkUpDiag">
              <a:fgClr>
                <a:srgbClr val="00B050"/>
              </a:fgClr>
              <a:bgClr>
                <a:schemeClr val="bg1"/>
              </a:bgClr>
            </a:pattFill>
            <a:ln>
              <a:solidFill>
                <a:srgbClr val="00B050"/>
              </a:solidFill>
            </a:ln>
            <a:effectLst/>
          </c:spPr>
          <c:invertIfNegative val="0"/>
          <c:cat>
            <c:multiLvlStrRef>
              <c:f>Mazumtirdzniecība!$A$231:$B$276</c:f>
              <c:multiLvlStrCache>
                <c:ptCount val="4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lvl>
                <c:lvl>
                  <c:pt idx="0">
                    <c:v>2019</c:v>
                  </c:pt>
                  <c:pt idx="12">
                    <c:v>2020</c:v>
                  </c:pt>
                  <c:pt idx="24">
                    <c:v>2021</c:v>
                  </c:pt>
                  <c:pt idx="36">
                    <c:v>2022</c:v>
                  </c:pt>
                </c:lvl>
              </c:multiLvlStrCache>
              <c:extLst/>
            </c:multiLvlStrRef>
          </c:cat>
          <c:val>
            <c:numRef>
              <c:f>Mazumtirdzniecība!$M$255:$M$285</c:f>
              <c:numCache>
                <c:formatCode>0.0</c:formatCode>
                <c:ptCount val="31"/>
                <c:pt idx="0">
                  <c:v>-0.99966460715088901</c:v>
                </c:pt>
                <c:pt idx="1">
                  <c:v>0.77779038778370735</c:v>
                </c:pt>
                <c:pt idx="2">
                  <c:v>0.95587209662733663</c:v>
                </c:pt>
                <c:pt idx="3">
                  <c:v>2.8397829593096198</c:v>
                </c:pt>
                <c:pt idx="4">
                  <c:v>0.38928208212640908</c:v>
                </c:pt>
                <c:pt idx="5">
                  <c:v>-0.88116387036297306</c:v>
                </c:pt>
                <c:pt idx="6">
                  <c:v>-0.41840127515728742</c:v>
                </c:pt>
                <c:pt idx="7">
                  <c:v>-1.3996349735781182</c:v>
                </c:pt>
                <c:pt idx="8">
                  <c:v>-0.64298192346924354</c:v>
                </c:pt>
                <c:pt idx="9">
                  <c:v>3.6014896289137018E-2</c:v>
                </c:pt>
                <c:pt idx="10">
                  <c:v>0.11386539352286275</c:v>
                </c:pt>
                <c:pt idx="11">
                  <c:v>0.37970217543036627</c:v>
                </c:pt>
                <c:pt idx="12">
                  <c:v>2.1297647406101867</c:v>
                </c:pt>
                <c:pt idx="13">
                  <c:v>0.37411582205829019</c:v>
                </c:pt>
                <c:pt idx="14">
                  <c:v>0.4634175373996165</c:v>
                </c:pt>
                <c:pt idx="15">
                  <c:v>0.89269896223939327</c:v>
                </c:pt>
                <c:pt idx="16">
                  <c:v>1.1474104684242161</c:v>
                </c:pt>
                <c:pt idx="17">
                  <c:v>1.0717663974339942</c:v>
                </c:pt>
                <c:pt idx="18">
                  <c:v>0.66710012659111717</c:v>
                </c:pt>
                <c:pt idx="19">
                  <c:v>0.65593816644156111</c:v>
                </c:pt>
                <c:pt idx="20">
                  <c:v>0.13965880539153944</c:v>
                </c:pt>
                <c:pt idx="21">
                  <c:v>-1.4519389880267242</c:v>
                </c:pt>
                <c:pt idx="22">
                  <c:v>-1.1851218661210112</c:v>
                </c:pt>
                <c:pt idx="23">
                  <c:v>-2.3680632171963847</c:v>
                </c:pt>
                <c:pt idx="24">
                  <c:v>-1.2927454819808548</c:v>
                </c:pt>
                <c:pt idx="25">
                  <c:v>-0.33716831885073389</c:v>
                </c:pt>
                <c:pt idx="26">
                  <c:v>-4.6842892471897963</c:v>
                </c:pt>
                <c:pt idx="27">
                  <c:v>-2.875243043004025</c:v>
                </c:pt>
                <c:pt idx="28">
                  <c:v>-2.5574308641713146</c:v>
                </c:pt>
                <c:pt idx="29">
                  <c:v>-2.1544023297996655</c:v>
                </c:pt>
                <c:pt idx="30">
                  <c:v>-2.1139563879440049</c:v>
                </c:pt>
              </c:numCache>
              <c:extLst/>
            </c:numRef>
          </c:val>
          <c:extLst>
            <c:ext xmlns:c16="http://schemas.microsoft.com/office/drawing/2014/chart" uri="{C3380CC4-5D6E-409C-BE32-E72D297353CC}">
              <c16:uniqueId val="{00000001-EB6B-433D-A728-13A6DE0AD6DD}"/>
            </c:ext>
          </c:extLst>
        </c:ser>
        <c:ser>
          <c:idx val="3"/>
          <c:order val="3"/>
          <c:tx>
            <c:strRef>
              <c:f>Mazumtirdzniecība!$N$2</c:f>
              <c:strCache>
                <c:ptCount val="1"/>
                <c:pt idx="0">
                  <c:v>Nepārtika (-degviela)</c:v>
                </c:pt>
              </c:strCache>
            </c:strRef>
          </c:tx>
          <c:spPr>
            <a:solidFill>
              <a:srgbClr val="0070C0"/>
            </a:solidFill>
            <a:ln>
              <a:solidFill>
                <a:srgbClr val="0070C0"/>
              </a:solidFill>
            </a:ln>
            <a:effectLst/>
          </c:spPr>
          <c:invertIfNegative val="0"/>
          <c:cat>
            <c:multiLvlStrRef>
              <c:f>Mazumtirdzniecība!$A$231:$B$276</c:f>
              <c:multiLvlStrCache>
                <c:ptCount val="4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lvl>
                <c:lvl>
                  <c:pt idx="0">
                    <c:v>2019</c:v>
                  </c:pt>
                  <c:pt idx="12">
                    <c:v>2020</c:v>
                  </c:pt>
                  <c:pt idx="24">
                    <c:v>2021</c:v>
                  </c:pt>
                  <c:pt idx="36">
                    <c:v>2022</c:v>
                  </c:pt>
                </c:lvl>
              </c:multiLvlStrCache>
              <c:extLst/>
            </c:multiLvlStrRef>
          </c:cat>
          <c:val>
            <c:numRef>
              <c:f>Mazumtirdzniecība!$N$255:$N$285</c:f>
              <c:numCache>
                <c:formatCode>0.0</c:formatCode>
                <c:ptCount val="31"/>
                <c:pt idx="0">
                  <c:v>-8.2953527447544904</c:v>
                </c:pt>
                <c:pt idx="1">
                  <c:v>-7.5732388778489188</c:v>
                </c:pt>
                <c:pt idx="2">
                  <c:v>1.4816518369642588</c:v>
                </c:pt>
                <c:pt idx="3">
                  <c:v>10.855186407413882</c:v>
                </c:pt>
                <c:pt idx="4">
                  <c:v>3.740736851277191</c:v>
                </c:pt>
                <c:pt idx="5">
                  <c:v>4.9862861544887158</c:v>
                </c:pt>
                <c:pt idx="6">
                  <c:v>2.7420282893782235</c:v>
                </c:pt>
                <c:pt idx="7">
                  <c:v>4.3984574290912599</c:v>
                </c:pt>
                <c:pt idx="8">
                  <c:v>3.4418960740395819</c:v>
                </c:pt>
                <c:pt idx="9">
                  <c:v>-2.1564263822621177</c:v>
                </c:pt>
                <c:pt idx="10">
                  <c:v>-2.7868959620804374</c:v>
                </c:pt>
                <c:pt idx="11">
                  <c:v>7.1033094964184915</c:v>
                </c:pt>
                <c:pt idx="12">
                  <c:v>11.598310544346019</c:v>
                </c:pt>
                <c:pt idx="13">
                  <c:v>7.7611263203822851</c:v>
                </c:pt>
                <c:pt idx="14">
                  <c:v>8.5520330051687488</c:v>
                </c:pt>
                <c:pt idx="15">
                  <c:v>2.8124723398462912</c:v>
                </c:pt>
                <c:pt idx="16">
                  <c:v>2.0410319763343732</c:v>
                </c:pt>
                <c:pt idx="17">
                  <c:v>-0.68957040713874462</c:v>
                </c:pt>
                <c:pt idx="18">
                  <c:v>0.52288651693769528</c:v>
                </c:pt>
                <c:pt idx="19">
                  <c:v>-0.81106586913218537</c:v>
                </c:pt>
                <c:pt idx="20">
                  <c:v>0.71747721819440891</c:v>
                </c:pt>
                <c:pt idx="21">
                  <c:v>6.0127303507612497</c:v>
                </c:pt>
                <c:pt idx="22">
                  <c:v>9.4514468625570078</c:v>
                </c:pt>
                <c:pt idx="23">
                  <c:v>0.22283024161583204</c:v>
                </c:pt>
                <c:pt idx="24">
                  <c:v>2.0955663175090722</c:v>
                </c:pt>
                <c:pt idx="25">
                  <c:v>1.8785234568414391</c:v>
                </c:pt>
                <c:pt idx="26">
                  <c:v>-3.1405222899370426</c:v>
                </c:pt>
                <c:pt idx="27">
                  <c:v>-1.89852566585056</c:v>
                </c:pt>
                <c:pt idx="28">
                  <c:v>-0.91806532190597456</c:v>
                </c:pt>
                <c:pt idx="29">
                  <c:v>-1.2919023664316054</c:v>
                </c:pt>
                <c:pt idx="30">
                  <c:v>-1.338999863812288</c:v>
                </c:pt>
              </c:numCache>
              <c:extLst/>
            </c:numRef>
          </c:val>
          <c:extLst>
            <c:ext xmlns:c16="http://schemas.microsoft.com/office/drawing/2014/chart" uri="{C3380CC4-5D6E-409C-BE32-E72D297353CC}">
              <c16:uniqueId val="{00000002-EB6B-433D-A728-13A6DE0AD6DD}"/>
            </c:ext>
          </c:extLst>
        </c:ser>
        <c:dLbls>
          <c:showLegendKey val="0"/>
          <c:showVal val="0"/>
          <c:showCatName val="0"/>
          <c:showSerName val="0"/>
          <c:showPercent val="0"/>
          <c:showBubbleSize val="0"/>
        </c:dLbls>
        <c:gapWidth val="150"/>
        <c:overlap val="100"/>
        <c:axId val="343843672"/>
        <c:axId val="343844064"/>
      </c:barChart>
      <c:lineChart>
        <c:grouping val="standard"/>
        <c:varyColors val="0"/>
        <c:ser>
          <c:idx val="0"/>
          <c:order val="0"/>
          <c:tx>
            <c:strRef>
              <c:f>Mazumtirdzniecība!$K$2</c:f>
              <c:strCache>
                <c:ptCount val="1"/>
                <c:pt idx="0">
                  <c:v>Mazumtirdzniecība</c:v>
                </c:pt>
              </c:strCache>
            </c:strRef>
          </c:tx>
          <c:spPr>
            <a:ln w="28575" cap="rnd">
              <a:solidFill>
                <a:schemeClr val="tx1"/>
              </a:solidFill>
              <a:prstDash val="sysDash"/>
              <a:round/>
            </a:ln>
            <a:effectLst/>
          </c:spPr>
          <c:marker>
            <c:symbol val="none"/>
          </c:marker>
          <c:cat>
            <c:multiLvlStrRef>
              <c:f>Mazumtirdzniecība!$A$255:$B$285</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2021</c:v>
                  </c:pt>
                  <c:pt idx="12">
                    <c:v>2022</c:v>
                  </c:pt>
                  <c:pt idx="24">
                    <c:v>2023</c:v>
                  </c:pt>
                </c:lvl>
              </c:multiLvlStrCache>
              <c:extLst/>
            </c:multiLvlStrRef>
          </c:cat>
          <c:val>
            <c:numRef>
              <c:f>Mazumtirdzniecība!$K$255:$K$285</c:f>
              <c:numCache>
                <c:formatCode>0.0</c:formatCode>
                <c:ptCount val="31"/>
                <c:pt idx="0">
                  <c:v>-9.537572254335247</c:v>
                </c:pt>
                <c:pt idx="1">
                  <c:v>-8.3091787439613434</c:v>
                </c:pt>
                <c:pt idx="2">
                  <c:v>3.3149171270718369</c:v>
                </c:pt>
                <c:pt idx="3">
                  <c:v>15.581854043392497</c:v>
                </c:pt>
                <c:pt idx="4">
                  <c:v>5.1993067590987874</c:v>
                </c:pt>
                <c:pt idx="5">
                  <c:v>6.5669160432252571</c:v>
                </c:pt>
                <c:pt idx="6">
                  <c:v>4.8115477145148189</c:v>
                </c:pt>
                <c:pt idx="7">
                  <c:v>3.8582677165354351</c:v>
                </c:pt>
                <c:pt idx="8">
                  <c:v>4.067796610169494</c:v>
                </c:pt>
                <c:pt idx="9">
                  <c:v>-2.1702838063438978</c:v>
                </c:pt>
                <c:pt idx="10">
                  <c:v>-3.6251105216622448</c:v>
                </c:pt>
                <c:pt idx="11">
                  <c:v>7.8352180936995142</c:v>
                </c:pt>
                <c:pt idx="12">
                  <c:v>14.270500532481357</c:v>
                </c:pt>
                <c:pt idx="13">
                  <c:v>8.5353003161222176</c:v>
                </c:pt>
                <c:pt idx="14">
                  <c:v>12.032085561497329</c:v>
                </c:pt>
                <c:pt idx="15">
                  <c:v>3.4129692832764569</c:v>
                </c:pt>
                <c:pt idx="16">
                  <c:v>2.9654036243822013</c:v>
                </c:pt>
                <c:pt idx="17">
                  <c:v>-1.5600624024960874</c:v>
                </c:pt>
                <c:pt idx="18">
                  <c:v>-0.38255547054323324</c:v>
                </c:pt>
                <c:pt idx="19">
                  <c:v>-0.15163002274451998</c:v>
                </c:pt>
                <c:pt idx="20">
                  <c:v>1.3029315960912058</c:v>
                </c:pt>
                <c:pt idx="21">
                  <c:v>5.8873720136518592</c:v>
                </c:pt>
                <c:pt idx="22">
                  <c:v>10.825688073394502</c:v>
                </c:pt>
                <c:pt idx="23">
                  <c:v>-0.22471910112360494</c:v>
                </c:pt>
                <c:pt idx="24">
                  <c:v>2.7027027027026973</c:v>
                </c:pt>
                <c:pt idx="25">
                  <c:v>2.4271844660194164</c:v>
                </c:pt>
                <c:pt idx="26">
                  <c:v>-8.910103420843285</c:v>
                </c:pt>
                <c:pt idx="27">
                  <c:v>-3.3003300330032959</c:v>
                </c:pt>
                <c:pt idx="28">
                  <c:v>-1.4399999999999968</c:v>
                </c:pt>
                <c:pt idx="29">
                  <c:v>-2.3771790808240878</c:v>
                </c:pt>
                <c:pt idx="30">
                  <c:v>-2.4577572964669669</c:v>
                </c:pt>
              </c:numCache>
              <c:extLst/>
            </c:numRef>
          </c:val>
          <c:smooth val="0"/>
          <c:extLst>
            <c:ext xmlns:c16="http://schemas.microsoft.com/office/drawing/2014/chart" uri="{C3380CC4-5D6E-409C-BE32-E72D297353CC}">
              <c16:uniqueId val="{00000003-EB6B-433D-A728-13A6DE0AD6DD}"/>
            </c:ext>
          </c:extLst>
        </c:ser>
        <c:dLbls>
          <c:showLegendKey val="0"/>
          <c:showVal val="0"/>
          <c:showCatName val="0"/>
          <c:showSerName val="0"/>
          <c:showPercent val="0"/>
          <c:showBubbleSize val="0"/>
        </c:dLbls>
        <c:marker val="1"/>
        <c:smooth val="0"/>
        <c:axId val="343843672"/>
        <c:axId val="343844064"/>
      </c:lineChart>
      <c:catAx>
        <c:axId val="3438436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43844064"/>
        <c:crosses val="autoZero"/>
        <c:auto val="1"/>
        <c:lblAlgn val="ctr"/>
        <c:lblOffset val="100"/>
        <c:noMultiLvlLbl val="0"/>
      </c:catAx>
      <c:valAx>
        <c:axId val="343844064"/>
        <c:scaling>
          <c:orientation val="minMax"/>
          <c:max val="20"/>
          <c:min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43843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bg1">
                <a:lumMod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'Būvn apj, sal.c.'!$CH$2:$CQ$3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extLst/>
            </c:multiLvlStrRef>
          </c:cat>
          <c:val>
            <c:numRef>
              <c:f>'Būvn apj, sal.c.'!$CH$22:$CQ$22</c:f>
              <c:numCache>
                <c:formatCode>0.0</c:formatCode>
                <c:ptCount val="10"/>
                <c:pt idx="0">
                  <c:v>-12.4</c:v>
                </c:pt>
                <c:pt idx="1">
                  <c:v>1.1000000000000001</c:v>
                </c:pt>
                <c:pt idx="2">
                  <c:v>-3.3</c:v>
                </c:pt>
                <c:pt idx="3">
                  <c:v>-11</c:v>
                </c:pt>
                <c:pt idx="4">
                  <c:v>-8.4</c:v>
                </c:pt>
                <c:pt idx="5">
                  <c:v>-13.8</c:v>
                </c:pt>
                <c:pt idx="6">
                  <c:v>-13.6</c:v>
                </c:pt>
                <c:pt idx="7">
                  <c:v>-8.3000000000000007</c:v>
                </c:pt>
                <c:pt idx="8">
                  <c:v>17</c:v>
                </c:pt>
                <c:pt idx="9">
                  <c:v>15.4</c:v>
                </c:pt>
              </c:numCache>
              <c:extLst/>
            </c:numRef>
          </c:val>
          <c:extLst>
            <c:ext xmlns:c16="http://schemas.microsoft.com/office/drawing/2014/chart" uri="{C3380CC4-5D6E-409C-BE32-E72D297353CC}">
              <c16:uniqueId val="{00000000-08CD-4F9F-995D-A23084F75813}"/>
            </c:ext>
          </c:extLst>
        </c:ser>
        <c:dLbls>
          <c:dLblPos val="outEnd"/>
          <c:showLegendKey val="0"/>
          <c:showVal val="1"/>
          <c:showCatName val="0"/>
          <c:showSerName val="0"/>
          <c:showPercent val="0"/>
          <c:showBubbleSize val="0"/>
        </c:dLbls>
        <c:gapWidth val="94"/>
        <c:overlap val="-27"/>
        <c:axId val="149140703"/>
        <c:axId val="149201663"/>
      </c:barChart>
      <c:catAx>
        <c:axId val="149140703"/>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49201663"/>
        <c:crosses val="autoZero"/>
        <c:auto val="1"/>
        <c:lblAlgn val="ctr"/>
        <c:lblOffset val="100"/>
        <c:noMultiLvlLbl val="0"/>
      </c:catAx>
      <c:valAx>
        <c:axId val="14920166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4914070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152425159265594E-2"/>
          <c:y val="6.2146892655367235E-2"/>
          <c:w val="0.90059459154717836"/>
          <c:h val="0.61541394190133014"/>
        </c:manualLayout>
      </c:layout>
      <c:areaChart>
        <c:grouping val="standard"/>
        <c:varyColors val="0"/>
        <c:ser>
          <c:idx val="0"/>
          <c:order val="0"/>
          <c:tx>
            <c:strRef>
              <c:f>Mēneši!$B$11</c:f>
              <c:strCache>
                <c:ptCount val="1"/>
                <c:pt idx="0">
                  <c:v>Būvniecība kopā</c:v>
                </c:pt>
              </c:strCache>
            </c:strRef>
          </c:tx>
          <c:spPr>
            <a:pattFill prst="pct70">
              <a:fgClr>
                <a:schemeClr val="bg1">
                  <a:lumMod val="65000"/>
                </a:schemeClr>
              </a:fgClr>
              <a:bgClr>
                <a:schemeClr val="bg1"/>
              </a:bgClr>
            </a:pattFill>
            <a:ln>
              <a:noFill/>
            </a:ln>
            <a:effectLst/>
          </c:spPr>
          <c:cat>
            <c:multiLvlStrRef>
              <c:f>Mēneši!$AY$9:$CC$10</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2021</c:v>
                  </c:pt>
                  <c:pt idx="12">
                    <c:v>2022</c:v>
                  </c:pt>
                  <c:pt idx="24">
                    <c:v>2023</c:v>
                  </c:pt>
                </c:lvl>
              </c:multiLvlStrCache>
            </c:multiLvlStrRef>
          </c:cat>
          <c:val>
            <c:numRef>
              <c:f>Mēneši!$AY$11:$CC$11</c:f>
              <c:numCache>
                <c:formatCode>0.0%</c:formatCode>
                <c:ptCount val="31"/>
                <c:pt idx="0">
                  <c:v>4.484304932735439E-3</c:v>
                </c:pt>
                <c:pt idx="1">
                  <c:v>8.0717488789239233E-3</c:v>
                </c:pt>
                <c:pt idx="2">
                  <c:v>2.4215246636771326E-2</c:v>
                </c:pt>
                <c:pt idx="3">
                  <c:v>3.2345013477089068E-2</c:v>
                </c:pt>
                <c:pt idx="4">
                  <c:v>4.7533632286995475E-2</c:v>
                </c:pt>
                <c:pt idx="5">
                  <c:v>6.0035842293906905E-2</c:v>
                </c:pt>
                <c:pt idx="6">
                  <c:v>8.1687612208258376E-2</c:v>
                </c:pt>
                <c:pt idx="7">
                  <c:v>8.7578194816800625E-2</c:v>
                </c:pt>
                <c:pt idx="8">
                  <c:v>9.9640933572710866E-2</c:v>
                </c:pt>
                <c:pt idx="9">
                  <c:v>0.11180679785330949</c:v>
                </c:pt>
                <c:pt idx="10">
                  <c:v>0.11917562724014341</c:v>
                </c:pt>
                <c:pt idx="11">
                  <c:v>0.11953612845673511</c:v>
                </c:pt>
                <c:pt idx="12">
                  <c:v>0.14285714285714279</c:v>
                </c:pt>
                <c:pt idx="13">
                  <c:v>0.16992882562277578</c:v>
                </c:pt>
                <c:pt idx="14">
                  <c:v>0.18739054290718027</c:v>
                </c:pt>
                <c:pt idx="15">
                  <c:v>0.21758050478677116</c:v>
                </c:pt>
                <c:pt idx="16">
                  <c:v>0.22345890410958913</c:v>
                </c:pt>
                <c:pt idx="17">
                  <c:v>0.21978021978021989</c:v>
                </c:pt>
                <c:pt idx="18">
                  <c:v>0.2124481327800829</c:v>
                </c:pt>
                <c:pt idx="19">
                  <c:v>0.20460147904683645</c:v>
                </c:pt>
                <c:pt idx="20">
                  <c:v>0.20244897959183672</c:v>
                </c:pt>
                <c:pt idx="21">
                  <c:v>0.19549477071600974</c:v>
                </c:pt>
                <c:pt idx="22">
                  <c:v>0.19455564451561225</c:v>
                </c:pt>
                <c:pt idx="23">
                  <c:v>0.19362549800796813</c:v>
                </c:pt>
                <c:pt idx="24">
                  <c:v>0.17578125</c:v>
                </c:pt>
                <c:pt idx="25">
                  <c:v>0.14296577946768063</c:v>
                </c:pt>
                <c:pt idx="26">
                  <c:v>0.10914454277286145</c:v>
                </c:pt>
                <c:pt idx="27">
                  <c:v>7.433881343817017E-2</c:v>
                </c:pt>
                <c:pt idx="28">
                  <c:v>5.2484254723582868E-2</c:v>
                </c:pt>
                <c:pt idx="29">
                  <c:v>4.0194040194040159E-2</c:v>
                </c:pt>
                <c:pt idx="30">
                  <c:v>3.2169746748802241E-2</c:v>
                </c:pt>
              </c:numCache>
            </c:numRef>
          </c:val>
          <c:extLst>
            <c:ext xmlns:c16="http://schemas.microsoft.com/office/drawing/2014/chart" uri="{C3380CC4-5D6E-409C-BE32-E72D297353CC}">
              <c16:uniqueId val="{00000000-A53D-45FB-9B7A-3E8786BE838E}"/>
            </c:ext>
          </c:extLst>
        </c:ser>
        <c:dLbls>
          <c:showLegendKey val="0"/>
          <c:showVal val="0"/>
          <c:showCatName val="0"/>
          <c:showSerName val="0"/>
          <c:showPercent val="0"/>
          <c:showBubbleSize val="0"/>
        </c:dLbls>
        <c:axId val="993400208"/>
        <c:axId val="993598960"/>
      </c:areaChart>
      <c:lineChart>
        <c:grouping val="standard"/>
        <c:varyColors val="0"/>
        <c:ser>
          <c:idx val="1"/>
          <c:order val="1"/>
          <c:tx>
            <c:strRef>
              <c:f>Mēneši!$B$12</c:f>
              <c:strCache>
                <c:ptCount val="1"/>
                <c:pt idx="0">
                  <c:v>Būvmateriāli</c:v>
                </c:pt>
              </c:strCache>
            </c:strRef>
          </c:tx>
          <c:spPr>
            <a:ln w="28575" cap="rnd">
              <a:solidFill>
                <a:schemeClr val="accent5">
                  <a:lumMod val="75000"/>
                </a:schemeClr>
              </a:solidFill>
              <a:round/>
            </a:ln>
            <a:effectLst/>
          </c:spPr>
          <c:marker>
            <c:symbol val="none"/>
          </c:marker>
          <c:val>
            <c:numRef>
              <c:f>Mēneši!$AY$12:$CC$12</c:f>
              <c:numCache>
                <c:formatCode>0.0%</c:formatCode>
                <c:ptCount val="31"/>
                <c:pt idx="0">
                  <c:v>-1.3232514177693666E-2</c:v>
                </c:pt>
                <c:pt idx="1">
                  <c:v>-9.4876660341569607E-4</c:v>
                </c:pt>
                <c:pt idx="2">
                  <c:v>2.3607176581680767E-2</c:v>
                </c:pt>
                <c:pt idx="3">
                  <c:v>3.1458531935176337E-2</c:v>
                </c:pt>
                <c:pt idx="4">
                  <c:v>6.0344827586206851E-2</c:v>
                </c:pt>
                <c:pt idx="5">
                  <c:v>8.0536912751677958E-2</c:v>
                </c:pt>
                <c:pt idx="6">
                  <c:v>0.11730769230769234</c:v>
                </c:pt>
                <c:pt idx="7">
                  <c:v>0.12751677852348986</c:v>
                </c:pt>
                <c:pt idx="8">
                  <c:v>0.14396135265700494</c:v>
                </c:pt>
                <c:pt idx="9">
                  <c:v>0.165067178502879</c:v>
                </c:pt>
                <c:pt idx="10">
                  <c:v>0.18050193050193064</c:v>
                </c:pt>
                <c:pt idx="11">
                  <c:v>0.17788461538461542</c:v>
                </c:pt>
                <c:pt idx="12">
                  <c:v>0.20498084291187735</c:v>
                </c:pt>
                <c:pt idx="13">
                  <c:v>0.23361823361823375</c:v>
                </c:pt>
                <c:pt idx="14">
                  <c:v>0.25184501845018437</c:v>
                </c:pt>
                <c:pt idx="15">
                  <c:v>0.30314232902033278</c:v>
                </c:pt>
                <c:pt idx="16">
                  <c:v>0.3107497741644083</c:v>
                </c:pt>
                <c:pt idx="17">
                  <c:v>0.29902395740905052</c:v>
                </c:pt>
                <c:pt idx="18">
                  <c:v>0.2805507745266782</c:v>
                </c:pt>
                <c:pt idx="19">
                  <c:v>0.26870748299319724</c:v>
                </c:pt>
                <c:pt idx="20">
                  <c:v>0.26604729729729737</c:v>
                </c:pt>
                <c:pt idx="21">
                  <c:v>0.24711696869851729</c:v>
                </c:pt>
                <c:pt idx="22">
                  <c:v>0.24611610793131655</c:v>
                </c:pt>
                <c:pt idx="23">
                  <c:v>0.24653061224489781</c:v>
                </c:pt>
                <c:pt idx="24">
                  <c:v>0.21860095389507173</c:v>
                </c:pt>
                <c:pt idx="25">
                  <c:v>0.17321016166281744</c:v>
                </c:pt>
                <c:pt idx="26">
                  <c:v>0.12232866617538707</c:v>
                </c:pt>
                <c:pt idx="27">
                  <c:v>6.7375886524822626E-2</c:v>
                </c:pt>
                <c:pt idx="28">
                  <c:v>3.4458993797381154E-2</c:v>
                </c:pt>
                <c:pt idx="29">
                  <c:v>2.1857923497267784E-2</c:v>
                </c:pt>
                <c:pt idx="30">
                  <c:v>7.3924731182795078E-3</c:v>
                </c:pt>
              </c:numCache>
            </c:numRef>
          </c:val>
          <c:smooth val="0"/>
          <c:extLst>
            <c:ext xmlns:c16="http://schemas.microsoft.com/office/drawing/2014/chart" uri="{C3380CC4-5D6E-409C-BE32-E72D297353CC}">
              <c16:uniqueId val="{00000001-A53D-45FB-9B7A-3E8786BE838E}"/>
            </c:ext>
          </c:extLst>
        </c:ser>
        <c:ser>
          <c:idx val="2"/>
          <c:order val="2"/>
          <c:tx>
            <c:strRef>
              <c:f>Mēneši!$B$13</c:f>
              <c:strCache>
                <c:ptCount val="1"/>
                <c:pt idx="0">
                  <c:v>Strādnieku darba samaksa</c:v>
                </c:pt>
              </c:strCache>
            </c:strRef>
          </c:tx>
          <c:spPr>
            <a:ln w="28575" cap="rnd">
              <a:solidFill>
                <a:schemeClr val="accent2">
                  <a:lumMod val="75000"/>
                </a:schemeClr>
              </a:solidFill>
              <a:round/>
            </a:ln>
            <a:effectLst/>
          </c:spPr>
          <c:marker>
            <c:symbol val="none"/>
          </c:marker>
          <c:val>
            <c:numRef>
              <c:f>Mēneši!$AY$13:$CC$13</c:f>
              <c:numCache>
                <c:formatCode>0.0%</c:formatCode>
                <c:ptCount val="31"/>
                <c:pt idx="0">
                  <c:v>4.4528301886792576E-2</c:v>
                </c:pt>
                <c:pt idx="1">
                  <c:v>3.1437125748503103E-2</c:v>
                </c:pt>
                <c:pt idx="2">
                  <c:v>3.1555221637866504E-2</c:v>
                </c:pt>
                <c:pt idx="3">
                  <c:v>3.9317507418397568E-2</c:v>
                </c:pt>
                <c:pt idx="4">
                  <c:v>3.4381858083394334E-2</c:v>
                </c:pt>
                <c:pt idx="5">
                  <c:v>4.0058266569555689E-2</c:v>
                </c:pt>
                <c:pt idx="6">
                  <c:v>4.3827611395178989E-2</c:v>
                </c:pt>
                <c:pt idx="7">
                  <c:v>3.6770007209805611E-2</c:v>
                </c:pt>
                <c:pt idx="8">
                  <c:v>4.9275362318840665E-2</c:v>
                </c:pt>
                <c:pt idx="9">
                  <c:v>4.5553145336225453E-2</c:v>
                </c:pt>
                <c:pt idx="10">
                  <c:v>4.25685425685427E-2</c:v>
                </c:pt>
                <c:pt idx="11">
                  <c:v>4.6628407460545196E-2</c:v>
                </c:pt>
                <c:pt idx="12">
                  <c:v>5.9248554913294615E-2</c:v>
                </c:pt>
                <c:pt idx="13">
                  <c:v>7.5471698113207308E-2</c:v>
                </c:pt>
                <c:pt idx="14">
                  <c:v>8.8856518572469012E-2</c:v>
                </c:pt>
                <c:pt idx="15">
                  <c:v>8.9935760171306223E-2</c:v>
                </c:pt>
                <c:pt idx="16">
                  <c:v>9.1937765205091893E-2</c:v>
                </c:pt>
                <c:pt idx="17">
                  <c:v>9.5238095238095122E-2</c:v>
                </c:pt>
                <c:pt idx="18">
                  <c:v>0.10426871938418469</c:v>
                </c:pt>
                <c:pt idx="19">
                  <c:v>0.10013908205841426</c:v>
                </c:pt>
                <c:pt idx="20">
                  <c:v>9.8756906077347884E-2</c:v>
                </c:pt>
                <c:pt idx="21">
                  <c:v>0.1044260027662518</c:v>
                </c:pt>
                <c:pt idx="22">
                  <c:v>0.10449826989619382</c:v>
                </c:pt>
                <c:pt idx="23">
                  <c:v>0.10349554489376289</c:v>
                </c:pt>
                <c:pt idx="24">
                  <c:v>0.10436562073669853</c:v>
                </c:pt>
                <c:pt idx="25">
                  <c:v>9.7840755735492557E-2</c:v>
                </c:pt>
                <c:pt idx="26">
                  <c:v>9.0969899665551912E-2</c:v>
                </c:pt>
                <c:pt idx="27">
                  <c:v>8.5789129011133003E-2</c:v>
                </c:pt>
                <c:pt idx="28">
                  <c:v>7.9663212435233E-2</c:v>
                </c:pt>
                <c:pt idx="29">
                  <c:v>6.7135549872122668E-2</c:v>
                </c:pt>
                <c:pt idx="30">
                  <c:v>6.8441064638783189E-2</c:v>
                </c:pt>
              </c:numCache>
            </c:numRef>
          </c:val>
          <c:smooth val="0"/>
          <c:extLst>
            <c:ext xmlns:c16="http://schemas.microsoft.com/office/drawing/2014/chart" uri="{C3380CC4-5D6E-409C-BE32-E72D297353CC}">
              <c16:uniqueId val="{00000002-A53D-45FB-9B7A-3E8786BE838E}"/>
            </c:ext>
          </c:extLst>
        </c:ser>
        <c:ser>
          <c:idx val="3"/>
          <c:order val="3"/>
          <c:tx>
            <c:strRef>
              <c:f>Mēneši!$B$14</c:f>
              <c:strCache>
                <c:ptCount val="1"/>
                <c:pt idx="0">
                  <c:v>Mašīnas un mehānismi</c:v>
                </c:pt>
              </c:strCache>
            </c:strRef>
          </c:tx>
          <c:spPr>
            <a:ln w="28575" cap="rnd">
              <a:solidFill>
                <a:schemeClr val="accent6">
                  <a:lumMod val="75000"/>
                </a:schemeClr>
              </a:solidFill>
              <a:round/>
            </a:ln>
            <a:effectLst/>
          </c:spPr>
          <c:marker>
            <c:symbol val="none"/>
          </c:marker>
          <c:val>
            <c:numRef>
              <c:f>Mēneši!$AY$14:$CC$14</c:f>
              <c:numCache>
                <c:formatCode>0.0%</c:formatCode>
                <c:ptCount val="31"/>
                <c:pt idx="0">
                  <c:v>5.5248618784531356E-3</c:v>
                </c:pt>
                <c:pt idx="1">
                  <c:v>8.3025830258300903E-3</c:v>
                </c:pt>
                <c:pt idx="2">
                  <c:v>1.8518518518518601E-2</c:v>
                </c:pt>
                <c:pt idx="3">
                  <c:v>2.8677150786309058E-2</c:v>
                </c:pt>
                <c:pt idx="4">
                  <c:v>3.512014787430684E-2</c:v>
                </c:pt>
                <c:pt idx="5">
                  <c:v>3.8781163434903121E-2</c:v>
                </c:pt>
                <c:pt idx="6">
                  <c:v>4.3317972350230383E-2</c:v>
                </c:pt>
                <c:pt idx="7">
                  <c:v>4.9632352941176627E-2</c:v>
                </c:pt>
                <c:pt idx="8">
                  <c:v>6.1637534498619972E-2</c:v>
                </c:pt>
                <c:pt idx="9">
                  <c:v>6.4338235294117752E-2</c:v>
                </c:pt>
                <c:pt idx="10">
                  <c:v>6.7889908256880682E-2</c:v>
                </c:pt>
                <c:pt idx="11">
                  <c:v>7.3193046660567251E-2</c:v>
                </c:pt>
                <c:pt idx="12">
                  <c:v>9.6153846153846256E-2</c:v>
                </c:pt>
                <c:pt idx="13">
                  <c:v>0.13266239707227823</c:v>
                </c:pt>
                <c:pt idx="14">
                  <c:v>0.15363636363636379</c:v>
                </c:pt>
                <c:pt idx="15">
                  <c:v>0.17086330935251781</c:v>
                </c:pt>
                <c:pt idx="16">
                  <c:v>0.1785714285714286</c:v>
                </c:pt>
                <c:pt idx="17">
                  <c:v>0.18399999999999994</c:v>
                </c:pt>
                <c:pt idx="18">
                  <c:v>0.18639575971731448</c:v>
                </c:pt>
                <c:pt idx="19">
                  <c:v>0.18126094570928197</c:v>
                </c:pt>
                <c:pt idx="20">
                  <c:v>0.17590987868284214</c:v>
                </c:pt>
                <c:pt idx="21">
                  <c:v>0.18393782383419688</c:v>
                </c:pt>
                <c:pt idx="22">
                  <c:v>0.18213058419243966</c:v>
                </c:pt>
                <c:pt idx="23">
                  <c:v>0.17476555839727204</c:v>
                </c:pt>
                <c:pt idx="24">
                  <c:v>0.16040100250626566</c:v>
                </c:pt>
                <c:pt idx="25">
                  <c:v>0.12600969305331189</c:v>
                </c:pt>
                <c:pt idx="26">
                  <c:v>0.10007880220646159</c:v>
                </c:pt>
                <c:pt idx="27">
                  <c:v>7.9109062980030842E-2</c:v>
                </c:pt>
                <c:pt idx="28">
                  <c:v>6.8181818181818121E-2</c:v>
                </c:pt>
                <c:pt idx="29">
                  <c:v>5.780780780780792E-2</c:v>
                </c:pt>
                <c:pt idx="30">
                  <c:v>5.2866716306775752E-2</c:v>
                </c:pt>
              </c:numCache>
            </c:numRef>
          </c:val>
          <c:smooth val="0"/>
          <c:extLst>
            <c:ext xmlns:c16="http://schemas.microsoft.com/office/drawing/2014/chart" uri="{C3380CC4-5D6E-409C-BE32-E72D297353CC}">
              <c16:uniqueId val="{00000003-A53D-45FB-9B7A-3E8786BE838E}"/>
            </c:ext>
          </c:extLst>
        </c:ser>
        <c:dLbls>
          <c:showLegendKey val="0"/>
          <c:showVal val="0"/>
          <c:showCatName val="0"/>
          <c:showSerName val="0"/>
          <c:showPercent val="0"/>
          <c:showBubbleSize val="0"/>
        </c:dLbls>
        <c:marker val="1"/>
        <c:smooth val="0"/>
        <c:axId val="993400208"/>
        <c:axId val="993598960"/>
      </c:lineChart>
      <c:catAx>
        <c:axId val="9934002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993598960"/>
        <c:crosses val="autoZero"/>
        <c:auto val="1"/>
        <c:lblAlgn val="ctr"/>
        <c:lblOffset val="100"/>
        <c:noMultiLvlLbl val="0"/>
      </c:catAx>
      <c:valAx>
        <c:axId val="9935989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993400208"/>
        <c:crosses val="autoZero"/>
        <c:crossBetween val="between"/>
      </c:valAx>
      <c:spPr>
        <a:noFill/>
        <a:ln>
          <a:noFill/>
        </a:ln>
        <a:effectLst/>
      </c:spPr>
    </c:plotArea>
    <c:legend>
      <c:legendPos val="b"/>
      <c:layout>
        <c:manualLayout>
          <c:xMode val="edge"/>
          <c:yMode val="edge"/>
          <c:x val="4.9642004773269698E-3"/>
          <c:y val="0.88436763201210022"/>
          <c:w val="0.98768496420047736"/>
          <c:h val="0.102283276642925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427947921149876E-2"/>
          <c:y val="6.3842135809634354E-2"/>
          <c:w val="0.89608517512243313"/>
          <c:h val="0.47457419534688172"/>
        </c:manualLayout>
      </c:layout>
      <c:barChart>
        <c:barDir val="col"/>
        <c:grouping val="stacked"/>
        <c:varyColors val="0"/>
        <c:ser>
          <c:idx val="0"/>
          <c:order val="0"/>
          <c:tx>
            <c:strRef>
              <c:f>BUE011c1!$B$4</c:f>
              <c:strCache>
                <c:ptCount val="1"/>
                <c:pt idx="0">
                  <c:v>Viena dzīvokļa/vasarnīcas</c:v>
                </c:pt>
              </c:strCache>
            </c:strRef>
          </c:tx>
          <c:spPr>
            <a:pattFill prst="dkUpDiag">
              <a:fgClr>
                <a:srgbClr val="7030A0"/>
              </a:fgClr>
              <a:bgClr>
                <a:schemeClr val="bg1"/>
              </a:bgClr>
            </a:patt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BUE011c1!$C$4:$L$4</c:f>
              <c:numCache>
                <c:formatCode>0.0</c:formatCode>
                <c:ptCount val="10"/>
                <c:pt idx="0">
                  <c:v>122.6</c:v>
                </c:pt>
                <c:pt idx="1">
                  <c:v>180.3</c:v>
                </c:pt>
                <c:pt idx="2">
                  <c:v>179.8</c:v>
                </c:pt>
                <c:pt idx="3">
                  <c:v>137.1</c:v>
                </c:pt>
                <c:pt idx="4">
                  <c:v>108.6</c:v>
                </c:pt>
                <c:pt idx="5">
                  <c:v>172.7</c:v>
                </c:pt>
                <c:pt idx="6">
                  <c:v>174.7</c:v>
                </c:pt>
                <c:pt idx="7">
                  <c:v>139.6</c:v>
                </c:pt>
                <c:pt idx="8">
                  <c:v>129</c:v>
                </c:pt>
                <c:pt idx="9">
                  <c:v>161</c:v>
                </c:pt>
              </c:numCache>
            </c:numRef>
          </c:val>
          <c:extLst>
            <c:ext xmlns:c16="http://schemas.microsoft.com/office/drawing/2014/chart" uri="{C3380CC4-5D6E-409C-BE32-E72D297353CC}">
              <c16:uniqueId val="{00000000-FA8E-449E-B5B4-C2F9987313FB}"/>
            </c:ext>
          </c:extLst>
        </c:ser>
        <c:ser>
          <c:idx val="3"/>
          <c:order val="1"/>
          <c:tx>
            <c:strRef>
              <c:f>BUE011c1!$B$5</c:f>
              <c:strCache>
                <c:ptCount val="1"/>
                <c:pt idx="0">
                  <c:v>Vairāku dzīvokļu</c:v>
                </c:pt>
              </c:strCache>
            </c:strRef>
          </c:tx>
          <c:spPr>
            <a:solidFill>
              <a:srgbClr val="0070C0"/>
            </a:solid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BUE011c1!$C$5:$L$5</c:f>
              <c:numCache>
                <c:formatCode>0.0</c:formatCode>
                <c:ptCount val="10"/>
                <c:pt idx="0">
                  <c:v>45.3</c:v>
                </c:pt>
                <c:pt idx="1">
                  <c:v>60.3</c:v>
                </c:pt>
                <c:pt idx="2">
                  <c:v>68.3</c:v>
                </c:pt>
                <c:pt idx="3">
                  <c:v>103.1</c:v>
                </c:pt>
                <c:pt idx="4">
                  <c:v>113.6</c:v>
                </c:pt>
                <c:pt idx="5">
                  <c:v>61.5</c:v>
                </c:pt>
                <c:pt idx="6">
                  <c:v>63.1</c:v>
                </c:pt>
                <c:pt idx="7">
                  <c:v>53.6</c:v>
                </c:pt>
                <c:pt idx="8">
                  <c:v>41.2</c:v>
                </c:pt>
                <c:pt idx="9">
                  <c:v>80.5</c:v>
                </c:pt>
              </c:numCache>
            </c:numRef>
          </c:val>
          <c:extLst>
            <c:ext xmlns:c16="http://schemas.microsoft.com/office/drawing/2014/chart" uri="{C3380CC4-5D6E-409C-BE32-E72D297353CC}">
              <c16:uniqueId val="{00000001-FA8E-449E-B5B4-C2F9987313FB}"/>
            </c:ext>
          </c:extLst>
        </c:ser>
        <c:ser>
          <c:idx val="4"/>
          <c:order val="2"/>
          <c:tx>
            <c:strRef>
              <c:f>BUE011c1!$B$6</c:f>
              <c:strCache>
                <c:ptCount val="1"/>
                <c:pt idx="0">
                  <c:v>Sociālās ēkas</c:v>
                </c:pt>
              </c:strCache>
            </c:strRef>
          </c:tx>
          <c:spPr>
            <a:solidFill>
              <a:sysClr val="windowText" lastClr="000000">
                <a:lumMod val="95000"/>
                <a:lumOff val="5000"/>
              </a:sysClr>
            </a:solid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BUE011c1!$C$6:$L$6</c:f>
              <c:numCache>
                <c:formatCode>0.0</c:formatCode>
                <c:ptCount val="10"/>
                <c:pt idx="0">
                  <c:v>7.4</c:v>
                </c:pt>
                <c:pt idx="1">
                  <c:v>6.1</c:v>
                </c:pt>
                <c:pt idx="2">
                  <c:v>9.3000000000000007</c:v>
                </c:pt>
                <c:pt idx="3">
                  <c:v>4.5999999999999996</c:v>
                </c:pt>
                <c:pt idx="4">
                  <c:v>18.100000000000001</c:v>
                </c:pt>
                <c:pt idx="5">
                  <c:v>6.6</c:v>
                </c:pt>
                <c:pt idx="6">
                  <c:v>0.5</c:v>
                </c:pt>
                <c:pt idx="7">
                  <c:v>2.2999999999999998</c:v>
                </c:pt>
                <c:pt idx="8">
                  <c:v>2.6</c:v>
                </c:pt>
                <c:pt idx="9">
                  <c:v>3.9</c:v>
                </c:pt>
              </c:numCache>
            </c:numRef>
          </c:val>
          <c:extLst>
            <c:ext xmlns:c16="http://schemas.microsoft.com/office/drawing/2014/chart" uri="{C3380CC4-5D6E-409C-BE32-E72D297353CC}">
              <c16:uniqueId val="{00000002-FA8E-449E-B5B4-C2F9987313FB}"/>
            </c:ext>
          </c:extLst>
        </c:ser>
        <c:ser>
          <c:idx val="5"/>
          <c:order val="3"/>
          <c:tx>
            <c:strRef>
              <c:f>BUE011c1!$B$7</c:f>
              <c:strCache>
                <c:ptCount val="1"/>
                <c:pt idx="0">
                  <c:v>Viesnīcas</c:v>
                </c:pt>
              </c:strCache>
            </c:strRef>
          </c:tx>
          <c:spPr>
            <a:solidFill>
              <a:srgbClr val="FFC000"/>
            </a:solid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BUE011c1!$C$7:$L$7</c:f>
              <c:numCache>
                <c:formatCode>0.0</c:formatCode>
                <c:ptCount val="10"/>
                <c:pt idx="0">
                  <c:v>23.6</c:v>
                </c:pt>
                <c:pt idx="1">
                  <c:v>7.3</c:v>
                </c:pt>
                <c:pt idx="2">
                  <c:v>24.9</c:v>
                </c:pt>
                <c:pt idx="3">
                  <c:v>21.2</c:v>
                </c:pt>
                <c:pt idx="4">
                  <c:v>19.2</c:v>
                </c:pt>
                <c:pt idx="5">
                  <c:v>19.2</c:v>
                </c:pt>
                <c:pt idx="6">
                  <c:v>6</c:v>
                </c:pt>
                <c:pt idx="7">
                  <c:v>9.9</c:v>
                </c:pt>
                <c:pt idx="8">
                  <c:v>12</c:v>
                </c:pt>
                <c:pt idx="9">
                  <c:v>9.3000000000000007</c:v>
                </c:pt>
              </c:numCache>
            </c:numRef>
          </c:val>
          <c:extLst>
            <c:ext xmlns:c16="http://schemas.microsoft.com/office/drawing/2014/chart" uri="{C3380CC4-5D6E-409C-BE32-E72D297353CC}">
              <c16:uniqueId val="{00000003-FA8E-449E-B5B4-C2F9987313FB}"/>
            </c:ext>
          </c:extLst>
        </c:ser>
        <c:ser>
          <c:idx val="6"/>
          <c:order val="4"/>
          <c:tx>
            <c:strRef>
              <c:f>BUE011c1!$B$8</c:f>
              <c:strCache>
                <c:ptCount val="1"/>
                <c:pt idx="0">
                  <c:v>Biroju</c:v>
                </c:pt>
              </c:strCache>
            </c:strRef>
          </c:tx>
          <c:spPr>
            <a:solidFill>
              <a:srgbClr val="FF0000"/>
            </a:solid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BUE011c1!$C$8:$L$8</c:f>
              <c:numCache>
                <c:formatCode>0.0</c:formatCode>
                <c:ptCount val="10"/>
                <c:pt idx="0">
                  <c:v>6.5</c:v>
                </c:pt>
                <c:pt idx="1">
                  <c:v>25.6</c:v>
                </c:pt>
                <c:pt idx="2">
                  <c:v>126.8</c:v>
                </c:pt>
                <c:pt idx="3">
                  <c:v>13.8</c:v>
                </c:pt>
                <c:pt idx="4">
                  <c:v>30.3</c:v>
                </c:pt>
                <c:pt idx="5">
                  <c:v>17.5</c:v>
                </c:pt>
                <c:pt idx="6">
                  <c:v>8.9</c:v>
                </c:pt>
                <c:pt idx="7">
                  <c:v>3.8</c:v>
                </c:pt>
                <c:pt idx="8">
                  <c:v>82.2</c:v>
                </c:pt>
                <c:pt idx="9">
                  <c:v>5.7</c:v>
                </c:pt>
              </c:numCache>
            </c:numRef>
          </c:val>
          <c:extLst>
            <c:ext xmlns:c16="http://schemas.microsoft.com/office/drawing/2014/chart" uri="{C3380CC4-5D6E-409C-BE32-E72D297353CC}">
              <c16:uniqueId val="{00000004-FA8E-449E-B5B4-C2F9987313FB}"/>
            </c:ext>
          </c:extLst>
        </c:ser>
        <c:ser>
          <c:idx val="7"/>
          <c:order val="5"/>
          <c:tx>
            <c:strRef>
              <c:f>BUE011c1!$B$9</c:f>
              <c:strCache>
                <c:ptCount val="1"/>
                <c:pt idx="0">
                  <c:v>Tirdzniecības</c:v>
                </c:pt>
              </c:strCache>
            </c:strRef>
          </c:tx>
          <c:spPr>
            <a:solidFill>
              <a:srgbClr val="00B050"/>
            </a:solid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BUE011c1!$C$9:$L$9</c:f>
              <c:numCache>
                <c:formatCode>0.0</c:formatCode>
                <c:ptCount val="10"/>
                <c:pt idx="0">
                  <c:v>11.3</c:v>
                </c:pt>
                <c:pt idx="1">
                  <c:v>44.6</c:v>
                </c:pt>
                <c:pt idx="2">
                  <c:v>43.2</c:v>
                </c:pt>
                <c:pt idx="3">
                  <c:v>22.2</c:v>
                </c:pt>
                <c:pt idx="4">
                  <c:v>32.1</c:v>
                </c:pt>
                <c:pt idx="5">
                  <c:v>23.1</c:v>
                </c:pt>
                <c:pt idx="6">
                  <c:v>19.2</c:v>
                </c:pt>
                <c:pt idx="7">
                  <c:v>11.6</c:v>
                </c:pt>
                <c:pt idx="8">
                  <c:v>14.8</c:v>
                </c:pt>
                <c:pt idx="9">
                  <c:v>27.3</c:v>
                </c:pt>
              </c:numCache>
            </c:numRef>
          </c:val>
          <c:extLst>
            <c:ext xmlns:c16="http://schemas.microsoft.com/office/drawing/2014/chart" uri="{C3380CC4-5D6E-409C-BE32-E72D297353CC}">
              <c16:uniqueId val="{00000005-FA8E-449E-B5B4-C2F9987313FB}"/>
            </c:ext>
          </c:extLst>
        </c:ser>
        <c:ser>
          <c:idx val="8"/>
          <c:order val="6"/>
          <c:tx>
            <c:strRef>
              <c:f>BUE011c1!$B$10</c:f>
              <c:strCache>
                <c:ptCount val="1"/>
                <c:pt idx="0">
                  <c:v>Satiksmes/sakaru</c:v>
                </c:pt>
              </c:strCache>
            </c:strRef>
          </c:tx>
          <c:spPr>
            <a:solidFill>
              <a:schemeClr val="accent3">
                <a:lumMod val="60000"/>
              </a:schemeClr>
            </a:solid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BUE011c1!$C$10:$L$10</c:f>
              <c:numCache>
                <c:formatCode>0.0</c:formatCode>
                <c:ptCount val="10"/>
                <c:pt idx="0">
                  <c:v>8</c:v>
                </c:pt>
                <c:pt idx="1">
                  <c:v>2.4</c:v>
                </c:pt>
                <c:pt idx="2">
                  <c:v>0.8</c:v>
                </c:pt>
                <c:pt idx="3">
                  <c:v>0.5</c:v>
                </c:pt>
                <c:pt idx="4">
                  <c:v>1.2</c:v>
                </c:pt>
                <c:pt idx="5">
                  <c:v>2.7</c:v>
                </c:pt>
                <c:pt idx="6">
                  <c:v>9</c:v>
                </c:pt>
                <c:pt idx="7">
                  <c:v>1.7</c:v>
                </c:pt>
                <c:pt idx="8">
                  <c:v>8.1</c:v>
                </c:pt>
                <c:pt idx="9">
                  <c:v>0.5</c:v>
                </c:pt>
              </c:numCache>
            </c:numRef>
          </c:val>
          <c:extLst>
            <c:ext xmlns:c16="http://schemas.microsoft.com/office/drawing/2014/chart" uri="{C3380CC4-5D6E-409C-BE32-E72D297353CC}">
              <c16:uniqueId val="{00000006-FA8E-449E-B5B4-C2F9987313FB}"/>
            </c:ext>
          </c:extLst>
        </c:ser>
        <c:ser>
          <c:idx val="9"/>
          <c:order val="7"/>
          <c:tx>
            <c:strRef>
              <c:f>BUE011c1!$B$11</c:f>
              <c:strCache>
                <c:ptCount val="1"/>
                <c:pt idx="0">
                  <c:v>Ražošanas</c:v>
                </c:pt>
              </c:strCache>
            </c:strRef>
          </c:tx>
          <c:spPr>
            <a:solidFill>
              <a:schemeClr val="accent4">
                <a:lumMod val="60000"/>
              </a:schemeClr>
            </a:solid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BUE011c1!$C$11:$L$11</c:f>
              <c:numCache>
                <c:formatCode>0.0</c:formatCode>
                <c:ptCount val="10"/>
                <c:pt idx="0">
                  <c:v>95.9</c:v>
                </c:pt>
                <c:pt idx="1">
                  <c:v>171.7</c:v>
                </c:pt>
                <c:pt idx="2">
                  <c:v>132.30000000000001</c:v>
                </c:pt>
                <c:pt idx="3">
                  <c:v>93.3</c:v>
                </c:pt>
                <c:pt idx="4">
                  <c:v>70.2</c:v>
                </c:pt>
                <c:pt idx="5">
                  <c:v>76.2</c:v>
                </c:pt>
                <c:pt idx="6">
                  <c:v>144.5</c:v>
                </c:pt>
                <c:pt idx="7">
                  <c:v>149.1</c:v>
                </c:pt>
                <c:pt idx="8">
                  <c:v>116.9</c:v>
                </c:pt>
                <c:pt idx="9">
                  <c:v>95.7</c:v>
                </c:pt>
              </c:numCache>
            </c:numRef>
          </c:val>
          <c:extLst>
            <c:ext xmlns:c16="http://schemas.microsoft.com/office/drawing/2014/chart" uri="{C3380CC4-5D6E-409C-BE32-E72D297353CC}">
              <c16:uniqueId val="{00000007-FA8E-449E-B5B4-C2F9987313FB}"/>
            </c:ext>
          </c:extLst>
        </c:ser>
        <c:ser>
          <c:idx val="10"/>
          <c:order val="8"/>
          <c:tx>
            <c:strRef>
              <c:f>BUE011c1!$B$12</c:f>
              <c:strCache>
                <c:ptCount val="1"/>
                <c:pt idx="0">
                  <c:v>Publiskās</c:v>
                </c:pt>
              </c:strCache>
            </c:strRef>
          </c:tx>
          <c:spPr>
            <a:pattFill prst="dkUpDiag">
              <a:fgClr>
                <a:schemeClr val="tx2">
                  <a:lumMod val="75000"/>
                </a:schemeClr>
              </a:fgClr>
              <a:bgClr>
                <a:schemeClr val="bg1"/>
              </a:bgClr>
            </a:patt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BUE011c1!$C$12:$L$12</c:f>
              <c:numCache>
                <c:formatCode>0.0</c:formatCode>
                <c:ptCount val="10"/>
                <c:pt idx="0">
                  <c:v>32.799999999999997</c:v>
                </c:pt>
                <c:pt idx="1">
                  <c:v>89.1</c:v>
                </c:pt>
                <c:pt idx="2">
                  <c:v>476.6</c:v>
                </c:pt>
                <c:pt idx="3">
                  <c:v>85.3</c:v>
                </c:pt>
                <c:pt idx="4">
                  <c:v>16.3</c:v>
                </c:pt>
                <c:pt idx="5">
                  <c:v>29.5</c:v>
                </c:pt>
                <c:pt idx="6">
                  <c:v>31</c:v>
                </c:pt>
                <c:pt idx="7">
                  <c:v>61.9</c:v>
                </c:pt>
                <c:pt idx="8">
                  <c:v>38.6</c:v>
                </c:pt>
                <c:pt idx="9">
                  <c:v>24.7</c:v>
                </c:pt>
              </c:numCache>
            </c:numRef>
          </c:val>
          <c:extLst>
            <c:ext xmlns:c16="http://schemas.microsoft.com/office/drawing/2014/chart" uri="{C3380CC4-5D6E-409C-BE32-E72D297353CC}">
              <c16:uniqueId val="{00000008-FA8E-449E-B5B4-C2F9987313FB}"/>
            </c:ext>
          </c:extLst>
        </c:ser>
        <c:ser>
          <c:idx val="11"/>
          <c:order val="9"/>
          <c:tx>
            <c:strRef>
              <c:f>BUE011c1!$B$13</c:f>
              <c:strCache>
                <c:ptCount val="1"/>
                <c:pt idx="0">
                  <c:v>Citas nedzīvojamas</c:v>
                </c:pt>
              </c:strCache>
            </c:strRef>
          </c:tx>
          <c:spPr>
            <a:solidFill>
              <a:schemeClr val="accent6">
                <a:lumMod val="60000"/>
              </a:schemeClr>
            </a:solidFill>
            <a:ln>
              <a:noFill/>
            </a:ln>
            <a:effectLst/>
          </c:spPr>
          <c:invertIfNegative val="0"/>
          <c:cat>
            <c:multiLvlStrRef>
              <c:f>BUE011c1!$C$2:$L$3</c:f>
              <c:multiLvlStrCache>
                <c:ptCount val="10"/>
                <c:lvl>
                  <c:pt idx="0">
                    <c:v>I</c:v>
                  </c:pt>
                  <c:pt idx="1">
                    <c:v>II</c:v>
                  </c:pt>
                  <c:pt idx="2">
                    <c:v>III</c:v>
                  </c:pt>
                  <c:pt idx="3">
                    <c:v>IV</c:v>
                  </c:pt>
                  <c:pt idx="4">
                    <c:v>I</c:v>
                  </c:pt>
                  <c:pt idx="5">
                    <c:v>II</c:v>
                  </c:pt>
                  <c:pt idx="6">
                    <c:v>III</c:v>
                  </c:pt>
                  <c:pt idx="7">
                    <c:v>IV</c:v>
                  </c:pt>
                  <c:pt idx="8">
                    <c:v>I</c:v>
                  </c:pt>
                  <c:pt idx="9">
                    <c:v>II</c:v>
                  </c:pt>
                </c:lvl>
                <c:lvl>
                  <c:pt idx="0">
                    <c:v>2021</c:v>
                  </c:pt>
                  <c:pt idx="4">
                    <c:v>2022</c:v>
                  </c:pt>
                  <c:pt idx="8">
                    <c:v>2023</c:v>
                  </c:pt>
                </c:lvl>
              </c:multiLvlStrCache>
            </c:multiLvlStrRef>
          </c:cat>
          <c:val>
            <c:numRef>
              <c:f>BUE011c1!$C$13:$L$13</c:f>
              <c:numCache>
                <c:formatCode>0.0</c:formatCode>
                <c:ptCount val="10"/>
                <c:pt idx="0">
                  <c:v>51</c:v>
                </c:pt>
                <c:pt idx="1">
                  <c:v>50.2</c:v>
                </c:pt>
                <c:pt idx="2">
                  <c:v>124.7</c:v>
                </c:pt>
                <c:pt idx="3">
                  <c:v>39.799999999999997</c:v>
                </c:pt>
                <c:pt idx="4">
                  <c:v>39.5</c:v>
                </c:pt>
                <c:pt idx="5">
                  <c:v>53</c:v>
                </c:pt>
                <c:pt idx="6">
                  <c:v>62.7</c:v>
                </c:pt>
                <c:pt idx="7">
                  <c:v>54.1</c:v>
                </c:pt>
                <c:pt idx="8">
                  <c:v>62.2</c:v>
                </c:pt>
                <c:pt idx="9">
                  <c:v>68.099999999999994</c:v>
                </c:pt>
              </c:numCache>
            </c:numRef>
          </c:val>
          <c:extLst>
            <c:ext xmlns:c16="http://schemas.microsoft.com/office/drawing/2014/chart" uri="{C3380CC4-5D6E-409C-BE32-E72D297353CC}">
              <c16:uniqueId val="{00000009-FA8E-449E-B5B4-C2F9987313FB}"/>
            </c:ext>
          </c:extLst>
        </c:ser>
        <c:dLbls>
          <c:showLegendKey val="0"/>
          <c:showVal val="0"/>
          <c:showCatName val="0"/>
          <c:showSerName val="0"/>
          <c:showPercent val="0"/>
          <c:showBubbleSize val="0"/>
        </c:dLbls>
        <c:gapWidth val="90"/>
        <c:overlap val="100"/>
        <c:axId val="1453079424"/>
        <c:axId val="1459409504"/>
      </c:barChart>
      <c:catAx>
        <c:axId val="1453079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459409504"/>
        <c:crosses val="autoZero"/>
        <c:auto val="1"/>
        <c:lblAlgn val="ctr"/>
        <c:lblOffset val="100"/>
        <c:noMultiLvlLbl val="0"/>
      </c:catAx>
      <c:valAx>
        <c:axId val="1459409504"/>
        <c:scaling>
          <c:orientation val="minMax"/>
          <c:max val="12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453079424"/>
        <c:crosses val="autoZero"/>
        <c:crossBetween val="between"/>
        <c:majorUnit val="200"/>
      </c:valAx>
      <c:spPr>
        <a:noFill/>
        <a:ln>
          <a:noFill/>
        </a:ln>
        <a:effectLst/>
      </c:spPr>
    </c:plotArea>
    <c:legend>
      <c:legendPos val="b"/>
      <c:layout>
        <c:manualLayout>
          <c:xMode val="edge"/>
          <c:yMode val="edge"/>
          <c:x val="8.7347918495499881E-3"/>
          <c:y val="0.73744613176980267"/>
          <c:w val="0.98253025841756436"/>
          <c:h val="0.260276664488326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withinLinearReversed" id="25">
  <a:schemeClr val="accent5"/>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withinLinear" id="18">
  <a:schemeClr val="accent5"/>
</cs:colorStyle>
</file>

<file path=word/charts/colors25.xml><?xml version="1.0" encoding="utf-8"?>
<cs:colorStyle xmlns:cs="http://schemas.microsoft.com/office/drawing/2012/chartStyle" xmlns:a="http://schemas.openxmlformats.org/drawingml/2006/main" meth="withinLinear" id="18">
  <a:schemeClr val="accent5"/>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0.00624</cdr:x>
      <cdr:y>0.93901</cdr:y>
    </cdr:from>
    <cdr:to>
      <cdr:x>0.67489</cdr:x>
      <cdr:y>1</cdr:y>
    </cdr:to>
    <cdr:sp macro="" textlink="">
      <cdr:nvSpPr>
        <cdr:cNvPr id="2" name="Text Box 1"/>
        <cdr:cNvSpPr txBox="1"/>
      </cdr:nvSpPr>
      <cdr:spPr>
        <a:xfrm xmlns:a="http://schemas.openxmlformats.org/drawingml/2006/main">
          <a:off x="31750" y="2557996"/>
          <a:ext cx="3400988" cy="166154"/>
        </a:xfrm>
        <a:prstGeom xmlns:a="http://schemas.openxmlformats.org/drawingml/2006/main" prst="rect">
          <a:avLst/>
        </a:prstGeom>
      </cdr:spPr>
      <cdr:txBody>
        <a:bodyPr xmlns:a="http://schemas.openxmlformats.org/drawingml/2006/main" wrap="none"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lv-LV" sz="800">
              <a:effectLst/>
              <a:latin typeface="Times New Roman" panose="02020603050405020304" pitchFamily="18" charset="0"/>
              <a:ea typeface="+mn-ea"/>
              <a:cs typeface="Times New Roman" panose="02020603050405020304" pitchFamily="18" charset="0"/>
            </a:rPr>
            <a:t>* Enerģijas grupā ietilpst elektroenerģija, gāze, siltumenerģija, cietais kurināmais</a:t>
          </a:r>
        </a:p>
      </cdr:txBody>
    </cdr:sp>
  </cdr:relSizeAnchor>
</c:userShapes>
</file>

<file path=word/drawings/drawing2.xml><?xml version="1.0" encoding="utf-8"?>
<c:userShapes xmlns:c="http://schemas.openxmlformats.org/drawingml/2006/chart">
  <cdr:relSizeAnchor xmlns:cdr="http://schemas.openxmlformats.org/drawingml/2006/chartDrawing">
    <cdr:from>
      <cdr:x>0.54339</cdr:x>
      <cdr:y>0.2267</cdr:y>
    </cdr:from>
    <cdr:to>
      <cdr:x>1</cdr:x>
      <cdr:y>0.30515</cdr:y>
    </cdr:to>
    <cdr:sp macro="" textlink="">
      <cdr:nvSpPr>
        <cdr:cNvPr id="2" name="TextBox 1"/>
        <cdr:cNvSpPr txBox="1"/>
      </cdr:nvSpPr>
      <cdr:spPr>
        <a:xfrm xmlns:a="http://schemas.openxmlformats.org/drawingml/2006/main">
          <a:off x="2866008" y="675292"/>
          <a:ext cx="2408302" cy="23368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lv-LV" sz="900" b="1">
              <a:latin typeface="Times New Roman" panose="02020603050405020304" pitchFamily="18" charset="0"/>
              <a:cs typeface="Times New Roman" panose="02020603050405020304" pitchFamily="18" charset="0"/>
            </a:rPr>
            <a:t>Vidēji ES27</a:t>
          </a:r>
          <a:r>
            <a:rPr lang="lv-LV" sz="900" b="1" baseline="0">
              <a:latin typeface="Times New Roman" panose="02020603050405020304" pitchFamily="18" charset="0"/>
              <a:cs typeface="Times New Roman" panose="02020603050405020304" pitchFamily="18" charset="0"/>
            </a:rPr>
            <a:t> </a:t>
          </a:r>
          <a:r>
            <a:rPr lang="lv-LV" sz="900" b="1">
              <a:latin typeface="Times New Roman" panose="02020603050405020304" pitchFamily="18" charset="0"/>
              <a:cs typeface="Times New Roman" panose="02020603050405020304" pitchFamily="18" charset="0"/>
            </a:rPr>
            <a:t>- 100</a:t>
          </a:r>
        </a:p>
      </cdr:txBody>
    </cdr:sp>
  </cdr:relSizeAnchor>
</c:userShapes>
</file>

<file path=word/drawings/drawing3.xml><?xml version="1.0" encoding="utf-8"?>
<c:userShapes xmlns:c="http://schemas.openxmlformats.org/drawingml/2006/chart">
  <cdr:relSizeAnchor xmlns:cdr="http://schemas.openxmlformats.org/drawingml/2006/chartDrawing">
    <cdr:from>
      <cdr:x>0.01414</cdr:x>
      <cdr:y>0.00597</cdr:y>
    </cdr:from>
    <cdr:to>
      <cdr:x>0.29279</cdr:x>
      <cdr:y>0.14552</cdr:y>
    </cdr:to>
    <cdr:sp macro="" textlink="">
      <cdr:nvSpPr>
        <cdr:cNvPr id="2" name="TextBox 1">
          <a:extLst xmlns:a="http://schemas.openxmlformats.org/drawingml/2006/main">
            <a:ext uri="{FF2B5EF4-FFF2-40B4-BE49-F238E27FC236}">
              <a16:creationId xmlns:a16="http://schemas.microsoft.com/office/drawing/2014/main" id="{9C37CD41-0E34-D378-E564-A808F9D18008}"/>
            </a:ext>
          </a:extLst>
        </cdr:cNvPr>
        <cdr:cNvSpPr txBox="1"/>
      </cdr:nvSpPr>
      <cdr:spPr>
        <a:xfrm xmlns:a="http://schemas.openxmlformats.org/drawingml/2006/main">
          <a:off x="74884" y="20319"/>
          <a:ext cx="1475703" cy="4749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lv-LV" sz="900" i="1">
              <a:latin typeface="Times New Roman" panose="02020603050405020304" pitchFamily="18" charset="0"/>
              <a:cs typeface="Times New Roman" panose="02020603050405020304" pitchFamily="18" charset="0"/>
            </a:rPr>
            <a:t>Preču eksporta</a:t>
          </a:r>
          <a:r>
            <a:rPr lang="lv-LV" sz="900" i="1" baseline="0">
              <a:latin typeface="Times New Roman" panose="02020603050405020304" pitchFamily="18" charset="0"/>
              <a:cs typeface="Times New Roman" panose="02020603050405020304" pitchFamily="18" charset="0"/>
            </a:rPr>
            <a:t> un importa pārmaiņas, %</a:t>
          </a:r>
          <a:endParaRPr lang="lv-LV" sz="900" i="1">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C0206B-6A7E-44A6-944B-A937BF17B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133</Pages>
  <Words>213362</Words>
  <Characters>121617</Characters>
  <Application>Microsoft Office Word</Application>
  <DocSecurity>0</DocSecurity>
  <Lines>1013</Lines>
  <Paragraphs>668</Paragraphs>
  <ScaleCrop>false</ScaleCrop>
  <HeadingPairs>
    <vt:vector size="2" baseType="variant">
      <vt:variant>
        <vt:lpstr>Title</vt:lpstr>
      </vt:variant>
      <vt:variant>
        <vt:i4>1</vt:i4>
      </vt:variant>
    </vt:vector>
  </HeadingPairs>
  <TitlesOfParts>
    <vt:vector size="1" baseType="lpstr">
      <vt:lpstr>Likumprojekta “Par valsts budžetu 2024.gadam un budžeta ietvaru 2024., 2025. un 2026. gadam” paskaidrojumu I. nodaļa</vt:lpstr>
    </vt:vector>
  </TitlesOfParts>
  <Company>Finanšu Ministrija</Company>
  <LinksUpToDate>false</LinksUpToDate>
  <CharactersWithSpaces>334311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Likumprojekta “Par valsts budžetu 2024.gadam un budžeta ietvaru 2024., 2025. un 2026. gadam” paskaidrojumu I. nodaļa</dc:title>
  <dc:subject/>
  <dc:creator>klinta.krauze@fm.gov.lv</dc:creator>
  <cp:keywords/>
  <dc:description>klinta.krauze@fm.gov.lv; 25681938</dc:description>
  <cp:lastModifiedBy>Dace Godiņa</cp:lastModifiedBy>
  <cp:revision>5</cp:revision>
  <cp:lastPrinted>2023-10-19T14:14:00Z</cp:lastPrinted>
  <dcterms:created xsi:type="dcterms:W3CDTF">2023-10-26T09:18:00Z</dcterms:created>
  <dcterms:modified xsi:type="dcterms:W3CDTF">2023-10-26T14:22:00Z</dcterms:modified>
  <cp:contentStatus/>
</cp:coreProperties>
</file>