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71241" w14:textId="77777777" w:rsidR="005D4321" w:rsidRDefault="005D4321" w:rsidP="005D4321">
      <w:pPr>
        <w:rPr>
          <w:rFonts w:eastAsia="Times New Roman"/>
        </w:rPr>
      </w:pPr>
      <w:bookmarkStart w:id="0" w:name="_MailOriginal"/>
      <w:r>
        <w:rPr>
          <w:rFonts w:eastAsia="Times New Roman"/>
          <w:b/>
          <w:bCs/>
        </w:rPr>
        <w:t>From:</w:t>
      </w:r>
      <w:r>
        <w:rPr>
          <w:rFonts w:eastAsia="Times New Roman"/>
        </w:rPr>
        <w:t xml:space="preserve"> </w:t>
      </w:r>
      <w:proofErr w:type="spellStart"/>
      <w:r>
        <w:rPr>
          <w:rFonts w:eastAsia="Times New Roman"/>
        </w:rPr>
        <w:t>Viesturs</w:t>
      </w:r>
      <w:proofErr w:type="spellEnd"/>
      <w:r>
        <w:rPr>
          <w:rFonts w:eastAsia="Times New Roman"/>
        </w:rPr>
        <w:t xml:space="preserve"> </w:t>
      </w:r>
      <w:proofErr w:type="spellStart"/>
      <w:r>
        <w:rPr>
          <w:rFonts w:eastAsia="Times New Roman"/>
        </w:rPr>
        <w:t>Blūmentāls</w:t>
      </w:r>
      <w:proofErr w:type="spellEnd"/>
      <w:r>
        <w:rPr>
          <w:rFonts w:eastAsia="Times New Roman"/>
        </w:rPr>
        <w:t xml:space="preserve"> &lt;Viesturs.Blumentals@tm.gov.lv&gt; </w:t>
      </w:r>
      <w:r>
        <w:rPr>
          <w:rFonts w:eastAsia="Times New Roman"/>
        </w:rPr>
        <w:br/>
      </w:r>
      <w:r>
        <w:rPr>
          <w:rFonts w:eastAsia="Times New Roman"/>
          <w:b/>
          <w:bCs/>
        </w:rPr>
        <w:t>Sent:</w:t>
      </w:r>
      <w:r>
        <w:rPr>
          <w:rFonts w:eastAsia="Times New Roman"/>
        </w:rPr>
        <w:t xml:space="preserve"> Tuesday, September 28, </w:t>
      </w:r>
      <w:proofErr w:type="gramStart"/>
      <w:r>
        <w:rPr>
          <w:rFonts w:eastAsia="Times New Roman"/>
        </w:rPr>
        <w:t>2021</w:t>
      </w:r>
      <w:proofErr w:type="gramEnd"/>
      <w:r>
        <w:rPr>
          <w:rFonts w:eastAsia="Times New Roman"/>
        </w:rPr>
        <w:t xml:space="preserve"> 10:00 AM</w:t>
      </w:r>
      <w:r>
        <w:rPr>
          <w:rFonts w:eastAsia="Times New Roman"/>
        </w:rPr>
        <w:br/>
      </w:r>
      <w:r>
        <w:rPr>
          <w:rFonts w:eastAsia="Times New Roman"/>
          <w:b/>
          <w:bCs/>
        </w:rPr>
        <w:t>To:</w:t>
      </w:r>
      <w:r>
        <w:rPr>
          <w:rFonts w:eastAsia="Times New Roman"/>
        </w:rPr>
        <w:t xml:space="preserve"> Satiksmes ministrija &lt;satiksmes.ministrija@sam.gov.lv&gt;</w:t>
      </w:r>
      <w:r>
        <w:rPr>
          <w:rFonts w:eastAsia="Times New Roman"/>
        </w:rPr>
        <w:br/>
      </w:r>
      <w:r>
        <w:rPr>
          <w:rFonts w:eastAsia="Times New Roman"/>
          <w:b/>
          <w:bCs/>
        </w:rPr>
        <w:t>Cc:</w:t>
      </w:r>
      <w:r>
        <w:rPr>
          <w:rFonts w:eastAsia="Times New Roman"/>
        </w:rPr>
        <w:t xml:space="preserve"> Sintija Ziedone &lt;Sintija.Ziedone@sam.gov.lv&gt;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konceptuālā</w:t>
      </w:r>
      <w:proofErr w:type="spellEnd"/>
      <w:r>
        <w:rPr>
          <w:rFonts w:eastAsia="Times New Roman"/>
        </w:rPr>
        <w:t xml:space="preserve"> </w:t>
      </w:r>
      <w:proofErr w:type="spellStart"/>
      <w:r>
        <w:rPr>
          <w:rFonts w:eastAsia="Times New Roman"/>
        </w:rPr>
        <w:t>ziņojuma</w:t>
      </w:r>
      <w:proofErr w:type="spellEnd"/>
      <w:r>
        <w:rPr>
          <w:rFonts w:eastAsia="Times New Roman"/>
        </w:rPr>
        <w:t xml:space="preserve"> "Par </w:t>
      </w:r>
      <w:proofErr w:type="spellStart"/>
      <w:r>
        <w:rPr>
          <w:rFonts w:eastAsia="Times New Roman"/>
        </w:rPr>
        <w:t>elektroniskā</w:t>
      </w:r>
      <w:proofErr w:type="spellEnd"/>
      <w:r>
        <w:rPr>
          <w:rFonts w:eastAsia="Times New Roman"/>
        </w:rPr>
        <w:t xml:space="preserve"> </w:t>
      </w:r>
      <w:proofErr w:type="spellStart"/>
      <w:r>
        <w:rPr>
          <w:rFonts w:eastAsia="Times New Roman"/>
        </w:rPr>
        <w:t>kravas</w:t>
      </w:r>
      <w:proofErr w:type="spellEnd"/>
      <w:r>
        <w:rPr>
          <w:rFonts w:eastAsia="Times New Roman"/>
        </w:rPr>
        <w:t xml:space="preserve"> </w:t>
      </w:r>
      <w:proofErr w:type="spellStart"/>
      <w:r>
        <w:rPr>
          <w:rFonts w:eastAsia="Times New Roman"/>
        </w:rPr>
        <w:t>starptautiskā</w:t>
      </w:r>
      <w:proofErr w:type="spellEnd"/>
      <w:r>
        <w:rPr>
          <w:rFonts w:eastAsia="Times New Roman"/>
        </w:rPr>
        <w:t xml:space="preserve"> </w:t>
      </w:r>
      <w:proofErr w:type="spellStart"/>
      <w:r>
        <w:rPr>
          <w:rFonts w:eastAsia="Times New Roman"/>
        </w:rPr>
        <w:t>autopārvadājumu</w:t>
      </w:r>
      <w:proofErr w:type="spellEnd"/>
      <w:r>
        <w:rPr>
          <w:rFonts w:eastAsia="Times New Roman"/>
        </w:rPr>
        <w:t xml:space="preserve"> </w:t>
      </w:r>
      <w:proofErr w:type="spellStart"/>
      <w:r>
        <w:rPr>
          <w:rFonts w:eastAsia="Times New Roman"/>
        </w:rPr>
        <w:t>līguma</w:t>
      </w:r>
      <w:proofErr w:type="spellEnd"/>
      <w:r>
        <w:rPr>
          <w:rFonts w:eastAsia="Times New Roman"/>
        </w:rPr>
        <w:t xml:space="preserve"> (e-CMR </w:t>
      </w:r>
      <w:proofErr w:type="spellStart"/>
      <w:r>
        <w:rPr>
          <w:rFonts w:eastAsia="Times New Roman"/>
        </w:rPr>
        <w:t>pavadzīmes</w:t>
      </w:r>
      <w:proofErr w:type="spellEnd"/>
      <w:r>
        <w:rPr>
          <w:rFonts w:eastAsia="Times New Roman"/>
        </w:rPr>
        <w:t xml:space="preserve">) </w:t>
      </w:r>
      <w:proofErr w:type="spellStart"/>
      <w:r>
        <w:rPr>
          <w:rFonts w:eastAsia="Times New Roman"/>
        </w:rPr>
        <w:t>ieviešanas</w:t>
      </w:r>
      <w:proofErr w:type="spellEnd"/>
      <w:r>
        <w:rPr>
          <w:rFonts w:eastAsia="Times New Roman"/>
        </w:rPr>
        <w:t xml:space="preserve"> </w:t>
      </w:r>
      <w:proofErr w:type="spellStart"/>
      <w:r>
        <w:rPr>
          <w:rFonts w:eastAsia="Times New Roman"/>
        </w:rPr>
        <w:t>nepieciešamību</w:t>
      </w:r>
      <w:proofErr w:type="spellEnd"/>
      <w:r>
        <w:rPr>
          <w:rFonts w:eastAsia="Times New Roman"/>
        </w:rPr>
        <w:t xml:space="preserve"> </w:t>
      </w:r>
      <w:proofErr w:type="spellStart"/>
      <w:r>
        <w:rPr>
          <w:rFonts w:eastAsia="Times New Roman"/>
        </w:rPr>
        <w:t>Latvijā</w:t>
      </w:r>
      <w:proofErr w:type="spellEnd"/>
      <w:r>
        <w:rPr>
          <w:rFonts w:eastAsia="Times New Roman"/>
        </w:rPr>
        <w:t xml:space="preserve">”” </w:t>
      </w:r>
      <w:proofErr w:type="spellStart"/>
      <w:r>
        <w:rPr>
          <w:rFonts w:eastAsia="Times New Roman"/>
        </w:rPr>
        <w:t>projektu</w:t>
      </w:r>
      <w:proofErr w:type="spellEnd"/>
    </w:p>
    <w:p w14:paraId="6743FB3D" w14:textId="77777777" w:rsidR="005D4321" w:rsidRDefault="005D4321" w:rsidP="005D4321"/>
    <w:p w14:paraId="360A32C6" w14:textId="77777777" w:rsidR="005D4321" w:rsidRDefault="005D4321" w:rsidP="005D4321">
      <w:pPr>
        <w:jc w:val="both"/>
        <w:rPr>
          <w:lang w:val="lv-LV"/>
        </w:rPr>
      </w:pPr>
      <w:r>
        <w:rPr>
          <w:lang w:val="lv-LV"/>
        </w:rPr>
        <w:t>Labdien,</w:t>
      </w:r>
    </w:p>
    <w:p w14:paraId="404A97B8" w14:textId="77777777" w:rsidR="005D4321" w:rsidRDefault="005D4321" w:rsidP="005D4321">
      <w:pPr>
        <w:jc w:val="both"/>
        <w:rPr>
          <w:lang w:val="lv-LV"/>
        </w:rPr>
      </w:pPr>
    </w:p>
    <w:p w14:paraId="08AB33C1" w14:textId="77777777" w:rsidR="005D4321" w:rsidRDefault="005D4321" w:rsidP="005D4321">
      <w:pPr>
        <w:jc w:val="both"/>
        <w:rPr>
          <w:lang w:val="lv-LV"/>
        </w:rPr>
      </w:pPr>
      <w:r>
        <w:rPr>
          <w:lang w:val="lv-LV"/>
        </w:rPr>
        <w:t>Tieslietu ministrija ir izskatījusi Satiksmes ministrijas izstrādāto precizēto konceptuālā ziņojuma projektu “Konceptuālais ziņojums "Par elektroniskā kravas starptautiskā autopārvadājumu līguma (e-CMR pavadzīmes) ieviešanas nepieciešamību Latvijā”” (turpmāk – ziņojuma projekts) un saistītos dokumentus un atbalsta to virzību, izsakot šādu iebildumu:</w:t>
      </w:r>
    </w:p>
    <w:p w14:paraId="2AED38A6" w14:textId="77777777" w:rsidR="005D4321" w:rsidRDefault="005D4321" w:rsidP="005D4321">
      <w:pPr>
        <w:jc w:val="both"/>
        <w:rPr>
          <w:lang w:val="lv-LV"/>
        </w:rPr>
      </w:pPr>
      <w:r>
        <w:rPr>
          <w:lang w:val="lv-LV"/>
        </w:rPr>
        <w:t xml:space="preserve">Uzturam izziņas 2. punktā ietverto iebildumu attiecībā uz to, vai, ieviešot elektroniskā kravas starptautiskā autopārvadājumu līgumu (e-CMR pavadzīmes), līdztekus e-CMR pavadzīmēm paredzēta iespēja pavadzīmes noformēt arī </w:t>
      </w:r>
      <w:proofErr w:type="spellStart"/>
      <w:r>
        <w:rPr>
          <w:lang w:val="lv-LV"/>
        </w:rPr>
        <w:t>rakstveidā</w:t>
      </w:r>
      <w:proofErr w:type="spellEnd"/>
      <w:r>
        <w:rPr>
          <w:lang w:val="lv-LV"/>
        </w:rPr>
        <w:t xml:space="preserve"> (ziņojuma projektā norādīts uz pārejas perioda paredzēšanu pārejai uz elektronisko kravas pavadzīmju noformēšanu). Atkārtoti lūdzam, ja paredzēts, ka rakstveida pavadzīmes pēc pārejas perioda vairs nebūs iespējams noformēt </w:t>
      </w:r>
      <w:proofErr w:type="spellStart"/>
      <w:r>
        <w:rPr>
          <w:lang w:val="lv-LV"/>
        </w:rPr>
        <w:t>rakstveidā</w:t>
      </w:r>
      <w:proofErr w:type="spellEnd"/>
      <w:r>
        <w:rPr>
          <w:lang w:val="lv-LV"/>
        </w:rPr>
        <w:t>, lūdzam to atspoguļot arī ziņojuma projektam pievienotajā Ministru kabineta rīkojuma projektā, vienlaikus ziņojumā sniedzot izvērstu un pamatotu skaidrojumu, tai skaitā konkrētus argumentus, kādēļ šādu ierobežojumu paredzēts noteikt, un par attiecīgā ierobežojuma atbilstību 1956. gada 19. maija Konvencijai par kravu starptautisko pārvadājumu līgumu (CMR), kā arī ziņojuma projektā minētā attiecīgā pārejas perioda pamatotību un samērīgumu. Alternatīvi lūdzam svītrot ziņojuma projektā ietverto norādi par pārejas periodu.</w:t>
      </w:r>
    </w:p>
    <w:p w14:paraId="69A3015C" w14:textId="77777777" w:rsidR="005D4321" w:rsidRDefault="005D4321" w:rsidP="005D4321">
      <w:pPr>
        <w:rPr>
          <w:lang w:val="lv-LV"/>
        </w:rPr>
      </w:pPr>
    </w:p>
    <w:p w14:paraId="2D780415" w14:textId="77777777" w:rsidR="005D4321" w:rsidRDefault="005D4321" w:rsidP="005D4321">
      <w:pPr>
        <w:rPr>
          <w:lang w:val="lv-LV"/>
        </w:rPr>
      </w:pPr>
    </w:p>
    <w:p w14:paraId="7041756A" w14:textId="740AA85F" w:rsidR="005D4321" w:rsidRDefault="005D4321" w:rsidP="005D4321">
      <w:pPr>
        <w:rPr>
          <w:lang w:val="lv-LV" w:eastAsia="lv-LV"/>
        </w:rPr>
      </w:pPr>
      <w:r>
        <w:rPr>
          <w:noProof/>
          <w:lang w:val="lv-LV" w:eastAsia="lv-LV"/>
        </w:rPr>
        <w:drawing>
          <wp:inline distT="0" distB="0" distL="0" distR="0" wp14:anchorId="6EE9282C" wp14:editId="5C20DEA8">
            <wp:extent cx="5276850" cy="26955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14:paraId="1A4250E8" w14:textId="77777777" w:rsidR="005D4321" w:rsidRDefault="005D4321" w:rsidP="005D4321">
      <w:pPr>
        <w:rPr>
          <w:lang w:val="lv-LV"/>
        </w:rPr>
      </w:pPr>
    </w:p>
    <w:p w14:paraId="7D268F3F" w14:textId="77777777" w:rsidR="005D4321" w:rsidRDefault="005D4321" w:rsidP="005D4321">
      <w:pPr>
        <w:rPr>
          <w:rFonts w:eastAsia="Times New Roman"/>
          <w:lang w:val="lv-LV"/>
        </w:rPr>
      </w:pPr>
    </w:p>
    <w:p w14:paraId="4B526237" w14:textId="77777777" w:rsidR="005D4321" w:rsidRDefault="005D4321" w:rsidP="005D4321">
      <w:pPr>
        <w:rPr>
          <w:rFonts w:ascii="Arial" w:eastAsia="Times New Roman" w:hAnsi="Arial" w:cs="Arial"/>
          <w:b/>
          <w:bCs/>
          <w:i/>
          <w:iCs/>
          <w:color w:val="002060"/>
          <w:lang w:val="lv-LV"/>
        </w:rPr>
      </w:pPr>
      <w:r>
        <w:rPr>
          <w:rFonts w:ascii="Arial" w:eastAsia="Times New Roman" w:hAnsi="Arial" w:cs="Arial"/>
          <w:b/>
          <w:bCs/>
          <w:i/>
          <w:iCs/>
          <w:color w:val="002060"/>
          <w:lang w:val="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w:t>
      </w:r>
      <w:r>
        <w:rPr>
          <w:rFonts w:ascii="Arial" w:eastAsia="Times New Roman" w:hAnsi="Arial" w:cs="Arial"/>
          <w:b/>
          <w:bCs/>
          <w:i/>
          <w:iCs/>
          <w:color w:val="002060"/>
          <w:lang w:val="lv-LV"/>
        </w:rPr>
        <w:lastRenderedPageBreak/>
        <w:t>personu datu, apstrādei, Jums nav tiesību izmantot vai pārsūtīt šajā e-pastā un tam pievienotajos dokumentos ietverto informāciju. Šādā gadījumā nekavējoties neatgriezeniski izdzēsiet šo e-pastu.</w:t>
      </w:r>
      <w:bookmarkEnd w:id="0"/>
    </w:p>
    <w:p w14:paraId="7C4F0EA9" w14:textId="77777777" w:rsidR="00DF0831" w:rsidRDefault="00DF0831"/>
    <w:sectPr w:rsidR="00DF083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21"/>
    <w:rsid w:val="005D4321"/>
    <w:rsid w:val="00DF0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68FD"/>
  <w15:chartTrackingRefBased/>
  <w15:docId w15:val="{546E47D8-892C-48C1-B3F4-B359FDB8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321"/>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92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2022-04-27T08:12:00Z</dcterms:created>
  <dcterms:modified xsi:type="dcterms:W3CDTF">2022-04-27T08:13:00Z</dcterms:modified>
</cp:coreProperties>
</file>