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kuras noteikumu projekta normas ir ieviestas atbilstoši attiecīgo Eiropas Savienības tiesību aktu normām. Ņemot vērā minēto, Tieslietu ministrija varēs sniegt precīzu izvērtējumu par noteikumu projekta atbilstību minētajiem Eiropas Savienības tiesību aktiem pēc anotācijas precizēšanas, aizpildot anotācijas 5. sadaļu, jo īpaši tās 5.4.1.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EM vērš uzmanību, ka 5.sadaļu aizpilda, ja tiek pārņemtas direktīvas prasības. Regulu prasības ir tieši pārņemamas.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85 249 026 </w:t>
            </w:r>
            <w:r w:rsidR="00000000" w:rsidRPr="00000000" w:rsidDel="00000000">
              <w:rPr>
                <w:i w:val="1"/>
                <w:rtl w:val="0"/>
              </w:rPr>
              <w:t xml:space="preserve">euro</w:t>
            </w:r>
            <w:r w:rsidR="00000000" w:rsidRPr="00000000" w:rsidDel="00000000">
              <w:rPr>
                <w:rtl w:val="0"/>
              </w:rPr>
              <w:t xml:space="preserve"> (elastības finansējums – 16 594 351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72 461 672 </w:t>
            </w:r>
            <w:r w:rsidR="00000000" w:rsidRPr="00000000" w:rsidDel="00000000">
              <w:rPr>
                <w:i w:val="1"/>
                <w:rtl w:val="0"/>
              </w:rPr>
              <w:t xml:space="preserve">euro </w:t>
            </w:r>
            <w:r w:rsidR="00000000" w:rsidRPr="00000000" w:rsidDel="00000000">
              <w:rPr>
                <w:rtl w:val="0"/>
              </w:rPr>
              <w:t xml:space="preserve">(elastības finansējums – 14 105 199 </w:t>
            </w:r>
            <w:r w:rsidR="00000000" w:rsidRPr="00000000" w:rsidDel="00000000">
              <w:rPr>
                <w:i w:val="1"/>
                <w:rtl w:val="0"/>
              </w:rPr>
              <w:t xml:space="preserve">euro</w:t>
            </w:r>
            <w:r w:rsidR="00000000" w:rsidRPr="00000000" w:rsidDel="00000000">
              <w:rPr>
                <w:rtl w:val="0"/>
              </w:rPr>
              <w:t xml:space="preserve">) un valsts budžeta finansējums – 12 787 354</w:t>
            </w:r>
            <w:r w:rsidR="00000000" w:rsidRPr="00000000" w:rsidDel="00000000">
              <w:rPr>
                <w:i w:val="1"/>
                <w:rtl w:val="0"/>
              </w:rPr>
              <w:t xml:space="preserve"> euro</w:t>
            </w:r>
            <w:r w:rsidR="00000000" w:rsidRPr="00000000" w:rsidDel="00000000">
              <w:rPr>
                <w:rtl w:val="0"/>
              </w:rPr>
              <w:t xml:space="preserve"> (elastības finansējums – 2 489 152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procentus no projekta kopējā attiecināmā finansējuma. Projektu iesniegumos pasākuma īstenošanai kopējo pasākumam pieejamo finansējumu plāno ne vairāk kā 68 654 675 </w:t>
            </w:r>
            <w:r w:rsidR="00000000" w:rsidRPr="00000000" w:rsidDel="00000000">
              <w:rPr>
                <w:i w:val="1"/>
                <w:rtl w:val="0"/>
              </w:rPr>
              <w:t xml:space="preserve">euro </w:t>
            </w:r>
            <w:r w:rsidR="00000000" w:rsidRPr="00000000" w:rsidDel="00000000">
              <w:rPr>
                <w:rtl w:val="0"/>
              </w:rPr>
              <w:t xml:space="preserve">apmērā, tai skaitā ERAF finansējumu – 58 356 473 </w:t>
            </w:r>
            <w:r w:rsidR="00000000" w:rsidRPr="00000000" w:rsidDel="00000000">
              <w:rPr>
                <w:i w:val="1"/>
                <w:rtl w:val="0"/>
              </w:rPr>
              <w:t xml:space="preserve">euro </w:t>
            </w:r>
            <w:r w:rsidR="00000000" w:rsidRPr="00000000" w:rsidDel="00000000">
              <w:rPr>
                <w:rtl w:val="0"/>
              </w:rPr>
              <w:t xml:space="preserve">apmērā, valsts budžeta finansējumu – 10 298 202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Eiropas Komisijas puses vēl nav apstiprināti Eiropas Savienības kohēzijas politikas programmas 2021.–2027.gadam (turpmāk - programma) grozījumi, tad lūdzam papildināt MK sēdes protokollēmuma projektu ar atļauju Ekonomikas ministrijai veikt finansējuma pārdali, kā arī ar Ekonomikas ministrijas rīcību, gadījumā, ja Eiropas komisija neapstiprina programmas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87 249 026 </w:t>
            </w:r>
            <w:r w:rsidR="00000000" w:rsidRPr="00000000" w:rsidDel="00000000">
              <w:rPr>
                <w:i w:val="1"/>
                <w:rtl w:val="0"/>
              </w:rPr>
              <w:t xml:space="preserve">euro</w:t>
            </w:r>
            <w:r w:rsidR="00000000" w:rsidRPr="00000000" w:rsidDel="00000000">
              <w:rPr>
                <w:rtl w:val="0"/>
              </w:rPr>
              <w:t xml:space="preserve"> (elastības finansējums – 21 265 107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74 161 672 </w:t>
            </w:r>
            <w:r w:rsidR="00000000" w:rsidRPr="00000000" w:rsidDel="00000000">
              <w:rPr>
                <w:i w:val="1"/>
                <w:rtl w:val="0"/>
              </w:rPr>
              <w:t xml:space="preserve">euro </w:t>
            </w:r>
            <w:r w:rsidR="00000000" w:rsidRPr="00000000" w:rsidDel="00000000">
              <w:rPr>
                <w:rtl w:val="0"/>
              </w:rPr>
              <w:t xml:space="preserve">(elastības finansējums – 18 075 341 </w:t>
            </w:r>
            <w:r w:rsidR="00000000" w:rsidRPr="00000000" w:rsidDel="00000000">
              <w:rPr>
                <w:i w:val="1"/>
                <w:rtl w:val="0"/>
              </w:rPr>
              <w:t xml:space="preserve">euro</w:t>
            </w:r>
            <w:r w:rsidR="00000000" w:rsidRPr="00000000" w:rsidDel="00000000">
              <w:rPr>
                <w:rtl w:val="0"/>
              </w:rPr>
              <w:t xml:space="preserve">) un valsts budžeta finansējums – 13 087 354 </w:t>
            </w:r>
            <w:r w:rsidR="00000000" w:rsidRPr="00000000" w:rsidDel="00000000">
              <w:rPr>
                <w:i w:val="1"/>
                <w:rtl w:val="0"/>
              </w:rPr>
              <w:t xml:space="preserve">euro</w:t>
            </w:r>
            <w:r w:rsidR="00000000" w:rsidRPr="00000000" w:rsidDel="00000000">
              <w:rPr>
                <w:rtl w:val="0"/>
              </w:rPr>
              <w:t xml:space="preserve"> (elastības finansējums – 3 189 766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procentus no projekta kopējā attiecināmā finansējuma. Projektu iesniegumos pasākuma īstenošanai kopējo pasākumam pieejamo finansējumu plāno ne vairāk kā 65 983 919 </w:t>
            </w:r>
            <w:r w:rsidR="00000000" w:rsidRPr="00000000" w:rsidDel="00000000">
              <w:rPr>
                <w:i w:val="1"/>
                <w:rtl w:val="0"/>
              </w:rPr>
              <w:t xml:space="preserve">euro </w:t>
            </w:r>
            <w:r w:rsidR="00000000" w:rsidRPr="00000000" w:rsidDel="00000000">
              <w:rPr>
                <w:rtl w:val="0"/>
              </w:rPr>
              <w:t xml:space="preserve">apmērā, tai skaitā ERAF finansējumu – 56 086 331 </w:t>
            </w:r>
            <w:r w:rsidR="00000000" w:rsidRPr="00000000" w:rsidDel="00000000">
              <w:rPr>
                <w:i w:val="1"/>
                <w:rtl w:val="0"/>
              </w:rPr>
              <w:t xml:space="preserve">euro </w:t>
            </w:r>
            <w:r w:rsidR="00000000" w:rsidRPr="00000000" w:rsidDel="00000000">
              <w:rPr>
                <w:rtl w:val="0"/>
              </w:rPr>
              <w:t xml:space="preserve">apmērā, valsts budžeta finansējumu – 9 897 588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ar grantiem atbalstītie uzņēmumi radošo industriju jomā –</w:t>
            </w:r>
            <w:r w:rsidR="00000000" w:rsidRPr="00000000" w:rsidDel="00000000">
              <w:rPr>
                <w:b w:val="1"/>
                <w:rtl w:val="0"/>
              </w:rPr>
              <w:t xml:space="preserve"> </w:t>
            </w:r>
            <w:r w:rsidR="00000000" w:rsidRPr="00000000" w:rsidDel="00000000">
              <w:rPr>
                <w:rtl w:val="0"/>
              </w:rPr>
              <w:t xml:space="preserve">13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paskaidrot samazināto nacionālo rādītāju izmaiņu pamatojumu un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Atgriezts rādītājs, kas noteikts sākotnēji - 32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rādītājs ir saskaņots ar LIAA.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nefinansiālu atbalstu saņēmušie uzņēmumi radošo industriju jomā – 33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paskaidrot samazināto nacionālo rādītāju izmaiņu pamatojumu un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Rādītājs precizēts uz 44 uzņēmumi. Skaidrojam, ka rādītājs noteikts, ņemot vērā, ka nefinansālu atbalstu saņem visi tie komersanti, kuri saņem inkubācijas vai pirmsinkubācijas atbalstu. Attiecīgi rādītāja vērtība ir tāda pati kā radītā inkubācijas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rādītājs ir saskaņots ar LIAA.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nefinansiālu atbalstu saņēmušie uzņēmumi radošo industriju jomā – 44 uzņēmumi;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radītā inkubācijas kapacitāte radošo industriju jomā – 53 (pirmsinkubācijā un inkubācijā atbalstīto uzņēmumu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paskaidrot nacionālo rādītāju izmaiņu pamatojumu un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Atgriezts rādītājs, kas noteikts sākotnēji - 44 uzņēmumi, kas darbojas inkubācijā un pirmsinkubācijā.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rādītājs ir saskaņots ar LIAA.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26.jūnija sanāksmi starp Ekonomikas ministriju, Izglītības un zinātnes ministriju, Centrālo statistikas pārvaldi, Centrālo finanšu un līgumu aģentūru un vadošo iestādi par RIS3 rādītāju saraksta pārskatīšanu, lūdzam pārskatīt un nepieciešamības gadījumā precizēt Ministru kabineta 2023. gada 13. jūlija noteikumu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noteikumi"69.5.apakšpunktu attiecībā uz RIS3 rādītājiem pēc tam, kad starp augstākminētajām pusēm tiek panākta vienošanās par gala sarakstu ar RIS3 rādītājiem. Attiecīgi lūdzam  atbildīgo iestādi informēt vadošo iestādi par RIS3 rādītāju gala sarakstu un to apstiprināšanas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uzkrājamie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Vadošai iestādei nosūtīta gala versija par RIS3 rādītājiem, par kuriem vienojušās EM un IZM, 02.07.2024.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apakšpunktā minētās aktivitātes ietvaros,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vai tā anotācijā skaidri atrunāt, attiecībā uz kādam pasākuma atbalsta sadalām finansējuma saņēmējam ir jāuzkrāj dati par RIS3. Vēršam uzmanību, ka RIS3 rādītāji ir attiecināmi uz tiem specifiskajiem atbalsta mērķiem, pasākumiem vai to atbalsta sadaļām, kur atbalsts ir vai var būt saistīts ar P&amp;A izdevumiem. Piemēram, uz biznesa inkubatoru programmu tas būtu attiecināms, bet uz vispārīgām uzņēmējdarbības atbalsta sadalām kā inovāciju motivācijas programma un dalība ārvalstu izstādē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MK noteikumu projekts, ka RIS3 rādītāji finansējuma saņēmējam jāuzkrāj biznesa inkubācijas un eksporta veicināšanas aktivitātēs. Ja rādītāju nav iespējams uzkrāt atbilstoši aktivitāšu specifikai, to neuzkrāj. Attiecīgi rādītāji, kas ir komersantu neto apgrozījums, eksporta apjoms ir jāuzkrāj arī eksporta veicināšanas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apakšpunktā minētās aktivitātes ietvaros,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anotācijās 1.3.sadaļā sniegtos duālās nozīmes preču piemērus (pārtikas iepakojumi, tālskati, sērkociņi , papildinātās realitātes brilles, elektroskrejriteņi) ar izvērstāku skaidrojumu, par šo produktu duālo pielietojumu, tai skaitā, vai un kā produkts ir jāpielāgo, lai tas kļūtu par militārās nozīmes produktu. Piemēram, sērkociņi kā produkts tirgū jau eksistē gadu desmitiem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papildus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pie risinājuma apraksta apakšsadaļā "Komersantu vērtēšanas komisijas inkubācijas atbalstam paplašināšana" ir sniegta šāda informācija: "Plānots, ka šo 2 milj. EUR ietvaros ar grantiem tiks atbalstīti vismaz 15 komersanti". Aicinām izvērtēt minētās informācijas pārcelšanu uz anotācijas 1.3.sadaļas apakšsadaļu "Sasniedzamie rādītāju palielināšana".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"Tehniskie precizējumi" 4.punktā minēts, ka precizēta atsauce MK noteikumu Nr. 407 38.punktā, jo vienkāršoto izmaksu metodika ir sagatavota par 37.2. apakšpunktā minēto atbalstu. Izskatot noteikumu grozījumu 38.punktu tajā nav veiktas izmaiņas. Lūdzam pārskatīt MK noteikumu grozījumu 38.punkta redakcijas  atbilstību anotācijas 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"Darbības programma" ar vārdiem un skaitļiem "Eiropas Savienības kohēzijas politikas programma 2021.-2027.gadam" vai abreviatūru "KPP". Papildus vēršam uzmanību, ka termins "Darbības programma" ir attiecināms tikai uz Eiropas Savienības struktūrfondu un Kohēzijas fonda 2014.-2020.gada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anotācijas 1.3.sadaļā norādīto 1.1.2.2. pasākuma “Uzņēmumu digitālo prasmju attīstība” kopējo (9 869 476 EUR) un valsts budžeta (1 480 422 EUR) pārdalāmo finansējumu par 1 EUR, jo tas neatbilst noteikumu projektā ietvertai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Anotāijas ""Līdz ar to Ekonomikas ministrija ar pieteiktajiem grozījumiem darbības programmā veic finansējuma pārdali 9 869 47</w:t>
            </w:r>
            <w:r w:rsidR="00000000" w:rsidRPr="00000000" w:rsidDel="00000000">
              <w:rPr>
                <w:b w:val="1"/>
                <w:rtl w:val="0"/>
              </w:rPr>
              <w:t xml:space="preserve">5</w:t>
            </w:r>
            <w:r w:rsidR="00000000" w:rsidRPr="00000000" w:rsidDel="00000000">
              <w:rPr>
                <w:rtl w:val="0"/>
              </w:rPr>
              <w:t xml:space="preserve"> EUR apmērā, t.sk., ERAF finansējums 8 389 054 EUR apmērā un valsts budžeta finansējums 1 480 42</w:t>
            </w:r>
            <w:r w:rsidR="00000000" w:rsidRPr="00000000" w:rsidDel="00000000">
              <w:rPr>
                <w:b w:val="1"/>
                <w:rtl w:val="0"/>
              </w:rPr>
              <w:t xml:space="preserve">1</w:t>
            </w:r>
            <w:r w:rsidR="00000000" w:rsidRPr="00000000" w:rsidDel="00000000">
              <w:rPr>
                <w:rtl w:val="0"/>
              </w:rPr>
              <w:t xml:space="preserve"> EUR apmērā, no 1.1.2.2. pasākuma “Uzņēmumu digitālo prasmju attīstība” uz 1.2.3.1.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noteikuma projekta ietekmi uz finansējuma saņēmēju un ka tiks veikt grozījumi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izdevumu pozīciju atbilstību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noteikumu projekta ietekmi uz LIAA projekta un galasaņēmēju projektiem, tai skaitā skaidrojot, vai būs nepieciešams veikt grozījumus projektam Nr.1.2.3.1/1/23/I/001 un projektiem, kas noslēgti starp LIAA un galasaņēmējiem.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pēc kādiem principiem tika izvēlētas atbalstāmas trīs Latvijas Investīciju un attīstības aģentūras (turpmāk - LIAA) ārvalstu pārstāvniecības (Ženēvā, Izraēlā un Briselē), kurām sniegt ES fondu atbalstu. Ņemot vērā karadarbību starp Izraēlas valsti un Palestīnas valsti, lūdzam izvērtēt ES fondu ieguldījuma lietderību LIAA Izraēlas pārstāvniecības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kādā tiek atlasītas ārvalstu pārstāvniecības ir apstiprināti, ir nostiprināti pie projekta apstiprināšanas Eiropas Reģionālās attīstības fonda 1.2.3.specifiskā atbalsta mērķa “Veicināt ilgtspējīgu izaugsmi, konkurētspēju un darba vietu radīšanu MVU, tostarp ar produktīvām investīcijām” 1.2.3.1.pasākuma “Atbalsts inovatīvas MVU uzņēmējdarbības attīstībai” projekta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norādīts, ka pārdalāmais finansējums (bez elastības finansējuma) ir 8 002 977 euro un elastības finansējuma kopsumma ir 2 197 566 euro, kas kopā veido 10 200 243 euro, nevis noteikumu projektā paredzēto kopējo finansējuma palielinājumu 13 869 475 euro apmērā. Lūdzam izvērtēt un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 gadiem sadalītais un kopējais finansējums bez elastības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norādīto kopējo pārdalāmo finansējumu 13 869 475 euro apmērā sadalīt pa avotiem, kā arī norādīt elastības finansējuma apmēru. Vienlaikus lūdzam precizēt pirmajā teikumā norādīto ik gadu nepieciešamā finansējuma apmēru, ņemot vēra, ka atbilstoši 2.punktam tas ir 2 667 659 euro nevis 2 282 978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pamatojumu valsts budžeta līdzfinansējuma plānošanai, ņemot vērā, ka 1.2.3.1.pasākuma "Atbalsts MVU inovatīvas uzņēmējdarbības attīstībai" ietvaros gala labuma guvēji ir komersanti, kooperatīvās sabiedrības vai fiziskas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tiek īstenota atbilstoši sākotnējiem mērķiem un finansējuma sadalījumam, kas apstiprināts līdz ar Eiropas Savienības kohēzijas politikas programmas 2021.–2027.gadam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būs Latvijas Investīciju un attīstības aģentūras, attiecīgi nav iespējas nodrošināt privāto finansējumu. Vienlaikus grantos ir paredzēta noteikta intensitāte, kas attiecīgi nosaka, ka gala labuma guvējiem ir jānodrošina arī privātais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 3.sadaļas 6.punktā jāsniedz skaidrojošā informācija/aprēķins, kas pamato izmaiņu ailēs norādīto papildu finansējuma apmēru. Ievērojot, ka 1.2.3.1. pasākuma "Atbalsts MVU inovatīvas uzņēmējdarbības attīstībai" īstenošanas noteikumi"  īstenošanai ir plānots pārdalīt finansējumu kopā 11 869 475 euro apmērā, attiecīgi minētajā sadaļas punktā jānorāda šī finansējuma izlietojums pa gadiem. Vienlaikus punktā “Cita informācija” lūdzam norādīt Ekonomikas ministrijas budžeta programmu, kurā 2024.-2026.gadam ik gadu ir ieplānots finansējums 15 098 155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anotācijas 3.sadaļas apakšsadaļā "Cita informācija" norādīto 1.1.2.2. pasākuma “Uzņēmumu digitālo prasmju attīstība” kopējo (9 869 476 EUR) un valsts budžeta (1 480 422 EUR) pārdalāmo finansējumu par 1 EUR, jo tas neatbilst noteikumu projektā ietvertai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tabulu, ņemot vērā aktuālo noteikumu projekta vienību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1.2.3.1. pasākuma īstenošanai nepieciešamo finansējuma 13 869 475 euro apmērā pārdali no 1.2.1.1. pasākuma "Atbalsts jaunu produktu attīstībai un internacionalizācijai", 1.1.2.2. pasākuma “Uzņēmumu digitālo prasmju attīstība” pirms pozitīva Eiropas Komisijas lēmuma par Eiropas Savienības kohēzijas politikas programmas 2021.–2027.gadam grozījumiem saņemšanas un 1.2.1.4. pasākuma "Atbalsts tehnoloģiju pārneses sistēmas pilnveidošanai".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protokollēmuma 3.punktu, sakārtojot teikuma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1.3.sadaļā norādīto pārdalāmā finansējuma summu (11 869 475 </w:t>
            </w:r>
            <w:r w:rsidR="00000000" w:rsidRPr="00000000" w:rsidDel="00000000">
              <w:rPr>
                <w:i w:val="1"/>
                <w:rtl w:val="0"/>
              </w:rPr>
              <w:t xml:space="preserve">euro</w:t>
            </w:r>
            <w:r w:rsidR="00000000" w:rsidRPr="00000000" w:rsidDel="00000000">
              <w:rPr>
                <w:rtl w:val="0"/>
              </w:rPr>
              <w:t xml:space="preserve">) palielinot to par 2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1.2.3.1. pasākuma īstenošanai nepieciešamo finansējuma 13 869 475 </w:t>
            </w:r>
            <w:r w:rsidR="00000000" w:rsidRPr="00000000" w:rsidDel="00000000">
              <w:rPr>
                <w:i w:val="1"/>
                <w:rtl w:val="0"/>
              </w:rPr>
              <w:t xml:space="preserve">euro </w:t>
            </w:r>
            <w:r w:rsidR="00000000" w:rsidRPr="00000000" w:rsidDel="00000000">
              <w:rPr>
                <w:rtl w:val="0"/>
              </w:rPr>
              <w:t xml:space="preserve">apmērā pārdali no 1.2.1.1. pasākuma "Atbalsts jaunu produktu attīstībai un internacionalizācijai", 1.1.2.2. pasākuma “Uzņēmumu digitālo prasmju attīstība” un 1.2.1.4. pasākuma "Atbalsts tehnoloģiju pārneses sistēmas pilnveidošanai" pirms pozitīva Eiropas Komisijas lēmuma par Eiropas Savienības kohēzijas politikas programmas 2021.–2027.gadam grozījumiem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Vēršam uzmanību, ka ir izdalīts, cik finansējums ir eksporta un cik inkubācijas sadaļai. Papildināts ar teikumu "Attiecīgi kopumā uz 1.2.3.1. pasākumu tiek pārdalīti 13 869 475 EUR EUR.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1.2.3.1. pasākuma īstenošanai nepieciešamo finansējuma 13 869 475 euro apmērā pārdali no 1.2.1.1. pasākuma "Atbalsts jaunu produktu attīstībai un internacionalizācijai", 1.1.2.2. pasākuma “Uzņēmumu digitālo prasmju attīstība” un 1.2.1.4. pasākuma "Atbalsts tehnoloģiju pārneses sistēmas pilnveidošanai" pirms pozitīva Eiropas Komisijas lēmuma par Eiropas Savienības kohēzijas politikas programmas 2021.–2027.gadam grozījumiem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veikt 1.2.3.1. pasākuma īstenošanai nepieciešamo finansējuma 11 869 475 euro apmērā pārdali no 1.2.1.1. pasākuma "Atbalsts jaunu produktu attīstībai un internacionalizācijai" un 1.1.2.2. pasākuma “Uzņēmumu digitālo prasmju attīstība” pirms pozitīva Eiropas Komisijas lēmuma par Eiropas Savienības kohēzijas politikas programmas 2021.–2027.gadam grozījumiem saņemšanas.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normu piemērošanu, lūdzam precizēt Ministru kabineta protokollēmuma projekta 3.punktu, norādot subjektu, kuram tiek sniegta atļauja veikt finansējuma pārdali starp pasākumiem, aiz vārda "atļaut" papildinot ar vārdiem "Ekonomikas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1.2.3.1. pasākuma īstenošanai nepieciešamo finansējuma 13 869 475 euro apmērā pārdali no 1.2.1.1. pasākuma "Atbalsts jaunu produktu attīstībai un internacionalizācijai", 1.1.2.2. pasākuma “Uzņēmumu digitālo prasmju attīstība” un 1.2.1.4. pasākuma "Atbalsts tehnoloģiju pārneses sistēmas pilnveidošanai" pirms pozitīva Eiropas Komisijas lēmuma par Eiropas Savienības kohēzijas politikas programmas 2021.–2027.gadam grozījumiem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spēkā stāšanās iesniegt Centrālajai finanšu un līgumu aģentūrai noslēgtās vienošanās grozījumus, palielinot finansējumu un sasniedzamos rādītājus uz 2029.gada 31.decembri.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spēkā stāšanās iesniegt Centrālajai finanšu un līgumu aģentūrai </w:t>
            </w:r>
            <w:r w:rsidR="00000000" w:rsidRPr="00000000" w:rsidDel="00000000">
              <w:rPr>
                <w:u w:val="single"/>
                <w:rtl w:val="0"/>
              </w:rPr>
              <w:t xml:space="preserve">kā Eiropas Savienības fondu 2021.-2027. gada plānošanas perioda sadarbības iestādei</w:t>
            </w:r>
            <w:r w:rsidR="00000000" w:rsidRPr="00000000" w:rsidDel="00000000">
              <w:rPr>
                <w:rtl w:val="0"/>
              </w:rPr>
              <w:t xml:space="preserve"> noslēgtās vienošanās </w:t>
            </w:r>
            <w:r w:rsidR="00000000" w:rsidRPr="00000000" w:rsidDel="00000000">
              <w:rPr>
                <w:u w:val="single"/>
                <w:rtl w:val="0"/>
              </w:rPr>
              <w:t xml:space="preserve">par projekta īstenošanu</w:t>
            </w:r>
            <w:r w:rsidR="00000000" w:rsidRPr="00000000" w:rsidDel="00000000">
              <w:rPr>
                <w:rtl w:val="0"/>
              </w:rPr>
              <w:t xml:space="preserve"> grozījumus, palielinot finansējumu un sasniedzamos rādītājus uz 2029.gada 31.decembri.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Investīciju un attīstības aģentūrai divu nedēļu laikā pēc noteikumu spēkā stāšanās iesniegt Centrālajai finanšu un līgumu aģentūrai kā Eiropas Savienības fondu 2021.-2027. gada plānošanas perioda sadarbības iestādei noslēgtās vienošanās par projekta īstenošanu grozījumus, palielinot finansējumu un precizējot sasniedzamos rādītājus uz 2024. un 2029. gada 31.decembri, kā arī uzkrājamos viedās specializācijas stratēģijas rādītājus.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Latvijas Republikas komercreģistrā reģistrēti komersanti, kas atbilst sīkā (mikro), mazā vai vidējā saimnieciskās darbības subjekta statusam saskaņā ar Eiropas Komisijas 2014. gada 17. jūnija Regulas (ES) Nr. 651/2014, ar ko noteiktas atbalsta kategorijas atzīst par saderīgām ar iekšējo tirgu, piemērojot Līguma 107. un 108. pantu (turpmāk – regula Nr. 651/2014), 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Tehniskajos precizējumos norādīts, ka tiek precizēta atsauces uz gala labuma guvējiem biznesa inkubācijas atbalstam, bet pats precizējums veikts attiecībā uz motivācijas atbalstu. Ja precizējumu attiecas uz biznesa inkubācijas atbalstu, tad būtu jāprecizē 2.2.2.apakšpunkts, izdalot to apakšpunktos 2.2.2.1. un 2.2.2.2., tā arī attiecīgi būtu jāprecizē 72.2. un 72.3.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sniegt skaidrojumu par rādītāju neproporcionālo palielinājumu vai pārskatīt pasākuma ietvaros noteikto rādītāju vērtības, lai tie atbilst vismaz papildus piešķirtā finansējuma palielinājuma proporcijai (papildus 17%), it īpaši attiecībā uz šo noteikumu 8.2.3.apakšpunktā noteikto rādītāju "atbalstītie jaunie uzņēmumi" un 9.2.apakšpunktā noteikto rādītāju "jauni uzņēmumi, kas joprojām darbojas tirgū", kur palielinājums ir tikai par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vēl nav sniegusi saskaņojumu Eiropas Savienības kohēzijas politikas programmas 2021.–2027. gadam grozījumu projektam, līdz ar to pastāv risks, ka Eiropas Komisija neatbalstīs minēto rādītāju neproporcionālu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Skaidrijumi sniegt VI 02.08.organizētajā sanāksmē, kā arī rādītāju pasē.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sasniedzami šādi iznākuma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ar grantiem atbalstītie uzņēmumi – 348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1.2.3.SAM pasē ir norādīts, ka 1.2.3.1.pasākuma ietvaros plānots atbalstīt 456 komersantus ārvalstu tirgus apgūšanai un 240 komersantus biznesa inkubācijā. Ņemot vērā, ka ārvalstu tirgus apgūšanai plānots atbalstīt 456 komersantus, nav skaidrs, kāpēc šo noteikumu ietvaros ir noteikts mazāks atbalstāmo komersantu skaits (348). Lūdzam skaidrot anotācijas 1.3.sadaļā kā tiek noteikts šī rādītāja ietvaros noteiktais atbalstīto komersantu skaita unikālā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pasākuma ietvaros jānosaka to unikālo komersantu skaits, kas tiks atbalstīts pasākuma līmenī, nevis SAM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precizēt 1.2.3.SAM rādītāju pasi, sniedzot papildus skaidrojumus par rādītāju vērtību noteikšanas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1.2.3. rādītāju pasē tiek noteikti precizētas sasniedzamo rādītāju vērtības, kur ir skaidrota šo rādītāju uzskaites un sasniegšanas metodoloģija. Noteikumu projektā tiek noteikti tādi paši rādītāji un to vērtības, kas noteiktas 1.2.3. rādītāju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iesniegs precizēto rādītāju pasi Vadošajai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ar grantiem atbalstītie uzņēmumi – 353 uzņēmumi;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nefinansiālu atbalstu saņēmušie uzņēmumi – 576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lūdzam skaidrot kā veidojas arī šī rādītāja vērtība, ņemot vērā, ka tikai biznesa inkubācijā plānots atbalstīt 591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1.2.3. rādītāju pasē tiek noteikti precizētas sasniedzamo rādītāju vērtības, kur ir skaidrota šo rādītāju uzskaites un sasniegšanas metodoloģija. Noteikumu projektā tiek noteikti tādi paši rādītāji un to vērtības, kas noteiktas 1.2.3. rādītāju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iesniegs precizēto rādītāju pasi Vadošajai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rādītājā tiek uzskaitīti unikālie uzņēmumi, papildus tiek piemērota korekcija no 50 - 80% apmērā, ņemot vērā faktu, ka viens uzņēmums var saņem atbalstu gan biznesa inkubācijā, gan inovācijas motivācijas atbalstā, gan eksporta veicināšanas atbalstā.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nefinansiālu atbalstu saņēmušie uzņēmumi – 591 uzņēmumi;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atbalstītie jaunie uzņēmumi – 199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rādītāja vērtību atbilstoši finansējuma palielinājumam - vismaz par 16%, vai sniegt skaidrojumu anotācijā kāpēc šī rādītāja vērtība ir palielināta tikai par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1.2.3. rādītāju pasē tiek noteikti precizētas sasniedzamo rādītāju vērtības, kur ir skaidrota šo rādītāju uzskaites un sasniegšanas metodoloģija. Noteikumu projektā tiek noteikti tādi paši rādītāji un to vērtības, kas noteiktas 1.2.3. rādītāju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iesniegs precizēto rādītāju pasi Vadošajai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atbalstītie jaunie uzņēmumi – 209 uzņēmumi;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līdz 2029. gada 31. decembrim sasniedzami šādi rezultāta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rezultāta rādītāju vērtības atbilstoši finansējuma palielinājumam - vismaz par 16%, vai sniegt skaidrojumu anotācijā kāpēc rādītāja "jaunradīto darba vietu skaits atbalstītajos uzņēmumos" vērtība netiek palielināta, bet rādītāja "jauni uzņēmumi, kas joprojām darbojas tirgū" vērtība tiek palielināta tikai par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1.2.3. rādītāju pasē tiek noteikti precizētas sasniedzamo rādītāju vērtības, kur ir skaidrota šo rādītāju uzskaites un sasniegšanas metodoloģija. Noteikumu projektā tiek noteikti tādi paši rādītāji un to vērtības, kas noteiktas 1.2.3. rādītāju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iesniegs precizēto rādītāju pasi Vadošajai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līdz 2029. gada 31. decembrim sasniedzami šādi rezultāta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w:t>
            </w:r>
            <w:r w:rsidR="00000000" w:rsidRPr="00000000" w:rsidDel="00000000">
              <w:rPr>
                <w:rtl w:val="0"/>
              </w:rPr>
              <w:t xml:space="preserve"> punktā minēto atbalstāmo darbību ietvaros radušās izmaksas ir attiecināmas atbilstoši atbildīgās iestādes izstrādātajām vienkāršoto izmaksu metodikām, kas saskaņotas ar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38.punktu, jo 37.1. un 37.3. - 37.5. apakšpunktā minētajām atbalstāmajām darbībām nav vienkāršoto izmaksu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37.2. apakšpunktā minēto atbalstāmo darbību ietvaros radušās izmaksas ir attiecināmas atbilstoši atbildīgās iestādes izstrādātajām vienkāršoto izmaksu metodikām, kas saskaņotas ar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iekļauts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37.2.</w:t>
            </w:r>
            <w:r w:rsidR="00000000" w:rsidRPr="00000000" w:rsidDel="00000000">
              <w:rPr>
                <w:rtl w:val="0"/>
              </w:rPr>
              <w:t xml:space="preserve"> punktā minēto atbalstāmo darbību ietvaros radušās izmaksas ir attiecināmas atbilstoši atbildīgās iestādes izstrādātajām vienkāršoto izmaksu metodikām, kas saskaņotas ar vadošo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Komersantu vērtēšanas komisijā šo noteikumu </w:t>
            </w:r>
            <w:r w:rsidR="00000000" w:rsidRPr="00000000" w:rsidDel="00000000">
              <w:rPr>
                <w:rtl w:val="0"/>
              </w:rPr>
              <w:t xml:space="preserve">37.2.</w:t>
            </w:r>
            <w:r w:rsidR="00000000" w:rsidRPr="00000000" w:rsidDel="00000000">
              <w:rPr>
                <w:rtl w:val="0"/>
              </w:rPr>
              <w:t xml:space="preserve"> apakšpunktā minētās aktivitātes ietvaros piedalās vismaz viens pārstāvis no finansējuma saņēmēja, pārstāvniecībām atbilstošajām pašvaldībām, pašvaldību organizācijas, ja attiecināms, augstskolas, atbildīgās iestādes, Kultūras ministrijas, ja vērtēšana notiek gala labuma guvēju pieteikumiem radošo industriju jomā, Aizsardzības ministrijas, ja vērtēšana notiek gala labuma guvēju pieteikumiem duālas nozīmes produktu, pakalpojumu un tehnoloģiju izstrādei drošības un aizsardzības jomā, komersantu organizācijām, kas pārstāv pārstāvniecību teritoriju vai reģionu, vai finanšu institūcijas vai uzņēmuma. Pārstāvim ir viena balss no katras organizācijas. Papildus iesaistītajiem nozaru ekspertiem un pārējiem dalībniekiem ir novērotāju tiesības. Vērtēšanas komisijas atzinumam ir konsultatīvs raksturs.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kas ir duālas nozīmes produktu, pakalpojumu un tehnoloģiju izstrāde drošības un aizsardzības jomā, vienlaicīgi sniedzot šādu produktu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termins "produkts" mārketinga teorijā aptver gan preces, gan pakalpojumus, tāpēc lietojot terminu "produkts", nav atsevišķi jāizdala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anotācijas 1.3.sadaļā sniegt skaidrojumu, ka saskaņā ar Eiropas Komisijas vadlīnijām "EU finding for Dual use" duālās nozīmes produkti var tikt atbalstīti no ES struktūrfondiem, bet attiecībā uz infrastruktūru, kas var kalpot gan civiliem, gan militāriem nolūkiem, tikai civilā daļa ir tiesīga saņemt atbalstu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anotācijas 1.3.sadaļā skaidri noteikt, ka atbalstu sniedz tikai līdz brīdim kamēr produktam ir duālā nozīme, proti, sākot ar brīdi, kad produkts pārtop par militārās nozīmes produktu, ES fondu atbalsts tam vairs nav sniedzams.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Komersantu vērtēšanas komisijā šo noteikumu </w:t>
            </w:r>
            <w:r w:rsidR="00000000" w:rsidRPr="00000000" w:rsidDel="00000000">
              <w:rPr>
                <w:rtl w:val="0"/>
              </w:rPr>
              <w:t xml:space="preserve">37.2.</w:t>
            </w:r>
            <w:r w:rsidR="00000000" w:rsidRPr="00000000" w:rsidDel="00000000">
              <w:rPr>
                <w:rtl w:val="0"/>
              </w:rPr>
              <w:t xml:space="preserve"> apakšpunktā minētās aktivitātes ietvaros piedalās vismaz viens pārstāvis no finansējuma saņēmēja, pārstāvniecībām atbilstošajām pašvaldībām, pašvaldību organizācijas, ja attiecināms, augstskolas, atbildīgās iestādes, Kultūras ministrijas, ja vērtēšana notiek gala labuma guvēju pieteikumiem radošo industriju jomā, Aizsardzības ministrijas, ja vērtēšana notiek gala labuma guvēju pieteikumiem duālas nozīmes produktu, pakalpojumu un tehnoloģiju izstrādei drošības un aizsardzības jomā, komersantu organizācijām, kas pārstāv pārstāvniecību teritoriju vai reģionu, vai finanšu institūcijas vai uzņēmuma. Pārstāvim ir viena balss no katras organizācijas. Papildus iesaistītajiem nozaru ekspertiem un pārējiem dalībniekiem ir novērotāju tiesības. Vērtēšanas komisijas atzinumam ir konsultatīvs raksturs.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minēto aktivitāšu ietvaros,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4.punktā sniegto skaidrojumu, ka attiecīgi rādītāji, kas ir komersantu neto apgrozījums, eksporta apjoms ir jāuzkrāj arī eksporta veicināšanas sadaļā, aicinām precizēt noteikumu projekta 69.5.apakšpunkta ievaddaļu vai papildināt noteikumu projektu ar 65.</w:t>
            </w:r>
            <w:r w:rsidR="00000000" w:rsidRPr="00000000" w:rsidDel="00000000">
              <w:rPr>
                <w:vertAlign w:val="superscript"/>
                <w:rtl w:val="0"/>
              </w:rPr>
              <w:t xml:space="preserve">1</w:t>
            </w:r>
            <w:r w:rsidR="00000000" w:rsidRPr="00000000" w:rsidDel="00000000">
              <w:rPr>
                <w:rtl w:val="0"/>
              </w:rPr>
              <w:t xml:space="preserve"> punktu, skaidri nosakot, ka uz eksporta veicināšanas atbalstu (noteikumu 4.3.apakšpunkts) ir attiecināmas tikai noteikumu projekta 69.5.14. un 69.5.15.apakšpunktu prasības. Ar attiecīgu skaidrojumu aicinām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saņēmējiem KPVIS jāsniedz atskaites par projekta ietvaros noteiktām atbalstāmajām darbībām, līdz ar to uz finansējuma saņēmēju nav attiecināmas prasības, kas nav saistītas ar pasākuma ietvaros pieejamo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MKN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apakšpunktā minētās aktivitātes ietvaros,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minēto aktivitāšu ietvaros,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ES fondu vadošās iestādes (turpmāk - VI) š.g. 9.jūlija e-pastu Ekonomikas ministrijai un Izglītības un zinātnes ministrijai par RIS3 rādītāju tehnisko risinājumu KPVIS, aicinām noteikumu projekta 69.punktu formulēt ņemot vērā VI norādījumus par RIS3 rādītāju iedalīšanu RIS3 rādītajos un nacionālā līmeņa rādītājos, kā arī anotācijā un  Ekonomikas ministrijas izstrādātajā vadlīniju "Vadlīnijas par viedās specializācijas stratēģijas jomas noteikšanu un monitoringa veikšanu" projektā (turpmāk - RIS3 vadlīniju projekts) skaidri atrunāt, ka par RIS3 rādītāju noziņošanu ir atbildīgs finansējuma saņēmējs, savukārt par nacionālo radītāju apkopošanu ir atbildīga ES fondu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sarunām ar CFLA, kā arī EM vēstuli IZM, CFLA un FM (11.07.) visus RIS3 rādītājus iekļaus RIS3 sadaļā, attiecīgi neizdalīs kā nacionālos rādītājus.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šo noteikumu </w:t>
            </w:r>
            <w:r w:rsidR="00000000" w:rsidRPr="00000000" w:rsidDel="00000000">
              <w:rPr>
                <w:rtl w:val="0"/>
              </w:rPr>
              <w:t xml:space="preserve">4.2.</w:t>
            </w:r>
            <w:r w:rsidR="00000000" w:rsidRPr="00000000" w:rsidDel="00000000">
              <w:rPr>
                <w:rtl w:val="0"/>
              </w:rPr>
              <w:t xml:space="preserve"> apakšpunktā minētās aktivitātes ietvaros,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69.5.3.1.2. kapitālizdevumi –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RIS3 rādītājiem ir noteikta vienota pieeja datu uzkrāšanai RIS3 vadlīniju projektā, līdz ar to redakcionāli precizējumi rādītāju nosaukumos nav pieļaujami. Pretējā gadījumā tādi dati KPVIS nebūs atrodami. Lūdzam izteikt noteikumu projekta 69.5.3.1.2.apakšpunktu atbilstoši RIS3 vadlīniju 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69.5.3.1.2. kapitālizdevumi – ēkas,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69.5.3.1.2. kapitālizdevumi – ēkas, iekārtas, intelektuālā īpašuma tiesības, datoru programmatūra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69.5.7. fundamentālie pētījumi (pētniecības un attīstības izdevumu apjoms,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šo noteikumu projekta apakšpunktu, ņemot vērā to, ka pasākuma ietvaros biznesa inkubatoru atbalsta sadaļā nav paredzēts atbalsts fundamentālo pētījumu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atbalsts gala labuma guvējam saimnieciskās darbības veikšanai ir kvalificējams kā komercdarbības atbalsts, tad atbalstu sniedz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kā arī ņemot vērā šo noteikumu </w:t>
            </w:r>
            <w:r w:rsidR="00000000" w:rsidRPr="00000000" w:rsidDel="00000000">
              <w:rPr>
                <w:rtl w:val="0"/>
              </w:rPr>
              <w:t xml:space="preserve">56.</w:t>
            </w:r>
            <w:r w:rsidR="00000000" w:rsidRPr="00000000" w:rsidDel="00000000">
              <w:rPr>
                <w:rtl w:val="0"/>
              </w:rPr>
              <w:t xml:space="preserve"> punktā norādītās kārtības (metodikas):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pieņemti grozījumi Ministru kabineta 2018. gada 21. novembra noteikumos Nr. 715 "Noteikumi par de minimis atbalsta uzskaites un piešķiršanas kārtību un de minimis atbalsta uzskaites veidlapu paraugiem" (turpmāk - MK noteikumi Nr.715), kas stāsies spēkā 01.07.2024. Pēc grozījumu MK noteikumos Nr.715 spēkā stāšanās aicinām lietot atsauci uz to aktuālo  nosaukumu, kas ir "De minimis atbalsta uzskaites un piešķiršanas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atbalsts gala labuma guvējam saimnieciskās darbības veikšanai ir kvalificējams kā komercdarbības atbalsts, tad atbalstu sniedz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kā arī ņemot vērā šo noteikumu </w:t>
            </w:r>
            <w:r w:rsidR="00000000" w:rsidRPr="00000000" w:rsidDel="00000000">
              <w:rPr>
                <w:rtl w:val="0"/>
              </w:rPr>
              <w:t xml:space="preserve">56.</w:t>
            </w:r>
            <w:r w:rsidR="00000000" w:rsidRPr="00000000" w:rsidDel="00000000">
              <w:rPr>
                <w:rtl w:val="0"/>
              </w:rPr>
              <w:t xml:space="preserve"> punktā norādītās kārtības (metodikas):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24-TA-1191</w:t>
    </w:r>
    <w:r>
      <w:br/>
    </w:r>
    <w:r w:rsidR="00000000" w:rsidRPr="00000000" w:rsidDel="00000000">
      <w:rPr>
        <w:rtl w:val="0"/>
      </w:rPr>
      <w:t xml:space="preserve">14.08.2024. 15.47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24-TA-1191</w:t>
    </w:r>
    <w:r>
      <w:br/>
    </w:r>
    <w:r w:rsidR="00000000" w:rsidRPr="00000000" w:rsidDel="00000000">
      <w:rPr>
        <w:rtl w:val="0"/>
      </w:rPr>
      <w:t xml:space="preserve">14.08.2024. 15.47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Izziņa_24-TA-1191.docx</dc:title>
</cp:coreProperties>
</file>

<file path=docProps/custom.xml><?xml version="1.0" encoding="utf-8"?>
<Properties xmlns="http://schemas.openxmlformats.org/officeDocument/2006/custom-properties" xmlns:vt="http://schemas.openxmlformats.org/officeDocument/2006/docPropsVTypes"/>
</file>