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D6FB5C4" w14:textId="77777777" w:rsidR="009C4A37" w:rsidRDefault="00C12661">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9C4A37" w14:paraId="0D6FB5CA" w14:textId="77777777">
        <w:tc>
          <w:tcPr>
            <w:tcW w:w="750" w:type="dxa"/>
            <w:shd w:val="clear" w:color="auto" w:fill="FFFFFF"/>
            <w:noWrap/>
            <w:tcMar>
              <w:top w:w="75" w:type="dxa"/>
              <w:left w:w="75" w:type="dxa"/>
              <w:bottom w:w="75" w:type="dxa"/>
              <w:right w:w="75" w:type="dxa"/>
            </w:tcMar>
            <w:vAlign w:val="center"/>
          </w:tcPr>
          <w:p w14:paraId="0D6FB5C5" w14:textId="77777777" w:rsidR="009C4A37" w:rsidRDefault="00C12661">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0D6FB5C6" w14:textId="77777777" w:rsidR="009C4A37" w:rsidRDefault="00C12661">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0D6FB5C7" w14:textId="77777777" w:rsidR="009C4A37" w:rsidRDefault="00C12661">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0D6FB5C8" w14:textId="77777777" w:rsidR="009C4A37" w:rsidRDefault="00C12661">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0D6FB5C9" w14:textId="77777777" w:rsidR="009C4A37" w:rsidRDefault="00C12661">
            <w:pPr>
              <w:jc w:val="center"/>
            </w:pPr>
            <w:r>
              <w:rPr>
                <w:b/>
              </w:rPr>
              <w:t>Pamatojums, ja iebildums / priekšlikums nav ņemts vērā</w:t>
            </w:r>
          </w:p>
        </w:tc>
      </w:tr>
      <w:tr w:rsidR="009C4A37" w14:paraId="0D6FB5D0" w14:textId="77777777" w:rsidTr="00C12661">
        <w:tc>
          <w:tcPr>
            <w:tcW w:w="750" w:type="dxa"/>
            <w:shd w:val="clear" w:color="auto" w:fill="FFFFFF"/>
            <w:noWrap/>
            <w:tcMar>
              <w:top w:w="75" w:type="dxa"/>
              <w:left w:w="75" w:type="dxa"/>
              <w:bottom w:w="75" w:type="dxa"/>
              <w:right w:w="75" w:type="dxa"/>
            </w:tcMar>
            <w:vAlign w:val="center"/>
          </w:tcPr>
          <w:p w14:paraId="0D6FB5CB" w14:textId="77777777" w:rsidR="009C4A37" w:rsidRDefault="00C12661">
            <w:pPr>
              <w:jc w:val="center"/>
            </w:pPr>
            <w:r>
              <w:t>1.</w:t>
            </w:r>
          </w:p>
        </w:tc>
        <w:tc>
          <w:tcPr>
            <w:tcW w:w="4155" w:type="dxa"/>
            <w:shd w:val="clear" w:color="auto" w:fill="FFFFFF"/>
            <w:noWrap/>
            <w:tcMar>
              <w:top w:w="75" w:type="dxa"/>
              <w:left w:w="75" w:type="dxa"/>
              <w:bottom w:w="75" w:type="dxa"/>
              <w:right w:w="75" w:type="dxa"/>
            </w:tcMar>
            <w:vAlign w:val="center"/>
          </w:tcPr>
          <w:p w14:paraId="0D6FB5CC" w14:textId="77777777" w:rsidR="009C4A37" w:rsidRDefault="00C12661">
            <w:pPr>
              <w:jc w:val="left"/>
            </w:pPr>
            <w:r>
              <w:t>Latvijas darba devēju konfederācija (LDDK), Jānis Hermanis</w:t>
            </w:r>
          </w:p>
        </w:tc>
        <w:tc>
          <w:tcPr>
            <w:tcW w:w="4156" w:type="dxa"/>
            <w:shd w:val="clear" w:color="auto" w:fill="FFFFFF"/>
            <w:noWrap/>
            <w:tcMar>
              <w:top w:w="75" w:type="dxa"/>
              <w:left w:w="75" w:type="dxa"/>
              <w:bottom w:w="75" w:type="dxa"/>
              <w:right w:w="75" w:type="dxa"/>
            </w:tcMar>
            <w:vAlign w:val="center"/>
          </w:tcPr>
          <w:p w14:paraId="0D6FB5CD" w14:textId="77777777" w:rsidR="009C4A37" w:rsidRDefault="00C12661">
            <w:pPr>
              <w:jc w:val="left"/>
            </w:pPr>
            <w:r>
              <w:t>Latvijas darba devēju konfederācija (LDDK) ir iepazinusies ar likumprojektu "Grozījumi likumā "Par nodokļiem un nodevām"" (TAP Nr. 24-TA-761) un izsaka šādu viedokli:</w:t>
            </w:r>
            <w:r>
              <w:br/>
            </w:r>
            <w:r>
              <w:br/>
            </w:r>
            <w:r>
              <w:t xml:space="preserve">Likumprojektā paredzētās tiesības Valsts ieņēmumu dienesta ierēdņiem (uzrādot dienesta apliecību, apmeklēt nodokļu maksātājam piederošās vai to lietošanā esošās teritorijas, telpas un objektus, kurās tiek veikta saimnieciskā darbības, veikt tajās nodokļu administrēšanas darbības, preču fizisku apskati, nodokļu administrēšanas darbību ietvaros izņemt preču paraugus ekspertīzes veikšanai u.c.) būtu nepieciešams precizēt ar papildu nosacījumiem. </w:t>
            </w:r>
            <w:r>
              <w:lastRenderedPageBreak/>
              <w:t>Piedāvātajā redakcijā pastāv riski, ka VID ierēdņi var apmeklēt</w:t>
            </w:r>
            <w:r>
              <w:t xml:space="preserve"> jebkuras telpas un teritorijas bez atbilstoša pamatojuma un pilnvarojuma, var tikt pārkāpti Pārtikas un veterinārā dienesta noteikumi u.tml.</w:t>
            </w:r>
            <w:r>
              <w:br/>
            </w:r>
            <w:r>
              <w:br/>
            </w:r>
            <w:r>
              <w:t>LDDK rosina 17.panta 2. punkta 1.daļu izteikt šādā redakcijā:</w:t>
            </w:r>
            <w:r>
              <w:br/>
            </w:r>
            <w:r>
              <w:t>(2) Valsts ieņēmumu dienesta ierēdņiem ir tiesības:</w:t>
            </w:r>
            <w:r>
              <w:br/>
            </w:r>
            <w:r>
              <w:t xml:space="preserve"> 1) uzrādot dienesta apliecību </w:t>
            </w:r>
            <w:r>
              <w:rPr>
                <w:b/>
              </w:rPr>
              <w:t>un augstāka ierēdņa pilnvarojumu</w:t>
            </w:r>
            <w:r>
              <w:t>, apmeklēt juridiskajām vai fiziskajām personām piederošās vai to lietošanā esošās teritorijas, telpas un objektus, kurās tiek veikta saimnieciskā darbība vai kuras ir saistītas ar ieņēmumu gū</w:t>
            </w:r>
            <w:r>
              <w:t xml:space="preserve">šanu citai juridiskajai vai fiziskajai personai, veikt tajās nodokļu administrēšanas darbības, preču fizisku apskati, nodokļu administrēšanas darbību ietvaros izņemt preču paraugus ekspertīzes veikšanai vai izņemt kā lietiskos pierādījumus jebkurus dokumentus un priekšmetus, </w:t>
            </w:r>
            <w:r>
              <w:rPr>
                <w:b/>
              </w:rPr>
              <w:lastRenderedPageBreak/>
              <w:t xml:space="preserve">ievērojot Pārtikas un veterinārā dienesta noteikumus, </w:t>
            </w:r>
            <w:r>
              <w:t xml:space="preserve">kā arī brīvi apmeklēt valsts pārvaldes un pašvaldību iestādes. Īstenojot šajā punktā minētās tiesības, izvērtējams fizisko personu </w:t>
            </w:r>
            <w:proofErr w:type="spellStart"/>
            <w:r>
              <w:t>pamattiesību</w:t>
            </w:r>
            <w:proofErr w:type="spellEnd"/>
            <w:r>
              <w:t xml:space="preserve"> iespējamā ierobežojuma samērīgums.</w:t>
            </w:r>
            <w:r>
              <w:br/>
            </w:r>
          </w:p>
        </w:tc>
        <w:tc>
          <w:tcPr>
            <w:tcW w:w="1350" w:type="dxa"/>
            <w:shd w:val="clear" w:color="auto" w:fill="FFFFFF"/>
            <w:noWrap/>
            <w:tcMar>
              <w:top w:w="75" w:type="dxa"/>
              <w:left w:w="75" w:type="dxa"/>
              <w:bottom w:w="75" w:type="dxa"/>
              <w:right w:w="75" w:type="dxa"/>
            </w:tcMar>
          </w:tcPr>
          <w:p w14:paraId="0D6FB5CE" w14:textId="6D8A8866" w:rsidR="009C4A37" w:rsidRDefault="00C12661">
            <w:pPr>
              <w:jc w:val="left"/>
            </w:pPr>
            <w:r>
              <w:lastRenderedPageBreak/>
              <w:t>Nav ņemts vērā.</w:t>
            </w:r>
          </w:p>
        </w:tc>
        <w:tc>
          <w:tcPr>
            <w:tcW w:w="4156" w:type="dxa"/>
            <w:shd w:val="clear" w:color="auto" w:fill="FFFFFF"/>
            <w:noWrap/>
            <w:tcMar>
              <w:top w:w="75" w:type="dxa"/>
              <w:left w:w="75" w:type="dxa"/>
              <w:bottom w:w="75" w:type="dxa"/>
              <w:right w:w="75" w:type="dxa"/>
            </w:tcMar>
          </w:tcPr>
          <w:p w14:paraId="0D6FB5CF" w14:textId="7BA12D80" w:rsidR="009C4A37" w:rsidRDefault="00C12661">
            <w:pPr>
              <w:jc w:val="left"/>
            </w:pPr>
            <w:r>
              <w:t>Lai arī piedāvātā normas redakcija nav ņemta vērā, tomēr a</w:t>
            </w:r>
            <w:r>
              <w:t>tbilstoši saņemtajam viedoklim ir precizēta anotācija, skaidrojot, ka saskaņā ar Valsts pārvaldes iekārtas likuma 10.panta pirmo daļu valsts pārvalde ir pakļauta likumam un tiesībām. Tā darbojas normatīvajos aktos noteiktās kompetences ietvaros. Valsts pārvalde savas pilnvaras var izmantot tikai atbilstoši pilnvarojuma jēgai un mērķim.</w:t>
            </w:r>
            <w:r>
              <w:br/>
              <w:t xml:space="preserve">    Ņemot vērā minēto, </w:t>
            </w:r>
            <w:r>
              <w:rPr>
                <w:rStyle w:val="scayt-misspell-word"/>
              </w:rPr>
              <w:t>V</w:t>
            </w:r>
            <w:r>
              <w:rPr>
                <w:rStyle w:val="scayt-misspell-word"/>
              </w:rPr>
              <w:t xml:space="preserve">alsts ieņēmumu dienesta </w:t>
            </w:r>
            <w:r>
              <w:t xml:space="preserve">ierēdņiem, veicot uzdevumus nodokļu (nodevu) administrēšanas jomā, ir pienākums šos uzdevumus veikt, nepārkāpjot tiesiskā regulējuma ietvaru, tostarp, Latvijas darba devēju konfederācijas norādītos Pārtikas un veterinārā dienesta </w:t>
            </w:r>
            <w:r>
              <w:lastRenderedPageBreak/>
              <w:t>noteikumus. Tādējādi nav nepieciešams normā atsevišķi izdalīt šos noteikumus, ņemot vērā, ka tas nav vienīgais normatīvais regulējums, kuru </w:t>
            </w:r>
            <w:r>
              <w:rPr>
                <w:rStyle w:val="scayt-misspell-word"/>
              </w:rPr>
              <w:t>Valsts ieņēmumu dienesta</w:t>
            </w:r>
            <w:r>
              <w:t xml:space="preserve"> ierēdnim, apmeklējot nodokļu maksātāja saimnieciskās darbības veikšanas vietu, ir pienākums ievērot.</w:t>
            </w:r>
            <w:r>
              <w:br/>
              <w:t>    Savukārt attiecībā uz ierēdņa dienesta apliecības un augstāka ierēdņa pilnvarojuma uzrādīšanu anotācija ir papildināta ar skaidrojumu, ka likumprojektā "Valsts ieņēmumu dienesta likums" tiks iekļauta pilnvarojuma norma ierēdņu kompetenci noteikt </w:t>
            </w:r>
            <w:r>
              <w:rPr>
                <w:rStyle w:val="scayt-misspell-word"/>
              </w:rPr>
              <w:t>V</w:t>
            </w:r>
            <w:r>
              <w:rPr>
                <w:rStyle w:val="scayt-misspell-word"/>
              </w:rPr>
              <w:t xml:space="preserve">alsts ieņēmumu dienesta </w:t>
            </w:r>
            <w:r>
              <w:t xml:space="preserve">nolikumā. Tādējādi nodokļu maksātāja saimnieciskās darbības veikšanas vietas varēs apmeklēt tikai tie ierēdņi, kuriem šādas tiesības būs paredzētas </w:t>
            </w:r>
            <w:r>
              <w:rPr>
                <w:rStyle w:val="scayt-misspell-word"/>
              </w:rPr>
              <w:t>Valsts ieņēmumu dienesta</w:t>
            </w:r>
            <w:r>
              <w:t xml:space="preserve"> nolikumā.</w:t>
            </w:r>
          </w:p>
        </w:tc>
      </w:tr>
    </w:tbl>
    <w:p w14:paraId="0D6FB5D1" w14:textId="77777777" w:rsidR="00C12661" w:rsidRDefault="00C12661"/>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FB5D8" w14:textId="77777777" w:rsidR="00C12661" w:rsidRDefault="00C12661">
      <w:r>
        <w:separator/>
      </w:r>
    </w:p>
  </w:endnote>
  <w:endnote w:type="continuationSeparator" w:id="0">
    <w:p w14:paraId="0D6FB5DA" w14:textId="77777777" w:rsidR="00C12661" w:rsidRDefault="00C1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B5D2" w14:textId="44D41696" w:rsidR="009C4A37" w:rsidRDefault="00C12661">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B5DF" w14:textId="77777777" w:rsidR="00C12661" w:rsidRDefault="00C126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FB5D4" w14:textId="77777777" w:rsidR="00C12661" w:rsidRDefault="00C12661">
      <w:r>
        <w:separator/>
      </w:r>
    </w:p>
  </w:footnote>
  <w:footnote w:type="continuationSeparator" w:id="0">
    <w:p w14:paraId="0D6FB5D6" w14:textId="77777777" w:rsidR="00C12661" w:rsidRDefault="00C12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B5D1" w14:textId="77777777" w:rsidR="009C4A37" w:rsidRDefault="00C12661">
    <w:pPr>
      <w:pStyle w:val="Header"/>
      <w:contextualSpacing w:val="0"/>
    </w:pPr>
    <w:r>
      <w:t>Viedokļu pārskats 24-TA-761</w:t>
    </w:r>
    <w:r>
      <w:br/>
    </w:r>
    <w:r>
      <w:t>Izdrukāts 29.04.2024. 13.07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B5D3" w14:textId="77777777" w:rsidR="009C4A37" w:rsidRDefault="00C12661">
    <w:pPr>
      <w:pStyle w:val="Header"/>
      <w:contextualSpacing w:val="0"/>
    </w:pPr>
    <w:r>
      <w:t>Viedokļu pārskats 24-TA-761</w:t>
    </w:r>
    <w:r>
      <w:br/>
    </w:r>
    <w:r>
      <w:t>Izdrukāts 29.04.2024. 13.07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C4A37"/>
    <w:rsid w:val="009C4A37"/>
    <w:rsid w:val="00C126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B5C4"/>
  <w15:docId w15:val="{903C6F67-3B5D-4A21-B9DE-2A7C8DE3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customStyle="1" w:styleId="scayt-misspell-word">
    <w:name w:val="scayt-misspell-word"/>
    <w:basedOn w:val="DefaultParagraphFont"/>
    <w:rsid w:val="00C12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2157</Words>
  <Characters>1230</Characters>
  <Application>Microsoft Office Word</Application>
  <DocSecurity>0</DocSecurity>
  <Lines>10</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viedoklu_parskats_24-TA-761.docx</dc:title>
  <cp:lastModifiedBy>NASIPD</cp:lastModifiedBy>
  <cp:revision>2</cp:revision>
  <dcterms:created xsi:type="dcterms:W3CDTF">2024-04-29T10:07:00Z</dcterms:created>
  <dcterms:modified xsi:type="dcterms:W3CDTF">2024-04-29T10:09:00Z</dcterms:modified>
</cp:coreProperties>
</file>