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24-TA-27: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Stacionāro tehnoloģisko iekārtu dalības noteikumi Eiropas Savienības emisijas kvotu tirdzniecības sistēmā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30.04.2026. 14:03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kārtību, kādā tiek novērtēta potenciālo operatoru atbilstība atļaujas saņemšanai saskaņā ar likuma "Par piesārņojumu" 32.</w:t>
            </w:r>
            <w:r w:rsidR="00000000" w:rsidRPr="00000000" w:rsidDel="00000000">
              <w:rPr>
                <w:vertAlign w:val="superscript"/>
                <w:rtl w:val="0"/>
              </w:rPr>
              <w:t xml:space="preserve">16</w:t>
            </w:r>
            <w:r w:rsidR="00000000" w:rsidRPr="00000000" w:rsidDel="00000000">
              <w:rPr>
                <w:rtl w:val="0"/>
              </w:rPr>
              <w:t xml:space="preserve"> panta pirmo daļu un 32.</w:t>
            </w:r>
            <w:r w:rsidR="00000000" w:rsidRPr="00000000" w:rsidDel="00000000">
              <w:rPr>
                <w:vertAlign w:val="superscript"/>
                <w:rtl w:val="0"/>
              </w:rPr>
              <w:t xml:space="preserve">18</w:t>
            </w:r>
            <w:r w:rsidR="00000000" w:rsidRPr="00000000" w:rsidDel="00000000">
              <w:rPr>
                <w:rtl w:val="0"/>
              </w:rPr>
              <w:t xml:space="preserve"> panta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1.7. apakšpunktu, nedublējot noteikumu projekta 1.3. apakšpunktā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svītrots 1.7.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kārtību, kādā tiek novērtēta potenciālo operatoru atbilstība atļaujas saņemšanai saskaņā ar likuma "Par piesārņojumu" 32.</w:t>
            </w:r>
            <w:r w:rsidR="00000000" w:rsidRPr="00000000" w:rsidDel="00000000">
              <w:rPr>
                <w:vertAlign w:val="superscript"/>
                <w:rtl w:val="0"/>
              </w:rPr>
              <w:t xml:space="preserve">16</w:t>
            </w:r>
            <w:r w:rsidR="00000000" w:rsidRPr="00000000" w:rsidDel="00000000">
              <w:rPr>
                <w:rtl w:val="0"/>
              </w:rPr>
              <w:t xml:space="preserve"> panta pirmo daļu un 32.</w:t>
            </w:r>
            <w:r w:rsidR="00000000" w:rsidRPr="00000000" w:rsidDel="00000000">
              <w:rPr>
                <w:vertAlign w:val="superscript"/>
                <w:rtl w:val="0"/>
              </w:rPr>
              <w:t xml:space="preserve">18</w:t>
            </w:r>
            <w:r w:rsidR="00000000" w:rsidRPr="00000000" w:rsidDel="00000000">
              <w:rPr>
                <w:rtl w:val="0"/>
              </w:rPr>
              <w:t xml:space="preserve"> panta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1.7. punkts ir svītrojams, jo tas dublē noteikumu projekta 1.3.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svītrots 1.7.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7.1.1. informāciju par izmantoto biomasas frakcijas noteikšanas metodi un aprēķiniem, tai skaitā par paraugu ņemšanas un analīžu metodēm vai izmantotajām aplēses metodēm, kas atbilst regulas Nr. 2018/2066 39. pantā noteiktajam un II pielikuma 2.4. sadaļā definētajām prasībām par biomasas frakcijas pakāpēm;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attiecīgās regulas II pielikuma 2.4. sadaļā tostarp norādīts uz </w:t>
            </w:r>
            <w:r w:rsidR="00000000" w:rsidRPr="00000000" w:rsidDel="00000000">
              <w:rPr>
                <w:u w:val="single"/>
                <w:rtl w:val="0"/>
              </w:rPr>
              <w:t xml:space="preserve">kompetentās iestādes</w:t>
            </w:r>
            <w:r w:rsidR="00000000" w:rsidRPr="00000000" w:rsidDel="00000000">
              <w:rPr>
                <w:rtl w:val="0"/>
              </w:rPr>
              <w:t xml:space="preserve"> vai Komisijas publicētajām vērtībām, tādēļ lūdzam izvērtēt un skaidrot minēto vērtību pieejamību nacionālajā ārējā normatīvajā aktā, nepieciešamības gadījumā precizējot šo noteikumu 7.1.1. apakšpunktu. Vienlaikus vēršam uzmanību, ka atbilstoši šīs regulas 39. panta 1. punktā minētajam biomasas frakcijas noteikšana ir kā alternatīva pieņemšanai, ka biomasas sastāvā nav, un noklusējuma biomasas frakciju 0 % apmērā piemērošanai. Attiecīgi aicinām izvērtēt, vai minētajā noteikumu projekta punktā nav attiecīgi jāprecizē, kādā gadījumā konkrētā informācija jāsniedz.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7.1.1. apakšpunkts precizēts, nosakot, ka informācija par biomasas frakcijas noteikšanas metodi un aprēķiniem ir jāsniedz gadījumā, ja operators biomasas frakciju nenosaka 0 % apmērā saskaņā ar Regulas Nr. 2018/2066 39. panta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Regulas Nr. 2018/2066 II pielikuma 2.4. sadaļā minētās kompetentās iestādes vai Komisijas publicētās vērtības ir viens no regulā paredzētajiem biomasas frakcijas noteikšanas risinājumiem. Līdzīga pieeja izmantota arī Ministru kabineta 2026. gada 24. marta noteikumos Nr. 166, kuros attiecībā uz degvielas un kurināmā operatoriem piemērojamās monitoringa prasības noteiktas ar atsauci uz Regulas Nr. 2018/2066 attiecīgajām normām, nenosakot nacionālajā ārējā normatīvajā aktā atsevišķas publicētās vērtības.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7.1.1. ja operators biomasas frakciju nenosaka nulles procentu apmērā saskaņā ar regulas Nr. 2018/2066 39. panta 1. punktu, informāciju par izmantoto biomasas frakcijas noteikšanas metodi un aprēķiniem, tai skaitā par paraugu ņemšanas un analīžu metodēm vai izmantotajām aplēses metodēm, kas atbilst regulas Nr. 2018/2066 39. pantā un II pielikuma 2.4. sadaļā noteiktajām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 ja biomasas frakciju nosaka ar laboratoriskajām analīzēm, informāciju par izmantoto analītisko metodi un tās atbilstību dienesta apstiprinātam standartam un tā analītiskajām metodēm. Ja analītiskā metode nav tehniski piemērojama vai rada nesamērīgas izmaksas, operators iesniedz pamatojumu alternatīvas aplēses metodes izmantošanai atbilstoši regulas Nr. 2018/2066 39. panta 2.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ir domāts ar dienesta apstiprinātiem standartiem, kā arī skaidrot šo standartu pieejamību un saistošo spēku vai precizēt atsauci uz minētajiem standartiem. Vēršam uzmanību, ka atsauces uz standartiem normatīvajos aktos izdarāmas atbilstoši Standartizācijas likuma 13. panta prasībām un Ministru kabineta 2009.gada 3.februāra noteikumiem Nr.108 “Normatīvo aktu projektu sagatavošanas noteikumi”, proti, ja tiek izdarīta netieša atsauce uz standartiem, tad tiesību akta tekstā jāsniedz norāde uz piemērojamajiem standartiem kā iespējamo risinājumu tiesību akta prasību izpildei* vai alternatīvi izdarāma atsauce uz obligātajiem standartiem, bet šādā gadījumā noteikumu projektā šie standarti arī konkrēti jānorāda vai anotācijā jāskaidro, kādā normatīvajā aktā minētie standarti ir ietverti. Līdzīgi lūdzam skaidrojumu sniegt attiecībā uz dienesta analītiskajām metodēm vai precizēt atsauci, norādot ārējos normatīvos aktus, kur šīs metodes ir noteiktas.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7.1.2. apakšpunkts precizēts, svītrojot formulējumu “dienesta apstiprinātam standartam un tā analītiskajām metodēm”, lai neradītu priekšstatu, ka Valsts vides dienests ārpus konkrēta monitoringa plāna apstiprināšanas procesa apstiprina standartus kā vispārsaistošas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 ja biomasas frakciju nosaka ar laboratoriskajām analīzēm, informāciju par izmantoto analītisko metodi un tās atbilstību regulas Nr. 2018/2066 32.–35. pantā un 39. panta 2. punktā noteiktajām prasībām. Ja analītiskā metode nav tehniski piemērojama vai rada nesamērīgas izmaksas, operators iesniedz pamatojumu alternatīvas aplēses metodes izmantošanai atbilstoši regulas Nr. 2018/2066 39. panta 2. punktam;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7.1.3. pierādījumus par attiecīgā kurināmā biomasas frakcijas atbilstību ilgtspējas un siltumnīcefekta gāzu emisiju ietaupījuma kritērijiem, kā noteikts regulas Nr. 2018/2066 38. panta 5. punktā. Šo kritēriju saturs un to pierādīšanas kārtība tiek īstenota saskaņā ar  Ministru kabineta 2022. gada 2. novembra noteikumiem Nr. 686 "Noteikumi par ilgtspējas un siltumnīcefekta gāzu emisiju ietaupījuma kritērijiem, no biomasas kurināmā ražotās elektroenerģijas kritērijiem un kārtību, kādā pamatojama, apliecināma un uzraugāma atbilstība minētajiem kritērijiem" (turpmāk - noteikumi Nr. 686).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norādi uz kritēriju saturu un to pierādīšanas kārtības īstenošanu vai svītrot noteikumu projekta 7.1.3. apakšpunkta otro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"7.1.3. pierādījumus par attiecīgā kurināmā biomasas frakcijas atbilstību ilgtspējas un siltumnīcefekta gāzu emisiju ietaupījuma kritērijiem, kā noteikts regulas Nr. 2018/2066 38. panta 5. punktā. Atbilstību pierāda saskaņā ar Ministru kabineta 2022. gada 2. novembra noteikumiem Nr. 686 "Noteikumi par ilgtspējas un siltumnīcefekta gāzu emisiju ietaupījuma kritērijiem, no biomasas kurināmā ražotās elektroenerģijas kritērijiem un kārtību, kādā pamatojama, apliecināma un uzraugāma atbilstība minētajiem kritērijiem" (turpmāk - noteikumi Nr. 686) un regulas Nr. 2018/2066 38. panta 5.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precizēta norāde uz kritēriju saturu un to pierādīšanas kārtības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7.1.3. pierādījumus par attiecīgā kurināmā biomasas frakcijas atbilstību ilgtspējas un siltumnīcefekta gāzu emisiju ietaupījuma kritērijiem, kā noteikts regulas Nr. 2018/2066 38. panta 5. punktā. Atbilstību pierāda saskaņā ar Ministru kabineta 2022. gada 2. novembra noteikumiem Nr. 686 "Noteikumi par ilgtspējas un siltumnīcefekta gāzu emisiju ietaupījuma kritērijiem, no biomasas kurināmā ražotās elektroenerģijas kritērijiem un kārtību, kādā pamatojama, apliecināma un uzraugāma atbilstība minētajiem kritērijiem" (turpmāk - noteikumi Nr. 686) un regulas Nr. 2018/2066 38. panta 5.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informāciju, kas pamato zemākā sadegšanas siltuma un emisijas faktoru noteikšanas metodi un izmantotās zemākā sadegšanas siltuma vērtības, ja operators izmanto kurināmo, kas nav komerciālais standarta kurināmais regulas Nr. 2018/2066 3. panta 32. punkta izpratnē, un pierādījumus par 1 % novirzes robežas ievērošanu saskaņā ar regulas Nr. 2018/2066 31. panta 4.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atļauju noteikt kurināmā zemāko siltumspēju un emisijas faktorus, izmantojot tās pašas pakāpes, kas prasītas komerciālajai standartdegvielai, kompetentā iestāde atbilstoši attiecīgajai regulas vienībai var sniegt, ja operators iesniedz attiecīgu iesniegumu, t.i., ne visos gadījumos, turklāt normā minētie pierādījumi atbilstoši regulai jāsniedz vismaz ik pēc trim gadiem, nevis vienreiz, iesniedzot noteikumu projekta 4. punktā ietverto iesniegumu, tādēļ lūdzam atbilstoši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7.5. apakšpunkts precizēts, nosakot, ka tajā paredzētā informācija un pierādījumi jāiesniedz tikai gadījumā, ja operators izmanto kurināmo, kas nav komerciālais standarta kurināmais Regulas Nr. 2018/2066 3. panta 32. punkta izpratnē, un lūdz atļaut zemākā sadegšanas siltuma un emisijas faktoru noteikšanu, izmantojot tādas pašas pakāpes, kādas regulā prasītas komerciālajam standarta kurināmajam.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precizēts, ka pierādījumi par Regulas Nr. 2018/2066 31. panta 4. punktā noteiktās 1 % novirzes robežas ievērošanu sniedzami par pēdējo trīs gadu periodu un turpmāk iesniedzami vismaz reizi trijos gados. Tādējādi noteikumu projekta redakcija salāgota ar Regulas Nr. 2018/2066 31. panta 4.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ja operators izmanto kurināmo, kas nav komerciālais standarta kurināmais regulas Nr. 2018/2066 3. panta 32. punkta izpratnē, un lūdz atļaut zemākā sadegšanas siltuma un emisijas faktoru noteikšanu, izmantojot tādas pašas pakāpes, kādas regulā Nr. 2018/2066 prasītas komerciālajam standarta kurināmajam, – informāciju, kas pamato zemākā sadegšanas siltuma un emisijas faktoru noteikšanas metodi un izmantotās zemākā sadegšanas siltuma vērtības, kā arī pierādījumus par regulas Nr. 2018/2066 31. panta 4. punktā noteiktās 1 % novirzes robežas ievērošanu pēdējo triju gadu laikā. Operators šādus pierādījumus iesniedz sākotnēji un turpmāk vismaz reizi trijos gados;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uz aprēķiniem balstīta metodoloģija ļauj noteikt emisijas no avotu plūsmām, pamatojoties uz darbības datiem, kas iegūti, izmantojot mērīšanas sistēmas, ar laboratoriskām analīzēm noteiktos papildu parametrus vai standartlielumus;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noteikumu projekta 9.1., 9.2. un 9.3. apakšpunktu, nedublējot attiecīgās regulas 21. panta 1. punktā ietverto regulējumu. Vēršam uzmanību, ka saskaņā ar Līguma par Eiropas Savienības darbību 288. panta otro daļu "regulas ir vispārpiemērojamas. Tās uzliek saistības kopumā un ir tieši piemērojamas visās dalībvalstīs." Regulas ir aizliegts pārņemt nacionālajos tiesību aktos un tās automātiski kļūst par nacionālās tiesību sistēmas sastāvdaļu. Regulu pārņemšanas aizliegums ir noteikts Eiropas Savienības Tiesas spriedumā lietā Nr. 39/72 Komisija pret Itāliju, kur tiesa noteica, ka regula automātiski ir nacionālās tiesiskās sistēmas sastāvdaļa. Tādēļ ir prettiesiski tādi nacionālie regulas normas īstenošanas mehānismi, kas rada šķēršļus regulas tiešam efektam un apdraud vienlaicīgu un vienādu tās piemērošanu Eiropas Savienībā. Līdzīgi lūdzam izvērtēt un svītrot noteikumu projekta 11. punktu un citas vienības, ja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Svītroti 9.1., 9.2. un 9.3. apakšpunkti. Pamatojums par 11. un citiem punktiem pie attiecīgajiem punktiem.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Dienests atļauj operatoram apvienot uz aprēķiniem balstītās metodoloģijas standarta metodi, masas bilances metodi un uz mērījumiem balstīto metodoloģiju dažādiem emisiju avotiem un avotu plūsmām no vienas iekārtas, ja pēc šādas apvienošanas nerodas neuzskaitītas emisijas vai dubulta emisiju uzskaite.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skaidrot, vai normā norādītā dienesta atļauja apvienot tiek izsniegta atsevišķi no šo noteikumu 4. punktā minētās atļaujas, vai precizēt normu, paredzot, ka operators var apvienot attiecīgo metodi un metodoloģiju.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10. punkts precizēts, lai neradītu pārpratumu, ka Valsts vides dienests izdod atsevišķu atļauju metodoloģiju apvienošanai. Precizētajā redakcijā noteikts, ka operators monitoringa plānā var paredzēt uz aprēķiniem balstītās metodoloģijas, tai skaitā standarta metodes un masas bilances metodes, un uz mērījumiem balstītās metodoloģijas apvienošanu dažādiem emisiju avotiem un avotu plūsmām vienā iekārtā, ja pēc šādas apvienošanas nerodas neuzskaitītas emisijas vai dubulta emisiju uzskaite. Valsts vides dienests šādas metodoloģiju apvienošanas atbilstību izvērtē monitoringa plāna vai tā grozījumu apstiprināšanas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Operators monitoringa plānā var paredzēt uz aprēķiniem balstītās metodoloģijas, tai skaitā standarta metodes un masas bilances metodes, un uz mērījumiem balstītās metodoloģijas apvienošanu dažādiem emisiju avotiem un avotu plūsmām vienā iekārtā, ja pēc šādas apvienošanas nerodas neuzskaitītas emisijas vai dubulta emisiju uzskaite. Dienests izvērtē šādas metodoloģiju apvienošanas atbilstību, izskatot monitoringa plānu vai tā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operators neizvēlas uz mērījumiem balstīto metodoloģiju, tas savas iekārtas darbībai piemēro uz aprēķiniem balstītu metodoloģiju, kas norādīta regulas Nr.  2018/2066 IV pielikumā, izņemot gadījumu, ja operators atļaujas iesniegumā dienestam pietiekami pamato, ka šīs metodoloģijas izmantošana nav tehniski iespējama, rada nesamērīgas izmaksas vai cita metodoloģija nodrošina augstāku vispārējo emisiju datu pareizību.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11. punktā norādīt arī uz gadījumiem, kad piemēro regulas IV pielikumā minēto metodoloģiju, ņemot vērā, ka no attiecīgās regulas vienības neizriet, ka IV  pielikumā minēto metodoloģiju piemēro visos gadījumos, kā alternatīvu uz mērījumiem balstītai metodoloģijai, bet gan IV pielikumā izklāstīto nozarēm specifisko prasību dēļ.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 punkts svītrots, lai nedublētu Regulas Nr. 2018/2066 21. pantā ietverto regulējumu par monitoringa metodoloģijas izvēli un piemērošanu. Vienlaikus ņemts vērā, ka Regulas Nr. 2018/2066 IV pielikumā ir ietvertas nozarēm specifiskas prasības, kas piemērojamas attiecīgajām darbībām un avotu plūsmām, nevis vispārīga alternatīva uz mērījumiem balstītai metodoloģijai visos gadījumos. Tādējādi novērsta regulas normu dublēšana un iespējamā neprecizitāte par Regulas Nr. 2018/2066 IV pielikuma piemērošanas tvērumu.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Ja operators atļaujas iesniegumā vai tā pielikumos iekļautajai informācijai ir piešķīris komercnoslēpuma statusu, operators šo informāciju iesniedz atsevišķi, pievienojot attiecīgu norādi par komercnoslēpuma statusa piešķiršanu.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vai svītrot normu, nedublējot Komercnoslēpuma aizsardzības likuma 6. panta pirmajā daļā noteikto. Līdzīgi lūdzam izvērtēt un precizēt vai svītrot citas noteikumu projekta vienības, piemēram, 86.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lai nedublētu Komercnoslēpuma aizsardzības likuma 6. panta pirmajā daļā noteikto par komercnoslēpuma norādīšanu, nododot informāciju iestādei.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izvērtēti citi punkti, tai skaitā minētais 86. punkts, un tās precizētas pēc tāda paša principa, saglabājot tikai tehniski nepieciešamo prasību par komercnoslēpumu saturošās informācijas atsevišķu identificēšanu, nepārņemot Komercnoslēpuma aizsardzības likuma regulējumu.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Ja operators atļaujas iesniegumā vai tā pielikumos iekļauj informāciju, kuru tas norāda kā komercnoslēpumu Komercnoslēpuma aizsardzības likuma izpratnē, operators šo informāciju iesniedz atsevišķi vai nodala tā, lai dienests varētu identificēt komercnoslēpumu saturošo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Vienlaikus ar atļaujas iesniegumu operators iesniedz iesniegumu par nepieciešamajiem grozījumiem atļaujā A vai B kategorijas piesārņojošas darbības veikšanai vai par izmaiņām C kategorijas piesārņojošā darbībā vai iesniedz iesniegumu atļaujas saņemšanai A vai B kategorijas piesārņojošai darbībai, vai paziņo par C kategorijas piesārņojošas darbības veikšanu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konkrētais regulējums nav ietverams tieši normatīvajos aktos, kuri nosaka atļauju izsniegšanu piesārņojošas darbības veikšanai, nepieciešamības gadījumā svītrojot noteikumu projekta 20., 21., . Alternatīvi aicinām attiecīgās normas redakcionāli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"Atļaujas iesniegumu operators iesniedz vienlaikus ar iesniegumu par nepieciešamajiem grozījumiem atļaujā A vai B kategorijas piesārņojošas darbības veikšanai vai par izmaiņām C kategorijas piesārņojošā darbībā vai iesniedz iesniegumu atļaujas saņemšanai A vai B kategorijas piesārņojošai darbībai, vai paziņo par C kategorijas piesārņojošas darbības veikšanu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Attiecīgajā punktā ņemta vērā iebildumā 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Atļaujas iesniegumu operators iesniedz dienestā vienlaikus ar iesniegumu par nepieciešamajiem grozījumiem atļaujā A vai B kategorijas piesārņojošas darbības veikšanai vai par izmaiņām C kategorijas piesārņojošā darbībā, vai iesniedz iesniegumu atļaujas saņemšanai A vai B kategorijas piesārņojošai darbībai, vai paziņo par C kategorijas piesārņojošas darbības veikšanu šādos gadījumos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Ja operators nav ievērojis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minētos nosacījumus, dienests 10 darbdienu laikā pieņem lēmumu par atļaujas A vai B kategorijas piesārņojošas darbības veikšanai izsniegšanas vai pārskatīšanas procedūras uzsākšanu un informē par to attiecīgo operatoru.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atskaites punktu 10 darbdienu termiņa aprēķināšanai, tādējādi nodrošinot nepārprotamu attiecīgās normas izteiksmi.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20. punkts (bij. 21. punkts) precizēts, norādot 10 darbdienu termiņa aprēķināšanas atskaites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Dienests konstatē, ka operators nav ievērojis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minētos nosacījumus, dienests 10 darbdienu laikā no minētā fakta konstatēšanas dienas pieņem lēmumu par atļaujas A vai B kategorijas piesārņojošas darbības veikšanai izsniegšanas vai pārskatīšanas procedūras uzsākšanu un informē par to attiecīgo operatoru.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Regulas Nr. 2018/2066 69. panta 2. un 3. punktā noteikto informāciju operators dienestā iesniedz šādos termiņos: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iespēju robežās izvairīties no regulas prasību pārrakstīšanas, tā vietā 33. punktā norādot, ka attiecīgā informācija (to identificējot) iesniedzama attiecīgajā regulas vienībā norādītajos termiņos.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32. punkts (bij. 33. punkts) precizēts, nosakot, ka operators Regulas Nr. 2018/2066 69. panta 2. un 3. punktā minēto informāciju iesniedz Dienestam šajos punktos noteiktajos termiņos. Vienlaikus svītrots 32.1., 32.2. un 32.3. apakšpunkts, kuros bija atkārtoti noteikts informācijas iesniegšanas biežums A, B un C kategorijas iekārtām un iesniegšanas termiņš līdz attiecīgā gada 30. jūnijam. Tādējādi novērsta tieši piemērojamās regulas prasību dublēšana.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Operators regulas Nr. 2018/2066 69. panta 2. un 3. punktā minēto informāciju iesniedz dienestam šajos punktos noteiktajos termiņos.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Šo noteikumu </w:t>
            </w:r>
            <w:r w:rsidR="00000000" w:rsidRPr="00000000" w:rsidDel="00000000">
              <w:rPr>
                <w:rtl w:val="0"/>
              </w:rPr>
              <w:t xml:space="preserve">34. </w:t>
            </w:r>
            <w:r w:rsidR="00000000" w:rsidRPr="00000000" w:rsidDel="00000000">
              <w:rPr>
                <w:rtl w:val="0"/>
              </w:rPr>
              <w:t xml:space="preserve">punktā</w:t>
            </w:r>
            <w:r w:rsidR="00000000" w:rsidRPr="00000000" w:rsidDel="00000000">
              <w:rPr>
                <w:rtl w:val="0"/>
              </w:rPr>
              <w:t xml:space="preserve"> minēto informāciju dienests izvērtē 25 darbdienu laikā un pieņem bez iebildumiem, ja atzīst to par pamatotu, vai informē operatoru par nepieciešamajiem grozījumiem, nosakot termiņu, līdz kuram operatoram tie ir jāveic.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atskaites punktu 25 darbdienu aprēķināšanai, tādējādi nodrošinot attiecīgās normas nepārprotamu izteiksmi. Līdzīgi aicinām precizēt noteikumu projekta 27., 39., 47., 51., 92. punktu un citas vienības līdzīgos gadījumos.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Noteikumu projekta 34. punkts (bij. 35. punkts) precizēts, nosakot, ka 25 darbdienu termiņu skaita no šo noteikumu 33. punktā minētās informācijas saņemšanas. Vienlaikus atbilstoši iebildumam izvērtēti citi līdzīgi noteikumu projekta punkti un tajos precizēti attiecīgo termiņu aprēķināšanas atskaites punkti.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Dienests 25 darbdienu laikā pēc šo noteikumu </w:t>
            </w:r>
            <w:r w:rsidR="00000000" w:rsidRPr="00000000" w:rsidDel="00000000">
              <w:rPr>
                <w:rtl w:val="0"/>
              </w:rPr>
              <w:t xml:space="preserve">33. </w:t>
            </w:r>
            <w:r w:rsidR="00000000" w:rsidRPr="00000000" w:rsidDel="00000000">
              <w:rPr>
                <w:rtl w:val="0"/>
              </w:rPr>
              <w:t xml:space="preserve">punktā</w:t>
            </w:r>
            <w:r w:rsidR="00000000" w:rsidRPr="00000000" w:rsidDel="00000000">
              <w:rPr>
                <w:rtl w:val="0"/>
              </w:rPr>
              <w:t xml:space="preserve"> minētās informācijas saņemšanas to izvērtē un pieņem bez iebildumiem, ja atzīst par pamatotu, vai informē operatoru par nepieciešamajiem grozījumiem, nosakot termiņu, līdz kuram operatoram tie jāveic.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36.4. ja mainītie emisiju aprēķina faktori nodrošinās emisiju noteikšanu ar lielāku precizitāti.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pamatot noteikumu projekta 36.4. apakšpunktā paredzēto pienākumu, ņemot vērā, ka pretēji pārējiem pamatiem grozījumu veikšanai iekārtas monitoringa plānā pirmšķietami minētajā apakšpunktā paredzētais pamats neizriet no Eiropas Savienības tiesību aktiem. Alternatīvi lūdzam svītrot noteikumu projekta 36.4.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svītrots. Regulas Nr. 2018/2066 14. panta 2. punkta “b” un “d” apakšpunkts jau paredz operatora pienākumu grozīt monitoringa plānu, ja datu pieejamības izmaiņas nodrošina lielāku emisiju noteikšanas precizitāti vai monitoringa plāna grozīšana uzlabo ziņoto datu precizitāti. Tā kā noteikumu projekta 35.2. apakšpunktā jau ir ietverta atsauce uz Regulas Nr. 2018/2066 14. panta 2. punktā noteiktajiem gadījumiem, atsevišķs regulējums par mainītiem emisiju aprēķina faktoriem dublēja minētās regulas prasības un varēja radīt neskaidrību par patstāvīga papildu pienākuma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Ja operators, kurš saskaņā ar izsniegto atļauju emisiju monitoringam izmanto vienkāršotu monitoringa plānu, pārsniedz regulas Nr. 2018/2066 47. panta 2. punktā noteiktās robežvērtības, operators kopā ar šo noteikumu </w:t>
            </w:r>
            <w:r w:rsidR="00000000" w:rsidRPr="00000000" w:rsidDel="00000000">
              <w:rPr>
                <w:rtl w:val="0"/>
              </w:rPr>
              <w:t xml:space="preserve">55. </w:t>
            </w:r>
            <w:r w:rsidR="00000000" w:rsidRPr="00000000" w:rsidDel="00000000">
              <w:rPr>
                <w:rtl w:val="0"/>
              </w:rPr>
              <w:t xml:space="preserve">punktā</w:t>
            </w:r>
            <w:r w:rsidR="00000000" w:rsidRPr="00000000" w:rsidDel="00000000">
              <w:rPr>
                <w:rtl w:val="0"/>
              </w:rPr>
              <w:t xml:space="preserve"> minēto emisiju ziņojumu iesniedz dienestā pamatojumu, saskaņā ar kuru attiecīgās robežvērtības pēdējo piecu ziņošanas gadu laikā nav tikušas pārsniegtas un tās netiks pārsniegtas, sākot no nākamā ziņošanas gada un turpmāk.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iespēju robežās izvairīties no regulas prasību pārrakstīšanas, tā vietā normā pēc vārda "iesniedz" atsaucoties uz minētās regulas 47. panta 8. punkta pirmajā daļā minēto informāciju un, ja attiecināms - 47. panta 8. punkta trešajā daļā minēto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45 (bij. 46.) punkts precizēts, svītrojot Regulas Nr. 2018/2066 47. panta 8. punkta prasību pārstāstu. Precizētajā redakcijā noteikts, ka operators bez nepamatotas kavēšanās iesniedz Dienestam Regulas Nr. 2018/2066 47. panta 8. punkta pirmajā un otrajā daļā minēto informāciju un monitoringa plāna grozījumus, bet, ja operators vēlas arī turpmāk izmantot vienkāršotu monitoringa plānu, — minētā punkta trešajā daļā paredzēto pamatojumu. Tādējādi novērsta tieši piemērojamās regulas prasību dublēšana un informācijas iesniegšanas termiņš salāgots ar regulā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Ja operators, kura iekārtai saskaņā ar izsniegto atļauju piemēro vienkāršotu monitoringa plānu, pārsniedz regulas Nr. 2018/2066 47. panta 2. punktā noteikto robežvērtību, operators bez nepamatotas kavēšanās iesniedz dienestam regulas Nr. 2018/2066 47. panta 8. punkta pirmajā un otrajā daļā minēto informāciju un monitoringa plāna grozījumus. Ja operators vēlas arī turpmāk izmantot vienkāršotu monitoringa plānu, tas iesniedz dienestam regulas Nr. 2018/2066 47. panta 8. punkta trešajā daļā minēto pamatojumu.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Dienests 20 darbdienu laikā izvērtē šo noteikumu </w:t>
            </w:r>
            <w:r w:rsidR="00000000" w:rsidRPr="00000000" w:rsidDel="00000000">
              <w:rPr>
                <w:rtl w:val="0"/>
              </w:rPr>
              <w:t xml:space="preserve">46. </w:t>
            </w:r>
            <w:r w:rsidR="00000000" w:rsidRPr="00000000" w:rsidDel="00000000">
              <w:rPr>
                <w:rtl w:val="0"/>
              </w:rPr>
              <w:t xml:space="preserve">punktā</w:t>
            </w:r>
            <w:r w:rsidR="00000000" w:rsidRPr="00000000" w:rsidDel="00000000">
              <w:rPr>
                <w:rtl w:val="0"/>
              </w:rPr>
              <w:t xml:space="preserve"> minēto pamatojumu un pieņem lēmumu atļaut operatoram arī turpmāk izmantot vienkāršotu monitoringa plānu vai pieņem lēmumu neapstiprināt iesniegto pamatojumu, uzdodot operatoram izstrādāt jaunus priekšlikumus monitoringa plānam.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47. un 51. punktu, jo 20 darbdienu termiņš atsevišķos mēnešos var pārsniegt Administratīvā procesa likumā noteikto viena mēneša termiņu, kurā iestādei jāpieņem administratīvais akts.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aktualizēto numerāciju, minētajos punktos termiņš aizstāts ar viena mēneša termiņu. Tas atbilst Administratīvā procesa likuma 64. panta pirmajai daļai, kas paredz administratīvo aktu izdot viena mēneša laikā no iesnieguma saņemšanas dienas, ja citā normatīvajā aktā nav noteikts īsāks termiņš.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Dienests mēneša laikā pēc šo noteikumu </w:t>
            </w:r>
            <w:r w:rsidR="00000000" w:rsidRPr="00000000" w:rsidDel="00000000">
              <w:rPr>
                <w:rtl w:val="0"/>
              </w:rPr>
              <w:t xml:space="preserve">45. </w:t>
            </w:r>
            <w:r w:rsidR="00000000" w:rsidRPr="00000000" w:rsidDel="00000000">
              <w:rPr>
                <w:rtl w:val="0"/>
              </w:rPr>
              <w:t xml:space="preserve">punktā</w:t>
            </w:r>
            <w:r w:rsidR="00000000" w:rsidRPr="00000000" w:rsidDel="00000000">
              <w:rPr>
                <w:rtl w:val="0"/>
              </w:rPr>
              <w:t xml:space="preserve"> minētā pamatojuma saņemšanas to izvērtē un pieņem lēmumu atļaut operatoram arī turpmāk izmantot vienkāršotu monitoringa plānu vai neapstiprināt iesniegto pamatojumu, uzdodot operatoram izstrādāt un iesniegt jaunu monitoringa plāna priekšlikumu.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Dienests ne retāk kā reizi piecos gados pārskata operatoriem izsniegtās atļaujas. Ja pēc pārbaudes dienests pieņem lēmumu par nepieciešamību veikt grozījumus atļaujā, tas 15 darbdienu laikā pēc lēmuma pieņemšanas par to rakstiski informē operatoru.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Lēmums par to, ka nepieciešami grozījumi atļaujā, tiek pieņemts administratīvā procesa ietvaros, līdz ar to atbilstoši Administratīvā procesa likuma 70. panta otrajai daļai šādu lēmumu operatoram paziņo.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47. (bij. 48.) punkts precizēts, svītrojot prasību 15 darbdienu laikā rakstiski informēt operatoru par pieņemto lēmumu. Tā vietā noteikts, ka lēmumu par nepieciešamību izdarīt grozījumus atļaujā Dienests paziņo operatoram Paziņošanas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Dienests ne retāk kā reizi piecos gados pārskata operatoriem izsniegtās atļaujas. Ja atļaujas pārskatīšanas rezultātā dienests pieņem lēmumu par nepieciešamību izdarīt grozījumus atļaujā, dienests šo lēmumu paziņo operatoram Paziņošanas likumā noteiktajā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52.5. operatoram izsniegtā A vai B kategorijas piesārņojošas darbības atļauja ir atcelta saskaņā ar likumu vai saskaņā ar normatīvajiem aktiem par kārtību, kādā piesakāmas A, B un C kategorijas piesārņojošas darbības un izsniedzamas atļaujas A un B kategorijas piesārņojošo darbību veikšanai, vai operatoram izsniegtā A vai B kategorijas piesārņojošas darbības atļauja saskaņā ar Administratīvā procesa likumu ir zaudējusi spēku;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projekta 52.5. apakšpunkta normu, ņemot vērā Administratīvā procesa likuma 70. panta trešajā daļā noteikto, proti, administratīvais akts ir spēkā tik ilgi, līdz to atceļ, izpilda vai vairs nevar izpildīt sakarā ar faktisko vai tiesisko apstākļu maiņu. Piemēram, ja administratīvais akts ir izpildīts, tas zaudē spēku un to vairs nevar atcelt.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precizēts, nošķirot atļaujas atcelšanu no tās spēka zaudēšanas.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51.5. operatoram izsniegtā A vai B kategorijas piesārņojošas darbības atļauja ir atcelta vai zaudējusi spēku;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Operators darbības un emisijas monitoringa rezultātus norāda darbības līmeņa ziņojumā. Darbības līmeņa ziņojumu sagatavo, ietverot informāciju, kas iekļauta darbības līmeņa ziņojuma iesniegšanai izstrādātajās Eiropas Komisijas publicētajās elektroniskajās veidnēs un ņemot vērā Eiropas Komisijas 2019. gada 31. oktobra Īstenošanas regulas (ES) 2019/1842, ar ko nosaka noteikumus Eiropas Parlamenta un Padomes Direktīvas 2003/87/EK piemērošanai attiecībā uz sīkāku kārtību, kā izdarāmi bezmaksas emisijas kvotu iedales pielāgojumi sakarā ar darbības līmeņa izmaiņām (turpmāk – regula Nr. 2019/1842), 3. panta otrajā daļā noteikto darbības līmeņa minimālo saturu.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Eiropas Komisijas publicēto elektronisko veidņu pieejamību un saistošo spēku attiecībā uz operatoriem (proti, vai tās ietvertas regulās), nepieciešamības gadījumā svītrojot noteikumu projektā ietvertās atsauces uz minēto veidni, pamatojoties uz Ministru kabineta 2009. gada 3. februāra noteikumi Nr. 108 "Normatīvo aktu projektu sagatavošanas noteikumi" 131. punktu, nodrošinot šīs veidnes pārņemšanu. Līdzīgi lūdzam skaidrot un nepieciešamības gadījumā svītrot noteikumu projekta 77. punktā ietverto atsauci uz Latvijas Nacionālā akreditācijas biroja noteikumiem un rekomendācijām.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punktā svītrota atsauce uz darbības līmeņa ziņojuma iesniegšanai izstrādātajām Eiropas Komisijas publicētajām elektroniskajām veidnēm. Precizētajā redakcijā noteikts, ka darbības līmeņa ziņojumu sagatavo atbilstoši Regulas Nr. 2019/1842 3. panta 2. punktā noteiktajām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projekta 76. (bij. 77.) punktā svītrota atsauce uz Latvijas Nacionālā akreditācijas biroja noteikumiem un rekomendācijām.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Operators darbības un emisiju monitoringa rezultātus norāda darbības līmeņa ziņojumā. Darbības līmeņa ziņojumu sagatavo, ietverot informāciju, kas iekļauta darbības līmeņa ziņojuma iesniegšanai izstrādātajās Eiropas Komisijas publicētajās elektroniskajās veidnēs, un ņemot vērā Eiropas Komisijas 2019. gada 31. oktobra Īstenošanas regulas (ES) 2019/1842, ar ko nosaka noteikumus Eiropas Parlamenta un Padomes Direktīvas 2003/87/EK piemērošanai attiecībā uz sīkāku kārtību, kā izdarāmi bezmaksas emisijas kvotu iedales pielāgojumi sakarā ar darbības līmeņa izmaiņām (turpmāk – regula Nr. 2019/1842), 3. panta 2. punktā noteikto gada darbības līmeņa ziņojuma minimālo saturu.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61.5. verificētājs pārzina normatīvajos aktos noteiktās prasības attiecībā uz verificējamām darbībām un informācijas sagatavošanas procedūru attiecībā uz katru emisijas avotu iekārtā, īpaši attiecībā uz datu apkopošanu, mērīšanu, aprēķiniem un ziņojuma 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atbilstoši juridiskās tehnikas prasībām norādot konkrētu normatīvo aktu 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apakšpunktā vispārīgā norāde uz normatīvajiem aktiem precizēta, nosakot, ka verificētājam jāpārzina normatīvajos aktos par Eiropas Savienības emisijas kvotu tirdzniecības sistēmas monitoringu, ziņošanu un verifikāciju noteiktās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Verificētājs verifikācijas ziņojumā norāda tā atbilstību šādiem principiem – pilnīgums, konsekvence, pārredzamība, pareizība, izmaksu lietderība un ticamība – un sniedz apmierinošu verifikācijas atzinumu (verificē operatora sagatavoto emisiju ziņojumu),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73. punktā pieturzīmi iekavas aizstāt ar pieturzīmi domuzīme vai iekavas, jo iekavās ietvertais teksts ir būtisks tiesību normas piemērošanā. Norādām, ka iekavās ietvertie skaidrojumi un precizējumi var padarīt tiesību aktu neskaidru un var sašaurināt vai paplašināt tiesību normas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iebildumam labota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Valsts aģentūra "Latvijas Nacionālais akreditācijas birojs" (turpmāk - Latvijas Nacionālais akreditācijas birojs) saskaņā ar normatīvajiem aktiem par atbilstības novērtēšanas institūciju novērtēšanu, akreditāciju un uzraudzību, izmantojot Latvijas Nacionālā akreditācijas biroja noteikumus un rekomendācijas, kā arī ņemot vērā regulā Nr. 2018/2067 noteiktos kritērijus, novērtē verificētāju.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noteikuma projekta punktu un izteikt to tādā redakcijā, kas horizontāli tiek lietota atbilstības novērtēšanas jomā. Vienlaikus norādām, ka Latvijas Nacionālā akreditācijas biroja noteikumu un rekomendāciju izmantošana ir jau noteikta normatīvajā aktā par atbilstības novērtēšanas institūciju novērtēšanu, akreditāciju un uzraudzību, proti, Ministru kabineta noteikumi Nr. 754. Papildus aicinām apvienot šo punktu ar projekta 79.punktu.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aģentūra "Latvijas Nacionālais akreditācijas birojs" (turpmāk - Latvijas Nacionālais akreditācijas birojs) novērtē, akreditē un uzrauga verificētāju saskaņā ar normatīvajiem aktiem par atbilstības novērtēšanas institūciju novērtēšanu, akreditāciju un uzraudzību un regulas Nr. 2018/2067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Ņemta vērā iebildumā 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Valsts aģentūra "Latvijas Nacionālais akreditācijas birojs" (turpmāk - Latvijas Nacionālais akreditācijas birojs) novērtē, akreditē un uzrauga verificētāju saskaņā ar normatīvajiem aktiem par atbilstības novērtēšanas institūciju novērtēšanu, akreditāciju un uzraudzību un regulas Nr. 2018/2067 prasībām.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Latvijas Nacionālais akreditācijas birojs, akreditējot verificētāju likuma 2. pielikuma I. sadaļā minēto darbību verificēšanai, apliecina, ka verificētājs atbilst regulā Nr. 2018/2067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šāda punkta iekļaušana projektā nav nepieciešama, jo tā pēc būtības dublē 77.punktā noteikto.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Latvijas Nacionālais akreditācijas birojs veic katra akreditētā verificētāja ikgadējo uzraudzību saskaņā ar regulas Nr. 2018/2067 50.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77.punktā izteikto iebildumu.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Operators, dienests vai ministrija ir tiesīga iesniegt Latvijas Nacionālajā akreditācijas birojā sūdzību par Latvijā akreditētu verificētāju, un Latvijas Nacionālais akreditācijas birojs to izskata regulas Nr. 2018/2067 62. pantā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Eiropas Parlamenta un Padomes 2008. gada 9. jūlija Regulu (EK) Nr. 765/2008 un tā piemērojamo standartu LVS EN ISO/IEC 17011:2017, akreditācijas birojam ir jāizveido sūdzību izskatīšanas kārtību, kas izpilda minētā standarta prasības un atbilstoši izstrādātai kārtībai jāizskata saņemtās sūdzības. Tādēļ akreditācijas birojs pieņem un izskata pamatotas sūdzības par to akreditētām atbilstības novērtēšanas institūcijām no jebkuras personas. Ņemot vērā minēto, lūdzam svītrot minēto punktu, jo tas noregulēts citā normatīvā aktā.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 atbilstoši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Latvijas Nacionālais akreditācijas birojs normatīvajos aktos par atbilstības novērtēšanas institūciju novērtēšanu, akreditāciju un uzraudzību noteiktajā kārtībā pieņem lēmumu par verificētāja akreditācijas atcelšanu, apturēšanu vai akreditācijas jomas samazināšanu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regulējumu, paredzot kurā gadījumā verificētāja akreditāciju aptur, kurā atceļ un kurā - samazina akreditācijas jomas.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punkta regulējums kopumā, grozīta tā redakcija. Verificētāja akreditācijas apturēšanas, atcelšanas un akreditācijas jomas samazināšanas pamati un kārtība ir tieši noteikta Regulas Nr. 2018/2067 54. pantā. Tādējādi novērsta tieši piemērojamās regulas prasību dublēšana un iespējamā neatbilstība regulā noteiktajiem katra administratīvā pasākuma piemērošanas pamatiem.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Latvijas Nacionālais akreditācijas birojs lēmumu par verificētāja akreditācijas apturēšanu vai atcelšanu vai akreditācijas jomas samazināšanu pieņem regulas Nr. 2018/2067 54. pantā un normatīvajos aktos par atbilstības novērtēšanas institūciju novērtēšanu, akreditāciju un uzraudzību noteiktajā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Latvijas Nacionālais akreditācijas birojs normatīvajos aktos par atbilstības novērtēšanas institūciju novērtēšanu, akreditāciju un uzraudzību noteiktajā kārtībā pieņem lēmumu par verificētāja akreditācijas atcelšanu, apturēšanu vai akreditācijas jomas samazināšanu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akreditācijas biroja lēmumu pieņemšanas process noteikts, gan Ministru kabineta 2023. gada 19. decembra noteikumos Nr. 754, gan Eiropas Parlamenta un Padomes 2008. gada 9. jūlija Regulā (EK) Nr. 765/2008 un tās piemērojamā standartā LVS EN ISO/IEC 17011:2017. Tādēļ, lai nedublētu normatīvo aktu prasības, lūdzam svītrot minēto projekta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punkta regulējums kopumā, apakšpunkti svītroti, jo verificētāja akreditācijas apturēšanas, atcelšanas un akreditācijas jomas samazināšanas pamati un kārtība ir tieši noteikta Regulas Nr. 2018/2067 54. pantā. Tādējādi novērsta tieši piemērojamās regulas prasību dublēšana un iespējamā neatbilstība regulā noteiktajiem katra administratīvā pasākuma piemērošanas pamatiem.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Latvijas Nacionālais akreditācijas birojs lēmumu par verificētāja akreditācijas apturēšanu vai atcelšanu vai akreditācijas jomas samazināšanu pieņem regulas Nr. 2018/2067 54. pantā un normatīvajos aktos par atbilstības novērtēšanas institūciju novērtēšanu, akreditāciju un uzraudzību noteiktajā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83.3. izvērtējot šo noteikumu </w:t>
            </w:r>
            <w:r w:rsidR="00000000" w:rsidRPr="00000000" w:rsidDel="00000000">
              <w:rPr>
                <w:rtl w:val="0"/>
              </w:rPr>
              <w:t xml:space="preserve">82. </w:t>
            </w:r>
            <w:r w:rsidR="00000000" w:rsidRPr="00000000" w:rsidDel="00000000">
              <w:rPr>
                <w:rtl w:val="0"/>
              </w:rPr>
              <w:t xml:space="preserve">punktā</w:t>
            </w:r>
            <w:r w:rsidR="00000000" w:rsidRPr="00000000" w:rsidDel="00000000">
              <w:rPr>
                <w:rtl w:val="0"/>
              </w:rPr>
              <w:t xml:space="preserve"> minēto sūdzību, konstatēts, ka verificētājs ir nopietni pārkāpis vai atkārtoti nav ievērojis regulas Nr. 2018/2067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83.3. apakšpunktā minētais pamats (pirmšķietami arī 83.1. un 83.2. apakšpunktā minētie pamati) izriet no attiecīgās regulas 54. panta 2. un 3. punkta, kur katrs no abiem punktiem paredz pamatu attiecīgi akreditācijas apturēšanai vai akreditācijas jomas samazināšanai, vai atcelšanai tādēļ lūdzam izvērtēt un noteikumu projektā atsaukties vienīgi uz minētajiem punktiem, izvairoties no dublēšanas. Norādām, ka no noteikumu projekta arī neizriet, kādēļ vienā gadījumā attiecīgs lēmums pieņemams nopietna regulas pārkāpuma vai atkārtota pārkāpuma gadījumā, citā gadījumā būtiska pārkāpuma, bet vēl citā pietiek ar jebkura regulas noteikuma neievērošanu, tādēļ nepieciešams izvērtēt un attiecīgi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punkts svītrots. Ņemot vērā noteikumu projekta punktu par akreditēto verificētāju ikgadējo uzraudzību un punktu par sūdzību iesniegšanu svītrošanu, apakšpunktā ietvertās atsauces vairs nav piemērojamas. Vienlaikus izvērtēts bij. 83. punkta regulējums kopumā ar apakšpunktiem, svītrojot apakšpunktus, jo verificētāja akreditācijas apturēšanas, atcelšanas un akreditācijas jomas samazināšanas pamati un kārtība ir tieši noteikta Regulas Nr. 2018/2067 54. pantā. Tādējādi novērsta tieši piemērojamās regulas prasību dublēšana un iespējamā neatbilstība regulā noteiktajiem katra administratīvā pasākuma piemērošanas pamatiem.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Šo noteikumu </w:t>
            </w:r>
            <w:r w:rsidR="00000000" w:rsidRPr="00000000" w:rsidDel="00000000">
              <w:rPr>
                <w:rtl w:val="0"/>
              </w:rPr>
              <w:t xml:space="preserve">83. </w:t>
            </w:r>
            <w:r w:rsidR="00000000" w:rsidRPr="00000000" w:rsidDel="00000000">
              <w:rPr>
                <w:rtl w:val="0"/>
              </w:rPr>
              <w:t xml:space="preserve">punktā</w:t>
            </w:r>
            <w:r w:rsidR="00000000" w:rsidRPr="00000000" w:rsidDel="00000000">
              <w:rPr>
                <w:rtl w:val="0"/>
              </w:rPr>
              <w:t xml:space="preserve"> minēto lēmumu par verificētāja akreditācijas atsaukšanu, apturēšanu vai akreditācijas jomas samazināšanu Latvijas Nacionālais akreditācijas birojs nosūta lēmuma adresātam un informāciju par lēmuma pieņemšanu publicē savā tīmekļvietnē.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84. punktu atbilstoši Administratīvā procesa likuma 70. panta otrajā daļā noteiktajam, ka administratīvo aktu adresātam paziņo, nevis nosūta.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punkta redakcija precizēta.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Latvijas Nacionālais akreditācijas birojs šo noteikumu </w:t>
            </w:r>
            <w:r w:rsidR="00000000" w:rsidRPr="00000000" w:rsidDel="00000000">
              <w:rPr>
                <w:rtl w:val="0"/>
              </w:rPr>
              <w:t xml:space="preserve">73. </w:t>
            </w:r>
            <w:r w:rsidR="00000000" w:rsidRPr="00000000" w:rsidDel="00000000">
              <w:rPr>
                <w:rtl w:val="0"/>
              </w:rPr>
              <w:t xml:space="preserve">punktā</w:t>
            </w:r>
            <w:r w:rsidR="00000000" w:rsidRPr="00000000" w:rsidDel="00000000">
              <w:rPr>
                <w:rtl w:val="0"/>
              </w:rPr>
              <w:t xml:space="preserve"> minēto lēmumu paziņo tā adresātam Paziņošanas likumā noteiktajā kārtībā un informāciju par lēmuma pieņemšanu publicē savā tīmekļvietnē.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Šo noteikumu </w:t>
            </w:r>
            <w:r w:rsidR="00000000" w:rsidRPr="00000000" w:rsidDel="00000000">
              <w:rPr>
                <w:rtl w:val="0"/>
              </w:rPr>
              <w:t xml:space="preserve">83. </w:t>
            </w:r>
            <w:r w:rsidR="00000000" w:rsidRPr="00000000" w:rsidDel="00000000">
              <w:rPr>
                <w:rtl w:val="0"/>
              </w:rPr>
              <w:t xml:space="preserve">punktā</w:t>
            </w:r>
            <w:r w:rsidR="00000000" w:rsidRPr="00000000" w:rsidDel="00000000">
              <w:rPr>
                <w:rtl w:val="0"/>
              </w:rPr>
              <w:t xml:space="preserve"> minēto lēmumu par verificētāja akreditācijas atsaukšanu, apturēšanu vai akreditācijas jomas samazināšanu Latvijas Nacionālais akreditācijas birojs nosūta lēmuma adresātam un informāciju par lēmuma pieņemšanu publicē savā tīmekļvietnē.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iebildumu par projekta 83.punktu.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punkta redakcija precizēta.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Latvijas Nacionālais akreditācijas birojs šo noteikumu </w:t>
            </w:r>
            <w:r w:rsidR="00000000" w:rsidRPr="00000000" w:rsidDel="00000000">
              <w:rPr>
                <w:rtl w:val="0"/>
              </w:rPr>
              <w:t xml:space="preserve">73. </w:t>
            </w:r>
            <w:r w:rsidR="00000000" w:rsidRPr="00000000" w:rsidDel="00000000">
              <w:rPr>
                <w:rtl w:val="0"/>
              </w:rPr>
              <w:t xml:space="preserve">punktā</w:t>
            </w:r>
            <w:r w:rsidR="00000000" w:rsidRPr="00000000" w:rsidDel="00000000">
              <w:rPr>
                <w:rtl w:val="0"/>
              </w:rPr>
              <w:t xml:space="preserve"> minēto lēmumu paziņo tā adresātam Paziņošanas likumā noteiktajā kārtībā un informāciju par lēmuma pieņemšanu publicē savā tīmekļvietnē.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Latvijas Nacionālais akreditācijas birojs atjauno tā verificētāja akreditāciju, kura apturēta saskaņā ar šo noteikumu </w:t>
            </w:r>
            <w:r w:rsidR="00000000" w:rsidRPr="00000000" w:rsidDel="00000000">
              <w:rPr>
                <w:rtl w:val="0"/>
              </w:rPr>
              <w:t xml:space="preserve">83. </w:t>
            </w:r>
            <w:r w:rsidR="00000000" w:rsidRPr="00000000" w:rsidDel="00000000">
              <w:rPr>
                <w:rtl w:val="0"/>
              </w:rPr>
              <w:t xml:space="preserve">punktā</w:t>
            </w:r>
            <w:r w:rsidR="00000000" w:rsidRPr="00000000" w:rsidDel="00000000">
              <w:rPr>
                <w:rtl w:val="0"/>
              </w:rPr>
              <w:t xml:space="preserve"> minēto lēmumu,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Līguma par Eiropas Savienības darbību 288. pants satur tai skaitā aizliegumu pārrakstīt un interpretēt regulu normas dalībvalstu nacionālajos tiesību aktos. Vienlaikus Eiropas Savienības Tiesa ir atzinusi, ka, gadījumos, ja regula prasa tās piemērošanai nepieciešamu nacionālā tiesību akta pieņemšanu, izņēmuma gadījumos tomēr var tikt pieļauta regulu teksta daļu inkorporēšana nacionālajos tiesību aktos. Šāds gadījums var tikt pamatots vienīgi ar indivīdu interesēm saņemt tiem adresētu saskaņotu un labi uztveramu tiesību aktu, un regulu tiešā piemērojamība nepieļauj citus izņēmumu. Ievērojot minēto, ja noteikumu projekta 32., 85. punktā u.c. līdzīgos gadījumos, nolūkā nodrošināt saskaņotu un labi uztveramu tiesību aktu ,nepieciešams izņēmuma kārtā inkorporēt daļu no attiecīgo regulu prasībām, lūdzam noteikumu projekta anotācijā sniegt tam attiecīgu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punkts un tā apakšpunkti svītroti, jo verificētāja akreditācijas apturēšanas izbeigšanas nosacījumi ir tieši noteikti Regulas Nr. 2018/2067 54. panta 5. punktā. Tādējādi novērsta tieši piemērojamās regulas prasību dublēšana.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precizētais 32. punkts vairs nepārraksta regulas prasības, bet tikai norāda, ka attiecīgā informācija iesniedzama dienestam regulā noteiktajos termiņos, tādēļ tam šāds papildu pamatojums anotācijā nav nepieciešams.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Latvijas Nacionālais akreditācijas birojs atjauno tā verificētāja akreditāciju, kura apturēta saskaņā ar šo noteikumu </w:t>
            </w:r>
            <w:r w:rsidR="00000000" w:rsidRPr="00000000" w:rsidDel="00000000">
              <w:rPr>
                <w:rtl w:val="0"/>
              </w:rPr>
              <w:t xml:space="preserve">83. </w:t>
            </w:r>
            <w:r w:rsidR="00000000" w:rsidRPr="00000000" w:rsidDel="00000000">
              <w:rPr>
                <w:rtl w:val="0"/>
              </w:rPr>
              <w:t xml:space="preserve">punktā</w:t>
            </w:r>
            <w:r w:rsidR="00000000" w:rsidRPr="00000000" w:rsidDel="00000000">
              <w:rPr>
                <w:rtl w:val="0"/>
              </w:rPr>
              <w:t xml:space="preserve"> minēto lēmumu,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iebildumu par projketa 83.punktu.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punkts un tā apakšpunkti svītroti, jo verificētāja akreditācijas apturēšanas izbeigšanas nosacījumi ir tieši noteikti Regulas Nr. 2018/2067 54. panta 5. punktā. Tādējādi novērsta tieši piemērojamās regulas prasību dublēšana.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precizētais 32. punkts vairs nepārraksta regulas prasības, bet tikai norāda, ka attiecīgā informācija iesniedzama dienestam regulā noteiktajos termiņos, tādēļ tam šāds papildu pamatojums anotācijā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Operators katru gadu līdz 15. martam dienestā iesniedz šo noteikumu </w:t>
            </w:r>
            <w:r w:rsidR="00000000" w:rsidRPr="00000000" w:rsidDel="00000000">
              <w:rPr>
                <w:rtl w:val="0"/>
              </w:rPr>
              <w:t xml:space="preserve">55.</w:t>
            </w:r>
            <w:r w:rsidR="00000000" w:rsidRPr="00000000" w:rsidDel="00000000">
              <w:rPr>
                <w:rtl w:val="0"/>
              </w:rPr>
              <w:t xml:space="preserve"> punktā minēto emisiju ziņojumu un </w:t>
            </w:r>
            <w:r w:rsidR="00000000" w:rsidRPr="00000000" w:rsidDel="00000000">
              <w:rPr>
                <w:rtl w:val="0"/>
              </w:rPr>
              <w:t xml:space="preserve">58. </w:t>
            </w:r>
            <w:r w:rsidR="00000000" w:rsidRPr="00000000" w:rsidDel="00000000">
              <w:rPr>
                <w:rtl w:val="0"/>
              </w:rPr>
              <w:t xml:space="preserve">punktā</w:t>
            </w:r>
            <w:r w:rsidR="00000000" w:rsidRPr="00000000" w:rsidDel="00000000">
              <w:rPr>
                <w:rtl w:val="0"/>
              </w:rPr>
              <w:t xml:space="preserve"> minēto darbības līmeņa ziņojumu un atbilstošus verifikācijas ziņojumus, un šo noteikumu </w:t>
            </w:r>
            <w:r w:rsidR="00000000" w:rsidRPr="00000000" w:rsidDel="00000000">
              <w:rPr>
                <w:rtl w:val="0"/>
              </w:rPr>
              <w:t xml:space="preserve">56. </w:t>
            </w:r>
            <w:r w:rsidR="00000000" w:rsidRPr="00000000" w:rsidDel="00000000">
              <w:rPr>
                <w:rtl w:val="0"/>
              </w:rPr>
              <w:t xml:space="preserve">punktā</w:t>
            </w:r>
            <w:r w:rsidR="00000000" w:rsidRPr="00000000" w:rsidDel="00000000">
              <w:rPr>
                <w:rtl w:val="0"/>
              </w:rPr>
              <w:t xml:space="preserve"> minēto informāciju un to pamatojošu dokumentāciju  un atbilstošu verifikācijas ziņojumu, norādot kura ziņojumos iekļautā informācija ir klasificējama kā komercnoslēpums.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projektu, nedublējot likumā "Par piesārņojumu" ietverto tiesisko regulējumu. Tostarp lūdzam noteikumu projekta 86. un 87. punktā nedublēt minētā likuma 32.</w:t>
            </w:r>
            <w:r w:rsidR="00000000" w:rsidRPr="00000000" w:rsidDel="00000000">
              <w:rPr>
                <w:vertAlign w:val="superscript"/>
                <w:rtl w:val="0"/>
              </w:rPr>
              <w:t xml:space="preserve">21</w:t>
            </w:r>
            <w:r w:rsidR="00000000" w:rsidRPr="00000000" w:rsidDel="00000000">
              <w:rPr>
                <w:rtl w:val="0"/>
              </w:rPr>
              <w:t xml:space="preserve"> panta septītajā daļā ietverto regulējumu, attiecīgi precizējot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Minētais punkts svītrots, jo likuma “Par piesārņojumu” 32.</w:t>
            </w:r>
            <w:r w:rsidR="00000000" w:rsidRPr="00000000" w:rsidDel="00000000">
              <w:rPr>
                <w:vertAlign w:val="superscript"/>
                <w:rtl w:val="0"/>
              </w:rPr>
              <w:t xml:space="preserve">21 </w:t>
            </w:r>
            <w:r w:rsidR="00000000" w:rsidRPr="00000000" w:rsidDel="00000000">
              <w:rPr>
                <w:rtl w:val="0"/>
              </w:rPr>
              <w:t xml:space="preserve">panta sestajā, septītajā un astotajā daļā jau ir noteikti sagatavojamie un verificējamie ziņojumi, to iesniegšana dienestam un iesniegšanas termiņš līdz 15. martam.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Ja operators izbeidz darbību, šo noteikumu </w:t>
            </w:r>
            <w:r w:rsidR="00000000" w:rsidRPr="00000000" w:rsidDel="00000000">
              <w:rPr>
                <w:rtl w:val="0"/>
              </w:rPr>
              <w:t xml:space="preserve">87. </w:t>
            </w:r>
            <w:r w:rsidR="00000000" w:rsidRPr="00000000" w:rsidDel="00000000">
              <w:rPr>
                <w:rtl w:val="0"/>
              </w:rPr>
              <w:t xml:space="preserve">punktā</w:t>
            </w:r>
            <w:r w:rsidR="00000000" w:rsidRPr="00000000" w:rsidDel="00000000">
              <w:rPr>
                <w:rtl w:val="0"/>
              </w:rPr>
              <w:t xml:space="preserve"> minēto ziņojumu iesniegšanu nodrošina operatora administrators vai likvidators.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noteikumu projekta 88. punktu, nedublējot normatīvos aktus, kas noteic maksātnespējas administratora un likvidatora kompetenci. Papildus lūdzam izvērtēt, vai noteikumu projekta 87. punkts nav papildināms, jo kontekstā ar 88. punktā minēto, no 87. punkta neizriet apstākļi, kādos ziņojuma iesniegšana būtu jānodrošina administratoram.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punkts svītrots, jo maksātnespējas procesa administratora un likvidatora tiesības un pienākumi pārvaldīt un pārstāvēt attiecīgo juridisko personu jau ir noteikti maksātnespējas un komercdarbības jomu regulējošajos normatīvajos aktos.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90.1.1. darbības līmeņa ziņojums un tā verifikācijas ziņojums ir iesniegts šajos noteikumos noteiktajos termiņos un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noteiktajā formātā;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projektā nav atrodams regulējums, ka darbības līmeņa ziņojums un tā verifikācijas ziņojums ir iesniedzami 3. punktā noteiktajā formātā bet 72. punktā norādīts uz iesniegšanu ETS informācijas sistēmā, tādēļ lūdzam precizēt noteikumu projekta 90.1.1. apakšpunktu, novēršot pretrunas un nodrošinot juridiskās tehnikas prasībām atbilstošu tiesisko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iebildumam precizēta minētā punkta redakcija.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77.1.1. darbības līmeņa ziņojums un tā verifikācijas ziņojums ir iesniegti likuma "Par piesārņojumu" 32.</w:t>
            </w:r>
            <w:r w:rsidR="00000000" w:rsidRPr="00000000" w:rsidDel="00000000">
              <w:rPr>
                <w:vertAlign w:val="superscript"/>
                <w:rtl w:val="0"/>
              </w:rPr>
              <w:t xml:space="preserve">21</w:t>
            </w:r>
            <w:r w:rsidR="00000000" w:rsidRPr="00000000" w:rsidDel="00000000">
              <w:rPr>
                <w:rtl w:val="0"/>
              </w:rPr>
              <w:t xml:space="preserve"> panta astotajā daļā vai šo noteikumu </w:t>
            </w:r>
            <w:r w:rsidR="00000000" w:rsidRPr="00000000" w:rsidDel="00000000">
              <w:rPr>
                <w:rtl w:val="0"/>
              </w:rPr>
              <w:t xml:space="preserve">75. </w:t>
            </w:r>
            <w:r w:rsidR="00000000" w:rsidRPr="00000000" w:rsidDel="00000000">
              <w:rPr>
                <w:rtl w:val="0"/>
              </w:rPr>
              <w:t xml:space="preserve">punktā</w:t>
            </w:r>
            <w:r w:rsidR="00000000" w:rsidRPr="00000000" w:rsidDel="00000000">
              <w:rPr>
                <w:rtl w:val="0"/>
              </w:rPr>
              <w:t xml:space="preserve"> noteiktajā termiņā un šo noteikumu </w:t>
            </w:r>
            <w:r w:rsidR="00000000" w:rsidRPr="00000000" w:rsidDel="00000000">
              <w:rPr>
                <w:rtl w:val="0"/>
              </w:rPr>
              <w:t xml:space="preserve">95. </w:t>
            </w:r>
            <w:r w:rsidR="00000000" w:rsidRPr="00000000" w:rsidDel="00000000">
              <w:rPr>
                <w:rtl w:val="0"/>
              </w:rPr>
              <w:t xml:space="preserve">punktā</w:t>
            </w:r>
            <w:r w:rsidR="00000000" w:rsidRPr="00000000" w:rsidDel="00000000">
              <w:rPr>
                <w:rtl w:val="0"/>
              </w:rPr>
              <w:t xml:space="preserve"> noteiktajā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91.3. izvērtē operatora iesniegtā emisijas ziņojuma un darbības līmeņa ziņojuma un to verifikācijas ziņojuma neapstiprināšanu, norādot visas konstatētās neatbilstības, un 2 darbdienu laikā rakstiski informē par to operatoru saskaņā ar Administratīvā procesa likuma 70. panta otro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lēmuma priekšmetu "</w:t>
            </w:r>
            <w:r w:rsidR="00000000" w:rsidRPr="00000000" w:rsidDel="00000000">
              <w:rPr>
                <w:u w:val="single"/>
                <w:rtl w:val="0"/>
              </w:rPr>
              <w:t xml:space="preserve">izvērtē</w:t>
            </w:r>
            <w:r w:rsidR="00000000" w:rsidRPr="00000000" w:rsidDel="00000000">
              <w:rPr>
                <w:rtl w:val="0"/>
              </w:rPr>
              <w:t xml:space="preserve"> operatora iesniegtā emisijas ziņojuma un darbības līmeņa ziņojuma un to verifikācijas ziņojuma </w:t>
            </w:r>
            <w:r w:rsidR="00000000" w:rsidRPr="00000000" w:rsidDel="00000000">
              <w:rPr>
                <w:u w:val="single"/>
                <w:rtl w:val="0"/>
              </w:rPr>
              <w:t xml:space="preserve">neapstiprināšanu</w:t>
            </w:r>
            <w:r w:rsidR="00000000" w:rsidRPr="00000000" w:rsidDel="00000000">
              <w:rPr>
                <w:rtl w:val="0"/>
              </w:rPr>
              <w:t xml:space="preserve">", norādot, piemēram, ka attiecīgos ziņojumus neapstiprina. Vienlaikus vēršam uzmanību, ka atbilstoši likumam "Par piesārņojumu" 32.</w:t>
            </w:r>
            <w:r w:rsidR="00000000" w:rsidRPr="00000000" w:rsidDel="00000000">
              <w:rPr>
                <w:vertAlign w:val="superscript"/>
                <w:rtl w:val="0"/>
              </w:rPr>
              <w:t xml:space="preserve">21</w:t>
            </w:r>
            <w:r w:rsidR="00000000" w:rsidRPr="00000000" w:rsidDel="00000000">
              <w:rPr>
                <w:rtl w:val="0"/>
              </w:rPr>
              <w:t xml:space="preserve"> devītajai daļai ziņojumu neapstiprina </w:t>
            </w:r>
            <w:r w:rsidR="00000000" w:rsidRPr="00000000" w:rsidDel="00000000">
              <w:rPr>
                <w:u w:val="single"/>
                <w:rtl w:val="0"/>
              </w:rPr>
              <w:t xml:space="preserve">vai noraida</w:t>
            </w:r>
            <w:r w:rsidR="00000000" w:rsidRPr="00000000" w:rsidDel="00000000">
              <w:rPr>
                <w:rtl w:val="0"/>
              </w:rPr>
              <w:t xml:space="preserve">, tādēļ nepieciešams atbilstoši precizēt noteikumu projektu vai nodrošināt grozījumu veikšana minētajā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precizēt normu, nodrošinot, ka ir nepārprotami skaidrs, kādos gadījumos piemērojams 91.3. apakšpunkts, bet kādos - 93. punkts, ņemot vērā, ka abi minētie punkti paredz atšķirīgas tiesiskās sekas neatbilstību konstatēšanas gadījumos.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Sākotnējais noteikumu projekta 91.3. apakšpunkts, kas aktuālajā redakcijā ir 84.3. apakšpunkts, precizēts, nodalot sākotnējo ziņojuma neapstiprināšanu neatbilstību novēršanai no galīgā lēmuma par ziņojuma noraidīšanu. Noteikumu projekta 84.3. apakšpunktā paredzēts, ka neatbilstību konstatēšanas gadījumā ziņojums netiek apstiprināts un operators tiek aicināts tās novērst. Savukārt aktuālās redakcijas 86. punktā noteikts, ka pēc atkārtoti iesniegtā ziņojuma izvērtēšanas dienests to apstiprina vai pieņem lēmumu noraidīt. Papildus lēmums par noraidīšanu minēts aktuālajā redakcijā 94. punktā un 97.1.3.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78.3. ja emisiju ziņojumā vai darbības līmeņa ziņojumā konstatētas neatbilstības, attiecīgo ziņojumu neapstiprina un divu darbdienu laikā paziņo operatoram par visām konstatētajām neatbilstībām un nepieciešamību tās novērst šo noteikumu </w:t>
            </w:r>
            <w:r w:rsidR="00000000" w:rsidRPr="00000000" w:rsidDel="00000000">
              <w:rPr>
                <w:rtl w:val="0"/>
              </w:rPr>
              <w:t xml:space="preserve">79. </w:t>
            </w:r>
            <w:r w:rsidR="00000000" w:rsidRPr="00000000" w:rsidDel="00000000">
              <w:rPr>
                <w:rtl w:val="0"/>
              </w:rPr>
              <w:t xml:space="preserve">punktā</w:t>
            </w:r>
            <w:r w:rsidR="00000000" w:rsidRPr="00000000" w:rsidDel="00000000">
              <w:rPr>
                <w:rtl w:val="0"/>
              </w:rPr>
              <w:t xml:space="preserve"> noteiktajā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91.3. izvērtē operatora iesniegtā emisijas ziņojuma un darbības līmeņa ziņojuma un to verifikācijas ziņojuma neapstiprināšanu, norādot visas konstatētās neatbilstības, un 2 darbdienu laikā rakstiski informē par to operatoru saskaņā ar Administratīvā procesa likuma 70. panta otro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91.3. apakšpunktu, ņemot vērā, ka atbilstoši Administratīvā procesa likuma 70. panta otrajai daļai administratīvo aktu paziņo adresātam, nevis informē par 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iebildumam grozīta minētā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78.3. ja emisiju ziņojumā vai darbības līmeņa ziņojumā konstatētas neatbilstības, attiecīgo ziņojumu neapstiprina un divu darbdienu laikā paziņo operatoram par visām konstatētajām neatbilstībām un nepieciešamību tās novērst šo noteikumu </w:t>
            </w:r>
            <w:r w:rsidR="00000000" w:rsidRPr="00000000" w:rsidDel="00000000">
              <w:rPr>
                <w:rtl w:val="0"/>
              </w:rPr>
              <w:t xml:space="preserve">79. </w:t>
            </w:r>
            <w:r w:rsidR="00000000" w:rsidRPr="00000000" w:rsidDel="00000000">
              <w:rPr>
                <w:rtl w:val="0"/>
              </w:rPr>
              <w:t xml:space="preserve">punktā</w:t>
            </w:r>
            <w:r w:rsidR="00000000" w:rsidRPr="00000000" w:rsidDel="00000000">
              <w:rPr>
                <w:rtl w:val="0"/>
              </w:rPr>
              <w:t xml:space="preserve"> noteiktajā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Operatora pienākumu nepildīšana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pamatotu skaidrojumu, no kuras konkrēti normas (vai normām) izriet pilnvarojums noteikumu projekta 4. nodaļā ietvertā regulējuma noteikšanai. Ja attiecīgu skaidrojumu nav iespējams sniegt, lūdzam svītrot minēto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svītrota atsevišķā nodaļa “Operatora pienākumu nepildīšana” un tajā iepriekš ietvertais regulējums pārskatīts pēc būtības.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saglabāts tikai dienesta darbībai nepieciešamais procesuālais regulējums par informāciju, kuru dienests ņem vērā, veicot konservatīvo aplēsi. Šis regulējums pārcelts uz apakšnodaļu “3.4. Emisiju ziņojuma un darbības līmeņa ziņojuma izvērtēšana un apstiprināšana” un ietverts noteikumu projekta 88. punktā. Tajā konkretizēti dienesta rīcībā izmantojamie informācijas avoti, īstenojot tieši piemērojamo ES regulu prasības ziņojumu pārbaudes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pēc nodaļas svītrošanas turpmākās nodaļas pārnumurētas, un aktuālajā redakcijā 4. nodaļa ir “Informācijas apmaiņa un publicēšana”, 5. nodaļa – “Informācijas sistēmu izmantošana”, bet 6. nodaļa – “Noslēguma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Dienests saskaņā ar šo noteikumu </w:t>
            </w:r>
            <w:r w:rsidR="00000000" w:rsidRPr="00000000" w:rsidDel="00000000">
              <w:rPr>
                <w:rtl w:val="0"/>
              </w:rPr>
              <w:t xml:space="preserve">97. </w:t>
            </w:r>
            <w:r w:rsidR="00000000" w:rsidRPr="00000000" w:rsidDel="00000000">
              <w:rPr>
                <w:rtl w:val="0"/>
              </w:rPr>
              <w:t xml:space="preserve">punktu</w:t>
            </w:r>
            <w:r w:rsidR="00000000" w:rsidRPr="00000000" w:rsidDel="00000000">
              <w:rPr>
                <w:rtl w:val="0"/>
              </w:rPr>
              <w:t xml:space="preserve"> aprēķinātās operatora emisijas izmanto, lai noteiktu likuma 32.</w:t>
            </w:r>
            <w:r w:rsidR="00000000" w:rsidRPr="00000000" w:rsidDel="00000000">
              <w:rPr>
                <w:vertAlign w:val="superscript"/>
                <w:rtl w:val="0"/>
              </w:rPr>
              <w:t xml:space="preserve">30</w:t>
            </w:r>
            <w:r w:rsidR="00000000" w:rsidRPr="00000000" w:rsidDel="00000000">
              <w:rPr>
                <w:rtl w:val="0"/>
              </w:rPr>
              <w:t xml:space="preserve"> panta trešajā daļā noteikto maksājumu.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99. punktu, nedublējot noteikumu projekta 97. punktā ietverto regulējumu vai precizēt atsauci uz 97.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iepriekšējās redakcijas 99. punkts svītrots. Skatīt pie TM iebildumā par 4. nodaļas regulējuma svītrošanu.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Operators pirms reģistrēšanās ETS informācijas sistēmā iesniedz dienestā iesniegumu par šīs sistēmas lietošanu, izmantojot ministrijas tīmekļvietnē pieejamo iesnieguma veidlapu.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atbilstoši precizēt noteikumu projekta 108. un 109. punktu, ņemot vērā, ka tīmekļvietnē pieejamai veidlapai nav juridiski saistoša spēka.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Operators pirms reģistrēšanās ETS informācijas sistēmā iesniedz dienestā iesniegumu par šīs sistēmas lietošanu. Ministrija tīmekļvietnē publicē iesnieguma veidlapu".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Aktuālā punkta redakcija aizvietota ar TM piedāvāto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Operators pirms reģistrēšanās ETS informācijas sistēmā iesniedz dienestā iesniegumu par šīs sistēmas lietošanu. Ministrija tīmekļvietnē publicē iesnieguma veidlapu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Iekārtas, kura savu darbību uzsākusi pirms 2025. gada 31. decembra un kurai atbilstoši likuma 2. pielikuma I. sadaļā noteiktajam nepieciešama atļauja sākot ar 2026. gada 1. janvāri, operators attiecināmos dokumentus sākotnējai izvērtēšanai saskaņā ar šo noteikumu </w:t>
            </w:r>
            <w:r w:rsidR="00000000" w:rsidRPr="00000000" w:rsidDel="00000000">
              <w:rPr>
                <w:rtl w:val="0"/>
              </w:rPr>
              <w:t xml:space="preserve">4.1. </w:t>
            </w:r>
            <w:r w:rsidR="00000000" w:rsidRPr="00000000" w:rsidDel="00000000">
              <w:rPr>
                <w:rtl w:val="0"/>
              </w:rPr>
              <w:t xml:space="preserve">apakšpunktu</w:t>
            </w:r>
            <w:r w:rsidR="00000000" w:rsidRPr="00000000" w:rsidDel="00000000">
              <w:rPr>
                <w:rtl w:val="0"/>
              </w:rPr>
              <w:t xml:space="preserve">  dienestā var iesniegt līdz 2026. gada 1. jūnijam.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115. punktā paredzēts, ka operatori dokumentus sākotnējai izvērtēšanai var iesniegt līdz 2026. gada 1. jūnijam, savukārt anotācijas 1.3. punktā (risinājumu apraksta 2. punktā par sākotnējo izvērtēšanu) ir minēts pārejas periods "līdz 2026. gada 30. jūnijam". Minētā neatbilstība ir jānovērš, savstarpēji saskaņojot attiecīgo pārejas perioda datumu Noteikumu projektā un anotācijā, lai novērstu tiesisku neskaidrību operatoriem par gala termiņu, līdz kuram iespējams iesniegt dokumentus sākotnējai izvērtēšanai.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iepriekšējās redakcijas 115. punkts, kas aktuālajā redakcijā ir 103. punkts, svītrots, jo tajā ietvertais pārejas regulējums ir izpildīts un zaudējis aktualitāti. Atbilstoši koriģēta arī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1.2., 1.3. sadaļā ir bez pietiekama pamatojuma norādīts, ka administratīvais slogs tiks samazināts, vienlaikus anotācijas 2.3. sadaļā administratīvo izmaksu monetārajā novērtējumā vairākām pozīcijām ir norādīts “palielinās”. Nepieciešams atbilstošs precizējums vai papildus skaidrojums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1.2., 1.3. un 2.1. sadaļā precizēts administratīvā sloga ietekmes raksturojums, skaidrojot, ka atsevišķi projekta risinājumi var samazināt slogu konkrētos gadījumos, bet projekts nerada vispārēju un monetāri novērtētu administratīvā sloga samazinājumu. Vienlaikus pārskatīta anotācijas 2.3. un 2.4. sadaļa.. Attiecīgās monetārā novērtējuma tabulas svītrotas.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2.3. sadaļas monetārā novērtējumā vairākām pozīcijām aprēķinu skaidrojumā tiek lietotas atsauces uz saturiski neatbilstošiem Noteikumu projekta punktiem. Piemēram, anotācijas 2.3. sadaļas tabulā emisiju ziņojums tiek sasaistīts ar “noteikumu projekta 54. punktu”, darbības līmeņa ziņojums ar “noteikumu projekta 57. punktu”, un informācija par finanšu līdzekļu izlietojumu ar “noteikumu projekta 55. punktu”, taču Noteikumu projekta tekstā emisiju ziņojums tiek paredzēts 55. punktā, darbības līmeņa ziņojums - 58. punktā, un finanšu līdzekļu izlietojuma informācija - 56. punktā. Norādītā neatbilstība ir jāizlabo.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Aktuālajā noteikumu projekta redakcijā emisiju ziņojama sagatavošana noteikta 54. punktā, informācijas par finanšu līdzekļu izlietojumu sagatavošana — 55. punktā, bet darbības līmeņa ziņojuma sagatavošana — 56. punktā. Vienlaikus anotācijas 2.3. sadaļā administratīvo izmaksu monetārā novērtējuma tabula ir svītrota, jo minētie pienākumi jau pastāv un noteikumu projekts tos neievieš no jauna. Tādēļ papildu grozījumi anotācijā nav nepieciešami.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5. sadaļā skaidrot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Komisijas 2018. gada 19. decembra Īstenošanas regulas (ES) 2018/2066 par siltumnīcefekta gāzu emisiju monitoringu un ziņošanu saskaņā ar Eiropas Parlamenta un Padomes Direktīvu 2003/87/EK un ar ko groza Komisijas Regulu (ES) Nr. 601/2012, ar grozījumiem (turpmāk - regula Nr. 2018/2066), prasību ieviešanu noteikumu projektā, tostarp iemeslus minētās regulas 20. panta 3. punkta otrajā daļā, 21. panta 2. punktā, 28. panta 3. punktā, 33. panta 2. punktā, 35. panta 2. punktā, 37. panta 1. punkta otrajā daļā, 47. panta 1. punkta pirmajā daļā, 69. panta 1. punkta trešajā daļā un 4. punkta otrajā daļā ietvertās rīcības brīvības izmantošanai vai neizmantošanai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Komisijas 2018. gada 19. decembra Īstenošanas regulas (ES) 2018/2067 par datu verifikāciju un verificētāju akreditāciju saskaņā ar Eiropas Parlamenta un Padomes Direktīvu 2003/87/EK prasību ieviešanu noteikumu projektā, tostarp pamatojumu minētās regulas 34.a panta 4. punkta pirmajā daļā,  69. panta 1. punktā paredzētās rīcības brīvības izmantošanai vai neizmantošanai;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Eiropas Komisijas 2018. gada 19. decembra Deleģētās regulas (ES) 2019/331, ar kuru nosaka Savienības mēroga pārejas noteikumus saskaņotai bezmaksas emisijas kvotu iedalei saskaņā ar Eiropas Parlamenta un Padomes Direktīvas 2003/87/EK 10.a pantu, ieviešanu noteikumu projektā, tostarp skaidrot pamatojumu minētās regulas 8. panta 4. punktā paredzētās rīcības brīvības izmantošanai vai neizmantošanai;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Eiropas Komisijas 2019. gada 31. oktobra Īstenošanas regulas (ES) 2019/1842, ar ko nosaka noteikumus Eiropas Parlamenta un Padomes Direktīvas 2003/87/EK piemērošanai attiecībā uz sīkāku kārtību, kā izdarāmi bezmaksas emisijas kvotu iedales pielāgojumi sakarā ar darbības līmeņa izmaiņām, ieviešanu noteikumu projektā, tostarp skaidrot šīs regulas 3. panta 2. punkta otrajā daļā, 3. punkta pirmajā teikumā, 3. punkta sestajā daļā ietvertās rīcības brīvības izmantošanu vai neizmantošanu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Eiropas Parlamenta un Padomes 2003.gada 13.oktobra Direktīvas 2003/87/EK, ar kuru nosaka siltumnīcefekta gāzu emisijas kvotu tirdzniecības sistēmas izveidi Kopienā un groza Padomes Direktīvu 96/61/EK, 6. panta 1. punkta otrās daļas, 15. a panta, un 18. panta pārņemšanu noteikumu projektā. Aicinām arī skaidrot, vai 15. panta pirmā daļa nav pārņemta pamatā noteikumu projekta 3.4. apakšnodaļā, bet 15. panta otrā daļa - likuma "Par piesārņojumu" 32.</w:t>
            </w:r>
            <w:r w:rsidR="00000000" w:rsidRPr="00000000" w:rsidDel="00000000">
              <w:rPr>
                <w:vertAlign w:val="superscript"/>
                <w:rtl w:val="0"/>
              </w:rPr>
              <w:t xml:space="preserve">21</w:t>
            </w:r>
            <w:r w:rsidR="00000000" w:rsidRPr="00000000" w:rsidDel="00000000">
              <w:rPr>
                <w:rtl w:val="0"/>
              </w:rPr>
              <w:t xml:space="preserve"> panta devītajā daļā. Papildus aicinām 5.4. apakšsadaļas 1. tabulā detalizētāk skaidrot, kā pārņemtas direktīvas IV pielikuma prasības, jo, piemēram, no noteikumu projekta 7.1. un 7.2. apakšpunkta neizriet vispārējs regulējums, ka emisiju monitoringu veic vai nu pēc aprēķiniem, vai mērījumiem; no noteikumu projekta pirmšķietami neizriet A daļas nodaļa "Aprēķināšana" trešās daļas regulējums par emisiju koeficientiem, nav arī skaidrs, kā nodaļa "Ziņošana par emisiju" pārņemta norādītajās vienībās, kas neparedz detalizētu informāciju, ko norāda ziņojumā par iekārtu utt. Kā arī aicinām skaidrot pamatojumu minētās direktīvas 8. panta 1. punkta otrajā teikumā ietvertās rīcības brīvības izmantošanai vai neizmantošanai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 sadaļa papildināta,  nodalot direktīvas prasību pārņemšanu no tieši piemērojamo Eiropas Savienības regulu īstenošanai nepieciešamās nacionālās procesuālās kārtības.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stacionāro tehnoloģisko iekārtu dalību Eiropas Savienības emisijas kvotu tirdzniecības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nosaukumu atbilstoši juridiskās tehnikas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"Stacionāro tehnoloģisko iekārtu dalības noteikumi Eiropas Savienības emisijas kvotu tirdzniecības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nosaukums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Stacionāro tehnoloģisko iekārtu dalības noteikumi Eiropas Savienības emisijas kvotu tirdzniecības sistēmā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"Par piesārņojumu " 32.</w:t>
            </w:r>
            <w:r w:rsidR="00000000" w:rsidRPr="00000000" w:rsidDel="00000000">
              <w:rPr>
                <w:vertAlign w:val="superscript"/>
                <w:rtl w:val="0"/>
              </w:rPr>
              <w:t xml:space="preserve">18 </w:t>
            </w:r>
            <w:r w:rsidR="00000000" w:rsidRPr="00000000" w:rsidDel="00000000">
              <w:rPr>
                <w:rtl w:val="0"/>
              </w:rPr>
              <w:t xml:space="preserve">panta septīto daļu,  32.</w:t>
            </w:r>
            <w:r w:rsidR="00000000" w:rsidRPr="00000000" w:rsidDel="00000000">
              <w:rPr>
                <w:vertAlign w:val="superscript"/>
                <w:rtl w:val="0"/>
              </w:rPr>
              <w:t xml:space="preserve">21</w:t>
            </w:r>
            <w:r w:rsidR="00000000" w:rsidRPr="00000000" w:rsidDel="00000000">
              <w:rPr>
                <w:rtl w:val="0"/>
              </w:rPr>
              <w:t xml:space="preserve"> panta desmitās daļas 1., 2. un 6. punktu un likuma "Par atbilstības novērtēšanu" 7. panta pirmo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papildināt noteikumu projekta 1. punktu, rakstot arī likuma "Par atbilstības novērtēšanu" 7. panta pirmajā daļā ietverto pilnvarojumu. Vienlaikus vēršam uzmanību, ka atbilstoši juridiskās tehnikas prasībām, ja likumos ir gan vispārīgs, gan speciāls pilnvarojums Ministru kabinetam, noteikumos ietver norādi uz speciālo pilnvarojumu. Attiecīgi, ja faktiski likumā "Par piesārņojumu" norādītais pilnvarojums ir speciālais iepretim likuma "Par atbilstības novērtēšanu" 7. panta pirmajā daļā minētajam, lūdzam norādē uz noteikumu izdošanas pamatu svītrot atsauci uz likuma "Par atbilstības novērtēšanu" 7. panta pirmo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Atsauce uz likuma “Par atbilstības novērtēšanu” 7. panta pirmo daļu ir svītrota. Atbilstoši precizēts arī anotācijas 1.1. apakšpunktā norādītais noteikumu projekta izstrādes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"Par piesārņojumu" 32.</w:t>
            </w:r>
            <w:r w:rsidR="00000000" w:rsidRPr="00000000" w:rsidDel="00000000">
              <w:rPr>
                <w:vertAlign w:val="superscript"/>
                <w:rtl w:val="0"/>
              </w:rPr>
              <w:t xml:space="preserve">18 </w:t>
            </w:r>
            <w:r w:rsidR="00000000" w:rsidRPr="00000000" w:rsidDel="00000000">
              <w:rPr>
                <w:rtl w:val="0"/>
              </w:rPr>
              <w:t xml:space="preserve">panta septīto daļu,  32.</w:t>
            </w:r>
            <w:r w:rsidR="00000000" w:rsidRPr="00000000" w:rsidDel="00000000">
              <w:rPr>
                <w:vertAlign w:val="superscript"/>
                <w:rtl w:val="0"/>
              </w:rPr>
              <w:t xml:space="preserve">21</w:t>
            </w:r>
            <w:r w:rsidR="00000000" w:rsidRPr="00000000" w:rsidDel="00000000">
              <w:rPr>
                <w:rtl w:val="0"/>
              </w:rPr>
              <w:t xml:space="preserve"> panta desmitās daļas 1., 2. un 6.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projekta 1. punkta regulējumu un novērst normu dublēšanos, jo 1.3. un 1.7. apakšpunkts pēc satura un formulējuma ir savstarpēji identiski. Ieteicams izvērtēt nepieciešamību saglabāt abus apakšpunktus.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apakšpunkts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kārtību, kādā tiek novērtēta potenciālo operatoru atbilstība atļaujas saņemšanai saskaņā ar likuma "Par piesārņojumu" 32.</w:t>
            </w:r>
            <w:r w:rsidR="00000000" w:rsidRPr="00000000" w:rsidDel="00000000">
              <w:rPr>
                <w:vertAlign w:val="superscript"/>
                <w:rtl w:val="0"/>
              </w:rPr>
              <w:t xml:space="preserve">16</w:t>
            </w:r>
            <w:r w:rsidR="00000000" w:rsidRPr="00000000" w:rsidDel="00000000">
              <w:rPr>
                <w:rtl w:val="0"/>
              </w:rPr>
              <w:t xml:space="preserve"> panta pirmo daļu un 32.</w:t>
            </w:r>
            <w:r w:rsidR="00000000" w:rsidRPr="00000000" w:rsidDel="00000000">
              <w:rPr>
                <w:vertAlign w:val="superscript"/>
                <w:rtl w:val="0"/>
              </w:rPr>
              <w:t xml:space="preserve">18</w:t>
            </w:r>
            <w:r w:rsidR="00000000" w:rsidRPr="00000000" w:rsidDel="00000000">
              <w:rPr>
                <w:rtl w:val="0"/>
              </w:rPr>
              <w:t xml:space="preserve"> panta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(1.3.,1.5., 1.6., 20.2. apakšpunktā un pielikumos) tiek izmantotas atsauces uz likuma "Par piesārņojumu" konkrētiem likuma pantiem, savukārt noteikumu projekta vairākos citos punktos un apakšpunktos (2., 5., 6.2., 15., 17.1., 17.2., 37., 38., 49., 50., 52.1., 52.2., 52.5., 53., 54.1., 54.3., 56., 61., 61.2., 62.1., 78., 94., 97., 99., 100., 115.) tiek izmantota atsauce uz konkrētiem likuma pantiem, nenorādot likuma nosaukumu. Vienlaikus noteikumu projekta tekstā ir atsauces arī uz citiem likumiem, kuriem ir norādīts nosaukums. Šajā sakarā būtu nepieciešams noteikumu projektā (kur attiecināms) izmantot vārdu savienojumu "likums "Par piesārņojumu"" attiecīgajā locījumā, vai arī noteikumu projekta 1.3. punktā atrunāt, ka ar turpmāk lietoto vārdu "likums" tiek saprasts likums "Par piesārņojumu".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kārtību, kādā tiek novērtēta potenciālo operatoru atbilstība atļaujas saņemšanai saskaņā ar likuma "Par piesārņojumu" (turpmāk - likums) 32.16 panta pirmo daļu un 32.18 panta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izvēlēts izmantot vārdu savienojumu:  "likums "Par piesārņojumu"".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kārtību, kādā tiek novērtēta potenciālo operatoru atbilstība atļaujas saņemšanai saskaņā ar likuma "Par piesārņojumu" 32.</w:t>
            </w:r>
            <w:r w:rsidR="00000000" w:rsidRPr="00000000" w:rsidDel="00000000">
              <w:rPr>
                <w:vertAlign w:val="superscript"/>
                <w:rtl w:val="0"/>
              </w:rPr>
              <w:t xml:space="preserve">16</w:t>
            </w:r>
            <w:r w:rsidR="00000000" w:rsidRPr="00000000" w:rsidDel="00000000">
              <w:rPr>
                <w:rtl w:val="0"/>
              </w:rPr>
              <w:t xml:space="preserve"> panta pirmo daļu un 32.</w:t>
            </w:r>
            <w:r w:rsidR="00000000" w:rsidRPr="00000000" w:rsidDel="00000000">
              <w:rPr>
                <w:vertAlign w:val="superscript"/>
                <w:rtl w:val="0"/>
              </w:rPr>
              <w:t xml:space="preserve">18</w:t>
            </w:r>
            <w:r w:rsidR="00000000" w:rsidRPr="00000000" w:rsidDel="00000000">
              <w:rPr>
                <w:rtl w:val="0"/>
              </w:rPr>
              <w:t xml:space="preserve"> panta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attiecas uz stacionārajām tehnoloģiskajām iekārtām, kurās tiek veikta kāda no likuma 2. pielikuma I. sadaļā minētajām darbībām, kā arī uz stacionārajām tehnoloģiskajām iekārtām, kas atbilst likuma 32.</w:t>
            </w:r>
            <w:r w:rsidR="00000000" w:rsidRPr="00000000" w:rsidDel="00000000">
              <w:rPr>
                <w:vertAlign w:val="superscript"/>
                <w:rtl w:val="0"/>
              </w:rPr>
              <w:t xml:space="preserve">16</w:t>
            </w:r>
            <w:r w:rsidR="00000000" w:rsidRPr="00000000" w:rsidDel="00000000">
              <w:rPr>
                <w:rtl w:val="0"/>
              </w:rPr>
              <w:t xml:space="preserve"> panta septītajai daļai (turpmāk – iekārta) un saistītām darbībām, kas ietilpst iekārtu robežās.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noteikumu projektā atrunāt saīsinājumu "likums" (likums "Par piesārņojumu"). Līdzīgi lūdzam atrunāt saīsinājumu "atļauja".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atrunāts 1.1. apakšpunktā: siltumnīcefekta gāzu emisijas atļauju (turpmāk - atļauja).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attiecas uz stacionārajām tehnoloģiskajām iekārtām, kurās tiek veikta kāda no likuma "Par piesārņojumu" 2. pielikuma I. sadaļā minētajām darbībām, kā arī uz stacionārajām tehnoloģiskajām iekārtām, kas atbilst likuma "Par piesārņojumu" 32.</w:t>
            </w:r>
            <w:r w:rsidR="00000000" w:rsidRPr="00000000" w:rsidDel="00000000">
              <w:rPr>
                <w:vertAlign w:val="superscript"/>
                <w:rtl w:val="0"/>
              </w:rPr>
              <w:t xml:space="preserve">16</w:t>
            </w:r>
            <w:r w:rsidR="00000000" w:rsidRPr="00000000" w:rsidDel="00000000">
              <w:rPr>
                <w:rtl w:val="0"/>
              </w:rPr>
              <w:t xml:space="preserve"> panta septītajai daļai (turpmāk – iekārta) un saistītām darbībām, kas ietilpst iekārtu robežās.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attiecas uz stacionārajām tehnoloģiskajām iekārtām, kurās tiek veikta kāda no likuma 2. pielikuma I. sadaļā minētajām darbībām, kā arī uz stacionārajām tehnoloģiskajām iekārtām, kas atbilst likuma 32.</w:t>
            </w:r>
            <w:r w:rsidR="00000000" w:rsidRPr="00000000" w:rsidDel="00000000">
              <w:rPr>
                <w:vertAlign w:val="superscript"/>
                <w:rtl w:val="0"/>
              </w:rPr>
              <w:t xml:space="preserve">16</w:t>
            </w:r>
            <w:r w:rsidR="00000000" w:rsidRPr="00000000" w:rsidDel="00000000">
              <w:rPr>
                <w:rtl w:val="0"/>
              </w:rPr>
              <w:t xml:space="preserve"> panta septītajai daļai (turpmāk – iekārta) un saistītām darbībām, kas ietilpst iekārtu robežās.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izmantots apzīmējums “likums”, atsaucoties uz konkrētām normām (piemēram, pantiem un pielikumiem), tomēr šis apzīmējums nav iepriekš definēts, kas neatbilst normatīvo aktu sagatavošanas noteikumiem attiecībā uz atsauču skaidrību.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var radīt interpretācijas neskaidrības un apgrūtināt normu piemērošanu praksē, līdz ar ko aicinām iepriekš definēt apzīmējumu "likums".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izvēlēts izmantot vārdu savienojumu:  "likums "Par piesārņojumu"".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attiecas uz stacionārajām tehnoloģiskajām iekārtām, kurās tiek veikta kāda no likuma "Par piesārņojumu" 2. pielikuma I. sadaļā minētajām darbībām, kā arī uz stacionārajām tehnoloģiskajām iekārtām, kas atbilst likuma "Par piesārņojumu" 32.</w:t>
            </w:r>
            <w:r w:rsidR="00000000" w:rsidRPr="00000000" w:rsidDel="00000000">
              <w:rPr>
                <w:vertAlign w:val="superscript"/>
                <w:rtl w:val="0"/>
              </w:rPr>
              <w:t xml:space="preserve">16</w:t>
            </w:r>
            <w:r w:rsidR="00000000" w:rsidRPr="00000000" w:rsidDel="00000000">
              <w:rPr>
                <w:rtl w:val="0"/>
              </w:rPr>
              <w:t xml:space="preserve"> panta septītajai daļai (turpmāk – iekārta) un saistītām darbībām, kas ietilpst iekārtu robežās.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Operators šo noteikumu </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36.</w:t>
            </w:r>
            <w:r w:rsidR="00000000" w:rsidRPr="00000000" w:rsidDel="00000000">
              <w:rPr>
                <w:rtl w:val="0"/>
              </w:rPr>
              <w:t xml:space="preserve"> un </w:t>
            </w:r>
            <w:r w:rsidR="00000000" w:rsidRPr="00000000" w:rsidDel="00000000">
              <w:rPr>
                <w:rtl w:val="0"/>
              </w:rPr>
              <w:t xml:space="preserve">50. </w:t>
            </w:r>
            <w:r w:rsidR="00000000" w:rsidRPr="00000000" w:rsidDel="00000000">
              <w:rPr>
                <w:rtl w:val="0"/>
              </w:rPr>
              <w:t xml:space="preserve">punktā</w:t>
            </w:r>
            <w:r w:rsidR="00000000" w:rsidRPr="00000000" w:rsidDel="00000000">
              <w:rPr>
                <w:rtl w:val="0"/>
              </w:rPr>
              <w:t xml:space="preserve"> minēto iesniegumus par atļaujas izdošanu, tās grozījumiem un atcelšanu iesniedz saskaņā ar Administratīvā procesa likuma 56. panta pirmo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lietot likumā "Par piesārņojumu" izmantoto terminoloģiju un norādīt uz potenciālajiem operatoriem, kur tas noteikumu projektā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izvērtēta likumā “Par piesārņojumu” lietotā terminoloģija. Termins “potenciālais operators” lietots regulējumā par personas atbilstības sākotnējo izvērtēšanu pirms atļaujas iesnieguma iesniegšanas. Pārējā regulējumā par atļaujas iesnieguma sagatavošanu un iesniegšanu, atļaujas izsniegšanu, grozīšanu un atcelšanu saglabāts likuma “Par piesārņojumu” 32.</w:t>
            </w:r>
            <w:r w:rsidR="00000000" w:rsidRPr="00000000" w:rsidDel="00000000">
              <w:rPr>
                <w:vertAlign w:val="superscript"/>
                <w:rtl w:val="0"/>
              </w:rPr>
              <w:t xml:space="preserve">16</w:t>
            </w:r>
            <w:r w:rsidR="00000000" w:rsidRPr="00000000" w:rsidDel="00000000">
              <w:rPr>
                <w:rtl w:val="0"/>
              </w:rPr>
              <w:t xml:space="preserve"> un 32.</w:t>
            </w:r>
            <w:r w:rsidR="00000000" w:rsidRPr="00000000" w:rsidDel="00000000">
              <w:rPr>
                <w:vertAlign w:val="superscript"/>
                <w:rtl w:val="0"/>
              </w:rPr>
              <w:t xml:space="preserve">18</w:t>
            </w:r>
            <w:r w:rsidR="00000000" w:rsidRPr="00000000" w:rsidDel="00000000">
              <w:rPr>
                <w:rtl w:val="0"/>
              </w:rPr>
              <w:t xml:space="preserve"> pantā lietotais termins “operators”.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Operators šo noteikumu </w:t>
            </w:r>
            <w:r w:rsidR="00000000" w:rsidRPr="00000000" w:rsidDel="00000000">
              <w:rPr>
                <w:rtl w:val="0"/>
              </w:rPr>
              <w:t xml:space="preserve">4.</w:t>
            </w:r>
            <w:r w:rsidR="00000000" w:rsidRPr="00000000" w:rsidDel="00000000">
              <w:rPr>
                <w:rtl w:val="0"/>
              </w:rPr>
              <w:t xml:space="preserve"> , </w:t>
            </w:r>
            <w:r w:rsidR="00000000" w:rsidRPr="00000000" w:rsidDel="00000000">
              <w:rPr>
                <w:rtl w:val="0"/>
              </w:rPr>
              <w:t xml:space="preserve">35.</w:t>
            </w:r>
            <w:r w:rsidR="00000000" w:rsidRPr="00000000" w:rsidDel="00000000">
              <w:rPr>
                <w:rtl w:val="0"/>
              </w:rPr>
              <w:t xml:space="preserve"> un </w:t>
            </w:r>
            <w:r w:rsidR="00000000" w:rsidRPr="00000000" w:rsidDel="00000000">
              <w:rPr>
                <w:rtl w:val="0"/>
              </w:rPr>
              <w:t xml:space="preserve">49. </w:t>
            </w:r>
            <w:r w:rsidR="00000000" w:rsidRPr="00000000" w:rsidDel="00000000">
              <w:rPr>
                <w:rtl w:val="0"/>
              </w:rPr>
              <w:t xml:space="preserve">punktā</w:t>
            </w:r>
            <w:r w:rsidR="00000000" w:rsidRPr="00000000" w:rsidDel="00000000">
              <w:rPr>
                <w:rtl w:val="0"/>
              </w:rPr>
              <w:t xml:space="preserve"> minētos iesniegumus par atļaujas izsniegšanu, tās grozījumiem un atcelšanu iesniedz saskaņā ar Administratīvā procesa likuma 56. panta pirmo 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Operators šo noteikumu </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36.</w:t>
            </w:r>
            <w:r w:rsidR="00000000" w:rsidRPr="00000000" w:rsidDel="00000000">
              <w:rPr>
                <w:rtl w:val="0"/>
              </w:rPr>
              <w:t xml:space="preserve"> un </w:t>
            </w:r>
            <w:r w:rsidR="00000000" w:rsidRPr="00000000" w:rsidDel="00000000">
              <w:rPr>
                <w:rtl w:val="0"/>
              </w:rPr>
              <w:t xml:space="preserve">50. </w:t>
            </w:r>
            <w:r w:rsidR="00000000" w:rsidRPr="00000000" w:rsidDel="00000000">
              <w:rPr>
                <w:rtl w:val="0"/>
              </w:rPr>
              <w:t xml:space="preserve">punktā</w:t>
            </w:r>
            <w:r w:rsidR="00000000" w:rsidRPr="00000000" w:rsidDel="00000000">
              <w:rPr>
                <w:rtl w:val="0"/>
              </w:rPr>
              <w:t xml:space="preserve"> minēto iesniegumus par atļaujas izdošanu, tās grozījumiem un atcelšanu iesniedz saskaņā ar Administratīvā procesa likuma 56. panta pirmo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3. punkta redakciju, nodrošinot locījuma un skaitļa saskaņošanu starp vārdiem “minēto” un “iesniegumus”, lietojot vienotu gramatisko formu.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izvērtēta likumā “Par piesārņojumu” lietotā terminoloģija. Termins “potenciālais operators” lietots regulējumā par personas atbilstības sākotnējo izvērtēšanu pirms atļaujas iesnieguma iesniegšanas. Pārējā regulējumā par atļaujas iesnieguma sagatavošanu un iesniegšanu, atļaujas izsniegšanu, grozīšanu un atcelšanu saglabāts likuma “Par piesārņojumu” 32.</w:t>
            </w:r>
            <w:r w:rsidR="00000000" w:rsidRPr="00000000" w:rsidDel="00000000">
              <w:rPr>
                <w:vertAlign w:val="superscript"/>
                <w:rtl w:val="0"/>
              </w:rPr>
              <w:t xml:space="preserve">16</w:t>
            </w:r>
            <w:r w:rsidR="00000000" w:rsidRPr="00000000" w:rsidDel="00000000">
              <w:rPr>
                <w:rtl w:val="0"/>
              </w:rPr>
              <w:t xml:space="preserve"> un 32.</w:t>
            </w:r>
            <w:r w:rsidR="00000000" w:rsidRPr="00000000" w:rsidDel="00000000">
              <w:rPr>
                <w:vertAlign w:val="superscript"/>
                <w:rtl w:val="0"/>
              </w:rPr>
              <w:t xml:space="preserve">18</w:t>
            </w:r>
            <w:r w:rsidR="00000000" w:rsidRPr="00000000" w:rsidDel="00000000">
              <w:rPr>
                <w:rtl w:val="0"/>
              </w:rPr>
              <w:t xml:space="preserve"> pantā lietotais termins “operators”.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Operators šo noteikumu </w:t>
            </w:r>
            <w:r w:rsidR="00000000" w:rsidRPr="00000000" w:rsidDel="00000000">
              <w:rPr>
                <w:rtl w:val="0"/>
              </w:rPr>
              <w:t xml:space="preserve">4.</w:t>
            </w:r>
            <w:r w:rsidR="00000000" w:rsidRPr="00000000" w:rsidDel="00000000">
              <w:rPr>
                <w:rtl w:val="0"/>
              </w:rPr>
              <w:t xml:space="preserve"> , </w:t>
            </w:r>
            <w:r w:rsidR="00000000" w:rsidRPr="00000000" w:rsidDel="00000000">
              <w:rPr>
                <w:rtl w:val="0"/>
              </w:rPr>
              <w:t xml:space="preserve">35.</w:t>
            </w:r>
            <w:r w:rsidR="00000000" w:rsidRPr="00000000" w:rsidDel="00000000">
              <w:rPr>
                <w:rtl w:val="0"/>
              </w:rPr>
              <w:t xml:space="preserve"> un </w:t>
            </w:r>
            <w:r w:rsidR="00000000" w:rsidRPr="00000000" w:rsidDel="00000000">
              <w:rPr>
                <w:rtl w:val="0"/>
              </w:rPr>
              <w:t xml:space="preserve">49. </w:t>
            </w:r>
            <w:r w:rsidR="00000000" w:rsidRPr="00000000" w:rsidDel="00000000">
              <w:rPr>
                <w:rtl w:val="0"/>
              </w:rPr>
              <w:t xml:space="preserve">punktā</w:t>
            </w:r>
            <w:r w:rsidR="00000000" w:rsidRPr="00000000" w:rsidDel="00000000">
              <w:rPr>
                <w:rtl w:val="0"/>
              </w:rPr>
              <w:t xml:space="preserve"> minētos iesniegumus par atļaujas izsniegšanu, tās grozījumiem un atcelšanu iesniedz saskaņā ar Administratīvā procesa likuma 56. panta pirmo 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procedūru aprakstus saskaņā ar Komisijas 2018. gada 19. decembra Īstenošanas regulu (ES) 2018/2066 par siltumnīcefekta gāzu emisiju monitoringu un ziņošanu saskaņā ar Eiropas Parlamenta un Padomes Direktīvu 2003/87/EK un ar ko groza Komisijas Regulu (ES) Nr. 601/2012, ar grozījumiem, (turpmāk – regula Nr. 2018/2066) I pielikuma 1. sadaļu.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attiecīgās regulas nosaukumu (Komisijas 2018. gada 19. decembra Īstenošanas regula (ES) 2018/2066 </w:t>
            </w:r>
            <w:r w:rsidR="00000000" w:rsidRPr="00000000" w:rsidDel="00000000">
              <w:rPr>
                <w:u w:val="single"/>
                <w:rtl w:val="0"/>
              </w:rPr>
              <w:t xml:space="preserve">par siltumnīcefekta gāzu emisiju monitoringu un ziņošanu saskaņā ar Eiropas Parlamenta un Padomes Direktīvu 2003/87/EK un ar ko groza Komisijas Regulu (ES) Nr. 601/2012</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4.2. apakšpunktā precizēts Komisijas Īstenošanas regulas (ES) 2018/2066 nosaukums atbilstoši tās oficiālajam nosaukumam. Vienlaikus svītrots formulējums “ar grozījumiem”, kas nav minētās regulas nosaukuma sastāvdaļa.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procedūru aprakstus saskaņā ar Komisijas 2018. gada 19. decembra Īstenošanas regulu (ES) 2018/2066 par siltumnīcefekta gāzu emisiju monitoringu un ziņošanu saskaņā ar Eiropas Parlamenta un Padomes Direktīvu 2003/87/EK un ar ko groza Komisijas Regulu (ES) Nr. 601/2012, (turpmāk – regula Nr. 2018/2066) I pielikuma 1. sadaļu.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ja operators izmanto atkritumus Atkritumu likuma izpratnē vai atkritumu kurināmo vai jauktu kurināmo ar biomasas (biogēno) frakciju un attiecīgā plūsma tiek tieši sadedzināta Eiropas Savienības emisijas kvotu tirdzniecības sistēmā iekļautā stacionārajā iekārtā, operators biomasas frakcijas noteikšanas, un ilgtspējas un siltumnīcefekta gāzu emisiju ietaupījuma kritēriju piemērošanas procedūras aprakstā var norādīt, ka atsevišķs siltumnīcefekta gāzu emisiju ietaupījuma aprēķins plūsmai nav attiecināms. Dienests atzīt šādu atvieglojumu, ja izpildās šādi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svītrot iekavās ietverto norādi, ka frakcija ir biogēna, kas noteikumu projektā nav lietota konsekventi. Norādām, ka atbilstoši juridiskās tehnikas prasībām normatīvajā aktā nelieto sinonīmus un vienu lietu konsekventi sauc vienā un tajā pašā vārdā.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7.2. apakšpunkta svītrota iekavās ietvertā norāde “biogēno”. Noteikumu projektā attiecīgās kurināmā vai materiāla daļas apzīmēšanai konsekventi lietots termins “biomasas frakcija”. Vienlaikus apakšpunkts redakcionāli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ja operators izmanto atkritumus Atkritumu apsaimniekošanas likuma izpratnē, atkritumu kurināmo vai jauktu kurināmo ar biomasas frakciju un attiecīgā plūsma tiek tieši sadedzināta Eiropas Savienības emisijas kvotu tirdzniecības sistēmā iekļautā stacionārajā iekārtā, operators biomasas frakcijas noteikšanas un ilgtspējas un siltumnīcefekta gāzu emisiju ietaupījuma kritēriju piemērošanas procedūras aprakstā var norādīt, ka attiecīgajai plūsmai nav piemērojams atsevišķs siltumnīcefekta gāzu emisiju ietaupījuma aprēķins. Dienests var atzīt šādu atvieglojumu, ja ir izpildīti šādi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Lai izstrādātu atļaujas iesniegumā norādāmos priekšlikumus monitoringa veikšanas nosacījumiem, operators atbilstoši regulai Nr. 2018/2066 nosaka iekārtas kategoriju, avota plūsmu kategorijas (ja piemērojams) un monitoringa robežas.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norādīt konkrētas attiecīgās regulas vienības, tādējādi atvieglojot noteikumu projekta piemērošanu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 punktā vispārīgā atsauce uz regulu Nr. 2018/2066 aizstāta ar konkrētām atsaucēm uz minētās regulas 19. panta 2. un 3. punktu, kuros noteikta iekārtas un avota plūsmu iedalīšana kategorijās, un 20. pantu, kurā noteikta monitoringa robežu noteikšanas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Lai izstrādātu atļaujas iesniegumā norādāmos priekšlikumus monitoringa veikšanas nosacījumiem, operators atbilstoši regulas Nr. 2018/2066 19. panta 2. un 3. punktam nosaka iekārtas kategoriju un, ja attiecināms, katras avota plūsmas kategoriju, kā arī atbilstoši minētās regulas 20. pantam nosaka monitoringa robežas.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Dienests 10 darbdienu laikā pēc atļaujas iesnieguma saņemšanas izvērtē un rakstiski informē operatoru par nepieciešamo papildu informāciju, ja atļaujas iesniegumā nav norādīta visa vides aizsardzību regulējošajos normatīvajos aktos noteiktā informācija, vai papildu dokumentiem, ja atļaujas iesniegumam nav pievienoti visi attiecīgie apraksti vai pielikumi vai nav pievienoti informāciju pamatojoši dokumenti.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atļaujas iesniegumā  informāciju norāda atbilstoši noteikumu projekta 4. punktam un I pielikumam, tādēļ lūdzam izvērtēt un attiecīgi precizēt vai papildināt atsauci uz normatīvajiem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17. punktā vispārīgā atsauce uz vides aizsardzību regulējošajos normatīvajos aktos noteikto informāciju aizstāta ar konkrētām atsaucēm uz noteikumu projekta 1. pielikumu, 4.1. un 4.2. apakšpunktu un 7. punktu, kuros noteikta atļaujas iesniegumā norādāmā informācija un tam pievienojamie dokumenti, informācija un procedūru apraksti. Vienlaikus atbilstoši likumā “Par piesārņojumu” lietotajai terminoloģijai vārds “operators” aizstāts ar vārdiem “potenciālais operators”.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Dienests 10 darbdienu laikā pēc atļaujas iesnieguma saņemšanas izvērtē, vai tajā ir norādīta visa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noteiktā informācija un vai atļaujas iesniegumam ir pievienoti šo noteikumu </w:t>
            </w:r>
            <w:r w:rsidR="00000000" w:rsidRPr="00000000" w:rsidDel="00000000">
              <w:rPr>
                <w:rtl w:val="0"/>
              </w:rPr>
              <w:t xml:space="preserve">4.1.</w:t>
            </w:r>
            <w:r w:rsidR="00000000" w:rsidRPr="00000000" w:rsidDel="00000000">
              <w:rPr>
                <w:rtl w:val="0"/>
              </w:rPr>
              <w:t xml:space="preserve"> ​​​​​​​ un </w:t>
            </w:r>
            <w:r w:rsidR="00000000" w:rsidRPr="00000000" w:rsidDel="00000000">
              <w:rPr>
                <w:rtl w:val="0"/>
              </w:rPr>
              <w:t xml:space="preserve">4.2. </w:t>
            </w:r>
            <w:r w:rsidR="00000000" w:rsidRPr="00000000" w:rsidDel="00000000">
              <w:rPr>
                <w:rtl w:val="0"/>
              </w:rPr>
              <w:t xml:space="preserve">apakšpunktā</w:t>
            </w:r>
            <w:r w:rsidR="00000000" w:rsidRPr="00000000" w:rsidDel="00000000">
              <w:rPr>
                <w:rtl w:val="0"/>
              </w:rPr>
              <w:t xml:space="preserve"> ​​​​​​​ un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minētie dokumenti, informācija un procedūru apraksti. Ja minētās prasības nav izpildītas, dienests rakstiski informē potenciālo operatoru par nepieciešamību iesniegt trūkstošo informāciju, dokumentus vai procedūru aprakstus.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ministrijai;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norādīt, kādai ministrijai iesniegumu nosūta.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nodrošināšanai noteikumu projekta 24.2. (bij. 25.2.) apakšpunktā norādīts pilns institūcijas nosaukums — Klimata un enerģētikas ministrija — un atrunāts turpmāk lietojamais saīsinājums “ministrija”.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Klimata un enerģētikas ministrijai (turpmāk – ministrija);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ministrijai;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redakciju, nodrošinot, ka atsauces uz institūcijām tiek formulētas skaidri un nepārprotami, proti, vispārējo apzīmējumu “ministrija” aizstājot ar konkrēto ministrijas nosaukumu vai noteikumu tekstā pirmreizēji ieviešot attiecīgu šā apzīmējuma definīciju.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nodrošināšanai noteikumu projekta 24.2. (bij. 25.2.) apakšpunktā norādīts pilns institūcijas nosaukums — Klimata un enerģētikas ministrija — un atrunāts turpmāk lietojamais saīsinājums “ministrija”.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Klimata un enerģētikas ministrijai (turpmāk – ministrija);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Dienests divu darbdienu laikā pēc priekšlikumu saņemšanas informē par tiem operatoru, norādot termiņu, kas nav mazāks par piecām darbdienām, līdz kuram operatoram jāsniedz skaidrojums par saņemtajiem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norādīt, vai norma attiecas uz brīdi, kad saņemti visi priekšlikumi, kas iesniegti noteiktajā termiņā, lai izslēgtu interpretācijas iespējas.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25. (bij. 26.) punkts precizēts, nosakot, ka dienests informē operatoru pēc noteikumu projekta 24. punktā noteiktā priekšlikumu iesniegšanas termiņa beigām par visiem šajā termiņā saņemtajiem priekšlikumiem. Tādējādi novērsta iespēja normu interpretēt tā, ka dienestam operators jāinformē atsevišķi pēc katra priekšlikuma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Dienests divu darbdienu laikā pēc šo noteikumu </w:t>
            </w:r>
            <w:r w:rsidR="00000000" w:rsidRPr="00000000" w:rsidDel="00000000">
              <w:rPr>
                <w:rtl w:val="0"/>
              </w:rPr>
              <w:t xml:space="preserve">24. </w:t>
            </w:r>
            <w:r w:rsidR="00000000" w:rsidRPr="00000000" w:rsidDel="00000000">
              <w:rPr>
                <w:rtl w:val="0"/>
              </w:rPr>
              <w:t xml:space="preserve">punktā</w:t>
            </w:r>
            <w:r w:rsidR="00000000" w:rsidRPr="00000000" w:rsidDel="00000000">
              <w:rPr>
                <w:rtl w:val="0"/>
              </w:rPr>
              <w:t xml:space="preserve"> noteiktā priekšlikumu iesniegšanas termiņa beigām informē operatoru par visiem minētajā termiņā saņemtajiem priekšlikumiem un nosaka termiņu, kas nav īsāks par piecām darbdienām, līdz kuram operators sniedz skaidrojumu par saņemtajiem priekšlikumiem.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Ja šo noteikumu </w:t>
            </w:r>
            <w:r w:rsidR="00000000" w:rsidRPr="00000000" w:rsidDel="00000000">
              <w:rPr>
                <w:rtl w:val="0"/>
              </w:rPr>
              <w:t xml:space="preserve">72. </w:t>
            </w:r>
            <w:r w:rsidR="00000000" w:rsidRPr="00000000" w:rsidDel="00000000">
              <w:rPr>
                <w:rtl w:val="0"/>
              </w:rPr>
              <w:t xml:space="preserve">punktā</w:t>
            </w:r>
            <w:r w:rsidR="00000000" w:rsidRPr="00000000" w:rsidDel="00000000">
              <w:rPr>
                <w:rtl w:val="0"/>
              </w:rPr>
              <w:t xml:space="preserve"> minētajā verifikācijas ziņojumā saskaņā ar Eiropas Komisijas 2018. gada 19. decembra Īstenošanas regulas (ES) 2018/2067 par datu verifikāciju un verificētāju akreditāciju saskaņā ar Eiropas Parlamenta un Padomes Direktīvu 2003/87/EK (turpmāk – regula Nr. 2018/2067) 27., 29. un 30. punktu ir norādīti uzlabojumu ieteikumi vai nenovērstās nebūtiskās neatbilstības, operators līdz tā paša gada 30. jūnijam: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 atsauces uz punktiem vietā norādot uz attiecīgās regulas pantiem.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33. (bij. 34.) punktā atsauces uz regulas Nr. 2018/2067 27., 29. un 30. punktu aizstātas ar atsaucēm uz minētās regulas 27., 29. un 30. pantu. Vienlaikus punkts redakcionāli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Ja šo noteikumu </w:t>
            </w:r>
            <w:r w:rsidR="00000000" w:rsidRPr="00000000" w:rsidDel="00000000">
              <w:rPr>
                <w:rtl w:val="0"/>
              </w:rPr>
              <w:t xml:space="preserve">67. </w:t>
            </w:r>
            <w:r w:rsidR="00000000" w:rsidRPr="00000000" w:rsidDel="00000000">
              <w:rPr>
                <w:rtl w:val="0"/>
              </w:rPr>
              <w:t xml:space="preserve">punktā</w:t>
            </w:r>
            <w:r w:rsidR="00000000" w:rsidRPr="00000000" w:rsidDel="00000000">
              <w:rPr>
                <w:rtl w:val="0"/>
              </w:rPr>
              <w:t xml:space="preserve"> minētajā verifikācijas ziņojumā atbilstoši Eiropas Komisijas 2018. gada 19. decembra Īstenošanas regulas (ES) 2018/2067 par datu verifikāciju un verificētāju akreditāciju saskaņā ar Eiropas Parlamenta un Padomes Direktīvu 2003/87/EK (turpmāk – regula Nr. 2018/2067) 27., 29. un 30. pantam ir norādīti uzlabojumu ieteikumi vai nenovērstas nebūtiskas neatbilstības, operators līdz tā paša gada 30. jūnijam: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 ja operators plāno izmaiņas iekārtā, tās darbībā vai iekārtas darbības līmenī sakarā ar jaudas samazināšanu vai iekārtas paplašināšanu, tai skaitā iegūstot savā īpašumā visas citam operatoram piederošās stacionārās tehnoloģiskās iekārtas vai īrējot visas citam operatoram piederošās stacionārās iekārtas;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korespondējošajā direktīvas vienībā norādīts uz jaudas būtisku samazināšanu, tādēļ aicinām izvērtēt un attiecīgi papildināt noteikumu projektu, noteikumu projekta anotācijā skaidrot, kādos gadījumos jaudas samazināšanu būtu būtiska.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35.1. (bij. 36.1) apakšpunktā precizēts, ka iesniegums par atļaujā nepieciešamajiem grozījumiem iesniedzams būtiskas iekārtas jaudas samazināšanas gadījumā. Anotācija papildināta ar skaidrojumu, ka būtiskums vērtējams atbilstoši plānoto izmaiņu ietekmei uz iekārtas tehnisko jaudu, atļaujas saturu un monitoringa nosacījumiem, kā arī norādīti būtiskas jaudas samazināšanas piemēri.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 ja operators plāno izmaiņas iekārtā vai tās darbībā, iekārtas paplašināšanu vai būtisku iekārtas jaudas samazināšanu, kas var radīt nepieciešamību grozīt atļauju, tai skaitā iegūstot savā īpašumā visas citam operatoram piederošās stacionārās tehnoloģiskās iekārtas vai īrējot visas citam operatoram piederošās stacionārās iekārtas;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operatora saskaņā ar normatīvajiem aktiem par vides aizsardzības valsts statistikas pārskatu veidlapām iesniegto pārskatu;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aktualizēt atsauci uz attiecīgo normatīvo aktu 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operatora saskaņā ar normatīvajiem aktiem par vides aizsardzības oficiālās statistikas un piesārņojošās darbības pārskata veidlapām;"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Aktuālajā redakcijā 41.2 apakšpunktā izmantota priekšlikumā 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operatora saskaņā ar normatīvajiem aktiem par vides aizsardzības oficiālās statistikas un piesārņojošās darbības pārskata veidlapām;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Ja operators saskaņā ar likuma 32.</w:t>
            </w:r>
            <w:r w:rsidR="00000000" w:rsidRPr="00000000" w:rsidDel="00000000">
              <w:rPr>
                <w:vertAlign w:val="superscript"/>
                <w:rtl w:val="0"/>
              </w:rPr>
              <w:t xml:space="preserve">24</w:t>
            </w:r>
            <w:r w:rsidR="00000000" w:rsidRPr="00000000" w:rsidDel="00000000">
              <w:rPr>
                <w:rtl w:val="0"/>
              </w:rPr>
              <w:t xml:space="preserve"> pantu ir iekļauts iekārtu sarakstā, kuru ministrija atbilstoši spēkā esošajam regulējumam izstrādājusi kādam no likuma 32.</w:t>
            </w:r>
            <w:r w:rsidR="00000000" w:rsidRPr="00000000" w:rsidDel="00000000">
              <w:rPr>
                <w:vertAlign w:val="superscript"/>
                <w:rtl w:val="0"/>
              </w:rPr>
              <w:t xml:space="preserve">18</w:t>
            </w:r>
            <w:r w:rsidR="00000000" w:rsidRPr="00000000" w:rsidDel="00000000">
              <w:rPr>
                <w:rtl w:val="0"/>
              </w:rPr>
              <w:t xml:space="preserve"> panta ceturtajā daļā minētā 10 gadu perioda piecu gadu ciklam, iesniedzot šo noteikumu </w:t>
            </w:r>
            <w:r w:rsidR="00000000" w:rsidRPr="00000000" w:rsidDel="00000000">
              <w:rPr>
                <w:rtl w:val="0"/>
              </w:rPr>
              <w:t xml:space="preserve">36. </w:t>
            </w:r>
            <w:r w:rsidR="00000000" w:rsidRPr="00000000" w:rsidDel="00000000">
              <w:rPr>
                <w:rtl w:val="0"/>
              </w:rPr>
              <w:t xml:space="preserve">punktā</w:t>
            </w:r>
            <w:r w:rsidR="00000000" w:rsidRPr="00000000" w:rsidDel="00000000">
              <w:rPr>
                <w:rtl w:val="0"/>
              </w:rPr>
              <w:t xml:space="preserve"> minēto iesniegumu par monitoringa plāna grozījumiem, kā monitoringa plāna pielikumu, ja attiecināms, iesniedz monitoringa metodikas plānu vai tā grozījumus, kā noteikts Eiropas Komisijas 2018. gada 19. decembra Deleģētās regulas (ES) 2019/331, ar kuru nosaka Savienības mēroga pārejas noteikumus saskaņotai bezmaksas emisijas kvotu iedalei saskaņā ar Eiropas Parlamenta un Padomes Direktīvas 2003/87/EK 10.a pantu (turpmāk – regula Nr. 2019/331) 8. un 9.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atsauci "atbilstoši spēkā esošajam regulējumam" vai precizēt atbilstoši juridiskās tehnikas prasībām, norādot normatīvos aktus vai konkrētu to 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atsauce “atbilstoši spēkā esošajam regulējumam”. Tā aizstāta ar konkrētu atsauci uz likuma 32.</w:t>
            </w:r>
            <w:r w:rsidR="00000000" w:rsidRPr="00000000" w:rsidDel="00000000">
              <w:rPr>
                <w:vertAlign w:val="superscript"/>
                <w:rtl w:val="0"/>
              </w:rPr>
              <w:t xml:space="preserve">24</w:t>
            </w:r>
            <w:r w:rsidR="00000000" w:rsidRPr="00000000" w:rsidDel="00000000">
              <w:rPr>
                <w:rtl w:val="0"/>
              </w:rPr>
              <w:t xml:space="preserve"> panta pirmo daļu, kurā noteikta Klimata un enerģētikas ministrijas kompetence izstrādāt Eiropas Savienības emisijas kvotu tirdzniecības sistēmas iekārtu sarakstu katram attiecīgā perioda piecu gadu ciklam. Vienlaikus punkts redakcionāli vienkāršots.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Ja operatora ekspluatētā iekārta ir iekļauta likuma 32.</w:t>
            </w:r>
            <w:r w:rsidR="00000000" w:rsidRPr="00000000" w:rsidDel="00000000">
              <w:rPr>
                <w:vertAlign w:val="superscript"/>
                <w:rtl w:val="0"/>
              </w:rPr>
              <w:t xml:space="preserve">24 </w:t>
            </w:r>
            <w:r w:rsidR="00000000" w:rsidRPr="00000000" w:rsidDel="00000000">
              <w:rPr>
                <w:rtl w:val="0"/>
              </w:rPr>
              <w:t xml:space="preserve">panta pirmajā daļā minētajā iekārtu sarakstā, operators kopā ar šo noteikumu </w:t>
            </w:r>
            <w:r w:rsidR="00000000" w:rsidRPr="00000000" w:rsidDel="00000000">
              <w:rPr>
                <w:rtl w:val="0"/>
              </w:rPr>
              <w:t xml:space="preserve">35. </w:t>
            </w:r>
            <w:r w:rsidR="00000000" w:rsidRPr="00000000" w:rsidDel="00000000">
              <w:rPr>
                <w:rtl w:val="0"/>
              </w:rPr>
              <w:t xml:space="preserve">punktā</w:t>
            </w:r>
            <w:r w:rsidR="00000000" w:rsidRPr="00000000" w:rsidDel="00000000">
              <w:rPr>
                <w:rtl w:val="0"/>
              </w:rPr>
              <w:t xml:space="preserve"> minēto iesniegumu par atļaujā nepieciešamajiem grozījumiem, ja attiecināms, iesniedz dienestā monitoringa metodikas plānu vai tā grozījumus kā monitoringa plāna pielikumu saskaņā ar Eiropas Komisijas 2018. gada 19. decembra Deleģētās regulas (ES) 2019/331, ar kuru nosaka Savienības mēroga pārejas noteikumus saskaņotai bezmaksas emisijas kvotu iedalei saskaņā ar Eiropas Parlamenta un Padomes Direktīvas 2003/87/EK 10.a pantu (turpmāk – regula Nr. 2019/331), 8. un 9. pantu.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Ja operators saskaņā ar likuma 32.</w:t>
            </w:r>
            <w:r w:rsidR="00000000" w:rsidRPr="00000000" w:rsidDel="00000000">
              <w:rPr>
                <w:vertAlign w:val="superscript"/>
                <w:rtl w:val="0"/>
              </w:rPr>
              <w:t xml:space="preserve">24</w:t>
            </w:r>
            <w:r w:rsidR="00000000" w:rsidRPr="00000000" w:rsidDel="00000000">
              <w:rPr>
                <w:rtl w:val="0"/>
              </w:rPr>
              <w:t xml:space="preserve"> pantu ir iekļauts iekārtu sarakstā, kuru ministrija atbilstoši spēkā esošajam regulējumam izstrādājusi kādam no likuma 32.</w:t>
            </w:r>
            <w:r w:rsidR="00000000" w:rsidRPr="00000000" w:rsidDel="00000000">
              <w:rPr>
                <w:vertAlign w:val="superscript"/>
                <w:rtl w:val="0"/>
              </w:rPr>
              <w:t xml:space="preserve">18</w:t>
            </w:r>
            <w:r w:rsidR="00000000" w:rsidRPr="00000000" w:rsidDel="00000000">
              <w:rPr>
                <w:rtl w:val="0"/>
              </w:rPr>
              <w:t xml:space="preserve"> panta ceturtajā daļā minētā 10 gadu perioda piecu gadu ciklam, iesniedzot šo noteikumu </w:t>
            </w:r>
            <w:r w:rsidR="00000000" w:rsidRPr="00000000" w:rsidDel="00000000">
              <w:rPr>
                <w:rtl w:val="0"/>
              </w:rPr>
              <w:t xml:space="preserve">36. </w:t>
            </w:r>
            <w:r w:rsidR="00000000" w:rsidRPr="00000000" w:rsidDel="00000000">
              <w:rPr>
                <w:rtl w:val="0"/>
              </w:rPr>
              <w:t xml:space="preserve">punktā</w:t>
            </w:r>
            <w:r w:rsidR="00000000" w:rsidRPr="00000000" w:rsidDel="00000000">
              <w:rPr>
                <w:rtl w:val="0"/>
              </w:rPr>
              <w:t xml:space="preserve"> minēto iesniegumu par monitoringa plāna grozījumiem, kā monitoringa plāna pielikumu, ja attiecināms, iesniedz monitoringa metodikas plānu vai tā grozījumus, kā noteikts Eiropas Komisijas 2018. gada 19. decembra Deleģētās regulas (ES) 2019/331, ar kuru nosaka Savienības mēroga pārejas noteikumus saskaņotai bezmaksas emisijas kvotu iedalei saskaņā ar Eiropas Parlamenta un Padomes Direktīvas 2003/87/EK 10.a pantu (turpmāk – regula Nr. 2019/331) 8. un 9.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konsekventi atsaukties uz iesnieguma priekšmetu (šobrīd norādīts, piem., uz iesniegumu par monitoringa plāna grozījumiem, bet cituviet - uz iesniegumu par atļaujā nepieciešamajiem grozījumiem).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48. (bij. 49) punktā formulējums “iesniegums par monitoringa plāna grozījumiem” aizstāts ar formulējumu “iesniegums par atļaujā nepieciešamajiem grozījumiem”,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Ja operatora ekspluatētā iekārta ir iekļauta likuma 32.</w:t>
            </w:r>
            <w:r w:rsidR="00000000" w:rsidRPr="00000000" w:rsidDel="00000000">
              <w:rPr>
                <w:vertAlign w:val="superscript"/>
                <w:rtl w:val="0"/>
              </w:rPr>
              <w:t xml:space="preserve">24 </w:t>
            </w:r>
            <w:r w:rsidR="00000000" w:rsidRPr="00000000" w:rsidDel="00000000">
              <w:rPr>
                <w:rtl w:val="0"/>
              </w:rPr>
              <w:t xml:space="preserve">panta pirmajā daļā minētajā iekārtu sarakstā, operators kopā ar šo noteikumu </w:t>
            </w:r>
            <w:r w:rsidR="00000000" w:rsidRPr="00000000" w:rsidDel="00000000">
              <w:rPr>
                <w:rtl w:val="0"/>
              </w:rPr>
              <w:t xml:space="preserve">35. </w:t>
            </w:r>
            <w:r w:rsidR="00000000" w:rsidRPr="00000000" w:rsidDel="00000000">
              <w:rPr>
                <w:rtl w:val="0"/>
              </w:rPr>
              <w:t xml:space="preserve">punktā</w:t>
            </w:r>
            <w:r w:rsidR="00000000" w:rsidRPr="00000000" w:rsidDel="00000000">
              <w:rPr>
                <w:rtl w:val="0"/>
              </w:rPr>
              <w:t xml:space="preserve"> minēto iesniegumu par atļaujā nepieciešamajiem grozījumiem, ja attiecināms, iesniedz dienestā monitoringa metodikas plānu vai tā grozījumus kā monitoringa plāna pielikumu saskaņā ar Eiropas Komisijas 2018. gada 19. decembra Deleģētās regulas (ES) 2019/331, ar kuru nosaka Savienības mēroga pārejas noteikumus saskaņotai bezmaksas emisijas kvotu iedalei saskaņā ar Eiropas Parlamenta un Padomes Direktīvas 2003/87/EK 10.a pantu (turpmāk – regula Nr. 2019/331), 8. un 9. pantu.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Ja operators saskaņā ar likuma 32.</w:t>
            </w:r>
            <w:r w:rsidR="00000000" w:rsidRPr="00000000" w:rsidDel="00000000">
              <w:rPr>
                <w:vertAlign w:val="superscript"/>
                <w:rtl w:val="0"/>
              </w:rPr>
              <w:t xml:space="preserve">24</w:t>
            </w:r>
            <w:r w:rsidR="00000000" w:rsidRPr="00000000" w:rsidDel="00000000">
              <w:rPr>
                <w:rtl w:val="0"/>
              </w:rPr>
              <w:t xml:space="preserve"> pantu ir iekļauts iekārtu sarakstā, kuru ministrija atbilstoši spēkā esošajam regulējumam izstrādājusi kādam no likuma 32.</w:t>
            </w:r>
            <w:r w:rsidR="00000000" w:rsidRPr="00000000" w:rsidDel="00000000">
              <w:rPr>
                <w:vertAlign w:val="superscript"/>
                <w:rtl w:val="0"/>
              </w:rPr>
              <w:t xml:space="preserve">18</w:t>
            </w:r>
            <w:r w:rsidR="00000000" w:rsidRPr="00000000" w:rsidDel="00000000">
              <w:rPr>
                <w:rtl w:val="0"/>
              </w:rPr>
              <w:t xml:space="preserve"> panta ceturtajā daļā minētā 10 gadu perioda piecu gadu ciklam, iesniedzot šo noteikumu </w:t>
            </w:r>
            <w:r w:rsidR="00000000" w:rsidRPr="00000000" w:rsidDel="00000000">
              <w:rPr>
                <w:rtl w:val="0"/>
              </w:rPr>
              <w:t xml:space="preserve">36. </w:t>
            </w:r>
            <w:r w:rsidR="00000000" w:rsidRPr="00000000" w:rsidDel="00000000">
              <w:rPr>
                <w:rtl w:val="0"/>
              </w:rPr>
              <w:t xml:space="preserve">punktā</w:t>
            </w:r>
            <w:r w:rsidR="00000000" w:rsidRPr="00000000" w:rsidDel="00000000">
              <w:rPr>
                <w:rtl w:val="0"/>
              </w:rPr>
              <w:t xml:space="preserve"> minēto iesniegumu par monitoringa plāna grozījumiem, kā monitoringa plāna pielikumu, ja attiecināms, iesniedz monitoringa metodikas plānu vai tā grozījumus, kā noteikts Eiropas Komisijas 2018. gada 19. decembra Deleģētās regulas (ES) 2019/331, ar kuru nosaka Savienības mēroga pārejas noteikumus saskaņotai bezmaksas emisijas kvotu iedalei saskaņā ar Eiropas Parlamenta un Padomes Direktīvas 2003/87/EK 10.a pantu (turpmāk – regula Nr. 2019/331) 8. un 9.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49. punkts paredz, ka operators var tikt iekļauts iekārtu sarakstā, kas neatbilst regulējuma būtībai, jo saskaņā ar emisijas kvotu tirdzniecības sistēmas regulējumu sarakstā tiek iekļautas iekārtas, nevis operatori.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projekta 49. punktu un precizēt tajā ietverto formulējumu, jo pašreizējā redakcijā tas neatbilst tiesību normas loģikai, paredzot, ka “operators” tiek iekļauts iekārtu sarakstā.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49. (bij. 48.) punkts precizēts, nosakot, ka likuma 32.</w:t>
            </w:r>
            <w:r w:rsidR="00000000" w:rsidRPr="00000000" w:rsidDel="00000000">
              <w:rPr>
                <w:vertAlign w:val="superscript"/>
                <w:rtl w:val="0"/>
              </w:rPr>
              <w:t xml:space="preserve">24</w:t>
            </w:r>
            <w:r w:rsidR="00000000" w:rsidRPr="00000000" w:rsidDel="00000000">
              <w:rPr>
                <w:rtl w:val="0"/>
              </w:rPr>
              <w:t xml:space="preserve"> pantā minētajā iekārtu sarakstā tiek iekļauta operatora ekspluatētā iekārta, nevis operators.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Ja operatora ekspluatētā iekārta ir iekļauta likuma 32.</w:t>
            </w:r>
            <w:r w:rsidR="00000000" w:rsidRPr="00000000" w:rsidDel="00000000">
              <w:rPr>
                <w:vertAlign w:val="superscript"/>
                <w:rtl w:val="0"/>
              </w:rPr>
              <w:t xml:space="preserve">24 </w:t>
            </w:r>
            <w:r w:rsidR="00000000" w:rsidRPr="00000000" w:rsidDel="00000000">
              <w:rPr>
                <w:rtl w:val="0"/>
              </w:rPr>
              <w:t xml:space="preserve">panta pirmajā daļā minētajā iekārtu sarakstā, operators kopā ar šo noteikumu </w:t>
            </w:r>
            <w:r w:rsidR="00000000" w:rsidRPr="00000000" w:rsidDel="00000000">
              <w:rPr>
                <w:rtl w:val="0"/>
              </w:rPr>
              <w:t xml:space="preserve">35. </w:t>
            </w:r>
            <w:r w:rsidR="00000000" w:rsidRPr="00000000" w:rsidDel="00000000">
              <w:rPr>
                <w:rtl w:val="0"/>
              </w:rPr>
              <w:t xml:space="preserve">punktā</w:t>
            </w:r>
            <w:r w:rsidR="00000000" w:rsidRPr="00000000" w:rsidDel="00000000">
              <w:rPr>
                <w:rtl w:val="0"/>
              </w:rPr>
              <w:t xml:space="preserve"> minēto iesniegumu par atļaujā nepieciešamajiem grozījumiem, ja attiecināms, iesniedz dienestā monitoringa metodikas plānu vai tā grozījumus kā monitoringa plāna pielikumu saskaņā ar Eiropas Komisijas 2018. gada 19. decembra Deleģētās regulas (ES) 2019/331, ar kuru nosaka Savienības mēroga pārejas noteikumus saskaņotai bezmaksas emisijas kvotu iedalei saskaņā ar Eiropas Parlamenta un Padomes Direktīvas 2003/87/EK 10.a pantu (turpmāk – regula Nr. 2019/331), 8. un 9. pantu.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 tas konstatē, ka iekārta ir beigusi savu darbību, tai skaitā ja operators savas iekārtas neizmanto ražošanā vai to izmantošana nav iespējama, operators visas savā īpašumā esošās stacionārās tehnoloģiskās iekārtas ir demontējis, pārdevis vai izīrējis (nodevis iekārtas ekspluatācijā citam komersantam, tāpēc iekārtu izīrētājs vairs neveic likuma 2. pielikuma I. sadaļā minēto darbību, kuru savukārt veic iekārtu īrētājs);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terminoloģiju, vārdu "īrētājs" aizstājot ar vārdu "īrnieks". Vienlaikus lūdzam pārskatīt noteikumu projektu un izvērtēt, vai īres vietā noteikumu projektā nebūtu jānorāda uz nomu, ņemot vērā, ka tieši noma atbilstoši Civillikumam ir saistīta ar iespēju no lietojumā saņemtās lietas gūt peļņu pašam nomniekam, kas konkrētajā gadījumā ir komersants.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51.1. (bij. 52.1.) apakšpunktā pārskatīta īres un nomas terminoloģija. Ņemot vērā, ka stacionārās tehnoloģiskās iekārtas tiek nodotas citam komersantam to ekspluatācijai un saimnieciskās darbības veikšanai, vārds “izīrējis” aizstāts ar vārdu “iznomājis”. Vienlaikus svītrots skaidrojums, kurā lietoti apzīmējumi “izīrētājs” un “īrētājs”, un tā vietā tieši noteikts, ka iekārtas ekspluatē un attiecīgo darbību veic cits komersants.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 tas konstatē, ka iekārta ir beigusi darbību, tai skaitā ja operators iekārtu neizmanto ražošanā vai tās izmantošana nav iespējama, vai operators visas savā īpašumā esošās stacionārās tehnoloģiskās iekārtas ir demontējis, pārdevis vai iznomājis citam komersantam, kurš tās ekspluatē un veic likuma 2. pielikuma I sadaļā minēto darbību;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54.3. nodod emisijas kvotas, kas līdzvērtīgas iekārtas kopējām emisijām attiecīgā kalendārā gada laikā, atbilstoši verificētam emisiju ziņojumam, ievērojot likuma 32.</w:t>
            </w:r>
            <w:r w:rsidR="00000000" w:rsidRPr="00000000" w:rsidDel="00000000">
              <w:rPr>
                <w:vertAlign w:val="superscript"/>
                <w:rtl w:val="0"/>
              </w:rPr>
              <w:t xml:space="preserve">27</w:t>
            </w:r>
            <w:r w:rsidR="00000000" w:rsidRPr="00000000" w:rsidDel="00000000">
              <w:rPr>
                <w:rtl w:val="0"/>
              </w:rPr>
              <w:t xml:space="preserve"> panta cetrutajā daļā noteikto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novērst pārrakstīšanās kļūdu 54.3. apakšpunktā, aizstājot vārdu "cetrutajā" ar "ceturtajā".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Tehniski koriģēts 53.3. (bij. 54.3)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53.3. nodod emisijas kvotas, kas līdzvērtīgas iekārtas kopējām emisijām attiecīgā kalendārā gada laikā, atbilstoši verificētam emisiju ziņojumam, ievērojot likuma "Par piesārņojumu" 32.</w:t>
            </w:r>
            <w:r w:rsidR="00000000" w:rsidRPr="00000000" w:rsidDel="00000000">
              <w:rPr>
                <w:vertAlign w:val="superscript"/>
                <w:rtl w:val="0"/>
              </w:rPr>
              <w:t xml:space="preserve">27</w:t>
            </w:r>
            <w:r w:rsidR="00000000" w:rsidRPr="00000000" w:rsidDel="00000000">
              <w:rPr>
                <w:rtl w:val="0"/>
              </w:rPr>
              <w:t xml:space="preserve"> panta ceturtajā daļā noteikto termiņu.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Operators emisijas monitoringa rezultātus norāda emisiju ziņojumā. Emisiju ziņojumu sagatavo, izmantojot ETS informācijas sistēmu, un ņemot vērā regulas Nr. 2018/2066 X un X.a pielikumā noteikto gada ziņojumu minimālo saturu.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 iekļaut skaidrojumu saīsinājumam "ETS informācijas sistēma".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54. (bij. 55.) punktā, kurā pirmo reizi lietots saīsinātais apzīmējums “ETS informācijas sistēma”, norādīts Eiropas Komisijas izveidotās un uzturētās vienotās Eiropas Savienības Emisijas kvotu tirdzniecības sistēmas informācijas apmaiņas sistēmas pilnais nosaukums un atrunāts turpmāk lietojamais saīsinātais apzīmējums. Vienlaikus tehniski precizēts regulas Nr. 2018/2066 Xa pielikuma apzīmējums.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Operators emisijas monitoringa rezultātus norāda emisiju ziņojumā. Emisiju ziņojumu sagatavo Eiropas Komisijas izveidotajā un uzturētajā vienotajā Eiropas Savienības Emisijas kvotu tirdzniecības sistēmas informācijas apmaiņas sistēmā (turpmāk – ETS informācijas sistēma), ņemot vērā regulas Nr. 2018/2066 X un Xa pielikumā noteikto gada ziņojuma minimālo saturu.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Operators emisijas monitoringa rezultātus norāda emisiju ziņojumā. Emisiju ziņojumu sagatavo, izmantojot ETS informācijas sistēmu, un ņemot vērā regulas Nr. 2018/2066 X un X.a pielikumā noteikto gada ziņojumu minimālo saturu.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Jāatrunā noteikumu projektā iepriekš neatrunāts saīsinājums "ETS".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Operators emisijas monitoringa rezultātus norāda emisiju ziņojumā. Emisiju ziņojumu sagatavo, izmantojot </w:t>
            </w:r>
            <w:r w:rsidR="00000000" w:rsidRPr="00000000" w:rsidDel="00000000">
              <w:rPr>
                <w:u w:val="single"/>
                <w:rtl w:val="0"/>
              </w:rPr>
              <w:t xml:space="preserve">Eiropas Komisijas izveidoto un uzturēto vienoto Eiropas Savienības Emisijas kvotu tirdzniecības sistēmas informācijas apmaiņas sistēmu (turpmāk –</w:t>
            </w:r>
            <w:r w:rsidR="00000000" w:rsidRPr="00000000" w:rsidDel="00000000">
              <w:rPr>
                <w:rtl w:val="0"/>
              </w:rPr>
              <w:t xml:space="preserve"> ETS informācijas sistēma), un ņemot vērā regulas Nr. 2018/2066 X un X.a pielikumā noteikto gada ziņojumu minimālo saturu.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54. (bij. 55.) punktā, kurā pirmo reizi lietots saīsinātais apzīmējums “ETS informācijas sistēma”, norādīts Eiropas Komisijas izveidotās un uzturētās vienotās Eiropas Savienības Emisijas kvotu tirdzniecības sistēmas informācijas apmaiņas sistēmas pilnais nosaukums un atrunāts turpmāk lietojamais saīsinātais apzīmējums. Vienlaikus tehniski precizēts regulas Nr. 2018/2066 Xa pielikuma apzīmējums.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Operators emisijas monitoringa rezultātus norāda emisiju ziņojumā. Emisiju ziņojumu sagatavo Eiropas Komisijas izveidotajā un uzturētajā vienotajā Eiropas Savienības Emisijas kvotu tirdzniecības sistēmas informācijas apmaiņas sistēmā (turpmāk – ETS informācijas sistēma), ņemot vērā regulas Nr. 2018/2066 X un Xa pielikumā noteikto gada ziņojuma minimālo saturu.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Operators saskaņā ar likuma 32.</w:t>
            </w:r>
            <w:r w:rsidR="00000000" w:rsidRPr="00000000" w:rsidDel="00000000">
              <w:rPr>
                <w:vertAlign w:val="superscript"/>
                <w:rtl w:val="0"/>
              </w:rPr>
              <w:t xml:space="preserve">28</w:t>
            </w:r>
            <w:r w:rsidR="00000000" w:rsidRPr="00000000" w:rsidDel="00000000">
              <w:rPr>
                <w:rtl w:val="0"/>
              </w:rPr>
              <w:t xml:space="preserve"> pantu kopā ar emisiju ziņojumu sagatavo arī informāciju par to finanšu līdzekļu izlietojumu, kurus operators attiecīgajā kalendāra gadā ir guvis, pārdodot emisijas kvotas, kas viņam bija piešķirtas bez maksas saskaņā ar normatīvajiem aktiem par emisijas kvotu piešķiršanas kārtību stacionāro tehnoloģisko iekārtu operatoriem. Informācijā norāda iegūto finanšu līdzekļu apjomu un norāda, kādiem normatīvajos aktos par piesārņojumu minētajiem pasākumiem šie finanšu līdzekļi ir tikuši izlietoti.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ar likumu un normatīvajiem aktiem par piesārņojumu nav saprotams viens un tas pats, un nepieciešamības gadījumā precizēt, nodrošinot vienveidīgu izteiksmi.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55. (bij. 56.) punktā vispārīgā norāde uz “normatīvajos aktos par piesārņojumu minētajiem pasākumiem” aizstāta ar konkrētu atsauci uz likuma 32.</w:t>
            </w:r>
            <w:r w:rsidR="00000000" w:rsidRPr="00000000" w:rsidDel="00000000">
              <w:rPr>
                <w:vertAlign w:val="superscript"/>
                <w:rtl w:val="0"/>
              </w:rPr>
              <w:t xml:space="preserve">28</w:t>
            </w:r>
            <w:r w:rsidR="00000000" w:rsidRPr="00000000" w:rsidDel="00000000">
              <w:rPr>
                <w:rtl w:val="0"/>
              </w:rPr>
              <w:t xml:space="preserve"> panta otro daļu, kurā noteikti pasākumi, kuriem izlietojami no darījumiem ar bezmaksas emisijas kvotām gūtie finanšu līdzekļi. Vienlaikus punkta terminoloģija saskaņota ar likumā lietoto formulējumu, norādot uz finanšu līdzekļiem, kas gūti no darījumiem ar piešķirtajām bezmaksas emisijas kvotām.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Operators, kas attiecīgajā kalendāra gadā guvis finanšu līdzekļus no darījumiem ar tam piešķirtajām bezmaksas emisijas kvotām, kopā ar emisiju ziņojumu sagatavo informāciju par šo finanšu līdzekļu izlietojumu. Informācijā norāda iegūto finanšu līdzekļu apjomu un to izlietojumu likuma 32.</w:t>
            </w:r>
            <w:r w:rsidR="00000000" w:rsidRPr="00000000" w:rsidDel="00000000">
              <w:rPr>
                <w:vertAlign w:val="superscript"/>
                <w:rtl w:val="0"/>
              </w:rPr>
              <w:t xml:space="preserve">28</w:t>
            </w:r>
            <w:r w:rsidR="00000000" w:rsidRPr="00000000" w:rsidDel="00000000">
              <w:rPr>
                <w:rtl w:val="0"/>
              </w:rPr>
              <w:t xml:space="preserve"> panta otrajā daļā minētajiem pasākumiem. Minētajai informācijai operators pievieno tās pamatotību apliecinošu dokumentāciju.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Ja operators emisiju ziņojumā izmanto oglekļa dioksīda emisiju aprēķināšanas metodoloģiju, ko Latvijas Vides, ģeoloģijas un meteoroloģijas centrs publicē savā tīmekļvietnē katru gadu līdz 10. janvārim, tad operators konkrētā gada emisiju ziņojumu sagatavo pēc minētās metodoloģijas publicēšanas Latvijas Vides, ģeoloģijas un meteoroloģijas centra tīmekļvietnē.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svītrot vai precizēt noteikumu projekta 57. punktu. Norādām, ka attiecīgais ziņojums iesniedzams līdz 15. martam, kas nav šķērslis oglekļa dioksīda emisiju aprēķināšanas metodoloģijas izmantošanai, ja minētā metodoloģija tiek publicēta līdz 10. janvārim, turklāt norāde, ka ziņojumu sagatavo pēc metodoloģijas publicēšanas, ir neskaidra, jo no normas neizriet termiņš, kādā ziņojums sagatavojams un iesniedzams pēc metodoloģijas publicēšanas konkrētajā tīmekļvietnē, jo īpaši, ja metodoloģija netiek publicēta līdz 10. janvārim.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priekšlikumā minētais punkts svītrots. Tajā ietvertā norāde nenoteica patstāvīgu ziņojuma sagatavošanas vai iesniegšanas termiņu un nerisināja gadījumu, ja metodoloģija netiek publicēta līdz 10. janvārim. Emisiju ziņojumu operators sagatavo atbilstoši apstiprinātajam monitoringa plānam un regulas Nr. 2018/2066 prasībām un iesniedz likumā noteiktajā 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Operators darbības un emisijas monitoringa rezultātus norāda darbības līmeņa ziņojumā. Darbības līmeņa ziņojumu sagatavo, ietverot informāciju, kas iekļauta darbības līmeņa ziņojuma iesniegšanai izstrādātajās Eiropas Komisijas publicētajās elektroniskajās veidnēs un ņemot vērā Eiropas Komisijas 2019. gada 31. oktobra Īstenošanas regulas (ES) 2019/1842, ar ko nosaka noteikumus Eiropas Parlamenta un Padomes Direktīvas 2003/87/EK piemērošanai attiecībā uz sīkāku kārtību, kā izdarāmi bezmaksas emisijas kvotu iedales pielāgojumi sakarā ar darbības līmeņa izmaiņām (turpmāk – regula Nr. 2019/1842), 3. panta otrajā daļā noteikto darbības līmeņa minimālo saturu.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 norādot konkrētu attiecīgās regulas 3. panta punktu, kura otrā daļa satur minimālo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56. (bij.58.) punktā tehniski precizēta atsauce uz Regulas Nr. 2019/1842 strukturālo vienību, vārdus “3. panta otrajā daļā” aizstājot ar vārdiem “3. panta 2. punktā”.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Operators darbības un emisiju monitoringa rezultātus norāda darbības līmeņa ziņojumā. Darbības līmeņa ziņojumu sagatavo, ietverot informāciju, kas iekļauta darbības līmeņa ziņojuma iesniegšanai izstrādātajās Eiropas Komisijas publicētajās elektroniskajās veidnēs, un ņemot vērā Eiropas Komisijas 2019. gada 31. oktobra Īstenošanas regulas (ES) 2019/1842, ar ko nosaka noteikumus Eiropas Parlamenta un Padomes Direktīvas 2003/87/EK piemērošanai attiecībā uz sīkāku kārtību, kā izdarāmi bezmaksas emisijas kvotu iedales pielāgojumi sakarā ar darbības līmeņa izmaiņām (turpmāk – regula Nr. 2019/1842), 3. panta 2. punktā noteikto gada darbības līmeņa ziņojuma minimālo saturu.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59.3. Operators emisiju ziņojumā neveic emisiju aprēķinā izmantoto datu un starprezultātu noapaļošanu, bet noapaļo tikai gala rezultātu – gada kopējo emisiju apjomu (tonnās).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59.3. apakšpunktu ar 59. punkta ievaddaļu, nepieciešamības gadījumā izdalot 59.3. apakšpunktā ietverto saturu atsevišķā noteikumu projekta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regulējums izdalīts atsevišķā noteikumu projekta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Emisiju ziņojuma un darbības līmeņa ziņojuma ziņojuma verificēšana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 ("ziņojuma ziņojuma").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tehnisks precizējums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Emisiju ziņojuma un darbības līmeņa ziņojuma verificēšana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Emisiju ziņojuma un darbības līmeņa ziņojuma ziņojuma verificēšana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3.2. sadaļas virsraksta redakciju, novēršot tajā ietverto vārdu atkārtojumu, proti, nodrošinot, ka vārds “ziņojuma” bez nepieciešamības neatkārtojas vienā virsrakstā.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tehnisks precizējums.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Emisiju ziņojuma un darbības līmeņa ziņojuma verificēšana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61.3. pārzina prasības, kas noteiktas Eiropas Parlamenta un Padomes 2003. gada 13. oktobra Direktīvā 2003/87/EK, ar kuru nosaka sistēmu siltumnīcas efektu izraisošo gāzu emisijas kvotu tirdzniecībai Kopienā un groza Padomes Direktīvu 96/61/EK;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Neatkarīgi no tā, ka konkrētās normas prasības īsteno attiecīgās direktīvas V pielikumā minēto, aicinām noteikumu projekta 61. punktā iespēju robežās nepārrakstīt regulā ietverto tiesisko regulējumu,  tā vietā atsaucoties uz attiecīgās regulas normām, kas paredz konkrētās verificētāja prasības, un tādējādi izvairoties no regulā ietverto prasību interpretēšanas. Līdzīgi lūdzam izvērtēt un svītrot vai precizēt noteikumu projekta 68. punktu (izvairoties no regulā minēto apstākļu skaidrošanas)  u.c. 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regulējums par verificētājam izvirzāmajām prasībām pārskatīts, svītrojot Regulas Nr. 2018/2067 prasību pārstāstījumu, kopumā rediģēta visa 3.2. nodaļa.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61.6. nodrošina galvenā verificētāja rotāciju saskaņā ar regulas Nr. 2018/2067 43. panta astoto sadaļu.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 vārdus "astoto sadaļu" aizstājot ar vārdu un skaitli "8.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 sakarā ar 3.2. nodaļas rediģēšanu.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Ārkārtējos un nepārvaramos apstākļos, kad nav iespējams fizisks iekārtas apmeklējums ka noteikts šo noteikumu </w:t>
            </w:r>
            <w:r w:rsidR="00000000" w:rsidRPr="00000000" w:rsidDel="00000000">
              <w:rPr>
                <w:rtl w:val="0"/>
              </w:rPr>
              <w:t xml:space="preserve">65. </w:t>
            </w:r>
            <w:r w:rsidR="00000000" w:rsidRPr="00000000" w:rsidDel="00000000">
              <w:rPr>
                <w:rtl w:val="0"/>
              </w:rPr>
              <w:t xml:space="preserve">punktā</w:t>
            </w:r>
            <w:r w:rsidR="00000000" w:rsidRPr="00000000" w:rsidDel="00000000">
              <w:rPr>
                <w:rtl w:val="0"/>
              </w:rPr>
              <w:t xml:space="preserve">, verificētājs var pieņemt lēmumu veikt virtuālu iekārtas apmeklējumu un pieprasīt dienestam attiecīgu atļauju. Pieteikumu iesniedz un apstiprina saskaņā ar regulas Nr.  2018/2067 34.a pantā noteiktajām prasībām un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tehniski precizēt, jo iekārtas apmeklējumu paredz šo noteikumu 66., nevis 65.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visa 3.2. nodaļa. Iebildums pēc būtības 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Regulas Nr. 2018/2067 34.a panta 2. punktā minēto pieteikumu par verificētāja lēmumu veikt virtuālu iekārtas apmeklējumu operators iesniedz dienestam, izņemot minētās regulas 34.a panta 4. punktā noteiktā gadījumā.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Operators iesniedz dienestā pieteikumu par šo noteikumu </w:t>
            </w:r>
            <w:r w:rsidR="00000000" w:rsidRPr="00000000" w:rsidDel="00000000">
              <w:rPr>
                <w:rtl w:val="0"/>
              </w:rPr>
              <w:t xml:space="preserve">68. </w:t>
            </w:r>
            <w:r w:rsidR="00000000" w:rsidRPr="00000000" w:rsidDel="00000000">
              <w:rPr>
                <w:rtl w:val="0"/>
              </w:rPr>
              <w:t xml:space="preserve">punktā</w:t>
            </w:r>
            <w:r w:rsidR="00000000" w:rsidRPr="00000000" w:rsidDel="00000000">
              <w:rPr>
                <w:rtl w:val="0"/>
              </w:rPr>
              <w:t xml:space="preserve"> minētā verificētāja lēmuma apstiprināšanu. Dienests 10 darbdienu laikā pēc operatora pieteikuma saņemšanas, izvērtējot regulas Nr. 2018/2067 31. panta 1. punktā minētos nosacījumus un ņemot vērā šīs regulas 32. pantā minētos nosacījumus, apstiprina verificētāja lēmumu.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tehniski precizēt atsauci uz šo noteikumu 68. punktu (pirmšķietami domāts 67.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visa 3.2. nodaļa. Iebildums pēc būtības 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Dienests 10 darbdienu laikā pēc šo noteikumu </w:t>
            </w:r>
            <w:r w:rsidR="00000000" w:rsidRPr="00000000" w:rsidDel="00000000">
              <w:rPr>
                <w:rtl w:val="0"/>
              </w:rPr>
              <w:t xml:space="preserve">65. </w:t>
            </w:r>
            <w:r w:rsidR="00000000" w:rsidRPr="00000000" w:rsidDel="00000000">
              <w:rPr>
                <w:rtl w:val="0"/>
              </w:rPr>
              <w:t xml:space="preserve">punktā</w:t>
            </w:r>
            <w:r w:rsidR="00000000" w:rsidRPr="00000000" w:rsidDel="00000000">
              <w:rPr>
                <w:rtl w:val="0"/>
              </w:rPr>
              <w:t xml:space="preserve"> minētā pieteikuma saņemšanas to izvērtē un saskaņā ar regulas Nr. 2018/2067 34.a panta 3. punktu pieņem lēmumu apstiprināt verificētāja lēmumu veikt virtuālu iekārtas apmeklējumu vai atteikt tā apstiprināšanu.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74.4. visu konstatēto nepatieso apgalvojumu summa nepārsniedz regulas Nr. 2018/2067 23. panta ceturtajā daļā noteikto būtiskuma līmeni – 5 %.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 vārdus " ceturtajā daļā" aizstājot ar vārdu un skaitli "4.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83.2. izvērtējot šo noteikumu </w:t>
            </w:r>
            <w:r w:rsidR="00000000" w:rsidRPr="00000000" w:rsidDel="00000000">
              <w:rPr>
                <w:rtl w:val="0"/>
              </w:rPr>
              <w:t xml:space="preserve">80. </w:t>
            </w:r>
            <w:r w:rsidR="00000000" w:rsidRPr="00000000" w:rsidDel="00000000">
              <w:rPr>
                <w:rtl w:val="0"/>
              </w:rPr>
              <w:t xml:space="preserve">81. punktā</w:t>
            </w:r>
            <w:r w:rsidR="00000000" w:rsidRPr="00000000" w:rsidDel="00000000">
              <w:rPr>
                <w:rtl w:val="0"/>
              </w:rPr>
              <w:t xml:space="preserve"> minēto dienesta ziņojumu, konstatēts būtisks pārkāpums verificētāja darbībās;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 ("80. 81.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Aktuālajā redakcijā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87.1. stājies spēkā dienesta lēmums par atļaujas atcelšanu;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konkrēti norādīt, par kādu atļauju iet runa.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noteikumu projekta sākumā jēdziens “atļauja” ir definēts kā siltumnīcefekta gāzu emisijas atļauja, juridiskās skaidrības labad attiecīgajā apakšpunktā norādāms pilns atļaujas nosaukums.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75.1. stājies spēkā dienesta lēmums par siltumnīcefekta gāzu emisijas atļaujas atcelšanu;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Ja operators izbeidz darbību, šo noteikumu </w:t>
            </w:r>
            <w:r w:rsidR="00000000" w:rsidRPr="00000000" w:rsidDel="00000000">
              <w:rPr>
                <w:rtl w:val="0"/>
              </w:rPr>
              <w:t xml:space="preserve">87. </w:t>
            </w:r>
            <w:r w:rsidR="00000000" w:rsidRPr="00000000" w:rsidDel="00000000">
              <w:rPr>
                <w:rtl w:val="0"/>
              </w:rPr>
              <w:t xml:space="preserve">punktā</w:t>
            </w:r>
            <w:r w:rsidR="00000000" w:rsidRPr="00000000" w:rsidDel="00000000">
              <w:rPr>
                <w:rtl w:val="0"/>
              </w:rPr>
              <w:t xml:space="preserve"> minēto ziņojumu iesniegšanu nodrošina operatora administrators vai likvidators.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norādot, par kādu administratoru (maksātnespējas) normā ir runa.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aktuālajā redakcijā vairs netiek lietots un tā precizēšana nav nepieciešama.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 Dienests var veikt konservatīvas aplēses par jebkuru darbības līmeņa ziņojuma parametru regulas Nr. 2019/1842 3. panta ceturtajā daļā noteiktajās situācijās.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vārdus "ceturtajā daļā" aizstāt ar vārdu un skaitli "4. punkta otrajā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aktuālajā redakcijā vairs netiek lietots un tā precizēšana nav nepieciešama.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Dienests katru gadu līdz 30. aprīlim dienests savā tīmekļvietnē publicē emisiju ziņojuma apstiprinājumu vai lēmumu par neapstiprināšanu.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publicējams nav lēmums par emisiju ziņojuma apstiprināšanu, un attiecīgi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Atbilstošais punkts precizēts. Publicēta tiks informācija (piemēram, tabula) par ziņojuma apstiprināšanu un tikai neapstiprināšanas gadījumā lēmums.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Dienests katru gadu līdz 30. aprīlim savā tīmekļvietnē publicē informāciju par emisiju ziņojuma apstiprināšanu vai lēmumu par tā noraidīšanu.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Dienests piecu darbdienu laikā pēc attiecīgā lēmuma pieņemšanas nosūta Latvijas Vides, ģeoloģijas un meteoroloģijas centram un ministrijai šo noteikumu </w:t>
            </w:r>
            <w:r w:rsidR="00000000" w:rsidRPr="00000000" w:rsidDel="00000000">
              <w:rPr>
                <w:rtl w:val="0"/>
              </w:rPr>
              <w:t xml:space="preserve">50.</w:t>
            </w:r>
            <w:r w:rsidR="00000000" w:rsidRPr="00000000" w:rsidDel="00000000">
              <w:rPr>
                <w:rtl w:val="0"/>
              </w:rPr>
              <w:t xml:space="preserve"> un </w:t>
            </w:r>
            <w:r w:rsidR="00000000" w:rsidRPr="00000000" w:rsidDel="00000000">
              <w:rPr>
                <w:rtl w:val="0"/>
              </w:rPr>
              <w:t xml:space="preserve">52. </w:t>
            </w:r>
            <w:r w:rsidR="00000000" w:rsidRPr="00000000" w:rsidDel="00000000">
              <w:rPr>
                <w:rtl w:val="0"/>
              </w:rPr>
              <w:t xml:space="preserve">punktā</w:t>
            </w:r>
            <w:r w:rsidR="00000000" w:rsidRPr="00000000" w:rsidDel="00000000">
              <w:rPr>
                <w:rtl w:val="0"/>
              </w:rPr>
              <w:t xml:space="preserve"> minēto lēmumu par atļaujas atcelšanu.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atsauci uz šo noteikumu 50. punktu, jo attiecīgais lēmums šajā punktā nav minēts.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Aktuālajā redakcijā atsauces uz 50. vai 51.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Dienests piecu darbdienu laikā pēc attiecīgā lēmuma pieņemšanas nosūta Latvijas Vides, ģeoloģijas un meteoroloģijas centram un ministrijai šo noteikumu </w:t>
            </w:r>
            <w:r w:rsidR="00000000" w:rsidRPr="00000000" w:rsidDel="00000000">
              <w:rPr>
                <w:rtl w:val="0"/>
              </w:rPr>
              <w:t xml:space="preserve">50.</w:t>
            </w:r>
            <w:r w:rsidR="00000000" w:rsidRPr="00000000" w:rsidDel="00000000">
              <w:rPr>
                <w:rtl w:val="0"/>
              </w:rPr>
              <w:t xml:space="preserve"> vai </w:t>
            </w:r>
            <w:r w:rsidR="00000000" w:rsidRPr="00000000" w:rsidDel="00000000">
              <w:rPr>
                <w:rtl w:val="0"/>
              </w:rPr>
              <w:t xml:space="preserve">51. </w:t>
            </w:r>
            <w:r w:rsidR="00000000" w:rsidRPr="00000000" w:rsidDel="00000000">
              <w:rPr>
                <w:rtl w:val="0"/>
              </w:rPr>
              <w:t xml:space="preserve">punktā</w:t>
            </w:r>
            <w:r w:rsidR="00000000" w:rsidRPr="00000000" w:rsidDel="00000000">
              <w:rPr>
                <w:rtl w:val="0"/>
              </w:rPr>
              <w:t xml:space="preserve"> minēto lēmumu par atļaujas atcelšanu.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Informāciju publicē šādās vietnēs: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norādīt, par kādu informāciju konkrētajā gadījumā ir runa.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aktuālais punkts precizēts, norādot, ka dienesta un ministrijas tīmekļvietnēs publicē ar Eiropas Savienības emisijas kvotu tirdzniecības sistēmu saistītus dokumentus un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Ar Eiropas Savienības emisijas kvotu tirdzniecības sistēmu saistītus dokumentus un informāciju publicē šādās tīmekļvietnēs: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Atzīt par spēku zaudējušiem Ministru kabineta 2012. gada 13. novembrā noteikumus Nr.769 Rīgā "Noteikumi par stacionāro tehnoloģisko iekārtu dalību Eiropas Savienības emisijas kvotu tirdzniecības sistēmā" (Latvijas Vēstnesis, 2012, 190. nr.; 2014, 131. nr.; 2017, 71. nr.; 2018, 49. nr.; 2021, 66. nr.).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 un svītrot vārdu "Rīgā".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Tehniski precizēts aktuālās redakcijas atbilstošais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 Atzīt par spēku zaudējušiem Ministru kabineta 2012. gada 13. novembra noteikumus Nr.769 "Noteikumi par stacionāro tehnoloģisko iekārtu dalību Eiropas Savienības emisijas kvotu tirdzniecības sistēmā" (Latvijas Vēstnesis, 2012, 190. nr.; 2014, 131. nr.; 2017, 71. nr.; 2018, 49. nr.; 2021, 66. nr.).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Atzīt par spēku zaudējušiem Ministru kabineta 2012. gada 13. novembrā noteikumus Nr.769 Rīgā "Noteikumi par stacionāro tehnoloģisko iekārtu dalību Eiropas Savienības emisijas kvotu tirdzniecības sistēmā" (Latvijas Vēstnesis, 2012, 190. nr.; 2014, 131. nr.; 2017, 71. nr.; 2018, 49. nr.; 2021, 66. nr.).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nodaļas "Noslēguma jautājumi" secību atbilstoši Ministru kabineta 2009. gada 3. februāra noteikumu Nr. 108 "Normatīvo aktu projektu sagatavošanas noteikumi"  116.</w:t>
            </w:r>
            <w:r w:rsidR="00000000" w:rsidRPr="00000000" w:rsidDel="00000000">
              <w:rPr>
                <w:vertAlign w:val="superscript"/>
                <w:rtl w:val="0"/>
              </w:rPr>
              <w:t xml:space="preserve">1</w:t>
            </w:r>
            <w:r w:rsidR="00000000" w:rsidRPr="00000000" w:rsidDel="00000000">
              <w:rPr>
                <w:rtl w:val="0"/>
              </w:rPr>
              <w:t xml:space="preserve"> punktā noteiktajam, proti, norādi, kuri Ministru kabineta noteikumi tiek atzīti par spēku zaudējušiem, raksta kā noslēdzošo punktu šajā nodaļā.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 Atzīt par spēku zaudējušiem Ministru kabineta 2012. gada 13. novembra noteikumus Nr.769 "Noteikumi par stacionāro tehnoloģisko iekārtu dalību Eiropas Savienības emisijas kvotu tirdzniecības sistēmā" (Latvijas Vēstnesis, 2012, 190. nr.; 2014, 131. nr.; 2017, 71. nr.; 2018, 49. nr.; 2021, 66. nr.).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Atzīt par spēku zaudējušiem Ministru kabineta 2012. gada 13. novembrā noteikumus Nr.769 Rīgā "Noteikumi par stacionāro tehnoloģisko iekārtu dalību Eiropas Savienības emisijas kvotu tirdzniecības sistēmā" (Latvijas Vēstnesis, 2012, 190. nr.; 2014, 131. nr.; 2017, 71. nr.; 2018, 49. nr.; 2021, 66. nr.).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pārrakstīšanās kļūdu 114. punktā lietotajā datuma pierakstā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 Atzīt par spēku zaudējušiem Ministru kabineta 2012. gada 13. novembra noteikumus Nr.769 "Noteikumi par stacionāro tehnoloģisko iekārtu dalību Eiropas Savienības emisijas kvotu tirdzniecības sistēmā" (Latvijas Vēstnesis, 2012, 190. nr.; 2014, 131. nr.; 2017, 71. nr.; 2018, 49. nr.; 2021, 66. nr.).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Iekārtas, kura savu darbību uzsākusi pirms 2025. gada 31. decembra un kurai atbilstoši likuma 2. pielikuma I. sadaļā noteiktajam nepieciešama atļauja sākot ar 2026. gada 1. janvāri, operators attiecināmos dokumentus sākotnējai izvērtēšanai saskaņā ar šo noteikumu </w:t>
            </w:r>
            <w:r w:rsidR="00000000" w:rsidRPr="00000000" w:rsidDel="00000000">
              <w:rPr>
                <w:rtl w:val="0"/>
              </w:rPr>
              <w:t xml:space="preserve">4.1. </w:t>
            </w:r>
            <w:r w:rsidR="00000000" w:rsidRPr="00000000" w:rsidDel="00000000">
              <w:rPr>
                <w:rtl w:val="0"/>
              </w:rPr>
              <w:t xml:space="preserve">apakšpunktu</w:t>
            </w:r>
            <w:r w:rsidR="00000000" w:rsidRPr="00000000" w:rsidDel="00000000">
              <w:rPr>
                <w:rtl w:val="0"/>
              </w:rPr>
              <w:t xml:space="preserve">  dienestā var iesniegt līdz 2026. gada 1. jūnijam.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115. punktā iekļauto pārejas perioda termiņu, jo prognozējams, ka projekts pēc saskaņošanas procesa un pieņemšanas Ministru kabineta sēdē varētu stāties spēkā 2026.gada jūnijā, līdz ar to noteikt datumu prognozējami pirms normatīvā akta spēkā stāšanās, kas būtu saistošs kādam, nav korekti. Vienlaikus vēršam uzmanību, ka projekta anotācijā pārejas perioda termiņš ir norādīts 2026. gada 30. jūnijs, bet projektā - 2026. gada 1. jūnijs.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 jo zaudējis aktualitāti.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Iesniegumā siltumnīcefekta gāzu emisijas atļaujas saņemšanai norādāmā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attiecīgās direktīvas 5. panta otrajā daļā norādīts, ka "Pieteikumā ir jāiekļauj arī netehnisks pirmajā daļā minēto ziņu apkopojums", tādēļ lūdzam attiecīgi papildināt noteikumu projekta 1.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pielikuma B sadaļā jau bija paredzēts sniegt kopsavilkuma informāciju par iekārtu un tās darbību, nelietojot specifiskus tehniskus aprakstus un terminus. Lai nepārprotami pārņemtu Direktīvas 2003/87/EK 5. panta otrajā daļā noteikto prasību, B sadaļas nosaukums precizēts, nosakot, ka tajā sniedzams netehnisks kopsavilkums par iekārtu un tās darbību, un attiecīgi precizēta pielikuma 4. piezīme.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Iesniegumā siltumnīcefekta gāzu emisijas atļaujas saņemšanai norādāmā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Siltumnīcefekta gāzu emisijas atļaujā iekļaujamā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un tehniski precizēt noteikumu projekta 2. pielikumu (sk., piem., "Iekārtas darbības apraksts un to radīto emisiju īss apraksts</w:t>
            </w:r>
            <w:r w:rsidR="00000000" w:rsidRPr="00000000" w:rsidDel="00000000">
              <w:rPr>
                <w:u w:val="single"/>
                <w:rtl w:val="0"/>
              </w:rPr>
              <w:t xml:space="preserve">. un to radīto emisiju īss apraksts.</w:t>
            </w:r>
            <w:r w:rsidR="00000000" w:rsidRPr="00000000" w:rsidDel="00000000">
              <w:rPr>
                <w:rtl w:val="0"/>
              </w:rPr>
              <w:t xml:space="preserve">", "Informācija, kura </w:t>
            </w:r>
            <w:r w:rsidR="00000000" w:rsidRPr="00000000" w:rsidDel="00000000">
              <w:rPr>
                <w:u w:val="single"/>
                <w:rtl w:val="0"/>
              </w:rPr>
              <w:t xml:space="preserve">tika klasificējama</w:t>
            </w:r>
            <w:r w:rsidR="00000000" w:rsidRPr="00000000" w:rsidDel="00000000">
              <w:rPr>
                <w:rtl w:val="0"/>
              </w:rPr>
              <w:t xml:space="preserve"> kā ierobežotas pieejamības informācija"). Tai skaitā vēršam uzmanību, ka šobrīd no minētā pielikuma neizriet, kas ir iekļauts atļaujas 2. pielikumā - paraugu ņemšanas plāns vai sabiedrības, pašvaldību, citu iestāžu priekšlikumi par atļaujas izsniegšanu un tās nosacījumiem, protokoli par tikšanos ar operatoru un iestāžu pārstāvjiem, atzinums par iekārtas atbilstību iesniegumā sniegtajai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pielikums ir tehniski pārskatīts un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Siltumnīcefekta gāzu emisijas atļaujā iekļaujamā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aprēķinu skaidrojumā precizēt, par kuriem tiesību akta punktiem aprēķins veikts.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aktuālajā redakcijā 2.3. sadaļas administratīvo izmaksu monetārā novērtējuma tabula un aprēķinu skaidrojumi ir svītroti, jo noteikumu projekts nerada jaunus administratīvos pienākumus, par kuriem būtu veicams monetārs novērtējums. Līdz ar to aprēķinu skaidrojumā vairs nav atsauču uz noteikumu projekta punktiem un papildu precizējumi anotācijā nav nepieciešami.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sadaļas apakšsadaļā “Cita informācija” precizēt, kura tiesību akta (TAP Nr./spēkā stāšanās datums) anotācijā ir pieejama informācijas par ietekmi uz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papildus finansējums nav nepieciešams, tad lūdzam norādīt, ka jaunie pienākumi tiks finansēti KEM pieejamā budžeta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apakšsadaļā “Cita informācija” precizēts, ka informācija par ietekmi uz budžetu ietverta likumprojekta “Grozījumi likumā “Par piesārņojumu”” (TAP Nr. 24-TA-1182; Saeimas likumprojekts Nr. 910/Lp14; likums stājās spēkā 2025. gada 18. oktobrī) anotācijas 3. sadaļā. Vienlaikus norādīts, ka noteikumu projektā paredzēto jauno pienākumu izpilde tiks finansēta Klimata un enerģētikas ministrijai pieejamo valsts budžeta līdzekļu ietvaros un papildu finansējums nav nepieciešams.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anotācijas 4. sadaļā iekļauto informāciju, jo atbilstoši Valsts kancelejas izstrādātajām vadlīnijām tiesību akta projekta sākotnējās ietekmes novērtēšanai un novērtējuma ziņojuma sagatavošanai vienotajā tiesību aktu izstrādes un saskaņošanas portālā  norādītajam, ja spēkā esošā tiesību akta atzīšana par spēku zaudējušu ir paredzēta izstrādātajā tiesību akta projektā, to norāda nevis šajā apakšsadaļā [4.1.], bet anotācijas 1.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4.1. apakšsadaļas svītrota informācija par Ministru kabineta noteikumu Nr. 769 atzīšanu par spēku zaudējušiem, jo to paredz pats noteikumu projekts. Attiecīgā informācija ietverta un precizēta anotācijas 1.3. sadaļā. Anotācijas 4. sadaļā norādīts, ka projekts šo jomu neskar.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vai svītrot norādi "Rīcības brīvība netiek izmantota, paredzot stingrākas vai mazāk stingras prasības", jo minētā norāde ir deklaratīva un neskaidra. Tā vietā lūdzam skaidrot (ja attiecināms), kāda konkrēta rīcības brīvība ir paredzēta, kas ietverta konkrētā Eiropas Savienības tiesību aktā, vai tā tiek izmantota un kādēļ tā tiek vai netiek izmantota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5.4. 1. tabula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attiecīgās direktīvas: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5. pants nav pārņemts noteikumu projekta 2. pielikuma, bet gan 1.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6.panta 1.punkta 1.rindkopa pirmšķietami pārņemta arī noteikumu projekta 28.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5.4.1. tabulā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par kuriem tiesību akta projekta punktiem aprēķins ir veikts.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pārliecināties, ka administratīvā sloga aprēķins veikts par visiem punktiem, kas uzliekt informācijas sniegšanas pienākumu iestādēm.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ieskatā administratīvais logs būtu jāvērtē šādiem tiesību akta projekta punktiem: 18., 21., 25., 26., 28., 29., 31., 35., 48., 53., 54., 80., 101., 102., 103., 104., 111. punktam (informē, izsniedz atļauju, rakstiski paziņo, ziņo, publicē informāciju mājaslapās).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svarīgi saprast, vai norādītajos punktos nav jau esošas iestāžu funkcijas (saskaņā ar citiem normatīviem, t.sk., nolikumu), jo funkciju īstenošana nav uzskatāma par administratīvu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7.2. sadaļā pārskatīti visi priekšlikumā norādītie noteikumu projekta punkti, ņemot vērā arī projekta aktuālo numerāciju. Konstatēts, ka daļa norādīto punktu nosaka operatoru pienākumus vai iestāžu iekšējās izvērtēšanas darbības, savukārt pārējie punkti turpina jau esošās institūciju funkcijas atļauju izsniegšanas, verificētāju uzraudzības, informācijas apmaiņas un publicēšanas jomā. Tā kā noteikumu projekts šajā daļā nerada papildu administratīvās izmaksas institūcijām, anotācijas 7.2. sadaļā norādīts, ka projekts šo jomu neskar, un iepriekš ietvertais monetārais aprēķins ir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24-TA-27</w:t>
    </w:r>
    <w:r>
      <w:br/>
    </w:r>
    <w:r w:rsidR="00000000" w:rsidRPr="00000000" w:rsidDel="00000000">
      <w:rPr>
        <w:rtl w:val="0"/>
      </w:rPr>
      <w:t xml:space="preserve">04.08.2026. 15.40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24-TA-27</w:t>
    </w:r>
    <w:r>
      <w:br/>
    </w:r>
    <w:r w:rsidR="00000000" w:rsidRPr="00000000" w:rsidDel="00000000">
      <w:rPr>
        <w:rtl w:val="0"/>
      </w:rPr>
      <w:t xml:space="preserve">04.08.2026. 15.40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Izziņa_24-TA-27.docx</dc:title>
</cp:coreProperties>
</file>

<file path=docProps/custom.xml><?xml version="1.0" encoding="utf-8"?>
<Properties xmlns="http://schemas.openxmlformats.org/officeDocument/2006/custom-properties" xmlns:vt="http://schemas.openxmlformats.org/officeDocument/2006/docPropsVTypes"/>
</file>