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A50DD" w14:textId="77777777" w:rsidR="00C13FFC" w:rsidRPr="00C13FFC" w:rsidRDefault="00C13FFC" w:rsidP="00C13FFC">
      <w:pPr>
        <w:rPr>
          <w:rFonts w:ascii="Times New Roman" w:eastAsia="Times New Roman" w:hAnsi="Times New Roman" w:cs="Times New Roman"/>
          <w:sz w:val="24"/>
          <w:szCs w:val="24"/>
          <w:lang w:val="en-US"/>
        </w:rPr>
      </w:pPr>
      <w:r w:rsidRPr="00C13FFC">
        <w:rPr>
          <w:rFonts w:ascii="Times New Roman" w:eastAsia="Times New Roman" w:hAnsi="Times New Roman" w:cs="Times New Roman"/>
          <w:b/>
          <w:bCs/>
          <w:sz w:val="24"/>
          <w:szCs w:val="24"/>
          <w:lang w:val="en-US"/>
        </w:rPr>
        <w:t>From:</w:t>
      </w:r>
      <w:r w:rsidRPr="00C13FFC">
        <w:rPr>
          <w:rFonts w:ascii="Times New Roman" w:eastAsia="Times New Roman" w:hAnsi="Times New Roman" w:cs="Times New Roman"/>
          <w:sz w:val="24"/>
          <w:szCs w:val="24"/>
          <w:lang w:val="en-US"/>
        </w:rPr>
        <w:t xml:space="preserve"> Amanda Mūrniece &lt;Amanda.Murniece@tm.gov.lv&gt; </w:t>
      </w:r>
      <w:r w:rsidRPr="00C13FFC">
        <w:rPr>
          <w:rFonts w:ascii="Times New Roman" w:eastAsia="Times New Roman" w:hAnsi="Times New Roman" w:cs="Times New Roman"/>
          <w:sz w:val="24"/>
          <w:szCs w:val="24"/>
          <w:lang w:val="en-US"/>
        </w:rPr>
        <w:br/>
      </w:r>
      <w:r w:rsidRPr="00C13FFC">
        <w:rPr>
          <w:rFonts w:ascii="Times New Roman" w:eastAsia="Times New Roman" w:hAnsi="Times New Roman" w:cs="Times New Roman"/>
          <w:b/>
          <w:bCs/>
          <w:sz w:val="24"/>
          <w:szCs w:val="24"/>
          <w:lang w:val="en-US"/>
        </w:rPr>
        <w:t>Sent:</w:t>
      </w:r>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piektdiena</w:t>
      </w:r>
      <w:proofErr w:type="spellEnd"/>
      <w:r w:rsidRPr="00C13FFC">
        <w:rPr>
          <w:rFonts w:ascii="Times New Roman" w:eastAsia="Times New Roman" w:hAnsi="Times New Roman" w:cs="Times New Roman"/>
          <w:sz w:val="24"/>
          <w:szCs w:val="24"/>
          <w:lang w:val="en-US"/>
        </w:rPr>
        <w:t xml:space="preserve">, 2021. </w:t>
      </w:r>
      <w:proofErr w:type="spellStart"/>
      <w:r w:rsidRPr="00C13FFC">
        <w:rPr>
          <w:rFonts w:ascii="Times New Roman" w:eastAsia="Times New Roman" w:hAnsi="Times New Roman" w:cs="Times New Roman"/>
          <w:sz w:val="24"/>
          <w:szCs w:val="24"/>
          <w:lang w:val="en-US"/>
        </w:rPr>
        <w:t>gada</w:t>
      </w:r>
      <w:proofErr w:type="spellEnd"/>
      <w:r w:rsidRPr="00C13FFC">
        <w:rPr>
          <w:rFonts w:ascii="Times New Roman" w:eastAsia="Times New Roman" w:hAnsi="Times New Roman" w:cs="Times New Roman"/>
          <w:sz w:val="24"/>
          <w:szCs w:val="24"/>
          <w:lang w:val="en-US"/>
        </w:rPr>
        <w:t xml:space="preserve"> 6. </w:t>
      </w:r>
      <w:proofErr w:type="spellStart"/>
      <w:r w:rsidRPr="00C13FFC">
        <w:rPr>
          <w:rFonts w:ascii="Times New Roman" w:eastAsia="Times New Roman" w:hAnsi="Times New Roman" w:cs="Times New Roman"/>
          <w:sz w:val="24"/>
          <w:szCs w:val="24"/>
          <w:lang w:val="en-US"/>
        </w:rPr>
        <w:t>augusts</w:t>
      </w:r>
      <w:proofErr w:type="spellEnd"/>
      <w:r w:rsidRPr="00C13FFC">
        <w:rPr>
          <w:rFonts w:ascii="Times New Roman" w:eastAsia="Times New Roman" w:hAnsi="Times New Roman" w:cs="Times New Roman"/>
          <w:sz w:val="24"/>
          <w:szCs w:val="24"/>
          <w:lang w:val="en-US"/>
        </w:rPr>
        <w:t xml:space="preserve"> 10:11</w:t>
      </w:r>
      <w:r w:rsidRPr="00C13FFC">
        <w:rPr>
          <w:rFonts w:ascii="Times New Roman" w:eastAsia="Times New Roman" w:hAnsi="Times New Roman" w:cs="Times New Roman"/>
          <w:sz w:val="24"/>
          <w:szCs w:val="24"/>
          <w:lang w:val="en-US"/>
        </w:rPr>
        <w:br/>
      </w:r>
      <w:r w:rsidRPr="00C13FFC">
        <w:rPr>
          <w:rFonts w:ascii="Times New Roman" w:eastAsia="Times New Roman" w:hAnsi="Times New Roman" w:cs="Times New Roman"/>
          <w:b/>
          <w:bCs/>
          <w:sz w:val="24"/>
          <w:szCs w:val="24"/>
          <w:lang w:val="en-US"/>
        </w:rPr>
        <w:t>To:</w:t>
      </w:r>
      <w:r w:rsidRPr="00C13FFC">
        <w:rPr>
          <w:rFonts w:ascii="Times New Roman" w:eastAsia="Times New Roman" w:hAnsi="Times New Roman" w:cs="Times New Roman"/>
          <w:sz w:val="24"/>
          <w:szCs w:val="24"/>
          <w:lang w:val="en-US"/>
        </w:rPr>
        <w:t xml:space="preserve"> Pasts &lt;Pasts@fm.gov.lv&gt;</w:t>
      </w:r>
      <w:r w:rsidRPr="00C13FFC">
        <w:rPr>
          <w:rFonts w:ascii="Times New Roman" w:eastAsia="Times New Roman" w:hAnsi="Times New Roman" w:cs="Times New Roman"/>
          <w:sz w:val="24"/>
          <w:szCs w:val="24"/>
          <w:lang w:val="en-US"/>
        </w:rPr>
        <w:br/>
      </w:r>
      <w:r w:rsidRPr="00C13FFC">
        <w:rPr>
          <w:rFonts w:ascii="Times New Roman" w:eastAsia="Times New Roman" w:hAnsi="Times New Roman" w:cs="Times New Roman"/>
          <w:b/>
          <w:bCs/>
          <w:sz w:val="24"/>
          <w:szCs w:val="24"/>
          <w:lang w:val="en-US"/>
        </w:rPr>
        <w:t>Cc:</w:t>
      </w:r>
      <w:r w:rsidRPr="00C13FFC">
        <w:rPr>
          <w:rFonts w:ascii="Times New Roman" w:eastAsia="Times New Roman" w:hAnsi="Times New Roman" w:cs="Times New Roman"/>
          <w:sz w:val="24"/>
          <w:szCs w:val="24"/>
          <w:lang w:val="en-US"/>
        </w:rPr>
        <w:t xml:space="preserve"> Irita Tomiņa &lt;irita.tomina@fm.gov.lv&gt;</w:t>
      </w:r>
      <w:r w:rsidRPr="00C13FFC">
        <w:rPr>
          <w:rFonts w:ascii="Times New Roman" w:eastAsia="Times New Roman" w:hAnsi="Times New Roman" w:cs="Times New Roman"/>
          <w:sz w:val="24"/>
          <w:szCs w:val="24"/>
          <w:lang w:val="en-US"/>
        </w:rPr>
        <w:br/>
      </w:r>
      <w:r w:rsidRPr="00C13FFC">
        <w:rPr>
          <w:rFonts w:ascii="Times New Roman" w:eastAsia="Times New Roman" w:hAnsi="Times New Roman" w:cs="Times New Roman"/>
          <w:b/>
          <w:bCs/>
          <w:sz w:val="24"/>
          <w:szCs w:val="24"/>
          <w:lang w:val="en-US"/>
        </w:rPr>
        <w:t>Subject:</w:t>
      </w:r>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Atb</w:t>
      </w:r>
      <w:proofErr w:type="spellEnd"/>
      <w:r w:rsidRPr="00C13FFC">
        <w:rPr>
          <w:rFonts w:ascii="Times New Roman" w:eastAsia="Times New Roman" w:hAnsi="Times New Roman" w:cs="Times New Roman"/>
          <w:sz w:val="24"/>
          <w:szCs w:val="24"/>
          <w:lang w:val="en-US"/>
        </w:rPr>
        <w:t xml:space="preserve">.: Par </w:t>
      </w:r>
      <w:proofErr w:type="spellStart"/>
      <w:r w:rsidRPr="00C13FFC">
        <w:rPr>
          <w:rFonts w:ascii="Times New Roman" w:eastAsia="Times New Roman" w:hAnsi="Times New Roman" w:cs="Times New Roman"/>
          <w:sz w:val="24"/>
          <w:szCs w:val="24"/>
          <w:lang w:val="en-US"/>
        </w:rPr>
        <w:t>precizētā</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likumprojekta</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Grozījumi</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likumā</w:t>
      </w:r>
      <w:proofErr w:type="spellEnd"/>
      <w:r w:rsidRPr="00C13FFC">
        <w:rPr>
          <w:rFonts w:ascii="Times New Roman" w:eastAsia="Times New Roman" w:hAnsi="Times New Roman" w:cs="Times New Roman"/>
          <w:sz w:val="24"/>
          <w:szCs w:val="24"/>
          <w:lang w:val="en-US"/>
        </w:rPr>
        <w:t xml:space="preserve"> “Par </w:t>
      </w:r>
      <w:proofErr w:type="spellStart"/>
      <w:r w:rsidRPr="00C13FFC">
        <w:rPr>
          <w:rFonts w:ascii="Times New Roman" w:eastAsia="Times New Roman" w:hAnsi="Times New Roman" w:cs="Times New Roman"/>
          <w:sz w:val="24"/>
          <w:szCs w:val="24"/>
          <w:lang w:val="en-US"/>
        </w:rPr>
        <w:t>skaidras</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naudas</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deklarēšanu</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uz</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valsts</w:t>
      </w:r>
      <w:proofErr w:type="spellEnd"/>
      <w:r w:rsidRPr="00C13FFC">
        <w:rPr>
          <w:rFonts w:ascii="Times New Roman" w:eastAsia="Times New Roman" w:hAnsi="Times New Roman" w:cs="Times New Roman"/>
          <w:sz w:val="24"/>
          <w:szCs w:val="24"/>
          <w:lang w:val="en-US"/>
        </w:rPr>
        <w:t xml:space="preserve"> </w:t>
      </w:r>
      <w:proofErr w:type="spellStart"/>
      <w:r w:rsidRPr="00C13FFC">
        <w:rPr>
          <w:rFonts w:ascii="Times New Roman" w:eastAsia="Times New Roman" w:hAnsi="Times New Roman" w:cs="Times New Roman"/>
          <w:sz w:val="24"/>
          <w:szCs w:val="24"/>
          <w:lang w:val="en-US"/>
        </w:rPr>
        <w:t>robežas</w:t>
      </w:r>
      <w:proofErr w:type="spellEnd"/>
      <w:r w:rsidRPr="00C13FFC">
        <w:rPr>
          <w:rFonts w:ascii="Times New Roman" w:eastAsia="Times New Roman" w:hAnsi="Times New Roman" w:cs="Times New Roman"/>
          <w:sz w:val="24"/>
          <w:szCs w:val="24"/>
          <w:lang w:val="en-US"/>
        </w:rPr>
        <w:t xml:space="preserve">”” (VSS-349) </w:t>
      </w:r>
      <w:proofErr w:type="spellStart"/>
      <w:r w:rsidRPr="00C13FFC">
        <w:rPr>
          <w:rFonts w:ascii="Times New Roman" w:eastAsia="Times New Roman" w:hAnsi="Times New Roman" w:cs="Times New Roman"/>
          <w:sz w:val="24"/>
          <w:szCs w:val="24"/>
          <w:lang w:val="en-US"/>
        </w:rPr>
        <w:t>saskaņošanu</w:t>
      </w:r>
      <w:proofErr w:type="spellEnd"/>
      <w:r w:rsidRPr="00C13FFC">
        <w:rPr>
          <w:rFonts w:ascii="Times New Roman" w:eastAsia="Times New Roman" w:hAnsi="Times New Roman" w:cs="Times New Roman"/>
          <w:sz w:val="24"/>
          <w:szCs w:val="24"/>
          <w:lang w:val="en-US"/>
        </w:rPr>
        <w:t xml:space="preserve"> </w:t>
      </w:r>
    </w:p>
    <w:p w14:paraId="124D2593" w14:textId="77777777" w:rsidR="00C13FFC" w:rsidRPr="00C13FFC" w:rsidRDefault="00C13FFC" w:rsidP="00C13FFC">
      <w:pPr>
        <w:rPr>
          <w:rFonts w:ascii="Times New Roman" w:hAnsi="Times New Roman" w:cs="Times New Roman"/>
          <w:sz w:val="24"/>
          <w:szCs w:val="24"/>
        </w:rPr>
      </w:pPr>
    </w:p>
    <w:p w14:paraId="34A73279" w14:textId="77777777" w:rsidR="00C13FFC" w:rsidRPr="00C13FFC" w:rsidRDefault="00C13FFC" w:rsidP="00C13FFC">
      <w:pPr>
        <w:jc w:val="both"/>
        <w:rPr>
          <w:rFonts w:ascii="Times New Roman" w:eastAsia="Times New Roman" w:hAnsi="Times New Roman" w:cs="Times New Roman"/>
          <w:color w:val="000000"/>
          <w:sz w:val="24"/>
          <w:szCs w:val="24"/>
        </w:rPr>
      </w:pPr>
      <w:r w:rsidRPr="00C13FFC">
        <w:rPr>
          <w:rFonts w:ascii="Times New Roman" w:eastAsia="Times New Roman" w:hAnsi="Times New Roman" w:cs="Times New Roman"/>
          <w:color w:val="000000"/>
          <w:sz w:val="24"/>
          <w:szCs w:val="24"/>
        </w:rPr>
        <w:t>Labdien,</w:t>
      </w:r>
    </w:p>
    <w:p w14:paraId="0D481D08" w14:textId="77777777" w:rsidR="00C13FFC" w:rsidRPr="00C13FFC" w:rsidRDefault="00C13FFC" w:rsidP="00C13FFC">
      <w:pPr>
        <w:jc w:val="both"/>
        <w:rPr>
          <w:rFonts w:ascii="Times New Roman" w:eastAsia="Times New Roman" w:hAnsi="Times New Roman" w:cs="Times New Roman"/>
          <w:color w:val="000000"/>
          <w:sz w:val="24"/>
          <w:szCs w:val="24"/>
        </w:rPr>
      </w:pPr>
    </w:p>
    <w:p w14:paraId="228E83EA" w14:textId="77777777" w:rsidR="00C13FFC" w:rsidRPr="00C13FFC" w:rsidRDefault="00C13FFC" w:rsidP="00C13FFC">
      <w:pPr>
        <w:jc w:val="both"/>
        <w:rPr>
          <w:rFonts w:ascii="Times New Roman" w:eastAsia="Times New Roman" w:hAnsi="Times New Roman" w:cs="Times New Roman"/>
          <w:color w:val="000000"/>
          <w:sz w:val="24"/>
          <w:szCs w:val="24"/>
        </w:rPr>
      </w:pPr>
      <w:r w:rsidRPr="00C13FFC">
        <w:rPr>
          <w:rFonts w:ascii="Times New Roman" w:eastAsia="Times New Roman" w:hAnsi="Times New Roman" w:cs="Times New Roman"/>
          <w:color w:val="000000"/>
          <w:sz w:val="24"/>
          <w:szCs w:val="24"/>
        </w:rPr>
        <w:t xml:space="preserve">Tieslietu ministrija ir izskatījusi Finanšu ministrijas precizēto likumprojektu “Grozījumi likumā “Par skaidras naudas deklarēšanu uz valsts robežas”” (turpmāk - projekts) un atbalsta tā virzību, izsakot šādus </w:t>
      </w:r>
      <w:r w:rsidRPr="00C13FFC">
        <w:rPr>
          <w:rFonts w:ascii="Times New Roman" w:eastAsia="Times New Roman" w:hAnsi="Times New Roman" w:cs="Times New Roman"/>
          <w:b/>
          <w:bCs/>
          <w:color w:val="000000"/>
          <w:sz w:val="24"/>
          <w:szCs w:val="24"/>
        </w:rPr>
        <w:t>iebildumus</w:t>
      </w:r>
      <w:r w:rsidRPr="00C13FFC">
        <w:rPr>
          <w:rFonts w:ascii="Times New Roman" w:eastAsia="Times New Roman" w:hAnsi="Times New Roman" w:cs="Times New Roman"/>
          <w:color w:val="000000"/>
          <w:sz w:val="24"/>
          <w:szCs w:val="24"/>
        </w:rPr>
        <w:t>:</w:t>
      </w:r>
    </w:p>
    <w:p w14:paraId="506770D6" w14:textId="77777777" w:rsidR="00C13FFC" w:rsidRPr="00C13FFC" w:rsidRDefault="00C13FFC" w:rsidP="00C13FFC">
      <w:pPr>
        <w:numPr>
          <w:ilvl w:val="0"/>
          <w:numId w:val="1"/>
        </w:numPr>
        <w:spacing w:before="100" w:beforeAutospacing="1" w:after="100" w:afterAutospacing="1"/>
        <w:jc w:val="both"/>
        <w:rPr>
          <w:rFonts w:ascii="Times New Roman" w:eastAsia="Times New Roman" w:hAnsi="Times New Roman" w:cs="Times New Roman"/>
          <w:color w:val="000000"/>
          <w:sz w:val="24"/>
          <w:szCs w:val="24"/>
        </w:rPr>
      </w:pPr>
      <w:r w:rsidRPr="00C13FFC">
        <w:rPr>
          <w:rFonts w:ascii="Times New Roman" w:eastAsia="Times New Roman" w:hAnsi="Times New Roman" w:cs="Times New Roman"/>
          <w:color w:val="000000"/>
          <w:sz w:val="24"/>
          <w:szCs w:val="24"/>
          <w:bdr w:val="none" w:sz="0" w:space="0" w:color="auto" w:frame="1"/>
        </w:rPr>
        <w:t xml:space="preserve">Gan projekta 5. pantā izteiktajā </w:t>
      </w:r>
      <w:r w:rsidRPr="00C13FFC">
        <w:rPr>
          <w:rFonts w:ascii="Times New Roman" w:eastAsia="Times New Roman" w:hAnsi="Times New Roman" w:cs="Times New Roman"/>
          <w:color w:val="000000"/>
          <w:sz w:val="24"/>
          <w:szCs w:val="24"/>
          <w:bdr w:val="none" w:sz="0" w:space="0" w:color="auto" w:frame="1"/>
          <w:shd w:val="clear" w:color="auto" w:fill="FFFFFF"/>
        </w:rPr>
        <w:t>likuma 5. panta otrajā daļā, gan projekta 6. pantā izteiktajā likuma 5.</w:t>
      </w:r>
      <w:r w:rsidRPr="00C13FFC">
        <w:rPr>
          <w:rFonts w:ascii="Times New Roman" w:eastAsia="Times New Roman" w:hAnsi="Times New Roman" w:cs="Times New Roman"/>
          <w:color w:val="000000"/>
          <w:sz w:val="24"/>
          <w:szCs w:val="24"/>
          <w:bdr w:val="none" w:sz="0" w:space="0" w:color="auto" w:frame="1"/>
          <w:shd w:val="clear" w:color="auto" w:fill="FFFFFF"/>
          <w:vertAlign w:val="superscript"/>
        </w:rPr>
        <w:t xml:space="preserve">1 </w:t>
      </w:r>
      <w:r w:rsidRPr="00C13FFC">
        <w:rPr>
          <w:rFonts w:ascii="Times New Roman" w:eastAsia="Times New Roman" w:hAnsi="Times New Roman" w:cs="Times New Roman"/>
          <w:color w:val="000000"/>
          <w:sz w:val="24"/>
          <w:szCs w:val="24"/>
          <w:bdr w:val="none" w:sz="0" w:space="0" w:color="auto" w:frame="1"/>
          <w:shd w:val="clear" w:color="auto" w:fill="FFFFFF"/>
        </w:rPr>
        <w:t xml:space="preserve">panta otrajā daļā ir norādīts, ka "kompetentās iestādes pieprasījums atklāt informāciju par nepavadītu skaidru naudu </w:t>
      </w:r>
      <w:r w:rsidRPr="00C13FFC">
        <w:rPr>
          <w:rFonts w:ascii="Times New Roman" w:eastAsia="Times New Roman" w:hAnsi="Times New Roman" w:cs="Times New Roman"/>
          <w:b/>
          <w:bCs/>
          <w:color w:val="000000"/>
          <w:sz w:val="24"/>
          <w:szCs w:val="24"/>
          <w:bdr w:val="none" w:sz="0" w:space="0" w:color="auto" w:frame="1"/>
          <w:shd w:val="clear" w:color="auto" w:fill="FFFFFF"/>
        </w:rPr>
        <w:t>nav apstrīdams un pārsūdzams</w:t>
      </w:r>
      <w:r w:rsidRPr="00C13FFC">
        <w:rPr>
          <w:rFonts w:ascii="Times New Roman" w:eastAsia="Times New Roman" w:hAnsi="Times New Roman" w:cs="Times New Roman"/>
          <w:color w:val="000000"/>
          <w:sz w:val="24"/>
          <w:szCs w:val="24"/>
          <w:bdr w:val="none" w:sz="0" w:space="0" w:color="auto" w:frame="1"/>
          <w:shd w:val="clear" w:color="auto" w:fill="FFFFFF"/>
        </w:rPr>
        <w:t xml:space="preserve">". </w:t>
      </w:r>
    </w:p>
    <w:p w14:paraId="2B60B0DD" w14:textId="77777777" w:rsidR="00C13FFC" w:rsidRPr="00C13FFC" w:rsidRDefault="00C13FFC" w:rsidP="00C13FFC">
      <w:pPr>
        <w:numPr>
          <w:ilvl w:val="0"/>
          <w:numId w:val="1"/>
        </w:numPr>
        <w:spacing w:before="100" w:beforeAutospacing="1" w:after="100" w:afterAutospacing="1"/>
        <w:jc w:val="both"/>
        <w:rPr>
          <w:rFonts w:ascii="Times New Roman" w:eastAsia="Times New Roman" w:hAnsi="Times New Roman" w:cs="Times New Roman"/>
          <w:color w:val="000000"/>
          <w:sz w:val="24"/>
          <w:szCs w:val="24"/>
        </w:rPr>
      </w:pPr>
      <w:r w:rsidRPr="00C13FFC">
        <w:rPr>
          <w:rFonts w:ascii="Times New Roman" w:eastAsia="Times New Roman" w:hAnsi="Times New Roman" w:cs="Times New Roman"/>
          <w:color w:val="000000"/>
          <w:sz w:val="24"/>
          <w:szCs w:val="24"/>
        </w:rPr>
        <w:t xml:space="preserve">Vēršam uzmanību, ka kompetentās iestādes pieprasījums atbilst visām Administratīvā procesa likuma 1. panta trešajā daļā ietvertajām administratīvā akta pazīmēm, tāpēc tas ir atzīstams par administratīvo aktu. No Administratīvā procesa likuma 75. panta vispārīgi izriet, ka jebkurš administratīvais akts ir apstrīdams. </w:t>
      </w:r>
    </w:p>
    <w:p w14:paraId="376DD013" w14:textId="77777777" w:rsidR="00C13FFC" w:rsidRPr="00C13FFC" w:rsidRDefault="00C13FFC" w:rsidP="00C13FFC">
      <w:pPr>
        <w:numPr>
          <w:ilvl w:val="0"/>
          <w:numId w:val="1"/>
        </w:numPr>
        <w:spacing w:before="100" w:beforeAutospacing="1" w:after="100" w:afterAutospacing="1"/>
        <w:jc w:val="both"/>
        <w:rPr>
          <w:rFonts w:ascii="Times New Roman" w:eastAsia="Times New Roman" w:hAnsi="Times New Roman" w:cs="Times New Roman"/>
          <w:color w:val="000000"/>
          <w:sz w:val="24"/>
          <w:szCs w:val="24"/>
        </w:rPr>
      </w:pPr>
      <w:r w:rsidRPr="00C13FFC">
        <w:rPr>
          <w:rFonts w:ascii="Times New Roman" w:eastAsia="Times New Roman" w:hAnsi="Times New Roman" w:cs="Times New Roman"/>
          <w:color w:val="000000"/>
          <w:sz w:val="24"/>
          <w:szCs w:val="24"/>
        </w:rPr>
        <w:t xml:space="preserve">Lūdzam papildināt anotāciju ar skaidrojumu un pamatojumu, kāpēc konkrētajā gadījumā ir paredzēts, ka administratīvais akts nav apstrīdams. </w:t>
      </w:r>
    </w:p>
    <w:p w14:paraId="0AD42ED0" w14:textId="77777777" w:rsidR="00C13FFC" w:rsidRPr="00C13FFC" w:rsidRDefault="00C13FFC" w:rsidP="00C13FFC">
      <w:pPr>
        <w:numPr>
          <w:ilvl w:val="0"/>
          <w:numId w:val="1"/>
        </w:numPr>
        <w:spacing w:before="100" w:beforeAutospacing="1" w:after="100" w:afterAutospacing="1"/>
        <w:jc w:val="both"/>
        <w:rPr>
          <w:rFonts w:ascii="Times New Roman" w:eastAsia="Times New Roman" w:hAnsi="Times New Roman" w:cs="Times New Roman"/>
          <w:color w:val="000000"/>
          <w:sz w:val="24"/>
          <w:szCs w:val="24"/>
        </w:rPr>
      </w:pPr>
    </w:p>
    <w:p w14:paraId="0914A71A" w14:textId="77777777" w:rsidR="00C13FFC" w:rsidRPr="00C13FFC" w:rsidRDefault="00C13FFC" w:rsidP="00C13FFC">
      <w:pPr>
        <w:numPr>
          <w:ilvl w:val="0"/>
          <w:numId w:val="1"/>
        </w:numPr>
        <w:spacing w:before="100" w:beforeAutospacing="1" w:after="100" w:afterAutospacing="1"/>
        <w:jc w:val="both"/>
        <w:rPr>
          <w:rFonts w:ascii="Times New Roman" w:eastAsia="Times New Roman" w:hAnsi="Times New Roman" w:cs="Times New Roman"/>
          <w:color w:val="000000"/>
          <w:sz w:val="24"/>
          <w:szCs w:val="24"/>
        </w:rPr>
      </w:pPr>
      <w:r w:rsidRPr="00C13FFC">
        <w:rPr>
          <w:rFonts w:ascii="Times New Roman" w:eastAsia="Times New Roman" w:hAnsi="Times New Roman" w:cs="Times New Roman"/>
          <w:color w:val="000000"/>
          <w:sz w:val="24"/>
          <w:szCs w:val="24"/>
          <w:bdr w:val="none" w:sz="0" w:space="0" w:color="auto" w:frame="1"/>
        </w:rPr>
        <w:t xml:space="preserve">Vienlaikus vēršam uzmanību, ka Latvijas Republikas Satversmes 92. pants noteic, ka ikviens var aizstāvēt savas tiesības un likumiskās intereses taisnīgā tiesā. </w:t>
      </w:r>
      <w:r w:rsidRPr="00C13FFC">
        <w:rPr>
          <w:rFonts w:ascii="Times New Roman" w:eastAsia="Times New Roman" w:hAnsi="Times New Roman" w:cs="Times New Roman"/>
          <w:color w:val="000000"/>
          <w:sz w:val="24"/>
          <w:szCs w:val="24"/>
          <w:u w:val="single"/>
        </w:rPr>
        <w:t xml:space="preserve">Paredzot likumā, ka kompetentās iestādes lēmums nav pārsūdzams, tiek ierobežotas personas </w:t>
      </w:r>
      <w:proofErr w:type="spellStart"/>
      <w:r w:rsidRPr="00C13FFC">
        <w:rPr>
          <w:rFonts w:ascii="Times New Roman" w:eastAsia="Times New Roman" w:hAnsi="Times New Roman" w:cs="Times New Roman"/>
          <w:color w:val="000000"/>
          <w:sz w:val="24"/>
          <w:szCs w:val="24"/>
          <w:u w:val="single"/>
        </w:rPr>
        <w:t>pamattiesības</w:t>
      </w:r>
      <w:proofErr w:type="spellEnd"/>
      <w:r w:rsidRPr="00C13FFC">
        <w:rPr>
          <w:rFonts w:ascii="Times New Roman" w:eastAsia="Times New Roman" w:hAnsi="Times New Roman" w:cs="Times New Roman"/>
          <w:color w:val="000000"/>
          <w:sz w:val="24"/>
          <w:szCs w:val="24"/>
        </w:rPr>
        <w:t xml:space="preserve">. Lai noteiktu, vai </w:t>
      </w:r>
      <w:proofErr w:type="spellStart"/>
      <w:r w:rsidRPr="00C13FFC">
        <w:rPr>
          <w:rFonts w:ascii="Times New Roman" w:eastAsia="Times New Roman" w:hAnsi="Times New Roman" w:cs="Times New Roman"/>
          <w:color w:val="000000"/>
          <w:sz w:val="24"/>
          <w:szCs w:val="24"/>
        </w:rPr>
        <w:t>pamattiesību</w:t>
      </w:r>
      <w:proofErr w:type="spellEnd"/>
      <w:r w:rsidRPr="00C13FFC">
        <w:rPr>
          <w:rFonts w:ascii="Times New Roman" w:eastAsia="Times New Roman" w:hAnsi="Times New Roman" w:cs="Times New Roman"/>
          <w:color w:val="000000"/>
          <w:sz w:val="24"/>
          <w:szCs w:val="24"/>
        </w:rPr>
        <w:t xml:space="preserve"> ierobežojums ir attaisnojams, jāpārbauda, vai: 1) tas ir noteikts ar likumu; 2) tam ir leģitīms mērķis; 3) tas ir samērīgs </w:t>
      </w:r>
      <w:r w:rsidRPr="00C13FFC">
        <w:rPr>
          <w:rFonts w:ascii="Times New Roman" w:eastAsia="Times New Roman" w:hAnsi="Times New Roman" w:cs="Times New Roman"/>
          <w:i/>
          <w:iCs/>
          <w:color w:val="000000"/>
          <w:sz w:val="24"/>
          <w:szCs w:val="24"/>
        </w:rPr>
        <w:t>(skat., piemēram, Satversmes tiesas 2020. gada 11. jūnija sprieduma lietā Nr. 2019-12-01 30. punktu, Satversmes tiesas 2019. gada 24. oktobra sprieduma lietā Nr. 2018-23-03 13. punktu)</w:t>
      </w:r>
      <w:r w:rsidRPr="00C13FFC">
        <w:rPr>
          <w:rFonts w:ascii="Times New Roman" w:eastAsia="Times New Roman" w:hAnsi="Times New Roman" w:cs="Times New Roman"/>
          <w:color w:val="000000"/>
          <w:sz w:val="24"/>
          <w:szCs w:val="24"/>
        </w:rPr>
        <w:t xml:space="preserve">. Ikviena </w:t>
      </w:r>
      <w:proofErr w:type="spellStart"/>
      <w:r w:rsidRPr="00C13FFC">
        <w:rPr>
          <w:rFonts w:ascii="Times New Roman" w:eastAsia="Times New Roman" w:hAnsi="Times New Roman" w:cs="Times New Roman"/>
          <w:color w:val="000000"/>
          <w:sz w:val="24"/>
          <w:szCs w:val="24"/>
        </w:rPr>
        <w:t>pamattiesību</w:t>
      </w:r>
      <w:proofErr w:type="spellEnd"/>
      <w:r w:rsidRPr="00C13FFC">
        <w:rPr>
          <w:rFonts w:ascii="Times New Roman" w:eastAsia="Times New Roman" w:hAnsi="Times New Roman" w:cs="Times New Roman"/>
          <w:color w:val="000000"/>
          <w:sz w:val="24"/>
          <w:szCs w:val="24"/>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mērķi </w:t>
      </w:r>
      <w:proofErr w:type="spellStart"/>
      <w:r w:rsidRPr="00C13FFC">
        <w:rPr>
          <w:rFonts w:ascii="Times New Roman" w:eastAsia="Times New Roman" w:hAnsi="Times New Roman" w:cs="Times New Roman"/>
          <w:color w:val="000000"/>
          <w:sz w:val="24"/>
          <w:szCs w:val="24"/>
        </w:rPr>
        <w:t>visupirms</w:t>
      </w:r>
      <w:proofErr w:type="spellEnd"/>
      <w:r w:rsidRPr="00C13FFC">
        <w:rPr>
          <w:rFonts w:ascii="Times New Roman" w:eastAsia="Times New Roman" w:hAnsi="Times New Roman" w:cs="Times New Roman"/>
          <w:color w:val="000000"/>
          <w:sz w:val="24"/>
          <w:szCs w:val="24"/>
        </w:rPr>
        <w:t xml:space="preserve"> ir institūcijai, kas izdevusi attiecīgo tiesību aktu (</w:t>
      </w:r>
      <w:r w:rsidRPr="00C13FFC">
        <w:rPr>
          <w:rFonts w:ascii="Times New Roman" w:eastAsia="Times New Roman" w:hAnsi="Times New Roman" w:cs="Times New Roman"/>
          <w:i/>
          <w:iCs/>
          <w:color w:val="000000"/>
          <w:sz w:val="24"/>
          <w:szCs w:val="24"/>
        </w:rPr>
        <w:t>skat., piemēram, Satversmes tiesas 2020. gada 12. decembra sprieduma lietā Nr. 2020-26-0106 17. punktu, Satversmes tiesas 2020. gada 12. marta sprieduma lietā Nr. 2019-11-01 14. punktu</w:t>
      </w:r>
      <w:r w:rsidRPr="00C13FFC">
        <w:rPr>
          <w:rFonts w:ascii="Times New Roman" w:eastAsia="Times New Roman" w:hAnsi="Times New Roman" w:cs="Times New Roman"/>
          <w:color w:val="000000"/>
          <w:sz w:val="24"/>
          <w:szCs w:val="24"/>
        </w:rPr>
        <w:t xml:space="preserve">). Ievērojot minēto, lūdzam papildināt anotāciju ar atbilstošu </w:t>
      </w:r>
      <w:proofErr w:type="spellStart"/>
      <w:r w:rsidRPr="00C13FFC">
        <w:rPr>
          <w:rFonts w:ascii="Times New Roman" w:eastAsia="Times New Roman" w:hAnsi="Times New Roman" w:cs="Times New Roman"/>
          <w:color w:val="000000"/>
          <w:sz w:val="24"/>
          <w:szCs w:val="24"/>
        </w:rPr>
        <w:t>izvērtējumu</w:t>
      </w:r>
      <w:proofErr w:type="spellEnd"/>
      <w:r w:rsidRPr="00C13FFC">
        <w:rPr>
          <w:rFonts w:ascii="Times New Roman" w:eastAsia="Times New Roman" w:hAnsi="Times New Roman" w:cs="Times New Roman"/>
          <w:color w:val="000000"/>
          <w:sz w:val="24"/>
          <w:szCs w:val="24"/>
        </w:rPr>
        <w:t xml:space="preserve"> un pamatojumu.</w:t>
      </w:r>
    </w:p>
    <w:p w14:paraId="785B3322" w14:textId="77777777" w:rsidR="00C13FFC" w:rsidRPr="00C13FFC" w:rsidRDefault="00C13FFC" w:rsidP="00C13FFC">
      <w:pPr>
        <w:numPr>
          <w:ilvl w:val="0"/>
          <w:numId w:val="2"/>
        </w:numPr>
        <w:spacing w:before="100" w:beforeAutospacing="1" w:after="100" w:afterAutospacing="1"/>
        <w:jc w:val="both"/>
        <w:rPr>
          <w:rFonts w:ascii="Times New Roman" w:eastAsia="Times New Roman" w:hAnsi="Times New Roman" w:cs="Times New Roman"/>
          <w:sz w:val="24"/>
          <w:szCs w:val="24"/>
        </w:rPr>
      </w:pPr>
      <w:r w:rsidRPr="00C13FFC">
        <w:rPr>
          <w:rFonts w:ascii="Times New Roman" w:eastAsia="Times New Roman" w:hAnsi="Times New Roman" w:cs="Times New Roman"/>
          <w:sz w:val="24"/>
          <w:szCs w:val="24"/>
        </w:rPr>
        <w:t xml:space="preserve">Projekta 8. pantā paredzēta administratīvā atbildība par normatīvajos aktos noteiktā skaidras naudas, ko, šķērsojot valsts robežu, ieved Latvijas Republikā vai izved no tās, deklarēšanas pienākuma neizpildīšanu vai </w:t>
      </w:r>
      <w:r w:rsidRPr="00C13FFC">
        <w:rPr>
          <w:rFonts w:ascii="Times New Roman" w:eastAsia="Times New Roman" w:hAnsi="Times New Roman" w:cs="Times New Roman"/>
          <w:sz w:val="24"/>
          <w:szCs w:val="24"/>
          <w:u w:val="single"/>
        </w:rPr>
        <w:t>kompetentās iestādes noteiktā pienākuma</w:t>
      </w:r>
      <w:r w:rsidRPr="00C13FFC">
        <w:rPr>
          <w:rFonts w:ascii="Times New Roman" w:eastAsia="Times New Roman" w:hAnsi="Times New Roman" w:cs="Times New Roman"/>
          <w:sz w:val="24"/>
          <w:szCs w:val="24"/>
        </w:rPr>
        <w:t xml:space="preserve"> atklāt informāciju par nepavadītu skaidru naudu, ko, šķērsojot valsts robežu, ieved Latvijas Republikā vai izved no tās, neizpildīšanu, piemēro naudas sodu divdesmit procentu apmērā no summas, kuru ir pienākums deklarēt vai par kuru ir pienākums atklāt informāciju. </w:t>
      </w:r>
    </w:p>
    <w:p w14:paraId="5DC5A360"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Projekta anotācijā skaidrots: "</w:t>
      </w:r>
      <w:r w:rsidRPr="00C13FFC">
        <w:rPr>
          <w:rFonts w:ascii="Times New Roman" w:hAnsi="Times New Roman" w:cs="Times New Roman"/>
          <w:i/>
          <w:iCs/>
          <w:color w:val="000000"/>
          <w:sz w:val="24"/>
          <w:szCs w:val="24"/>
        </w:rPr>
        <w:t xml:space="preserve">Iespējamās sankcijas (veids un bardzība) būtu nosakāmas, īpaši ņemot vērā regulas Nr. 2018/1672 1. pantā definēto regulas mērķi: "Ar šo regulu izveido kontroles sistēmu skaidrai naudai, ko ieved Savienībā vai izved no tās, lai </w:t>
      </w:r>
      <w:r w:rsidRPr="00C13FFC">
        <w:rPr>
          <w:rFonts w:ascii="Times New Roman" w:hAnsi="Times New Roman" w:cs="Times New Roman"/>
          <w:i/>
          <w:iCs/>
          <w:color w:val="000000"/>
          <w:sz w:val="24"/>
          <w:szCs w:val="24"/>
        </w:rPr>
        <w:lastRenderedPageBreak/>
        <w:t>papildinātu Direktīvā (ES) 2015/849 noteikto tiesisko regulējumu nelikumīgi iegūtu līdzekļu legalizācijas un teroristu finansēšanas novēršanai." Ņemot vērā īpaši būtisko jomu, uz kuru attiecas regula Nr. 2018/1672 un Likums, kā arī iespējamās negatīvās sekas, ja ar valsts tiesību aktiem ieviestās sankcijas varētu izrādīties nepietiekami preventīvas, atbildība par informācijas atklāšanas par nepavadītas skaidras naudas pienākuma nepildīšanu būtu nosakāma kā sankcija par administratīvo pārkāpumu.</w:t>
      </w:r>
      <w:r w:rsidRPr="00C13FFC">
        <w:rPr>
          <w:rStyle w:val="apple-converted-space"/>
          <w:rFonts w:ascii="Times New Roman" w:hAnsi="Times New Roman" w:cs="Times New Roman"/>
          <w:i/>
          <w:iCs/>
          <w:color w:val="000000"/>
          <w:sz w:val="24"/>
          <w:szCs w:val="24"/>
        </w:rPr>
        <w:t xml:space="preserve"> </w:t>
      </w:r>
    </w:p>
    <w:p w14:paraId="021975D1"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i/>
          <w:iCs/>
          <w:color w:val="000000"/>
          <w:sz w:val="24"/>
          <w:szCs w:val="24"/>
        </w:rPr>
        <w:t xml:space="preserve">Pienākums atklāt informāciju par nepavadītu skaidru naudu pēc tiesiskās dabas ir pielīdzināms pienākumam deklarēt skaidru naudu, tādējādi sankcija gan par skaidras naudas deklarēšanas, gan par informācijas par nepavadītu skaidru naudu atklāšanas pienākuma nepildīšanu būtu nosakāma pēc vieniem un tiem pašiem principiem, paredzot attiecīgu administratīvā pārkāpuma sastāvu. Turklāt jāņem vērā administratīvo pārkāpumu tiesību sistēmā pastāvošais sodāmības institūts un attiecīgi sodāmības iespējamās sekas, kas ir papildus motivējošs apstāklis izpildīt uz personu attiecināmos pienākumus." </w:t>
      </w:r>
    </w:p>
    <w:p w14:paraId="25C98188"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 xml:space="preserve">Kā norādīts iepriekšējā Tieslietu ministrijas atzinumā, pirms noteikt jaunu administratīvās atbildības pamatu, jāizvērtē vismaz šādi kritēriji: 1) administratīvā akta (procesa) prioritātes princips, 2) sabiedriskās kārtības mērķa sasniegšanas efektivitāte, 3) </w:t>
      </w:r>
      <w:proofErr w:type="spellStart"/>
      <w:r w:rsidRPr="00C13FFC">
        <w:rPr>
          <w:rFonts w:ascii="Times New Roman" w:hAnsi="Times New Roman" w:cs="Times New Roman"/>
          <w:color w:val="000000"/>
          <w:sz w:val="24"/>
          <w:szCs w:val="24"/>
        </w:rPr>
        <w:t>problēmsituācijas</w:t>
      </w:r>
      <w:proofErr w:type="spellEnd"/>
      <w:r w:rsidRPr="00C13FFC">
        <w:rPr>
          <w:rFonts w:ascii="Times New Roman" w:hAnsi="Times New Roman" w:cs="Times New Roman"/>
          <w:color w:val="000000"/>
          <w:sz w:val="24"/>
          <w:szCs w:val="24"/>
        </w:rPr>
        <w:t xml:space="preserve"> </w:t>
      </w:r>
      <w:proofErr w:type="spellStart"/>
      <w:r w:rsidRPr="00C13FFC">
        <w:rPr>
          <w:rFonts w:ascii="Times New Roman" w:hAnsi="Times New Roman" w:cs="Times New Roman"/>
          <w:color w:val="000000"/>
          <w:sz w:val="24"/>
          <w:szCs w:val="24"/>
        </w:rPr>
        <w:t>attiecināmība</w:t>
      </w:r>
      <w:proofErr w:type="spellEnd"/>
      <w:r w:rsidRPr="00C13FFC">
        <w:rPr>
          <w:rFonts w:ascii="Times New Roman" w:hAnsi="Times New Roman" w:cs="Times New Roman"/>
          <w:color w:val="000000"/>
          <w:sz w:val="24"/>
          <w:szCs w:val="24"/>
        </w:rPr>
        <w:t xml:space="preserve"> uz publiski tiesiskajām attiecībām, 4) </w:t>
      </w:r>
      <w:proofErr w:type="spellStart"/>
      <w:r w:rsidRPr="00C13FFC">
        <w:rPr>
          <w:rFonts w:ascii="Times New Roman" w:hAnsi="Times New Roman" w:cs="Times New Roman"/>
          <w:color w:val="000000"/>
          <w:sz w:val="24"/>
          <w:szCs w:val="24"/>
        </w:rPr>
        <w:t>problēmsituācijas</w:t>
      </w:r>
      <w:proofErr w:type="spellEnd"/>
      <w:r w:rsidRPr="00C13FFC">
        <w:rPr>
          <w:rFonts w:ascii="Times New Roman" w:hAnsi="Times New Roman" w:cs="Times New Roman"/>
          <w:color w:val="000000"/>
          <w:sz w:val="24"/>
          <w:szCs w:val="24"/>
        </w:rPr>
        <w:t xml:space="preserve"> bīstamība un kaitīgums, 5) aizliegums paredzēt administratīvos sodus par administratīvā akta labprātīgu neizpildīšanu (</w:t>
      </w:r>
      <w:r w:rsidRPr="00C13FFC">
        <w:rPr>
          <w:rFonts w:ascii="Times New Roman" w:hAnsi="Times New Roman" w:cs="Times New Roman"/>
          <w:i/>
          <w:iCs/>
          <w:color w:val="000000"/>
          <w:sz w:val="24"/>
          <w:szCs w:val="24"/>
        </w:rPr>
        <w:t>sk.</w:t>
      </w:r>
      <w:r w:rsidRPr="00C13FFC">
        <w:rPr>
          <w:rStyle w:val="apple-converted-space"/>
          <w:rFonts w:ascii="Times New Roman" w:hAnsi="Times New Roman" w:cs="Times New Roman"/>
          <w:i/>
          <w:iCs/>
          <w:color w:val="000000"/>
          <w:sz w:val="24"/>
          <w:szCs w:val="24"/>
        </w:rPr>
        <w:t xml:space="preserve"> </w:t>
      </w:r>
      <w:r w:rsidRPr="00C13FFC">
        <w:rPr>
          <w:rFonts w:ascii="Times New Roman" w:hAnsi="Times New Roman" w:cs="Times New Roman"/>
          <w:i/>
          <w:iCs/>
          <w:color w:val="000000"/>
          <w:sz w:val="24"/>
          <w:szCs w:val="24"/>
        </w:rPr>
        <w:t xml:space="preserve">Māliņa I. Jaunu administratīvo pārkāpumu sastāvu veidošana. </w:t>
      </w:r>
      <w:proofErr w:type="spellStart"/>
      <w:r w:rsidRPr="00C13FFC">
        <w:rPr>
          <w:rFonts w:ascii="Times New Roman" w:hAnsi="Times New Roman" w:cs="Times New Roman"/>
          <w:i/>
          <w:iCs/>
          <w:color w:val="000000"/>
          <w:sz w:val="24"/>
          <w:szCs w:val="24"/>
        </w:rPr>
        <w:t>Grām</w:t>
      </w:r>
      <w:proofErr w:type="spellEnd"/>
      <w:r w:rsidRPr="00C13FFC">
        <w:rPr>
          <w:rFonts w:ascii="Times New Roman" w:hAnsi="Times New Roman" w:cs="Times New Roman"/>
          <w:i/>
          <w:iCs/>
          <w:color w:val="000000"/>
          <w:sz w:val="24"/>
          <w:szCs w:val="24"/>
        </w:rPr>
        <w:t xml:space="preserve">.: Administratīvo pārkāpumu tiesības. Administratīvās atbildības likuma skaidrojumi. Sagatavojis autoru kolektīvs. E. </w:t>
      </w:r>
      <w:proofErr w:type="spellStart"/>
      <w:r w:rsidRPr="00C13FFC">
        <w:rPr>
          <w:rFonts w:ascii="Times New Roman" w:hAnsi="Times New Roman" w:cs="Times New Roman"/>
          <w:i/>
          <w:iCs/>
          <w:color w:val="000000"/>
          <w:sz w:val="24"/>
          <w:szCs w:val="24"/>
        </w:rPr>
        <w:t>Danovska</w:t>
      </w:r>
      <w:proofErr w:type="spellEnd"/>
      <w:r w:rsidRPr="00C13FFC">
        <w:rPr>
          <w:rFonts w:ascii="Times New Roman" w:hAnsi="Times New Roman" w:cs="Times New Roman"/>
          <w:i/>
          <w:iCs/>
          <w:color w:val="000000"/>
          <w:sz w:val="24"/>
          <w:szCs w:val="24"/>
        </w:rPr>
        <w:t xml:space="preserve"> un G. Kūtra zinātniskajā redakcijā. Rīga: Tiesu namu aģentūra, 2020,</w:t>
      </w:r>
      <w:r w:rsidRPr="00C13FFC">
        <w:rPr>
          <w:rStyle w:val="apple-converted-space"/>
          <w:rFonts w:ascii="Times New Roman" w:hAnsi="Times New Roman" w:cs="Times New Roman"/>
          <w:i/>
          <w:iCs/>
          <w:color w:val="000000"/>
          <w:sz w:val="24"/>
          <w:szCs w:val="24"/>
        </w:rPr>
        <w:t xml:space="preserve"> </w:t>
      </w:r>
      <w:r w:rsidRPr="00C13FFC">
        <w:rPr>
          <w:rFonts w:ascii="Times New Roman" w:hAnsi="Times New Roman" w:cs="Times New Roman"/>
          <w:i/>
          <w:iCs/>
          <w:color w:val="000000"/>
          <w:sz w:val="24"/>
          <w:szCs w:val="24"/>
        </w:rPr>
        <w:t>54.-58. lpp.</w:t>
      </w:r>
      <w:r w:rsidRPr="00C13FFC">
        <w:rPr>
          <w:rFonts w:ascii="Times New Roman" w:hAnsi="Times New Roman" w:cs="Times New Roman"/>
          <w:color w:val="000000"/>
          <w:sz w:val="24"/>
          <w:szCs w:val="24"/>
        </w:rPr>
        <w:t xml:space="preserve">). Argumentēts visu šo kritēriju vērtējums iekļaujams projekta anotācijā (neatkarīgi no tā, ka līdzīgs administratīvais pārkāpums jau pastāv spēkā esošajā regulējumā). </w:t>
      </w:r>
    </w:p>
    <w:p w14:paraId="3E7B1780"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Īpaša uzmanība pievēršama administratīvā procesa prioritātes principam un aizliegumam paredzēt administratīvos sodus par administratīvā akta labprātīgu neizpildīšanu. Šajā gadījumā ir jānošķir normatīvajos tiesību aktos noteikti pienākumi no kompetentās iestādes amatpersonas noteiktiem pienākumiem. Administratīvo aktu piespiedu izpilde nav nodrošināma, izmantojot administratīvo atbildību.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Pr="00C13FFC">
        <w:rPr>
          <w:rFonts w:ascii="Times New Roman" w:hAnsi="Times New Roman" w:cs="Times New Roman"/>
          <w:i/>
          <w:iCs/>
          <w:color w:val="000000"/>
          <w:sz w:val="24"/>
          <w:szCs w:val="24"/>
        </w:rPr>
        <w:t>Senāta Administratīvo lietu departamenta 2019. gada 15. februāra lēmuma lietā Nr. SKA-946/2019 6. punkts</w:t>
      </w:r>
      <w:r w:rsidRPr="00C13FFC">
        <w:rPr>
          <w:rFonts w:ascii="Times New Roman" w:hAnsi="Times New Roman" w:cs="Times New Roman"/>
          <w:color w:val="000000"/>
          <w:sz w:val="24"/>
          <w:szCs w:val="24"/>
        </w:rPr>
        <w:t xml:space="preserve">). </w:t>
      </w:r>
    </w:p>
    <w:p w14:paraId="134152DC"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 xml:space="preserve">Tādējādi par iestādes (amatpersonas) noteiktu pienākumu iesniegt informāciju administratīvā atbildība nav paredzama. Ievērojot Eiropas Parlamenta un Padomes 2018. gada 23. oktobra regulas (ES) 2018/1672 par Savienības teritorijā ievestās skaidras naudas vai no tās izvestās skaidras naudas kontroli un par Regulas (EK) Nr. 1889/2005 atcelšanu (turpmāk – Regula) prasības un to, ka skaidras naudas aizturēšanai (izņemšanai) atbilstošāks ir tieši administratīvā pārkāpuma procesa regulējums, tad šajā gadījumā varētu pieļaut izņēmumu no iepriekš minētajiem pārkāpumu definēšanas principiem. Tomēr tādā gadījumā projekta anotācijā nepieciešams norādīt argumentētu pamatojumu šim izņēmumam, tostarp atsaucoties uz skaidras naudas aizturēšanas procedūru kā galveno pamatojumu izņēmumam. </w:t>
      </w:r>
    </w:p>
    <w:p w14:paraId="4C146EBB"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Regula pati par sevi tieši nenoteic, kāda veida sankcijas dalībvalstij ir jāparedz. Ir iespējams pat kombinēt krimināltiesiskus, administratīvi tiesiskus vai civiltiesiskus pasākumus. Šādā gadījumā sankciju efektivitāte, samērīgums un preventīvā ietekme izvērtējama, ievērojot visu pasākumu kopumu (</w:t>
      </w:r>
      <w:r w:rsidRPr="00C13FFC">
        <w:rPr>
          <w:rFonts w:ascii="Times New Roman" w:hAnsi="Times New Roman" w:cs="Times New Roman"/>
          <w:i/>
          <w:iCs/>
          <w:color w:val="000000"/>
          <w:sz w:val="24"/>
          <w:szCs w:val="24"/>
        </w:rPr>
        <w:t xml:space="preserve">sal. </w:t>
      </w:r>
      <w:proofErr w:type="spellStart"/>
      <w:r w:rsidRPr="00C13FFC">
        <w:rPr>
          <w:rFonts w:ascii="Times New Roman" w:hAnsi="Times New Roman" w:cs="Times New Roman"/>
          <w:i/>
          <w:iCs/>
          <w:color w:val="000000"/>
          <w:sz w:val="24"/>
          <w:szCs w:val="24"/>
        </w:rPr>
        <w:t>Damjan</w:t>
      </w:r>
      <w:proofErr w:type="spellEnd"/>
      <w:r w:rsidRPr="00C13FFC">
        <w:rPr>
          <w:rFonts w:ascii="Times New Roman" w:hAnsi="Times New Roman" w:cs="Times New Roman"/>
          <w:i/>
          <w:iCs/>
          <w:color w:val="000000"/>
          <w:sz w:val="24"/>
          <w:szCs w:val="24"/>
        </w:rPr>
        <w:t xml:space="preserve"> M., </w:t>
      </w:r>
      <w:proofErr w:type="spellStart"/>
      <w:r w:rsidRPr="00C13FFC">
        <w:rPr>
          <w:rFonts w:ascii="Times New Roman" w:hAnsi="Times New Roman" w:cs="Times New Roman"/>
          <w:i/>
          <w:iCs/>
          <w:color w:val="000000"/>
          <w:sz w:val="24"/>
          <w:szCs w:val="24"/>
        </w:rPr>
        <w:t>Lutman</w:t>
      </w:r>
      <w:proofErr w:type="spellEnd"/>
      <w:r w:rsidRPr="00C13FFC">
        <w:rPr>
          <w:rFonts w:ascii="Times New Roman" w:hAnsi="Times New Roman" w:cs="Times New Roman"/>
          <w:i/>
          <w:iCs/>
          <w:color w:val="000000"/>
          <w:sz w:val="24"/>
          <w:szCs w:val="24"/>
        </w:rPr>
        <w:t xml:space="preserve"> K. </w:t>
      </w:r>
      <w:proofErr w:type="spellStart"/>
      <w:r w:rsidRPr="00C13FFC">
        <w:rPr>
          <w:rFonts w:ascii="Times New Roman" w:hAnsi="Times New Roman" w:cs="Times New Roman"/>
          <w:i/>
          <w:iCs/>
          <w:color w:val="000000"/>
          <w:sz w:val="24"/>
          <w:szCs w:val="24"/>
        </w:rPr>
        <w:t>Article</w:t>
      </w:r>
      <w:proofErr w:type="spellEnd"/>
      <w:r w:rsidRPr="00C13FFC">
        <w:rPr>
          <w:rFonts w:ascii="Times New Roman" w:hAnsi="Times New Roman" w:cs="Times New Roman"/>
          <w:i/>
          <w:iCs/>
          <w:color w:val="000000"/>
          <w:sz w:val="24"/>
          <w:szCs w:val="24"/>
        </w:rPr>
        <w:t xml:space="preserve"> 25. </w:t>
      </w:r>
      <w:proofErr w:type="spellStart"/>
      <w:r w:rsidRPr="00C13FFC">
        <w:rPr>
          <w:rFonts w:ascii="Times New Roman" w:hAnsi="Times New Roman" w:cs="Times New Roman"/>
          <w:i/>
          <w:iCs/>
          <w:color w:val="000000"/>
          <w:sz w:val="24"/>
          <w:szCs w:val="24"/>
        </w:rPr>
        <w:t>In</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Collective</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Commentary</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about</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The</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New</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Package</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Travel</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Directive</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Estoril</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Estoril</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Higher</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Institute</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for</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Tourism</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and</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Hostel</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Studies</w:t>
      </w:r>
      <w:proofErr w:type="spellEnd"/>
      <w:r w:rsidRPr="00C13FFC">
        <w:rPr>
          <w:rFonts w:ascii="Times New Roman" w:hAnsi="Times New Roman" w:cs="Times New Roman"/>
          <w:i/>
          <w:iCs/>
          <w:color w:val="000000"/>
          <w:sz w:val="24"/>
          <w:szCs w:val="24"/>
        </w:rPr>
        <w:t>, 2020, p. 529</w:t>
      </w:r>
      <w:r w:rsidRPr="00C13FFC">
        <w:rPr>
          <w:rFonts w:ascii="Times New Roman" w:hAnsi="Times New Roman" w:cs="Times New Roman"/>
          <w:color w:val="000000"/>
          <w:sz w:val="24"/>
          <w:szCs w:val="24"/>
        </w:rPr>
        <w:t xml:space="preserve">). Projekta anotācijā nav norādīts skaidrs pamatojums, ka Regula </w:t>
      </w:r>
      <w:r w:rsidRPr="00C13FFC">
        <w:rPr>
          <w:rFonts w:ascii="Times New Roman" w:hAnsi="Times New Roman" w:cs="Times New Roman"/>
          <w:color w:val="000000"/>
          <w:sz w:val="24"/>
          <w:szCs w:val="24"/>
        </w:rPr>
        <w:lastRenderedPageBreak/>
        <w:t>pieprasītu tieši krimināltiesiska, represīva rakstura pasākumus, lai varētu apgalvot, ka "atbildība par informācijas atklāšanas par nepavadītas skaidras naudas pienākuma nepildīšanu būtu nosakāma kā sankcija par administratīvo pārkāpumu" (</w:t>
      </w:r>
      <w:r w:rsidRPr="00C13FFC">
        <w:rPr>
          <w:rFonts w:ascii="Times New Roman" w:hAnsi="Times New Roman" w:cs="Times New Roman"/>
          <w:i/>
          <w:iCs/>
          <w:color w:val="000000"/>
          <w:sz w:val="24"/>
          <w:szCs w:val="24"/>
        </w:rPr>
        <w:t xml:space="preserve">sk. </w:t>
      </w:r>
      <w:proofErr w:type="spellStart"/>
      <w:r w:rsidRPr="00C13FFC">
        <w:rPr>
          <w:rFonts w:ascii="Times New Roman" w:hAnsi="Times New Roman" w:cs="Times New Roman"/>
          <w:i/>
          <w:iCs/>
          <w:color w:val="000000"/>
          <w:sz w:val="24"/>
          <w:szCs w:val="24"/>
        </w:rPr>
        <w:t>Ģenerāladvokātes</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Julianas</w:t>
      </w:r>
      <w:proofErr w:type="spellEnd"/>
      <w:r w:rsidRPr="00C13FFC">
        <w:rPr>
          <w:rFonts w:ascii="Times New Roman" w:hAnsi="Times New Roman" w:cs="Times New Roman"/>
          <w:i/>
          <w:iCs/>
          <w:color w:val="000000"/>
          <w:sz w:val="24"/>
          <w:szCs w:val="24"/>
        </w:rPr>
        <w:t xml:space="preserve"> </w:t>
      </w:r>
      <w:proofErr w:type="spellStart"/>
      <w:r w:rsidRPr="00C13FFC">
        <w:rPr>
          <w:rFonts w:ascii="Times New Roman" w:hAnsi="Times New Roman" w:cs="Times New Roman"/>
          <w:i/>
          <w:iCs/>
          <w:color w:val="000000"/>
          <w:sz w:val="24"/>
          <w:szCs w:val="24"/>
        </w:rPr>
        <w:t>Kokotes</w:t>
      </w:r>
      <w:proofErr w:type="spellEnd"/>
      <w:r w:rsidRPr="00C13FFC">
        <w:rPr>
          <w:rFonts w:ascii="Times New Roman" w:hAnsi="Times New Roman" w:cs="Times New Roman"/>
          <w:i/>
          <w:iCs/>
          <w:color w:val="000000"/>
          <w:sz w:val="24"/>
          <w:szCs w:val="24"/>
        </w:rPr>
        <w:t xml:space="preserve"> 2004. gada 14. oktobra secinājumu apvienotajās lietās C-387/02, C-391/02 un C-403/02 129. punktu</w:t>
      </w:r>
      <w:r w:rsidRPr="00C13FFC">
        <w:rPr>
          <w:rFonts w:ascii="Times New Roman" w:hAnsi="Times New Roman" w:cs="Times New Roman"/>
          <w:color w:val="000000"/>
          <w:sz w:val="24"/>
          <w:szCs w:val="24"/>
        </w:rPr>
        <w:t xml:space="preserve">). Nav arī pamatojuma, ka administratīvi tiesiskie pasākumi būtu neefektīvi vai tiem nepiemistu preventīva ietekme. </w:t>
      </w:r>
    </w:p>
    <w:p w14:paraId="46E8C73D"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 xml:space="preserve">Normatīvi noteikts pienākums nav identisks iestādes (amatpersonas) noteiktam pienākumam. Šādu pienākumu tiesiskuma kontrolei un piespiedu izpildei ir izmantojami atšķirīgi līdzekļi. </w:t>
      </w:r>
    </w:p>
    <w:p w14:paraId="6B3037B0" w14:textId="77777777" w:rsidR="00C13FFC" w:rsidRPr="00C13FFC" w:rsidRDefault="00C13FFC" w:rsidP="00C13FFC">
      <w:pPr>
        <w:ind w:firstLine="720"/>
        <w:jc w:val="both"/>
        <w:rPr>
          <w:rFonts w:ascii="Times New Roman" w:hAnsi="Times New Roman" w:cs="Times New Roman"/>
          <w:color w:val="000000"/>
          <w:sz w:val="24"/>
          <w:szCs w:val="24"/>
        </w:rPr>
      </w:pPr>
      <w:r w:rsidRPr="00C13FFC">
        <w:rPr>
          <w:rFonts w:ascii="Times New Roman" w:hAnsi="Times New Roman" w:cs="Times New Roman"/>
          <w:color w:val="000000"/>
          <w:sz w:val="24"/>
          <w:szCs w:val="24"/>
        </w:rPr>
        <w:t xml:space="preserve">Ievērojot minēto, lūdzam precizēt projekta anotāciju, tostarp tajā jāiekļauj visaptverošs administratīvā pārkāpuma definēšanas kritēriju </w:t>
      </w:r>
      <w:proofErr w:type="spellStart"/>
      <w:r w:rsidRPr="00C13FFC">
        <w:rPr>
          <w:rFonts w:ascii="Times New Roman" w:hAnsi="Times New Roman" w:cs="Times New Roman"/>
          <w:color w:val="000000"/>
          <w:sz w:val="24"/>
          <w:szCs w:val="24"/>
        </w:rPr>
        <w:t>izvērtējums</w:t>
      </w:r>
      <w:proofErr w:type="spellEnd"/>
      <w:r w:rsidRPr="00C13FFC">
        <w:rPr>
          <w:rFonts w:ascii="Times New Roman" w:hAnsi="Times New Roman" w:cs="Times New Roman"/>
          <w:color w:val="000000"/>
          <w:sz w:val="24"/>
          <w:szCs w:val="24"/>
        </w:rPr>
        <w:t xml:space="preserve"> un iepriekš minētā izņēmuma pamatojums. </w:t>
      </w:r>
    </w:p>
    <w:p w14:paraId="33D5548C" w14:textId="77777777" w:rsidR="00C13FFC" w:rsidRPr="00C13FFC" w:rsidRDefault="00C13FFC" w:rsidP="00C13FFC">
      <w:pPr>
        <w:jc w:val="both"/>
        <w:rPr>
          <w:rFonts w:ascii="Times New Roman" w:hAnsi="Times New Roman" w:cs="Times New Roman"/>
          <w:color w:val="000000"/>
          <w:sz w:val="20"/>
          <w:szCs w:val="20"/>
        </w:rPr>
      </w:pPr>
      <w:r w:rsidRPr="00C13FFC">
        <w:rPr>
          <w:rFonts w:ascii="Times New Roman" w:hAnsi="Times New Roman" w:cs="Times New Roman"/>
          <w:color w:val="000000"/>
          <w:sz w:val="24"/>
          <w:szCs w:val="24"/>
        </w:rPr>
        <w:br/>
      </w:r>
    </w:p>
    <w:p w14:paraId="1A195135" w14:textId="77777777" w:rsidR="00C13FFC" w:rsidRPr="00C13FFC" w:rsidRDefault="00C13FFC" w:rsidP="00C13FFC">
      <w:pPr>
        <w:pStyle w:val="NormalWeb"/>
        <w:shd w:val="clear" w:color="auto" w:fill="FFFFFF"/>
        <w:rPr>
          <w:rFonts w:ascii="Times New Roman" w:hAnsi="Times New Roman" w:cs="Times New Roman"/>
          <w:color w:val="201F1E"/>
          <w:sz w:val="20"/>
          <w:szCs w:val="20"/>
        </w:rPr>
      </w:pPr>
      <w:r w:rsidRPr="00C13FFC">
        <w:rPr>
          <w:rFonts w:ascii="Times New Roman" w:hAnsi="Times New Roman" w:cs="Times New Roman"/>
          <w:color w:val="201F1E"/>
          <w:sz w:val="20"/>
          <w:szCs w:val="20"/>
        </w:rPr>
        <w:t>Cieņā</w:t>
      </w:r>
    </w:p>
    <w:p w14:paraId="584D29A1" w14:textId="77777777" w:rsidR="00C13FFC" w:rsidRPr="00C13FFC" w:rsidRDefault="00C13FFC" w:rsidP="00C13FFC">
      <w:pPr>
        <w:pStyle w:val="NormalWeb"/>
        <w:shd w:val="clear" w:color="auto" w:fill="FFFFFF"/>
        <w:rPr>
          <w:rFonts w:ascii="Times New Roman" w:hAnsi="Times New Roman" w:cs="Times New Roman"/>
          <w:color w:val="201F1E"/>
          <w:sz w:val="20"/>
          <w:szCs w:val="20"/>
        </w:rPr>
      </w:pPr>
      <w:r w:rsidRPr="00C13FFC">
        <w:rPr>
          <w:rFonts w:ascii="Times New Roman" w:hAnsi="Times New Roman" w:cs="Times New Roman"/>
          <w:b/>
          <w:bCs/>
          <w:color w:val="201F1E"/>
          <w:sz w:val="20"/>
          <w:szCs w:val="20"/>
        </w:rPr>
        <w:t>Amanda Mūrniece</w:t>
      </w:r>
    </w:p>
    <w:p w14:paraId="2342FB5A" w14:textId="77777777" w:rsidR="00C13FFC" w:rsidRPr="00C13FFC" w:rsidRDefault="00C13FFC" w:rsidP="00C13FFC">
      <w:pPr>
        <w:pStyle w:val="NormalWeb"/>
        <w:shd w:val="clear" w:color="auto" w:fill="FFFFFF"/>
        <w:rPr>
          <w:rFonts w:ascii="Times New Roman" w:hAnsi="Times New Roman" w:cs="Times New Roman"/>
          <w:color w:val="201F1E"/>
          <w:sz w:val="20"/>
          <w:szCs w:val="20"/>
        </w:rPr>
      </w:pPr>
      <w:r w:rsidRPr="00C13FFC">
        <w:rPr>
          <w:rFonts w:ascii="Times New Roman" w:hAnsi="Times New Roman" w:cs="Times New Roman"/>
          <w:color w:val="201F1E"/>
          <w:sz w:val="20"/>
          <w:szCs w:val="20"/>
        </w:rPr>
        <w:t>Tieslietu ministrijas</w:t>
      </w:r>
    </w:p>
    <w:p w14:paraId="5BB17AD1" w14:textId="77777777" w:rsidR="00C13FFC" w:rsidRPr="00C13FFC" w:rsidRDefault="00C13FFC" w:rsidP="00C13FFC">
      <w:pPr>
        <w:pStyle w:val="NormalWeb"/>
        <w:shd w:val="clear" w:color="auto" w:fill="FFFFFF"/>
        <w:rPr>
          <w:rFonts w:ascii="Times New Roman" w:hAnsi="Times New Roman" w:cs="Times New Roman"/>
          <w:color w:val="201F1E"/>
          <w:sz w:val="20"/>
          <w:szCs w:val="20"/>
        </w:rPr>
      </w:pPr>
      <w:r w:rsidRPr="00C13FFC">
        <w:rPr>
          <w:rFonts w:ascii="Times New Roman" w:hAnsi="Times New Roman" w:cs="Times New Roman"/>
          <w:color w:val="201F1E"/>
          <w:sz w:val="20"/>
          <w:szCs w:val="20"/>
        </w:rPr>
        <w:t>Valststiesību departamenta</w:t>
      </w:r>
    </w:p>
    <w:p w14:paraId="42C19CEF" w14:textId="77777777" w:rsidR="00C13FFC" w:rsidRPr="00C13FFC" w:rsidRDefault="00C13FFC" w:rsidP="00C13FFC">
      <w:pPr>
        <w:pStyle w:val="NormalWeb"/>
        <w:shd w:val="clear" w:color="auto" w:fill="FFFFFF"/>
        <w:rPr>
          <w:rFonts w:ascii="Times New Roman" w:hAnsi="Times New Roman" w:cs="Times New Roman"/>
          <w:color w:val="201F1E"/>
          <w:sz w:val="20"/>
          <w:szCs w:val="20"/>
        </w:rPr>
      </w:pPr>
      <w:r w:rsidRPr="00C13FFC">
        <w:rPr>
          <w:rFonts w:ascii="Times New Roman" w:hAnsi="Times New Roman" w:cs="Times New Roman"/>
          <w:color w:val="201F1E"/>
          <w:sz w:val="20"/>
          <w:szCs w:val="20"/>
        </w:rPr>
        <w:t>Starptautisko publisko tiesību nodaļas juriste</w:t>
      </w:r>
    </w:p>
    <w:p w14:paraId="18AE6414" w14:textId="77777777" w:rsidR="00C13FFC" w:rsidRPr="00C13FFC" w:rsidRDefault="00C13FFC" w:rsidP="00C13FFC">
      <w:pPr>
        <w:pStyle w:val="NormalWeb"/>
        <w:shd w:val="clear" w:color="auto" w:fill="FFFFFF"/>
        <w:rPr>
          <w:rFonts w:ascii="Times New Roman" w:hAnsi="Times New Roman" w:cs="Times New Roman"/>
          <w:color w:val="201F1E"/>
          <w:sz w:val="20"/>
          <w:szCs w:val="20"/>
        </w:rPr>
      </w:pPr>
      <w:r w:rsidRPr="00C13FFC">
        <w:rPr>
          <w:rFonts w:ascii="Times New Roman" w:hAnsi="Times New Roman" w:cs="Times New Roman"/>
          <w:color w:val="201F1E"/>
          <w:sz w:val="20"/>
          <w:szCs w:val="20"/>
        </w:rPr>
        <w:t xml:space="preserve">67036942, </w:t>
      </w:r>
      <w:hyperlink r:id="rId7" w:tgtFrame="_blank" w:history="1">
        <w:r w:rsidRPr="00C13FFC">
          <w:rPr>
            <w:rStyle w:val="Hyperlink"/>
            <w:rFonts w:ascii="Times New Roman" w:hAnsi="Times New Roman" w:cs="Times New Roman"/>
            <w:sz w:val="20"/>
            <w:szCs w:val="20"/>
          </w:rPr>
          <w:t>Amanda.Murniece@tm.gov.lv</w:t>
        </w:r>
      </w:hyperlink>
    </w:p>
    <w:p w14:paraId="75421247" w14:textId="77777777" w:rsidR="00C13FFC" w:rsidRPr="00C13FFC" w:rsidRDefault="00C13FFC" w:rsidP="00C13FFC">
      <w:pPr>
        <w:jc w:val="both"/>
        <w:rPr>
          <w:rFonts w:ascii="Times New Roman" w:hAnsi="Times New Roman" w:cs="Times New Roman"/>
          <w:color w:val="000000"/>
          <w:sz w:val="20"/>
          <w:szCs w:val="20"/>
        </w:rPr>
      </w:pPr>
    </w:p>
    <w:p w14:paraId="02C424C8" w14:textId="77777777" w:rsidR="00C13FFC" w:rsidRPr="00C13FFC" w:rsidRDefault="00C13FFC" w:rsidP="00C13FFC">
      <w:pPr>
        <w:pStyle w:val="NormalWeb"/>
        <w:shd w:val="clear" w:color="auto" w:fill="FFFFFF"/>
        <w:rPr>
          <w:rFonts w:ascii="Times New Roman" w:hAnsi="Times New Roman" w:cs="Times New Roman"/>
          <w:color w:val="002060"/>
          <w:sz w:val="20"/>
          <w:szCs w:val="20"/>
        </w:rPr>
      </w:pPr>
      <w:r w:rsidRPr="00C13FFC">
        <w:rPr>
          <w:rStyle w:val="markal7hkqm9x"/>
          <w:rFonts w:ascii="Times New Roman" w:hAnsi="Times New Roman" w:cs="Times New Roman"/>
          <w:b/>
          <w:bCs/>
          <w:color w:val="000000"/>
          <w:sz w:val="20"/>
          <w:szCs w:val="20"/>
          <w:shd w:val="clear" w:color="auto" w:fill="FFFFFF"/>
        </w:rPr>
        <w:t>Juta</w:t>
      </w:r>
      <w:r w:rsidRPr="00C13FFC">
        <w:rPr>
          <w:rStyle w:val="apple-converted-space"/>
          <w:rFonts w:ascii="Times New Roman" w:hAnsi="Times New Roman" w:cs="Times New Roman"/>
          <w:b/>
          <w:bCs/>
          <w:color w:val="000000"/>
          <w:sz w:val="20"/>
          <w:szCs w:val="20"/>
          <w:shd w:val="clear" w:color="auto" w:fill="FFFFFF"/>
        </w:rPr>
        <w:t xml:space="preserve"> </w:t>
      </w:r>
      <w:proofErr w:type="spellStart"/>
      <w:r w:rsidRPr="00C13FFC">
        <w:rPr>
          <w:rFonts w:ascii="Times New Roman" w:hAnsi="Times New Roman" w:cs="Times New Roman"/>
          <w:b/>
          <w:bCs/>
          <w:color w:val="000000"/>
          <w:sz w:val="20"/>
          <w:szCs w:val="20"/>
          <w:shd w:val="clear" w:color="auto" w:fill="FFFFFF"/>
        </w:rPr>
        <w:t>Ķupe</w:t>
      </w:r>
      <w:proofErr w:type="spellEnd"/>
    </w:p>
    <w:p w14:paraId="39C3D137" w14:textId="77777777" w:rsidR="00C13FFC" w:rsidRPr="00C13FFC" w:rsidRDefault="00C13FFC" w:rsidP="00C13FFC">
      <w:pPr>
        <w:pStyle w:val="NormalWeb"/>
        <w:shd w:val="clear" w:color="auto" w:fill="FFFFFF"/>
        <w:rPr>
          <w:rFonts w:ascii="Times New Roman" w:hAnsi="Times New Roman" w:cs="Times New Roman"/>
          <w:color w:val="002060"/>
          <w:sz w:val="20"/>
          <w:szCs w:val="20"/>
        </w:rPr>
      </w:pPr>
      <w:r w:rsidRPr="00C13FFC">
        <w:rPr>
          <w:rFonts w:ascii="Times New Roman" w:hAnsi="Times New Roman" w:cs="Times New Roman"/>
          <w:color w:val="000000"/>
          <w:sz w:val="20"/>
          <w:szCs w:val="20"/>
          <w:shd w:val="clear" w:color="auto" w:fill="FFFFFF"/>
        </w:rPr>
        <w:t>Tieslietu ministrijas</w:t>
      </w:r>
      <w:r w:rsidRPr="00C13FFC">
        <w:rPr>
          <w:rFonts w:ascii="Times New Roman" w:hAnsi="Times New Roman" w:cs="Times New Roman"/>
          <w:color w:val="000000"/>
          <w:sz w:val="20"/>
          <w:szCs w:val="20"/>
        </w:rPr>
        <w:br/>
      </w:r>
      <w:r w:rsidRPr="00C13FFC">
        <w:rPr>
          <w:rFonts w:ascii="Times New Roman" w:hAnsi="Times New Roman" w:cs="Times New Roman"/>
          <w:color w:val="000000"/>
          <w:sz w:val="20"/>
          <w:szCs w:val="20"/>
          <w:shd w:val="clear" w:color="auto" w:fill="FFFFFF"/>
        </w:rPr>
        <w:t>Valststiesību departamenta</w:t>
      </w:r>
    </w:p>
    <w:p w14:paraId="283E0C8B" w14:textId="77777777" w:rsidR="00C13FFC" w:rsidRPr="00C13FFC" w:rsidRDefault="00C13FFC" w:rsidP="00C13FFC">
      <w:pPr>
        <w:pStyle w:val="NormalWeb"/>
        <w:shd w:val="clear" w:color="auto" w:fill="FFFFFF"/>
        <w:rPr>
          <w:rFonts w:ascii="Times New Roman" w:hAnsi="Times New Roman" w:cs="Times New Roman"/>
          <w:color w:val="002060"/>
          <w:sz w:val="20"/>
          <w:szCs w:val="20"/>
        </w:rPr>
      </w:pPr>
      <w:r w:rsidRPr="00C13FFC">
        <w:rPr>
          <w:rFonts w:ascii="Times New Roman" w:hAnsi="Times New Roman" w:cs="Times New Roman"/>
          <w:color w:val="000000"/>
          <w:sz w:val="20"/>
          <w:szCs w:val="20"/>
          <w:shd w:val="clear" w:color="auto" w:fill="FFFFFF"/>
        </w:rPr>
        <w:t>Administratīvo tiesību nodaļas juriste</w:t>
      </w:r>
    </w:p>
    <w:p w14:paraId="6F73E7A4" w14:textId="77777777" w:rsidR="00C13FFC" w:rsidRPr="00C13FFC" w:rsidRDefault="00C13FFC" w:rsidP="00C13FFC">
      <w:pPr>
        <w:pStyle w:val="NormalWeb"/>
        <w:shd w:val="clear" w:color="auto" w:fill="FFFFFF"/>
        <w:rPr>
          <w:rFonts w:ascii="Times New Roman" w:hAnsi="Times New Roman" w:cs="Times New Roman"/>
          <w:color w:val="002060"/>
          <w:sz w:val="20"/>
          <w:szCs w:val="20"/>
        </w:rPr>
      </w:pPr>
      <w:r w:rsidRPr="00C13FFC">
        <w:rPr>
          <w:rFonts w:ascii="Times New Roman" w:hAnsi="Times New Roman" w:cs="Times New Roman"/>
          <w:color w:val="000000"/>
          <w:sz w:val="20"/>
          <w:szCs w:val="20"/>
          <w:shd w:val="clear" w:color="auto" w:fill="FFFFFF"/>
        </w:rPr>
        <w:t xml:space="preserve">67036937, </w:t>
      </w:r>
      <w:hyperlink r:id="rId8" w:tgtFrame="_blank" w:history="1">
        <w:r w:rsidRPr="00C13FFC">
          <w:rPr>
            <w:rStyle w:val="markal7hkqm9x"/>
            <w:rFonts w:ascii="Times New Roman" w:hAnsi="Times New Roman" w:cs="Times New Roman"/>
            <w:color w:val="0000FF"/>
            <w:sz w:val="20"/>
            <w:szCs w:val="20"/>
          </w:rPr>
          <w:t>Juta</w:t>
        </w:r>
        <w:r w:rsidRPr="00C13FFC">
          <w:rPr>
            <w:rStyle w:val="Hyperlink"/>
            <w:rFonts w:ascii="Times New Roman" w:hAnsi="Times New Roman" w:cs="Times New Roman"/>
            <w:sz w:val="20"/>
            <w:szCs w:val="20"/>
          </w:rPr>
          <w:t>.Kupe@tm.gov.lv</w:t>
        </w:r>
      </w:hyperlink>
    </w:p>
    <w:p w14:paraId="4C8A72CB" w14:textId="77777777" w:rsidR="00C13FFC" w:rsidRPr="00C13FFC" w:rsidRDefault="00C13FFC" w:rsidP="00C13FFC">
      <w:pPr>
        <w:rPr>
          <w:rFonts w:ascii="Times New Roman" w:hAnsi="Times New Roman" w:cs="Times New Roman"/>
          <w:color w:val="000000"/>
          <w:sz w:val="20"/>
          <w:szCs w:val="20"/>
        </w:rPr>
      </w:pPr>
    </w:p>
    <w:p w14:paraId="7662A518" w14:textId="77777777" w:rsidR="00C13FFC" w:rsidRPr="00C13FFC" w:rsidRDefault="00C13FFC" w:rsidP="00C13FFC">
      <w:pPr>
        <w:rPr>
          <w:rFonts w:ascii="Times New Roman" w:hAnsi="Times New Roman" w:cs="Times New Roman"/>
          <w:color w:val="000000"/>
          <w:sz w:val="20"/>
          <w:szCs w:val="20"/>
        </w:rPr>
      </w:pPr>
      <w:r w:rsidRPr="00C13FFC">
        <w:rPr>
          <w:rFonts w:ascii="Times New Roman" w:hAnsi="Times New Roman" w:cs="Times New Roman"/>
          <w:b/>
          <w:bCs/>
          <w:color w:val="000000"/>
          <w:sz w:val="20"/>
          <w:szCs w:val="20"/>
        </w:rPr>
        <w:t>Sandis Vilcāns</w:t>
      </w:r>
      <w:r w:rsidRPr="00C13FFC">
        <w:rPr>
          <w:rStyle w:val="apple-converted-space"/>
          <w:rFonts w:ascii="Times New Roman" w:hAnsi="Times New Roman" w:cs="Times New Roman"/>
          <w:b/>
          <w:bCs/>
          <w:color w:val="000000"/>
          <w:sz w:val="20"/>
          <w:szCs w:val="20"/>
        </w:rPr>
        <w:t xml:space="preserve"> </w:t>
      </w:r>
    </w:p>
    <w:p w14:paraId="41647145" w14:textId="77777777" w:rsidR="00C13FFC" w:rsidRPr="00C13FFC" w:rsidRDefault="00C13FFC" w:rsidP="00C13FFC">
      <w:pPr>
        <w:rPr>
          <w:rFonts w:ascii="Times New Roman" w:hAnsi="Times New Roman" w:cs="Times New Roman"/>
          <w:color w:val="000000"/>
          <w:sz w:val="20"/>
          <w:szCs w:val="20"/>
        </w:rPr>
      </w:pPr>
      <w:r w:rsidRPr="00C13FFC">
        <w:rPr>
          <w:rFonts w:ascii="Times New Roman" w:hAnsi="Times New Roman" w:cs="Times New Roman"/>
          <w:color w:val="000000"/>
          <w:sz w:val="20"/>
          <w:szCs w:val="20"/>
        </w:rPr>
        <w:t xml:space="preserve">Tieslietu ministrijas </w:t>
      </w:r>
    </w:p>
    <w:p w14:paraId="455A3F1B" w14:textId="77777777" w:rsidR="00C13FFC" w:rsidRPr="00C13FFC" w:rsidRDefault="00C13FFC" w:rsidP="00C13FFC">
      <w:pPr>
        <w:rPr>
          <w:rFonts w:ascii="Times New Roman" w:hAnsi="Times New Roman" w:cs="Times New Roman"/>
          <w:color w:val="000000"/>
          <w:sz w:val="20"/>
          <w:szCs w:val="20"/>
        </w:rPr>
      </w:pPr>
      <w:r w:rsidRPr="00C13FFC">
        <w:rPr>
          <w:rFonts w:ascii="Times New Roman" w:hAnsi="Times New Roman" w:cs="Times New Roman"/>
          <w:color w:val="000000"/>
          <w:sz w:val="20"/>
          <w:szCs w:val="20"/>
        </w:rPr>
        <w:t xml:space="preserve">Valststiesību departamenta </w:t>
      </w:r>
    </w:p>
    <w:p w14:paraId="3233BCE3" w14:textId="77777777" w:rsidR="00C13FFC" w:rsidRPr="00C13FFC" w:rsidRDefault="00C13FFC" w:rsidP="00C13FFC">
      <w:pPr>
        <w:rPr>
          <w:rFonts w:ascii="Times New Roman" w:hAnsi="Times New Roman" w:cs="Times New Roman"/>
          <w:color w:val="000000"/>
          <w:sz w:val="20"/>
          <w:szCs w:val="20"/>
        </w:rPr>
      </w:pPr>
      <w:r w:rsidRPr="00C13FFC">
        <w:rPr>
          <w:rFonts w:ascii="Times New Roman" w:hAnsi="Times New Roman" w:cs="Times New Roman"/>
          <w:color w:val="000000"/>
          <w:sz w:val="20"/>
          <w:szCs w:val="20"/>
        </w:rPr>
        <w:t xml:space="preserve">Administratīvās atbildības politikas nodaļas jurists </w:t>
      </w:r>
    </w:p>
    <w:p w14:paraId="204531F8" w14:textId="05E20E49" w:rsidR="009F4C72" w:rsidRPr="00C13FFC" w:rsidRDefault="00C13FFC" w:rsidP="00C13FFC">
      <w:pPr>
        <w:rPr>
          <w:rFonts w:ascii="Times New Roman" w:hAnsi="Times New Roman" w:cs="Times New Roman"/>
          <w:sz w:val="20"/>
          <w:szCs w:val="20"/>
        </w:rPr>
      </w:pPr>
      <w:r w:rsidRPr="00C13FFC">
        <w:rPr>
          <w:rFonts w:ascii="Times New Roman" w:hAnsi="Times New Roman" w:cs="Times New Roman"/>
          <w:color w:val="000000"/>
          <w:sz w:val="20"/>
          <w:szCs w:val="20"/>
        </w:rPr>
        <w:t>67036901,</w:t>
      </w:r>
      <w:r w:rsidRPr="00C13FFC">
        <w:rPr>
          <w:rStyle w:val="apple-converted-space"/>
          <w:rFonts w:ascii="Times New Roman" w:hAnsi="Times New Roman" w:cs="Times New Roman"/>
          <w:color w:val="000000"/>
          <w:sz w:val="20"/>
          <w:szCs w:val="20"/>
        </w:rPr>
        <w:t xml:space="preserve"> </w:t>
      </w:r>
      <w:hyperlink r:id="rId9" w:history="1">
        <w:r w:rsidRPr="00C13FFC">
          <w:rPr>
            <w:rStyle w:val="Hyperlink"/>
            <w:rFonts w:ascii="Times New Roman" w:hAnsi="Times New Roman" w:cs="Times New Roman"/>
            <w:sz w:val="20"/>
            <w:szCs w:val="20"/>
          </w:rPr>
          <w:t>Sandis.Vilcans@tm.gov.lv</w:t>
        </w:r>
      </w:hyperlink>
    </w:p>
    <w:sectPr w:rsidR="009F4C72" w:rsidRPr="00C13FFC" w:rsidSect="00C13FFC">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148E3" w14:textId="77777777" w:rsidR="00F87C6B" w:rsidRDefault="00F87C6B" w:rsidP="00C13FFC">
      <w:r>
        <w:separator/>
      </w:r>
    </w:p>
  </w:endnote>
  <w:endnote w:type="continuationSeparator" w:id="0">
    <w:p w14:paraId="0D57ED5B" w14:textId="77777777" w:rsidR="00F87C6B" w:rsidRDefault="00F87C6B" w:rsidP="00C1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221B" w14:textId="77777777" w:rsidR="00C13FFC" w:rsidRDefault="00C13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9F927" w14:textId="09416CE7" w:rsidR="00C13FFC" w:rsidRPr="00C13FFC" w:rsidRDefault="00C13FFC">
    <w:pPr>
      <w:pStyle w:val="Footer"/>
      <w:rPr>
        <w:rFonts w:ascii="Times New Roman" w:hAnsi="Times New Roman" w:cs="Times New Roman"/>
        <w:sz w:val="20"/>
        <w:szCs w:val="20"/>
      </w:rPr>
    </w:pPr>
    <w:r w:rsidRPr="00C13FFC">
      <w:rPr>
        <w:rFonts w:ascii="Times New Roman" w:hAnsi="Times New Roman" w:cs="Times New Roman"/>
        <w:sz w:val="20"/>
        <w:szCs w:val="20"/>
      </w:rPr>
      <w:t>TMatz_060821_VSS-349</w:t>
    </w:r>
  </w:p>
  <w:p w14:paraId="22BBB50D" w14:textId="77777777" w:rsidR="00C13FFC" w:rsidRDefault="00C13F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5F8E3" w14:textId="77777777" w:rsidR="00C13FFC" w:rsidRDefault="00C13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1DD9" w14:textId="77777777" w:rsidR="00F87C6B" w:rsidRDefault="00F87C6B" w:rsidP="00C13FFC">
      <w:r>
        <w:separator/>
      </w:r>
    </w:p>
  </w:footnote>
  <w:footnote w:type="continuationSeparator" w:id="0">
    <w:p w14:paraId="12056A54" w14:textId="77777777" w:rsidR="00F87C6B" w:rsidRDefault="00F87C6B" w:rsidP="00C13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766A" w14:textId="77777777" w:rsidR="00C13FFC" w:rsidRDefault="00C13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88EF" w14:textId="77777777" w:rsidR="00C13FFC" w:rsidRDefault="00C13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778F" w14:textId="77777777" w:rsidR="00C13FFC" w:rsidRDefault="00C13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0541"/>
    <w:multiLevelType w:val="multilevel"/>
    <w:tmpl w:val="86D289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20478A3"/>
    <w:multiLevelType w:val="multilevel"/>
    <w:tmpl w:val="9920D2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06490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280713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FC"/>
    <w:rsid w:val="009F4C72"/>
    <w:rsid w:val="00C13FFC"/>
    <w:rsid w:val="00F87C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3CCE0"/>
  <w15:chartTrackingRefBased/>
  <w15:docId w15:val="{26670955-B02B-4B77-BCBC-4BA38F68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FF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3FFC"/>
    <w:rPr>
      <w:color w:val="0563C1"/>
      <w:u w:val="single"/>
    </w:rPr>
  </w:style>
  <w:style w:type="paragraph" w:styleId="NormalWeb">
    <w:name w:val="Normal (Web)"/>
    <w:basedOn w:val="Normal"/>
    <w:uiPriority w:val="99"/>
    <w:semiHidden/>
    <w:unhideWhenUsed/>
    <w:rsid w:val="00C13FFC"/>
  </w:style>
  <w:style w:type="character" w:customStyle="1" w:styleId="apple-converted-space">
    <w:name w:val="apple-converted-space"/>
    <w:basedOn w:val="DefaultParagraphFont"/>
    <w:rsid w:val="00C13FFC"/>
  </w:style>
  <w:style w:type="character" w:customStyle="1" w:styleId="markal7hkqm9x">
    <w:name w:val="markal7hkqm9x"/>
    <w:basedOn w:val="DefaultParagraphFont"/>
    <w:rsid w:val="00C13FFC"/>
  </w:style>
  <w:style w:type="paragraph" w:styleId="Header">
    <w:name w:val="header"/>
    <w:basedOn w:val="Normal"/>
    <w:link w:val="HeaderChar"/>
    <w:uiPriority w:val="99"/>
    <w:unhideWhenUsed/>
    <w:rsid w:val="00C13FFC"/>
    <w:pPr>
      <w:tabs>
        <w:tab w:val="center" w:pos="4153"/>
        <w:tab w:val="right" w:pos="8306"/>
      </w:tabs>
    </w:pPr>
  </w:style>
  <w:style w:type="character" w:customStyle="1" w:styleId="HeaderChar">
    <w:name w:val="Header Char"/>
    <w:basedOn w:val="DefaultParagraphFont"/>
    <w:link w:val="Header"/>
    <w:uiPriority w:val="99"/>
    <w:rsid w:val="00C13FFC"/>
    <w:rPr>
      <w:rFonts w:ascii="Calibri" w:hAnsi="Calibri" w:cs="Calibri"/>
      <w:lang w:eastAsia="lv-LV"/>
    </w:rPr>
  </w:style>
  <w:style w:type="paragraph" w:styleId="Footer">
    <w:name w:val="footer"/>
    <w:basedOn w:val="Normal"/>
    <w:link w:val="FooterChar"/>
    <w:uiPriority w:val="99"/>
    <w:unhideWhenUsed/>
    <w:rsid w:val="00C13FFC"/>
    <w:pPr>
      <w:tabs>
        <w:tab w:val="center" w:pos="4153"/>
        <w:tab w:val="right" w:pos="8306"/>
      </w:tabs>
    </w:pPr>
  </w:style>
  <w:style w:type="character" w:customStyle="1" w:styleId="FooterChar">
    <w:name w:val="Footer Char"/>
    <w:basedOn w:val="DefaultParagraphFont"/>
    <w:link w:val="Footer"/>
    <w:uiPriority w:val="99"/>
    <w:rsid w:val="00C13FFC"/>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6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nija.Vitola@t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manda.Murniece@t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dis.Vilcans@t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5737</Words>
  <Characters>3271</Characters>
  <Application>Microsoft Office Word</Application>
  <DocSecurity>0</DocSecurity>
  <Lines>27</Lines>
  <Paragraphs>17</Paragraphs>
  <ScaleCrop>false</ScaleCrop>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Irita Tomiņa</dc:creator>
  <cp:keywords/>
  <dc:description/>
  <cp:lastModifiedBy>Irita Tomiņa</cp:lastModifiedBy>
  <cp:revision>1</cp:revision>
  <dcterms:created xsi:type="dcterms:W3CDTF">2022-04-12T10:19:00Z</dcterms:created>
  <dcterms:modified xsi:type="dcterms:W3CDTF">2022-04-12T10:21:00Z</dcterms:modified>
</cp:coreProperties>
</file>