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(23.04.2026.)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15:09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 tam jābūt vērstam uz pozitīvām izmaiņām, ko paredzēts panākt un jāatspoguļo, kādus konkrētus uzlabojumus vai ieguvumus projekts radīs.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anotācijas 1.2.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papildinot to ar informāciju par Atveseļošanas un noturības mehānisma (turpmāk – AF) 3.1.2.1.i investīcijas atlases kārtām un katrai atlases kārtai noteikto finansējumu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(turpmāk – MK) noteikumu grozījumu projekts paredz izmaiņas finansējumā starp vienas AF investīcijas pasākumiem, atlases kārtām, MK noteikumu grozījumu projektā (vai anotācijā, ja par dažādiem pasākumiem, atlases kārtām ir veidoti atsevišķi MK noteikumi) ir norādīts katram pasākumam, atlases kārtai noteiktais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 ar informāciju par katrai 3.1.2.1.i. investīcijas kārtai pieejamo finansējumu. Tiesību akta projekts neparedz Atveseļošanas un noturības mehānisma (turpmāk – AF) finansējuma pārdali starp 3.1.2.1.i. investīcijas kārtām. Tāpat jāatzīmē, ka katras kārtas ietvaros ir īstenota viena atlase jeb projektu atbilstības pārbaude, līdz ar to informācija par atlasēm nav attiecināma.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jēgpilnāk aizpildīt anotācijas 1.3. sadaļas “Pašreizējā situācija, problēmas un risinājumi” punktus “Vai ir izvērtēti alternatīvie risinājumi?” un “Vai ir izvērtēts prasību un izmaksu samērīgums pret ieguvumiem?”, veicot alternatīvo risinājumu un izmaksu samērīguma analīzi, jo bez tām anotācija uzskatāma par nepilnīgu.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izvērtējuma ietvaros, cita starpā, var tikt apskatīti tādi iespējamie risinājumi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saglabāt finansējumu 3.1.2.1.i. investīcijas pirmās kārtas ietvaros; 2) novirzīt finansējumu citām 3.1.2.1.i. aktivitātēm (piemēram, otrajai kārtai); 3) novirzīt finansējumu citu ministriju AF investīcijām; 4) izvēlētais risinājums (novirzīt finansējuma atlikumu uz 3.1.2.6.i.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izvēlētā risinājuma pamatojumu un prasību un izmaksu samērīguma izvērtējumu attiecībā pret plānotajiem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anotācijas 1.3. sadaļas “Pašreizējā situācija, problēmas un risinājumi” apakšsadaļas “Vai ir izvērtēti alternatīvie risinājumi?” un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"Problēmas apraksts" norādīto informāciju par MK 2026. gada 20. janvāra noteikumu Nr. 21 ietvaros pārdalīto finansējumu no 789 035 euro uz 758 787 euro (t.sk. finansējuma pārdale Ekonomikas ministrijas īstenotajai 3.1.1.7.i investīcijai 720 378 euro un 3.1.2.1.i investīcijas otrās kārtas īstenošanai 38 409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sadaļas apakšsadaļas "Problēmas apraksts" 1.punktu ar konkrētām no 3.1.2.1.i investīcijas pirmās kārtas pārdalītām summām, kas tika saskaņotas MK Eiropas Savienības fondu tematiskajā komitejā un novirzītas Ekonomikas ministrijas investīcijām, lai nodrošinātu nepārprotamu izpratni par finansējumu atlikumu un tā apmēru virzību.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“Problēmas apraksts”, kā arī papildināta informācija par veiktajām finansējuma pārdalēm, kas tika saskaņotas MK Eiropas Savienības fondu tematiskajā komitejā un ar kurām novirzīts papildu finansējums Ekonomikas ministrijas investīciju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 projekta ietekmi uz sabiedrību, ņemot vērā, ka anotācijas 1.3. apakšsadaļā norādīts uz to, ka grozījumi nepieciešami, jo "</w:t>
            </w:r>
            <w:r w:rsidR="00000000" w:rsidRPr="00000000" w:rsidDel="00000000">
              <w:rPr>
                <w:i w:val="1"/>
                <w:rtl w:val="0"/>
              </w:rPr>
              <w:t xml:space="preserve">citā ministrijas 3.1.2.6.i. investīcijā "Tehnisko palīglīdzekļu pieejamības sekmēšana" (turpmāk – 3.1.2.6.i. investīcija) ir identificēta nepieciešamība pēc papildu AF finansējuma. Minētais ir saistīts ar to, ka ir pieaudzis pieprasījumus pēc paaugstinātas funkcionalitātes tehniskajiem palīglīdzekļiem. Tāpēc, lai mazinātu gaidīšanas rindu veidošanās risku un saglabātu savlaicīgu un kvalitatīvu atbalstu personām ar funkcionēšanas ierobežojumiem, 3.1.2.6.i. investīcijā papildus plānots izsniegt indikatīvi 132 tehniskos palīglīdzekļus</w:t>
            </w:r>
            <w:r w:rsidR="00000000" w:rsidRPr="00000000" w:rsidDel="00000000">
              <w:rPr>
                <w:rtl w:val="0"/>
              </w:rPr>
              <w:t xml:space="preserve">". Attiecīgi saprotams, ka projektā plānotās finansējuma izmaiņas būs saistītas ar personām, kurām nepieciešami paaugstinātas funkcionalitātes tehniskie palīglīdzekļi.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izvērtēja Tieslietu ministrijas priekšlikumu un saglabā ierakstu “Nē” anotācijas 2. sadaļā “Tiesību akta projekta ietekmējamās sabiedrības grupas, ietekme uz tautsaimniecības attīstību un administratīvo slogu”. Šis tiesību akts neietekmē 3.1.2.1.i. investīcijas pirmās kārtas mērķa grupu, bet gan citas, 3.1.2.6.i. investīcijas, mērķa grupu un ietekmes apraksts ir iekļauts saistītajā tiesību aktā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(26-TA-1364).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6.2. apakšpunktu “detalizēts izdevumu aprēķins” papildināt, norādot ministriju un tās budžeta attiecīgo apakšprogrammu, kuras ietvaros plānots finansējums 3.1.2.1.i. investīcijas pirmās kārtas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“Tiesību akta projekta ietekme uz valsts budžetu un pašvaldību budžetiem” 6.2. apakšsadaļa “detalizēts izdevumu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"detalizēts ieņēmumu aprēķins" svītrot pēdējā teikuma daļu "VB finansējums 17 433 euro un pašvaldību finansējums 530 111 euro", ņemot vērā, ka minētais projekta finansējums attiecas uz budžeta izdevumiem un ir norādīts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“Tiesību akta projekta ietekme uz valsts budžetu un pašvaldību budžetiem” 6.2. apakšsadaļa “detalizēts izdevumu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6. sadaļā ne tikai norādīt, ka sabiedrības līdzdalība uz projektu neattiecas, bet arī to pamatot ailē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tiesību aktu anotācijas 6. sadaļa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w:t>
            </w:r>
            <w:r w:rsidR="00000000" w:rsidRPr="00000000" w:rsidDel="00000000">
              <w:rPr>
                <w:vertAlign w:val="superscript"/>
                <w:rtl w:val="0"/>
              </w:rPr>
              <w:t xml:space="preserve">1</w:t>
            </w:r>
            <w:r w:rsidR="00000000" w:rsidRPr="00000000" w:rsidDel="00000000">
              <w:rPr>
                <w:rtl w:val="0"/>
              </w:rPr>
              <w:t xml:space="preserve"> ja projektā vides pieejamību nodrošina šo noteikumu pielikuma 39. un 41. punktā minētajās ēkās un ja nav iespējams šo ēku vides pieejamību nodrošināt līdz 2026. gada 30. jūnijam (ieskaitot), finansējuma saņēmējs pieprasījumu noslēguma maksājumam var iesniegt līdz 2026. gada 15. novembrim (ieskaitot), ievērojot, ka 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 atskaites punkta sasniegšana ir pamatota šo noteikumu </w:t>
            </w:r>
            <w:r w:rsidR="00000000" w:rsidRPr="00000000" w:rsidDel="00000000">
              <w:rPr>
                <w:rtl w:val="0"/>
              </w:rPr>
              <w:t xml:space="preserve">23.2.1.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minētajā pieprasījumā starpposma maksājumam;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12.03.2026. Starpinstitūciju sanāksmē starp Finanšu ministriju, Labklājības ministriju un Centrālo finanšu un līgumu aģentūru pārrunāto, kā arī 18.06.2026. saņemto Dienvidkurzemes novada pašvaldības vēstuli ar lūgumu Labklājības ministrijai pagarināt projekta rezultāta sasniegšanas termiņu, lūdzam izvērtēt iespēju precizēt Noteikumu 23.2.1.</w:t>
            </w:r>
            <w:r w:rsidR="00000000" w:rsidRPr="00000000" w:rsidDel="00000000">
              <w:rPr>
                <w:vertAlign w:val="superscript"/>
                <w:rtl w:val="0"/>
              </w:rPr>
              <w:t xml:space="preserve">1 </w:t>
            </w:r>
            <w:r w:rsidR="00000000" w:rsidRPr="00000000" w:rsidDel="00000000">
              <w:rPr>
                <w:rtl w:val="0"/>
              </w:rPr>
              <w:t xml:space="preserve">un 23.3.1.</w:t>
            </w:r>
            <w:r w:rsidR="00000000" w:rsidRPr="00000000" w:rsidDel="00000000">
              <w:rPr>
                <w:vertAlign w:val="superscript"/>
                <w:rtl w:val="0"/>
              </w:rPr>
              <w:t xml:space="preserve">1</w:t>
            </w:r>
            <w:r w:rsidR="00000000" w:rsidRPr="00000000" w:rsidDel="00000000">
              <w:rPr>
                <w:rtl w:val="0"/>
              </w:rPr>
              <w:t xml:space="preserve"> apakšpunktus un šo grozījumu anotāciju, atļaujot Dienvidkurzemes novada pašvaldībai pabeigt projektu pagarinātā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precizēta starpposma un noslēguma maksājuma pieprasījuma iesniegšanas un maksājumu veikšanas kārtība. Izrietoši noteikumu projektam pievienotais MK protokollēmums papildināts ar jaunu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26-TA-1393</w:t>
    </w:r>
    <w:r>
      <w:br/>
    </w:r>
    <w:r w:rsidR="00000000" w:rsidRPr="00000000" w:rsidDel="00000000">
      <w:rPr>
        <w:rtl w:val="0"/>
      </w:rPr>
      <w:t xml:space="preserve">14.07.2026. 20.27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26-TA-1393</w:t>
    </w:r>
    <w:r>
      <w:br/>
    </w:r>
    <w:r w:rsidR="00000000" w:rsidRPr="00000000" w:rsidDel="00000000">
      <w:rPr>
        <w:rtl w:val="0"/>
      </w:rPr>
      <w:t xml:space="preserve">14.07.2026. 20.27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Izziņa_26-TA-1393.docx</dc:title>
</cp:coreProperties>
</file>

<file path=docProps/custom.xml><?xml version="1.0" encoding="utf-8"?>
<Properties xmlns="http://schemas.openxmlformats.org/officeDocument/2006/custom-properties" xmlns:vt="http://schemas.openxmlformats.org/officeDocument/2006/docPropsVTypes"/>
</file>