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22-TA-658: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21. jūnija noteikumos Nr. 565 "Noteikumi par valsts un pašvaldību institūciju amatpersonu un darbinieku sociālajām garantijām"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103.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tiek izslēgts gadījums par papildu atvaļinājuma piešķiršanu, pamatojoties uz novērtējumu pēc ilgstošas prombūtnes.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ir gadījumi, ka darbinieks ir nostrādājis 6-7 mēnešus un sākas ilgstoša prombūtne, bet ikgadējā novērtēšana nav veikta (tas mēdz būt saistīts ar darbinieku neplānotu darbnespēju), līdz ar to darbiniekam, atgriežoties no ilgstošas prombūtnes, var veidoties situācija, ka vairāk kā gadu nav iespējams piešķirt papildatvaļinājumu, jo iestādes ikgadējo vērtēšanu parasti plāno noteiktā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103.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"nebūtu atbalstāms, ka tiek piešķirts papildatvaļinājums pēc [..] ilgstošas attaisnotas prombūtnes".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149.panta sestajā daļā ir noteikts pamatprincips, ka pēc ikgadējā apmaksātā atvaļinājuma darbiniekam ir tiesības uz tādiem darba apstākļu un nodarbinātības noteikumu uzlabojumiem, uz kuriem viņam būtu tiesības, ja viņš nebūtu bijis atvaļinājumā. Šis noteikums attiecas arī uz Darba likuma 151., 153., 154., 155., 156. un 157.pantā minētajiem atvaļinājumiem, kā arī uz darbinieka darbnespējas laiku vai darba neveikšanas laiku citu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Darba likuma 152.pantā ir noteikts, ka Laikā, kas dod tiesības uz ikgadējo apmaksāto atvaļinājumu, ieskaita laiku, kad darbinieks bijis faktiski nodarbināts pie attiecīgā darba devēja, un laiku, kad darbinieks nav veicis darbu attaisnojošu iemeslu dēļ,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pārejošas darbnespējas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grūtniecības un dzemdību atvaļinājuma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īslaicīgas prombūtnes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piespiedu kavējuma laiku, ja darbinieks prettiesiski atlaists no darba un atjaunots iepriekšējā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likuma 155.pantā minēto atvaļinājuma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darbiniece ir ilgstoši veikusi darba pienākumus (piem., 10 mēnešus) un dodas grūtniecības - dzemdību atvaļinājumos, var izveidoties situācija, ka ikgadējais vērtējums netiek veiks viņas prombūtnes dēļ. Savukārt, ja tiesības uz papildatvaļinājumu izrietēs tikai no ikgadējās vērtēšanas, tad var izveidoties situācija, ka darbiniece faktiski zaudē papilatvaļinājumu savas attaisnotas prombūtnes dēļ. LBAS ieskatā šāda situācija nav taisnīga.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piedāvātā redakcija neierobežos personu, kuras atrodas ilgstošā prombūtnē - jo īpaši grūtniecības un dzemdību atvaļinājumā - tiesības saņemt papildatvaļinājumu.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piedāvātā redakcija paredz šādu tiesību ierobežojumu, tad aicinām normu precizēt, konsultējoties arī ar Tiesībsarga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1.3. punktu ar skaidrojumu pie Noteikumu projekta 103. punkta par iestādes rīcību situācijā, kad nodarbinātais ir bijis ilgstošā attaisnotā prombūtnē un tiek vērtēts pēc atgriešanās no ilgstošas attaisnotas prombūtnes - kāds vērtējums ņemams par pamatu papildatvaļinājuma piešķiršanai, ņemot vērā, ka </w:t>
            </w:r>
            <w:r w:rsidR="00000000" w:rsidRPr="00000000" w:rsidDel="00000000">
              <w:rPr>
                <w:i w:val="1"/>
                <w:rtl w:val="0"/>
              </w:rPr>
              <w:t xml:space="preserve">Valsts un pašvaldību institūciju amatpersonu un darbinieku atlīdzības likuma</w:t>
            </w:r>
            <w:r w:rsidR="00000000" w:rsidRPr="00000000" w:rsidDel="00000000">
              <w:rPr>
                <w:rtl w:val="0"/>
              </w:rPr>
              <w:t xml:space="preserve"> komentāros noteikts: "papildatvaļinājuma ilgumu </w:t>
            </w:r>
            <w:r w:rsidR="00000000" w:rsidRPr="00000000" w:rsidDel="00000000">
              <w:rPr>
                <w:b w:val="1"/>
                <w:rtl w:val="0"/>
              </w:rPr>
              <w:t xml:space="preserve">nosaka novērtējums, kas ir aktuāls papildatvaļinājuma piešķiršanas brīdī</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89.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- 19.04.2022.)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apakšpunktā, ar kuru izsaka jaunā redakcijā noteikumu 89. punktu, ir noteikts, ka "Par amatpersonas (darbinieka), viņas vecāku, vecvecāku, bērna, mazbērna, adoptētā vai adoptētāja, brāļa, māsas, pusbrāļa, pusmāsas vai laulātā mantu neuzskata minēto personu lietošanā nodotu valsts mantu [..]." Birojs vērš uzmanību, ka šajā punktā ir atsauce tikai uz valsts mantu, un, tulkojot terminu "valsts", interpretēšanas rezultātā varētu tikt izslēgta, piem., pašvaldības manta. Saskaņā ar Valsts pārvades iekārtas likuma 1.panta 2.punktu atvasinātai publiskai personai (t.sk. pašvaldībai) var būt sava manta. Ņemot vērā, ka noteikumi ir attiecināmi gan uz valsts, gan pašvaldību institūciju amatpersonām un darbiniekiem, tad pastāv ticama varbūtība, ka minēto institūciju amatpersonām un darbiniekiem to pienākumu izpildei varētu tikt nodota lietošanai atvasinātas publiskas personas manta. Lūdzam Valsts kanceleju sadarbībā ar Finanšu ministriju izvērtēt, vai noteikumu projekta 1.6.apakšpunkta pirmais teikums nebūtu papildināms aiz vārda "valsts" ar vārdiem "vai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Grozījumus Ministru kabineta 2010. gada 21. jūnija noteikumos Nr. 565 "Noteikumi par valsts un pašvaldību institūciju amatpersonu un darbinieku sociālajām garantijām" (turpmāk – grozījumu projekts) un informē, ka konceptuāli atbalsta veiktas izmaiņas grozījumu projektā un ierosina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grozījuma projekta 36. punktā paredz ka amatpersona (darbinieks) var saņemt pabalstu sakarā ar ģimenes locekļa vai apgādājamā nāvi, iekļaujot tajā papildus arī pusbrāļus un pusmāsas, par kuriem var prasīt iespējamos pabalstus tādējādi, palielinot pabalstiem iespējamo izmaksu apmēru.  Līdz ar to, varam secināt, ka noteikumu projekta grozījumi izraisa ietekmi uz budžetu un uzskatam, ka Valsts kancelejai ir jāaizpilda Anotācijas 3. sadaļu - Tiesību akta projekta ietekme uz valsts budžetu un pašvaldību budžetiem, paredzot izdevumu pieaugumu šajās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1.3.apakšpunktā iekļautie grozījumi paredz precizējumus spēkā esošo noteikumu 6.</w:t>
            </w:r>
            <w:r w:rsidR="00000000" w:rsidRPr="00000000" w:rsidDel="00000000">
              <w:rPr>
                <w:vertAlign w:val="superscript"/>
                <w:rtl w:val="0"/>
              </w:rPr>
              <w:t xml:space="preserve">1</w:t>
            </w:r>
            <w:r w:rsidR="00000000" w:rsidRPr="00000000" w:rsidDel="00000000">
              <w:rPr>
                <w:rtl w:val="0"/>
              </w:rPr>
              <w:t xml:space="preserve">5.apakšpunktā, ņemot vērā, ka Administratīvās atbildības likums vairs neparedz soda veidu "administratīvais arests". Līdz ar to, lūdzam vienlaikus virzīt grozījumus arī Ministru kabineta 2016. gada 1.marta noteikumos Nr. 116 "Kārtība, kādā izmeklē un uzskaita nelaimes gadījumus darbā, kas notikuši ar Iekšlietu ministrijas sistēmas iestāžu un Ieslodzījuma vietu pārvaldes amatpersonām ar speciālajām dienesta pakāpēm", attiecīgi precizējot šo noteikumu 4.pielikuma (akta par nelaimes gadījumu darbā veidlapa) 14.5.apakšpunktu, ņemot vērā, ka abi grozāmie regulējumi ir tieši saistīti.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Iekšlietu ministriju izvērtēt vai nebūtu izstrādājami grozījumi Ministru kabineta 2016. gada 1.marta noteikumos Nr. 116 "Kārtība, kādā izmeklē un uzskaita nelaimes gadījumus darbā, kas notikuši ar Iekšlietu ministrijas sistēmas iestāžu un Ieslodzījuma vietu pārvaldes amatpersonām ar speciālajām dienesta pakāpēm".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vai papildatvaļinājuma piešķiršanā varēs tikt izmantots ikgadējās darba izpildes novērtējums, ja tāds  ir bijis pirms ilgstošās prombūtnes.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un pašvaldību institūciju amatpersonu un darbinieku sociālajām garantijām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ierosina materiālo zaudējumu jautājumu risināšanu organizēt centralizēti, attiecīgi pilnveidojot regulējumu Ministru kabineta 2010. gada 21. jūnija noteikumos Nr. 565 "Noteikumi par valsts un pašvaldību institūciju amatpersonu un darbinieku sociālajām garantijām" un veicot grozījumus XVI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un pašvaldību institūciju amatpersonu un darbinieku sociālajām garantijām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un pašvaldību institūciju amatpersonu un darbinieku</w:t>
            </w:r>
            <w:r w:rsidR="00000000" w:rsidRPr="00000000" w:rsidDel="00000000">
              <w:rPr>
                <w:rtl w:val="0"/>
              </w:rPr>
              <w:t xml:space="preserve">atlīdzības likuma</w:t>
            </w:r>
            <w:r w:rsidR="00000000" w:rsidRPr="00000000" w:rsidDel="00000000">
              <w:rPr>
                <w:rtl w:val="0"/>
              </w:rPr>
              <w:t xml:space="preserve">  19. panta pirmo, trešo un ceturto daļu, 20. pantu, 24.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panta otro daļu, 27. panta otro daļu, 29. pantu, 30. panta pirmo un otro daļu, 31. panta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un 34. pantu, 35. panta pirmo daļu un 42.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saskatāms pamatojums, kādēļ projektā ir ietverts grozījums par tiesību akta izdošanas pamatojuma norādes redakciju, ja projektā paredzētā redakcija neatšķiras no spēkā esošās norādes par izdošanas pamatojumu. Lūdzam no projekta šo grozījumu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22-TA-658</w:t>
    </w:r>
    <w:r>
      <w:br/>
    </w:r>
    <w:r w:rsidR="00000000" w:rsidRPr="00000000" w:rsidDel="00000000">
      <w:rPr>
        <w:rtl w:val="0"/>
      </w:rPr>
      <w:t xml:space="preserve">21.04.2022. 15.37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22-TA-658</w:t>
    </w:r>
    <w:r>
      <w:br/>
    </w:r>
    <w:r w:rsidR="00000000" w:rsidRPr="00000000" w:rsidDel="00000000">
      <w:rPr>
        <w:rtl w:val="0"/>
      </w:rPr>
      <w:t xml:space="preserve">21.04.2022. 15.37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Izziņa_22-TA-658.docx</dc:title>
</cp:coreProperties>
</file>

<file path=docProps/custom.xml><?xml version="1.0" encoding="utf-8"?>
<Properties xmlns="http://schemas.openxmlformats.org/officeDocument/2006/custom-properties" xmlns:vt="http://schemas.openxmlformats.org/officeDocument/2006/docPropsVTypes"/>
</file>