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24-TA-1425: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Jūrlietu pārvaldes un jūras drošības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Jūrlietu pārvaldes un jūras drošības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Uzturlīdzekļu garantijas fonda likuma 7.panta regulējumam bērna vecākiem, kuriem ar Uzturlīdzekļu garantiju fonda administrācijas lēmumu, tiesas nolēmumu vai notariālo aktu, kas ietver vienošanos par periodiskiem uzturlīdzekļu maksājumiem un izpildāms tiesas spriedumu izpildes kārtībā, noteikts pienākums maksāt uzturlīdzekļus bērna uzturam un kura vietā uzturlīdzekļi tiek izmaksāti no Uzturlīdzekļu garantiju fonda, par minētā pienākuma nepildīšanu Uzturlīdzekļu garantiju fonda administrācija var piemērot transportlīdzekļu un kuģošanas līdzekļu vadīšanas tiesību izmantošanas aizliegumu, kura mērķis ir aizsargāt bērna tiesības un veicināt bērna vecāku pienākuma maksāt uzturlīdzekļus 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bērna vecākiem piemērotajiem transportlīdzekļu un kuģošanas līdzekļu vadīšanas tiesību izmantošanas aizliegumiem Uzturlīdzekļu garantiju fonda administrācija Transportlīdzekļu un to vadītāju valsts reģistrā izdara attiecīgu atzīmi.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administratīvā atbildība par kuģošanas līdzekļa vadīšanu, ja ir spēkā kuģošanas līdzekļu vadīšanas tiesību izmantošanas aizliegums, normatīvajos aktos nav paredzēta, līdz ar to kuģošanas līdzekļu  vadītājus, kuriem kuģošanas līdzekļu vadīšanas tiesību izmantošanas aizliegumu ir piemērojusi Uzturlīdzekļu garantiju fonda administrācija, nav iespējams saukt pie administratīvās atbildības, jo šāds aizliegums nav noteikts Jūrlietu pārvaldes un jūras drošības likuma 67.pantā.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lūdz saglabāt likumprojekta “Grozījumi Jūrlietu pārvaldes un jūras drošības likumā” (24-TA-1425) sākotnējā redakcijā piedāvāto 10.pantā paredzētajā 67.panta vienpadsmitajā daļā ietverto administratīvo atbildību par atpūtas kuģa vadīšanu, ja ir spēkā atpūtas kuģa vadīšanas tiesību izmantošanas aizliegums.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11.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67.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Par atpūtas kuģa vadīšanu, ja Uzturlīdzekļu garantiju fonda administrācija piemērojusi parādniekam kuģošanas līdzekļu vadīšanas tiesību izmantošanas aizliegumu, piemēro naudas sodu desmit naudas soda vienību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devītajā daļā vārdus "aizliegumu iegūt" ar vārdu "atņem";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vienpadsmito daļu pēc vārda "atņemtas" ar vārdiem "vai administratīvā pārkāpuma procesā piemērots procesuālais piespiedu līdzeklis — atpūtas kuģa vadīšanas tiesību izmantošanas apturēšana,  —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Jūrlietu pārvaldes un jūras drošības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Jūrlietu pārvaldes un jūras drošības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- 11.09.2024.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pārvaldes un jūras drošības likuma mērķis ir noteikt valsts pārvaldes institucionālo sistēmu jūrlietās un nodrošināt jūras drošības un aizsardzības jomā pieņemto Latvijai saistošo starptautisko līgumu prasību un standartu īstenošanu un ievērošanu, lai nodrošinātu kuģošanas drošību, kuģu, ostu un ostas iekārtu aizsardzību, novērstu vides piesārņošanu no kuģiem un padarītu efektīvāku jūras satiksmi.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13. septembra Regulas (ES) 2023/1805 par atjaunīgo un mazoglekļa degvielu izmantošanu jūras transportā un ar ko groza Direktīvu 2009/16/EK (turpmāk – Regula 2023/1805) nosaka siltumnīcefekta gāzu emisijas intensitātes robežvērtību enerģijai, kas patērēta uz kuģa, kurš ienāk dalībvalsts jurisdikcijā esošās ostās, un pienākumu izmantot krasta energoapgādi vai bezemisiju tehnoloģiju dalībvalsts jurisdikcijā esošās ostās. KEM uzskata, ka Regulā 2023/1805 noteiktās normas un prasības atbilst Jūrlietu pārvaldes un jūras drošības likuma mērķim, it īpaši attiecībā uz prasību un standartu īstenošanu un ievērošanu jūrlietās.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uzskata, ka ar Jūrlietu pārvaldes un jūras drošības likuma grozījumiem ir jāpārņem Regulas 2023/1805 prasības 3. panta 40. punktā iekļautā definīcija “administrējošā valsts”, nosakot konkrētu administrējošās valsts kompetento iestādi un tās uzdevumus, šādi nosakot valsts pārvaldes institucionālo sistēmu jūrlietās atbilstoši Jūrlietu pārvaldes un jūras drošības likuma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Jūrlietu pārvaldes un jūras drošības likuma 8. pantā noteikto Valsts vides dienesta kompetenci attiecībā uz normatīvajiem aktiem un starptautiskām tiesību normām, KEM uzskata, ka likuma 8. pantā var iekļaut normas, kas noteic, ka Regulas 2023/1805 izpratnē administrējošās valsts kompetentā iestāde ir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Satiksmes ministrijas atbildi izziņā uz KEM 13.08.2024. priekšlikumu, proti ka administrējošā valsts kompetentā iestāde ir nosakāma Klimata likumā, KEM norāda, ka 11.07.2024. Valsts sekretāru sanāksmē tika panākta vienošanās, ka "administrējošā valsts kompetentā iestāde" netiks noteikta Klimata likumā. KEM nevar piekrist šādai Satiksmes ministrijas atbildei izziņā.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izziņā norādīt tiesību aktus, kurā SM plāno noteikt kompetento iestādi par Regulas 2023/1805 attiecīgajiem pantiem, ja tas netiek noteikts ar Jūrlietu pārvaldes un jūras drošības likuma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Jūrlietu pārvaldes un jūras drošības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12. un 12.</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1.3. apakšsadaļā izvērstāk skaidrot likumprojekta 6. pantā izteiktā Jūrlietu pārvaldes un jūras drošības likuma (turpmāk - likums) 6. panta pirmās daļas 12. punkta nepieciešamību un būtību, tostarp, vai un kādēļ tiek mainīta (sašaurināta vai paplašināta) Latvijas Jūras administrācijas kompetence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šādu ierakstu: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Jūrlietu pārvaldes un jūras drošības likuma 6. panta pirmās daļas 12. punktā noteiktajai Latvijas Jūras administrācijas piekritībai kontrolēt, kā Latvijas ūdeņos tiek ievērota kārtība, kādā sniedzami ziņojumi par pasažieriem uz kuģa, jābūt izteiktai plašāk, jo Direktīvā 98/41/EK nav noteikti teritoriāli kontroles ierobežojumi, kā arī kontrole ir attiecināta uz personu, kas atrodas uz pasažieru kuģa, reģistrācijas kārtību kopumā, nevis tikai uz paziņojumu sniegšanu. Piemēram, no Direktīvas 98/41/EK 6. panta 1. punkta izriet uzraudzība attiecībā uz Latvijas karoga kuģiem, kas iziet no ostas, kas atrodas ārpus Eiropas Savienības, un to reisa nākamā osta ir Eiropas Savienībā, ne tikai Latvijā (Latvijas ūdeņos).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7.4. sadaļas tabula papildināta ar šādu ierakstu: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Jūras administrācijas kompetence, pārbaudot ieviestās Direktīvas 98/41/EK prasības pēc būtības nemainās. Direktīvas 98/41/EK prasības mijiedarbojas ar 1974. gada Starptautiskās konvencijas par cilvēku dzīvības aizsardzību uz jūras (turpmāk — SOLAS konvencija) prasībām, kuras arī regulē uz pasažieru kuģa esošo personu reģistrācijas jautājumus. Piemēram, Latvijas Jūras administrācija jau šobrīd Latvijas kuģu karoga valsts uzraudzību, tostarp kuģu atbilstību SOLAS konvencija prasībām, īsteno bez teritoriāliem ierobežojumiem.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12. un 12.</w:t>
            </w:r>
            <w:r w:rsidR="00000000" w:rsidRPr="00000000" w:rsidDel="00000000">
              <w:rPr>
                <w:vertAlign w:val="superscript"/>
                <w:rtl w:val="0"/>
              </w:rPr>
              <w:t xml:space="preserve">1</w:t>
            </w:r>
            <w:r w:rsidR="00000000" w:rsidRPr="00000000" w:rsidDel="00000000">
              <w:rPr>
                <w:rtl w:val="0"/>
              </w:rPr>
              <w:t xml:space="preserve">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saskaņā ar </w:t>
            </w:r>
            <w:r w:rsidR="00000000" w:rsidRPr="00000000" w:rsidDel="00000000">
              <w:rPr>
                <w:rtl w:val="0"/>
              </w:rPr>
              <w:t xml:space="preserve">1965. gada Konvencijas par starptautiskās jūras satiksmes atvieglošanu</w:t>
            </w:r>
            <w:r w:rsidR="00000000" w:rsidRPr="00000000" w:rsidDel="00000000">
              <w:rPr>
                <w:rtl w:val="0"/>
              </w:rPr>
              <w:t xml:space="preserve"> prasībām ziņo Starptautiskajai Jūrniecības organizācijai par visiem bezbiļetnieku jeb personu, kas nokļuvušas un uzturas uz kuģa nelegāli, incidentiem, par kuriem tā ir uzzinājusi;".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uzskata, ka incidenti, kas saistīti ar bezbiļetnieku jeb personu, kas nokļuvušas un uzturas uz kuģa nelegāli ir personu neatļautas valsts robežas šķērsošana un migrācijas jautājums, kurus kontrolē 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 atbilstoši Imigrācijas likuma 68.6 pantam var piemērot administratīvo sodu, par ārzemnieku pārvadāšanu no trešajām valstīm uz Latvijas Republiku, ja minētajām personām nav ieceļošanai Latvijas Republikā nepieciešamo dokumentu un ja to veicis pārvadātājs. Līdz ar to Valsts robežsardze arī izskata pārkāpumus, ja nelikumīgi pārvadā personas pāri valsts robežai.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15. maija noteikumu Nr. 339 “ Noteikumi par ostu formalitātēm” 69. punkts nosaka, ka ja uz kuģa, kas paredzējis ienākt Latvijas ostā, ienācis Latvijas ostā vai iziet no Latvijas ostas, ir persona, kas nokļuvusi un uzturas uz tā nelegāli, kuģa kapteinis (atpūtas kuģa vadītājs) vai īpašnieks, vai kuģošanas kompānija, vai to pilnvarota persona par to nekavējoties paziņo Valsts robežsardzei un Krasta apsardzes dienestam. Vienlaikus vai, ja tehniski tas nav iespējams, nekavējoties pēc paziņošanas Valsts robežsardzei un Krasta apsardzes dienestam iesniedz arī aizpildītu FAL konvencijas pielikuma 3. pielikuma veidlapu.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uzskatam, ka par visiem bezbiļetniekiem jeb personām, kas nokļuvušas un uzturas uz kuģa nelegāli ir jāziņo iestādei, kas faktiski to var konstatēt, kā arī ir tiesīga pieņemt lēmumus par tālākām darbībām, līdz ar to, lai neveidotu lieku administratīvo slogu un nodrošinot tiešu informācijas apmaiņu par nelegālu uzturēšanos uz kuģa ar Starptautisko Jūrniecības organizāciju (IMO), Krasta apsardze nebūtu efektīvākā iestāde, kas spētu vislabāk un pilnīgi nodrošināt informācijas apmaiņu par nelegālām personām uz kuģa ar IMO.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incidenti, kas saistīti ar bezbiļetnieku jeb personu, kas nokļuvusi un uzturas uz kuģa nelegāli, tostarp ir saistīti ar Valsts robežsardzes kompetences jautājumiem, un tādēļ atbilstoši Ministru kabineta 2012. gada 15. maija noteikumu Nr. 339 "Noteikumi par ostu formalitātēm" 69. punktam par personu, kas nokļuvusi un uzturas uz kuģa nelegāli, papildus  Nacionālo bruņoto spēku Jūras spēku Krasta apsardzes dienestam (turpmāk – Krasta apsardzes dienests) ziņo arī Valsts robežsardzei.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vēršam uzmanību, ka incidents, kas saistīts ar bezbiļetnieku, ir arī aizsardzības incidents, kas apdraud kuģa un ostas iekārtas drošību, jo ir notikusi nesankcionēta piekļuve kuģim, ostas iekārtām un to ierobežotas piekļuves zonām. Atbilstoši Ministru kabineta 2015. gada 22. decembra noteikumu Nr. 746 "Noteikumi par kuģu, kuģošanas kompāniju, ostu un ostas iekārtu aizsardzības funkciju sadalījumu, izpildi un uzraudzību" 84. punktam Krasta apsardzes dienests ir kompetents sastādīt ziņojumu par aizsardzības informācijas sniegšanas procedūras ievērošanu attiecībā uz kuģi, ar kuru noticis aizsardzības incidents, un tieši no aizsardzības incidenta aspekta ir nepieciešams ziņot Starptautiskajai Jūrniecības organizācijai.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izvērtēt iespēju uzņemties šo paredzami nelielo gadījumu paziņošanu Starptautiskajai Jūrniecības organizācijai, ņemot vērā šī likumprojekta anotācijas 1.3. sadaļā sniegto pamatojumu un Krasta apsardzes dienesta kompetenci kuģu, kuģošanas kompāniju, ostu un ostas iekārtu aizsardzības funkciju sadalījumā.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saskaņā ar </w:t>
            </w:r>
            <w:r w:rsidR="00000000" w:rsidRPr="00000000" w:rsidDel="00000000">
              <w:rPr>
                <w:rtl w:val="0"/>
              </w:rPr>
              <w:t xml:space="preserve">1965. gada Konvencijas par starptautiskās jūras satiksmes atvieglošanu</w:t>
            </w:r>
            <w:r w:rsidR="00000000" w:rsidRPr="00000000" w:rsidDel="00000000">
              <w:rPr>
                <w:rtl w:val="0"/>
              </w:rPr>
              <w:t xml:space="preserve"> prasībām ziņo Starptautiskajai Jūrniecības organizācijai par visiem bezbiļetnieku jeb personu, kas nokļuvušas un uzturas uz kuģa nelegāli, incidentiem, par kuriem tā ir uzzinājusi;".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 panta pirmās daļas 3. punktu pēc vārdiem un skaitļiem "un tās 1978.gada protokols" ar vārdiem un skaitļiem "un tās 1997.gada protokols".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anotācijā nepieciešams sniegt pamatojumu visiem likumprojektā paredzētajiem grozījumiem Jūrlietu pārvaldes un jūras drošības likumā (turpmāk - likums), tādēļ lūdzam anotācijā pamatot likumprojekta 5. pantā paredzēto likuma 11. panta pirmās daļas 3. punkta papildinājumu, jo šobrīd attiecīgs pamatojums anotācijā nav ietverts.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šādu problēmas un risinājuma apraksta ierakstu: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1973. gada Starptautiskā konvencija par piesārņošanas novēršanu no kuģiem un tās 1978. gada protokols tika grozīta ar 1997. gada protokolu, kurš Latvijas Republikā stājās spēkā 2006. gada 19. septembrī (https://www.vestnesis.lv/ta/id/139874-par-konvencijas-protokola-speka-stasanos). Lai arī Jūrlietu pārvaldes un jūras drošības likuma 11. panta pirmajā daļā ir norādīts, ka ar zemāk uzskaitītajiem starptautiskajiem līgumiem tiek saprasti starptautiskie līgumi ar visiem to grozījumiem, Starptautiskās Jūrniecības organizācijas (IMO) veiktā Latvijas kā IMO dalībvalsts audita ietvaros (2024. gads) tika norādīts, ka 1997. gada protokols ir jāmin atsevišķi. Starptautiskās Jūrniecības organizācijas (IMO) audita prasību varētu pamatot ar mērķi nodrošināt vienveidīgu Starptautiskās Jūrniecības organizācijas (IMO) instrumentu īstenošanu globālā līmenī un atbilstību to prasībām, jo, raugoties uz 2023. gada 24. novembra Latvijas Republikas valdības un Starptautiskās Jūrniecības organizācijas sadarbības memoranda par dalību IMO dalībvalsts audita shēmā (https://www.vestnesis.lv/op/2024/2.2) 10. punkta 4. apakšpunktu,  1997. gada protokols tiek izdalīts atsevišķi (1973. gada Starptautiskās konvencijas par piesārņojuma novēršanu no kuģiem, kas grozīta ar 1978. gada protokolu, 1997. gada protokols).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Jūrlietu pārvaldes un jūras drošības likuma 11. panta pirmās daļas 3. punktu pēc vārdiem un skaitļiem "un tās 1978.gada protokols" ar vārdiem un skaitļiem "un tās 1997.gada protokols".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 panta pirmās daļas 3. punktu pēc vārdiem un skaitļiem "un tās 1978.gada protokols" ar vārdiem un skaitļiem "un tās 1997.gada protokols".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attiecībā uz likuma 6. panta pirmās daļas 12. punktu (likumprojekta 2. pants) un likuma 35. pantu (likumprojekta 7. pants) ietverts šāds skaidrojums: "</w:t>
            </w:r>
            <w:r w:rsidR="00000000" w:rsidRPr="00000000" w:rsidDel="00000000">
              <w:rPr>
                <w:i w:val="1"/>
                <w:rtl w:val="0"/>
              </w:rPr>
              <w:t xml:space="preserve">Jūrlietu pārvaldes un jūras drošības likuma 6. panta pirmās daļas 12. punktā un 35. pantā ir iekļautas tiesību normas, kas izriet no Padomes 1998. gada 18. jūnija direktīvas 98/41/EK par to personu reģistrāciju, kas atrodas uz pasažieru kuģiem, kuri kursē uz Kopienas dalībvalstu ostām vai no tām. </w:t>
            </w:r>
            <w:r w:rsidR="00000000" w:rsidRPr="00000000" w:rsidDel="00000000">
              <w:rPr>
                <w:i w:val="1"/>
                <w:u w:val="single"/>
                <w:rtl w:val="0"/>
              </w:rPr>
              <w:t xml:space="preserve">Lai saskaņotu iepriekš minētās direktīvas un Jūrlietu pārvaldes un jūras drošības likuma tiesību normu tvērumu un saturu</w:t>
            </w:r>
            <w:r w:rsidR="00000000" w:rsidRPr="00000000" w:rsidDel="00000000">
              <w:rPr>
                <w:i w:val="1"/>
                <w:rtl w:val="0"/>
              </w:rPr>
              <w:t xml:space="preserve">, nepieciešami Jūrlietu pārvaldes un jūras drošības likuma normu </w:t>
            </w:r>
            <w:r w:rsidR="00000000" w:rsidRPr="00000000" w:rsidDel="00000000">
              <w:rPr>
                <w:i w:val="1"/>
                <w:u w:val="single"/>
                <w:rtl w:val="0"/>
              </w:rPr>
              <w:t xml:space="preserve">redakcionāli</w:t>
            </w:r>
            <w:r w:rsidR="00000000" w:rsidRPr="00000000" w:rsidDel="00000000">
              <w:rPr>
                <w:i w:val="1"/>
                <w:rtl w:val="0"/>
              </w:rPr>
              <w:t xml:space="preserve"> precizējumi.</w:t>
            </w:r>
            <w:r w:rsidR="00000000" w:rsidRPr="00000000" w:rsidDel="00000000">
              <w:rPr>
                <w:rtl w:val="0"/>
              </w:rPr>
              <w:t xml:space="preserve">" Saistībā ar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aicinām izvērtēt un precizēt norādi, ka grozījumi ir tikai redakcionāla rakstura, ņemot vērā, ka tie paredz aizstāt vārdus "kuģu pasažieri" ar vārdiem "personas uz pasažieru kuģa", kas ir saturiski dažādas personu grupas, tādējādi, šķiet, mainot tiesību normu tvērumu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anotācijā izvērstāk skaidrot, no kādām iepriekš minētās direktīvas prasībām (vai direktīvas tvēruma kopumā) izriet nepieciešamie saskaņojumi. Proti, aicinām izvērstāk un precīzāk raksturot problēmu, kuras dēļ nepieciešami attiecīgie grozījumi. Lūdzam arī izvērstāk skaidrot, kādēļ likuma 35. panta pirmo daļu paredzēts izteikt tieši šādā redakcijā, ņemot vērā, ka tā ievērojami atšķiras no šībrīža likuma 35. panta pirmās daļas redakcijas. Citastarp lūdzam skaidrot, kādēļ iecerēts noteikt, ka kuģošanas kompānija nodrošina to personu reģistrāciju, kas atrodas uz pasažieru kuģiem, kuri kursē tieši un tikai </w:t>
            </w:r>
            <w:r w:rsidR="00000000" w:rsidRPr="00000000" w:rsidDel="00000000">
              <w:rPr>
                <w:u w:val="single"/>
                <w:rtl w:val="0"/>
              </w:rPr>
              <w:t xml:space="preserve">uz Eiropas Savienības dalībvalstu ostām vai no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lūdzam izvērtēt, vai ar grozījumiem faktiski netiek atkārtoti pārņemtas likumprojekta anotācijā minētās direktīvas prasības un papildināt anotācijas 5.1. sadaļu un 5.4. sadaļas 1. tabulu, vai sniegt atbilstošu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 un 7.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pārvaldes un jūras drošības likuma 6. panta pirmās daļas 12. punktā un 35. pantā ir iekļautas tiesību normas, kas izriet no Padomes 1998. gada 18. jūnija direktīvas 98/41/EK par to personu reģistrāciju, kas atrodas uz pasažieru kuģiem, kuri kursē uz Kopienas dalībvalstu ostām vai no tām (turpmāk – Direktīva 98/41/EK). Direktīvas 98/41/EK prasības tika ieviestas 2002. gada 31. oktobrī, pieņemot Jūrlietu pārvaldes un jūras drošības likumu. No šī  likuma anotācijas izriet, ka likums ietver Direktīvas 98/41/EK pamatprincipu, un Direktīvas 98/41/EK noteikto prasību ieviešana ir deleģēta Ministru kabinetam (https://www.saeima.lv/L_Saeima7/lasa-LP1267_0.htm). Tā laika Jūrlietu pārvaldes un jūras drošības likuma vēsturiskā redakcija sakrita ar Direktīvas 98/41/EK prasību par visu uz pasažieru kuģa esošo personu reģistrāciju, jo likuma 35. panta pirmajā daļā bija ietverta prasība iesniegt gan kuģa pasažieru, gan kuģa apkalpes sarakstu, kas nozīmē, ka pirms tam visas personas uz pasažieru kuģa ir reģistrētas, tostarp uzskaitītas.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2013. gada 13. jūnijā pieņemtā likuma "Grozījumi Jūrlietu pārvaldes un jūras drošības likumā" stāšanās spēkā Jūrlietu pārvaldes un jūras drošības likuma 35. pants noteica tikai pasažieru reģistrāciju. Grozījumi, pirmšķietami, liecina, ka likumdevējs ir atkāpies no Direktīva 98/41/EK izvirzīto prasību pilnīgas ieviešanas un izdarījis grozījumus pēc būtības. Tomēr šī likuma anotācijā tiek skaidrots, ka grozījumi ir saistīti tikai ar Jūrlietu pārvaldes un jūras drošības likuma un Ministru kabineta 2012. gada 15. maija noteikumu Nr. 339 "Noteikumi par ostu formalitātēm" savstarpējo interpretāciju (https://titania.saeima.lv/LIVS11/SaeimaLIVS11.nsf/0/02BB4FEB8E7C7ECAC2257B650047663A?OpenDocument).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gaitā pēc iepriekš minēto likuma grozījumu pieņemšanas ir konstatēta nepieciešamība pēc juridiskas skaidrības, saskaņojot Direktīvas 98/41/EK un Jūrlietu pārvaldes un jūras drošības likuma tiesību normu saturu. Ņemot vērā, ka likumdevējs pēc būtības nav veicis atkāpi no Direktīvas 98/41/EK prasībām, turpmāk problēmas risinājuma aprakstā minētie grozījumi pielīdzināmi redakcionāliem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pārvaldes un jūras drošības likuma 6. panta pirmās daļas 12. punkts un 35. pants tiek precizēti atbilstoši Direktīvas 98/41/EK tiesību normu saturam,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Direktīvas 98/41/EK 4. panta 1. punkts (personu skaits) un 5. panta 1. punkts (personu dati) – par visu uz pasažieru kuģa esošo personu reģistrāciju, ja pasažieru kuģis iziet no Latvijas ostas;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98/41/EK 6. panta 1. punkts – par visu uz pasažieru kuģa esošo personu reģistrāciju, ja pasažieru kuģis, kas kuģo ar Latvijas karogu, iziet no ostas, kas atrodas ārpus Eiropas Savienības, un tā reisa nākamā osta ir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Direktīvas 98/41/EK 6. panta 2. punkts – par visu uz pasažieru kuģa esošo personu reģistrāciju, ja pasažieru kuģis, kas kuģo ar tādas valsts karogu, kura nav Eiropas Savienības dalībvalsts, iziet no ostas, kas atrodas ārpus Eiropas Savienības, un tā reisa nākamā osta ir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Direktīvas 98/41/EK 10. panta 1. punkts – par to, ka dalībvalsts nodrošina, lai kuģošanas kompānijai būtu ieviesta tāda datu reģistrācijas procedūra, ar ko garantē, ka šajā direktīvā prasīto informāciju paziņo precīzi un laikus.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5.1. sadaļa un 5.4. sadaļas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Ar kuģa ienākšanu, kuģa palikšanu ostā un kuģa iziešanu no ostas saistītie ziņošanas pienākumi, tostarp regulā Nr. </w:t>
            </w:r>
            <w:r w:rsidR="00000000" w:rsidRPr="00000000" w:rsidDel="00000000">
              <w:rPr>
                <w:rtl w:val="0"/>
              </w:rPr>
              <w:t xml:space="preserve">2019/1239</w:t>
            </w:r>
            <w:r w:rsidR="00000000" w:rsidRPr="00000000" w:rsidDel="00000000">
              <w:rPr>
                <w:rtl w:val="0"/>
              </w:rPr>
              <w:t xml:space="preserve"> uzskaitītie ziņošanas pienākumi, (turpmāk — ostu formalitātes)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 par kuģa ienākšanu ostā un iziešanu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paziņošana par bīstamu un piesārņojošu kuģa kravu;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paziņošana par kuģa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kuģa pirmsienākšanas aizsardzības informācijas iesniegšana;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paziņošana par personām, kas nokļuvušas un uzturas uz kuģa nelegāli;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ziņošana saskaņā ar 1965.gada Konvenciju par starptautiskās jūras satiksmes atvieglošanu;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ziņošana saistībā ar robežpārbaudēm;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ziņošana saistībā ar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ziņošana saistībā ar kravas veterināro, fitosanitāro, pārtikas nekaitīguma, nepārtikas preču drošuma, kā arī kvalitātes un klasifikācijas kontroli robežšķērsošanas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ziņošana par nepieciešamību veikt paplašinātu inspekciju ostas valsts kontroles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zvejas darbību un nozvejas uzraudzību saistītā ziņošana pirms zvejas kuģa ienākšanas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ziņošana par personām uz pasažieru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 beramkravu kuģa drošu kraušanu saistītā 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ziņošana statistikas pārskatiem par kravu un pasažieru jūras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ziņošana ostas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8. pantu (likuma 41.</w:t>
            </w:r>
            <w:r w:rsidR="00000000" w:rsidRPr="00000000" w:rsidDel="00000000">
              <w:rPr>
                <w:vertAlign w:val="superscript"/>
                <w:rtl w:val="0"/>
              </w:rPr>
              <w:t xml:space="preserve">1</w:t>
            </w:r>
            <w:r w:rsidR="00000000" w:rsidRPr="00000000" w:rsidDel="00000000">
              <w:rPr>
                <w:rtl w:val="0"/>
              </w:rPr>
              <w:t xml:space="preserve"> panta pirmo daļu) paredzēts uzskaitīt ar kuģa ienākšanu, kuģa palikšanu ostā un kuģa iziešanu no ostas saistītos ziņošanas pienākumus, </w:t>
            </w:r>
            <w:r w:rsidR="00000000" w:rsidRPr="00000000" w:rsidDel="00000000">
              <w:rPr>
                <w:u w:val="single"/>
                <w:rtl w:val="0"/>
              </w:rPr>
              <w:t xml:space="preserve">tostarp Eiropas Parlamenta un Padomes 2019. gada 20. jūnija regulā (ES) Nr. 2019/1239, ar ko izveido Eiropas Jūras vienloga sistēmas vidi un ar ko atceļ Direktīvu 2010/65/ES</w:t>
            </w:r>
            <w:r w:rsidR="00000000" w:rsidRPr="00000000" w:rsidDel="00000000">
              <w:rPr>
                <w:rtl w:val="0"/>
              </w:rPr>
              <w:t xml:space="preserve"> (turpmāk – regula Nr. 2019/1239) uzskaitītos ziņošanas pienākumus. Saistībā ar minēto paužam bažas, ka likumprojekta 8. pantā, konkrēti uzskaitot minētās regulas pielikumā noteiktos ziņošanas pienākumus, pirmšķietami tiek dublētas minētās regulas prasības, tādēļ lūdzam izvērtēt un nepieciešamības gadījumā precizēt likumprojektu.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 Reizē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Tomēr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izvērtēt iespēju uzskaitīt ziņošanas pienākumus, nedublējot regulas pielikumā noteiktos ziņošanas pienākumus, un, piemēram, norādot, ka papildus minētajiem ziņošanas pienākumiem nepieciešams nodrošināt arī regulā Nr. 2019/1239 uzskaitīto ziņošanas pienākumu izpildi v.tml. Alternatīvi lūdzam sniegt pamatotu skaidrojumu par minēto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anotācijas 5.4. sadaļas 1. tabulā norādīt informāciju par regulas Nr. 2019/1239 pielikuma prasību ieviešanu likumprojekta 8. pantā jaunā redakcijā izteiktā likuma 41.</w:t>
            </w:r>
            <w:r w:rsidR="00000000" w:rsidRPr="00000000" w:rsidDel="00000000">
              <w:rPr>
                <w:vertAlign w:val="superscript"/>
                <w:rtl w:val="0"/>
              </w:rPr>
              <w:t xml:space="preserve">1</w:t>
            </w:r>
            <w:r w:rsidR="00000000" w:rsidRPr="00000000" w:rsidDel="00000000">
              <w:rPr>
                <w:rtl w:val="0"/>
              </w:rPr>
              <w:t xml:space="preserve"> panta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likumprojekta 8. pantu, secināms, ka tajā uzskaitītie ar kuģa ienākšanu, kuģa palikšanu ostā un kuģa iziešanu no ostas saistītie ziņošanas pienākumi nedublē Eiropas Parlamenta un Padomes 2019. gada 20. jūnija regulu (ES) Nr. 2019/1239, ar ko izveido Eiropas Jūras vienloga sistēmas vidi un ar ko atceļ Direktīvu 2010/65/ES (turpmāk – regula Nr. 2019/1239) un neierobežo tās tiešu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8. pantu tiek plānots, ka likumdevējs nosaka vispārīgas ziņošanas pienākumu kategorijas, līdzīgi kā tas ir spēkā esošajā Jūrlietu pārvaldes un jūras drošības likuma 41.</w:t>
            </w:r>
            <w:r w:rsidR="00000000" w:rsidRPr="00000000" w:rsidDel="00000000">
              <w:rPr>
                <w:vertAlign w:val="superscript"/>
                <w:rtl w:val="0"/>
              </w:rPr>
              <w:t xml:space="preserve">1</w:t>
            </w:r>
            <w:r w:rsidR="00000000" w:rsidRPr="00000000" w:rsidDel="00000000">
              <w:rPr>
                <w:rtl w:val="0"/>
              </w:rPr>
              <w:t xml:space="preserve"> panta pirmajā daļā, un detalizētākai ziņošanas pienākumu kārtības izstrādāšanai pilnvaro Ministru kabinetu.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šāda kārtība ir ļāvusi Ministru kabinetam gan ieviest direktīvu, no kurām izriet ziņošanas pienākumi, prasības, gan noteikt nacionālo ziņošanas pienākumu kārtību. Piemēram, ziņošanas pienākumu komplicētību raksturo likumprojekta 8. pantā noteikts ziņošanas pienākums "paziņošana par kuģa ienākšanu ostā un iziešanu no tās". Šis ziņošanas pienākums izriet gan no ieviestās Eiropas Parlamenta un Padomes 2002. gada 27. jūnija Direktīvas 2002/59/EK, ar ko izveido Kopienas kuģu satiksmes uzraudzības un informācijas sistēmu, prasībām, gan no nacionālo tiesību aktu prasībām (Ministru kabineta 2012. gada 15. maija noteikumu Nr. 339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ostu formalitātēm" 2.1. un 2.2. apakšnodaļa).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2019/1239 pieminēšana likumprojekta 8. pantā ir saistīta ar labāku tiesību normas uztveramību, jo, piemēram, Ministru kabinetam, nosakot ziņošanas pienākumu izpildes kārtību, būs jāizvērtē, kā mijiedarbojās tieši piemērojamajā Regulā Nr. 2019/1239 un Ministru kabineta 2012. gada 15. maija noteikumos Nr. 339 "Noteikumi par ostu formalitātēm" noteiktā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šādu ierakstu: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Jūrlietu pārvaldes un jūras drošības likuma 41.</w:t>
            </w:r>
            <w:r w:rsidR="00000000" w:rsidRPr="00000000" w:rsidDel="00000000">
              <w:rPr>
                <w:vertAlign w:val="superscript"/>
                <w:rtl w:val="0"/>
              </w:rPr>
              <w:t xml:space="preserve">1 </w:t>
            </w:r>
            <w:r w:rsidR="00000000" w:rsidRPr="00000000" w:rsidDel="00000000">
              <w:rPr>
                <w:rtl w:val="0"/>
              </w:rPr>
              <w:t xml:space="preserve">panta pirmajā daļā, lai nodrošinātu labāku tiesību normas uztveramību par ziņošanas pienākumu tvērumu, tiek izdarīta atsauce uz regulu Nr. 2019/1239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Ar kuģa ienākšanu, kuģa palikšanu ostā un kuģa iziešanu no ostas saistītie ziņošanas pienākumi, tostarp regulā Nr. </w:t>
            </w:r>
            <w:r w:rsidR="00000000" w:rsidRPr="00000000" w:rsidDel="00000000">
              <w:rPr>
                <w:rtl w:val="0"/>
              </w:rPr>
              <w:t xml:space="preserve">2019/1239</w:t>
            </w:r>
            <w:r w:rsidR="00000000" w:rsidRPr="00000000" w:rsidDel="00000000">
              <w:rPr>
                <w:rtl w:val="0"/>
              </w:rPr>
              <w:t xml:space="preserve"> uzskaitītie ziņošanas pienākumi, (turpmāk — ostu formalitātes)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 par kuģa ienākšanu ostā un iziešanu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paziņošana par bīstamu un piesārņojošu kuģa kravu;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paziņošana par kuģa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kuģa pirmsienākšanas aizsardzības informācijas iesniegšana;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paziņošana par personām, kas nokļuvušas un uzturas uz kuģa nelegāli;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ziņošana saskaņā ar 1965.gada Konvenciju par starptautiskās jūras satiksmes atvieglošanu;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ziņošana saistībā ar robežpārbaudēm;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ziņošana saistībā ar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ziņošana saistībā ar kravas veterināro, fitosanitāro, pārtikas nekaitīguma, nepārtikas preču drošuma, kā arī kvalitātes un klasifikācijas kontroli robežšķērsošanas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ziņošana par nepieciešamību veikt paplašinātu inspekciju ostas valsts kontroles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zvejas darbību un nozvejas uzraudzību saistītā ziņošana pirms zvejas kuģa ienākšanas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ziņošana par personām uz pasažieru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 beramkravu kuģa drošu kraušanu saistītā 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ziņošana statistikas nodrošināšanas vajadzībām par kravu un pasažieru jūras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ziņošana ostas vajadzībām.”;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"44. Grozījumi šā likuma 41.</w:t>
            </w:r>
            <w:r w:rsidR="00000000" w:rsidRPr="00000000" w:rsidDel="00000000">
              <w:rPr>
                <w:vertAlign w:val="superscript"/>
                <w:rtl w:val="0"/>
              </w:rPr>
              <w:t xml:space="preserve">1</w:t>
            </w:r>
            <w:r w:rsidR="00000000" w:rsidRPr="00000000" w:rsidDel="00000000">
              <w:rPr>
                <w:rtl w:val="0"/>
              </w:rPr>
              <w:t xml:space="preserve"> un 41.</w:t>
            </w:r>
            <w:r w:rsidR="00000000" w:rsidRPr="00000000" w:rsidDel="00000000">
              <w:rPr>
                <w:vertAlign w:val="superscript"/>
                <w:rtl w:val="0"/>
              </w:rPr>
              <w:t xml:space="preserve">2</w:t>
            </w:r>
            <w:r w:rsidR="00000000" w:rsidRPr="00000000" w:rsidDel="00000000">
              <w:rPr>
                <w:rtl w:val="0"/>
              </w:rPr>
              <w:t xml:space="preserve"> pantā stājas spēkā 2025.gada 15.augustā."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1.3. sadaļā sniegt pamatojumu likumprojekta 12. pantā ietvertā likuma pārejas noteikumu 44. punkta nepieciešamībai, jo šobrīd attiecīgs pamatojums šajā anotācijas sadaļā nav ietverts, jo īpaši attiecībā uz likuma 41.</w:t>
            </w:r>
            <w:r w:rsidR="00000000" w:rsidRPr="00000000" w:rsidDel="00000000">
              <w:rPr>
                <w:vertAlign w:val="superscript"/>
                <w:rtl w:val="0"/>
              </w:rPr>
              <w:t xml:space="preserve">1</w:t>
            </w:r>
            <w:r w:rsidR="00000000" w:rsidRPr="00000000" w:rsidDel="00000000">
              <w:rPr>
                <w:rtl w:val="0"/>
              </w:rPr>
              <w:t xml:space="preserve"> pantu. Papildus, ja minētais pārejas noteikums saistīts ar regulas Nr. 2019/1239 piemērošanas sākuma datumu (sk. regulas 26. panta 2. punktu), lūdzam izvērtēt, vai nav nepieciešams šo pārejas noteikumu attiecināt arī uz likumprojekta 1. pantā ietverto likuma 5. panta 6.</w:t>
            </w:r>
            <w:r w:rsidR="00000000" w:rsidRPr="00000000" w:rsidDel="00000000">
              <w:rPr>
                <w:vertAlign w:val="superscript"/>
                <w:rtl w:val="0"/>
              </w:rPr>
              <w:t xml:space="preserve">2</w:t>
            </w:r>
            <w:r w:rsidR="00000000" w:rsidRPr="00000000" w:rsidDel="00000000">
              <w:rPr>
                <w:rtl w:val="0"/>
              </w:rPr>
              <w:t xml:space="preserve"> punktu. Attiecīgi nepieciešams arī izvērtēt un precizēt likumprojektu vai sniegt skaidrojumu, kādēļ tas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aicinām izvērtēt iespēju likumprojekta 12. pantā ietvertā likuma pārejas noteikumu 44. punktā saturiski raksturot, par kādiem tieši grozījumiem likuma 41.</w:t>
            </w:r>
            <w:r w:rsidR="00000000" w:rsidRPr="00000000" w:rsidDel="00000000">
              <w:rPr>
                <w:vertAlign w:val="superscript"/>
                <w:rtl w:val="0"/>
              </w:rPr>
              <w:t xml:space="preserve">1</w:t>
            </w:r>
            <w:r w:rsidR="00000000" w:rsidRPr="00000000" w:rsidDel="00000000">
              <w:rPr>
                <w:rtl w:val="0"/>
              </w:rPr>
              <w:t xml:space="preserve"> un 41.</w:t>
            </w:r>
            <w:r w:rsidR="00000000" w:rsidRPr="00000000" w:rsidDel="00000000">
              <w:rPr>
                <w:vertAlign w:val="superscript"/>
                <w:rtl w:val="0"/>
              </w:rPr>
              <w:t xml:space="preserve">2</w:t>
            </w:r>
            <w:r w:rsidR="00000000" w:rsidRPr="00000000" w:rsidDel="00000000">
              <w:rPr>
                <w:rtl w:val="0"/>
              </w:rPr>
              <w:t xml:space="preserve"> pantā ir runa. Kaut arī līdz šim likuma 41.</w:t>
            </w:r>
            <w:r w:rsidR="00000000" w:rsidRPr="00000000" w:rsidDel="00000000">
              <w:rPr>
                <w:vertAlign w:val="superscript"/>
                <w:rtl w:val="0"/>
              </w:rPr>
              <w:t xml:space="preserve">1 </w:t>
            </w:r>
            <w:r w:rsidR="00000000" w:rsidRPr="00000000" w:rsidDel="00000000">
              <w:rPr>
                <w:rtl w:val="0"/>
              </w:rPr>
              <w:t xml:space="preserve">un 41.</w:t>
            </w:r>
            <w:r w:rsidR="00000000" w:rsidRPr="00000000" w:rsidDel="00000000">
              <w:rPr>
                <w:vertAlign w:val="superscript"/>
                <w:rtl w:val="0"/>
              </w:rPr>
              <w:t xml:space="preserve">2</w:t>
            </w:r>
            <w:r w:rsidR="00000000" w:rsidRPr="00000000" w:rsidDel="00000000">
              <w:rPr>
                <w:rtl w:val="0"/>
              </w:rPr>
              <w:t xml:space="preserve"> pantā nav veikti grozījumi, nākotnē iespējami arī citi grozījumi minētajos likuma pantos un pārejas noteikumi saistībā ar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šādiem ierakstiem: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Jūrlietu pārvaldes un jūras drošības likuma 41.</w:t>
            </w:r>
            <w:r w:rsidR="00000000" w:rsidRPr="00000000" w:rsidDel="00000000">
              <w:rPr>
                <w:vertAlign w:val="superscript"/>
                <w:rtl w:val="0"/>
              </w:rPr>
              <w:t xml:space="preserve">1</w:t>
            </w:r>
            <w:r w:rsidR="00000000" w:rsidRPr="00000000" w:rsidDel="00000000">
              <w:rPr>
                <w:rtl w:val="0"/>
              </w:rPr>
              <w:t xml:space="preserve"> panta pirmajā daļā, lai nodrošinātu labāku tiesību normas uztveramību par ziņošanas pienākumu tvērumu, tiek izdarīta atsauce uz regulu Nr. 2019/1239, kuras piemērošanas sākuma datums ir 2025. gada 15. augusts, Jūrlietu pārvaldes un jūras drošības likums tiek papildināts arī ar atbilstošu pārejas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Starptautiskajai kravu loģistikas un ostu informācijas sistēmai (SKLOIS) valsts jūras vienloga sistēmas (MNSW) funkciju izpilde ir jānodrošina no regulas Nr. 2019/1239 26. panta 2. punktā noteiktā piemērošanas sākuma datuma – 2025. gada 15. augusts, Jūrlietu pārvaldes un jūras drošības likums tiek papildināts arī ar atbilstošu pārejas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Jūrlietu pārvaldes un jūras drošības likuma 5.panta papildināšana ar 6.2 punktu ir saistīta ar regulu Nr. 2019/1239, kura ir piemērojama no 2025. gada 15. augusta, regulas Nr. 2019/1239 18. panta prasība par valsts Eiropas Jūras vienloga sistēmas vides (EMSWe) koordinatora norīkošanu ir saistīta arī ar Regulas Nr. 2019/1239 prasību ieviešanas (īstenošanas) procesu, kurš norit kopš regula Nr. 2019/1239 stājās spēkā – 2019. gada 14. augusts. Līdz ar to Jūrlietu pārvaldes un jūras drošības likumā pārejas noteikumos nav nepieciešams noteikt atliktu šīs likuma normas spēkā stāšanās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"44. Grozījumi šā likuma 41.</w:t>
            </w:r>
            <w:r w:rsidR="00000000" w:rsidRPr="00000000" w:rsidDel="00000000">
              <w:rPr>
                <w:vertAlign w:val="superscript"/>
                <w:rtl w:val="0"/>
              </w:rPr>
              <w:t xml:space="preserve">1</w:t>
            </w:r>
            <w:r w:rsidR="00000000" w:rsidRPr="00000000" w:rsidDel="00000000">
              <w:rPr>
                <w:rtl w:val="0"/>
              </w:rPr>
              <w:t xml:space="preserve"> pantā par tā nosaukuma un pirmās daļas izteikšanu jaunā redakcijā un otrās daļas izslēgšanu stājas spēkā 2025. gada 15. 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Grozījums šā likuma 41.</w:t>
            </w:r>
            <w:r w:rsidR="00000000" w:rsidRPr="00000000" w:rsidDel="00000000">
              <w:rPr>
                <w:vertAlign w:val="superscript"/>
                <w:rtl w:val="0"/>
              </w:rPr>
              <w:t xml:space="preserve">2</w:t>
            </w:r>
            <w:r w:rsidR="00000000" w:rsidRPr="00000000" w:rsidDel="00000000">
              <w:rPr>
                <w:rtl w:val="0"/>
              </w:rPr>
              <w:t xml:space="preserve"> pantā par tā otrās daļas papildināšanu ar teikumu, kas nosaka, ka Starptautiskā kravu loģistikas un ostu informācijas sistēma (SKLOIS) pilda regulā Nr. 2019/1239 noteiktās valsts jūras vienloga sistēmas funkcijas, stājas spēkā 2025. gada 15. augustā."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apakšsadaļā ne tikai norādīt, ka ar likumprojekta 4. pantu Valsts vides dienests tiek noteikts par administrējošās valsts kompetento iestādi, kas pilda no Eiropas Parlamenta un Padomes 2023. gada 13. septembra Regula (ES) Nr. 2023/1805 par atjaunīgo un mazoglekļa degvielu izmantošanu jūras transportā un ar ko groza Direktīvu 2009/16/EK (turpmāk - Regula 2023/1805) 17. panta, 20. panta 4.punkta, 22. panta 2. un 5. punkta, 23. panta 2., 3. un 5. punkta un 25. panta 3. punkta izrietošās funkcijas, bet arī pamatot pēc būtības, kādēļ Valsts vides dienests izvēlēts un ir piemērots regulā paredzēto uzdevumu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šādu ierakstu: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"Par piesārņojumu" 45.</w:t>
            </w:r>
            <w:r w:rsidR="00000000" w:rsidRPr="00000000" w:rsidDel="00000000">
              <w:rPr>
                <w:vertAlign w:val="superscript"/>
                <w:rtl w:val="0"/>
              </w:rPr>
              <w:t xml:space="preserve">1</w:t>
            </w:r>
            <w:r w:rsidR="00000000" w:rsidRPr="00000000" w:rsidDel="00000000">
              <w:rPr>
                <w:rtl w:val="0"/>
              </w:rPr>
              <w:t xml:space="preserve"> pantā un 47. panta ceturtajā daļā noteikto Valsts vides dienesta kompetenci attiecībā uz jūras transporta oglekļa dioksīda emisiju monitoringu, Regulas 2023/1805 iepriekš minēto tiesību normu piemērošanas un izpildes nodrošināšanai tieši Valsts vides dienests tiek izraudzīts un noteikts par kompetento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gan savā 2024. gada 13. augusta, gan 2024. gada 11. septembra atzinumā lūdza likumprojekta anotācijā iekļaut likumprojekta 10. pantā (šobrīd no likumprojekta izslēgts) paredzētā pārkāpuma satura skaidrojumu un no likuma izrietošās korespondējošās tiesību normas, par kuru neievērošanu būs paredzēta administratīvā atbildība. Turklāt Tieslietu ministrija lūdza likumprojekta anotāciju papildināt ar administratīvās atbildības nepieciešamības un pieļaujamības kritēriju izvērtējumu.  Likumprojekta autori norāda, ka Tieslietu ministrijas iebildums ir ņemts vērā, jo "no Tieslietu ministrijas 13.08.2024. iebilduma pamatojumā citētājiem tiesību palīgavotiem, izriet, ka šajā gadījumā Uzturlīdzekļu garantiju fonda administrācijas izdota administratīvā akta izpildes nodrošināšanai ir izmantojami Administratīvā procesa likumā noteiktie administratīvā akta piespiedu izpildes līdzekļi",  un izslēdza 10. pantu.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tās iebildums netika ņemts vērā, jo likumprojekta autoriem tika lūgts pēc būtības pamatot jauna administratīvā pārkāpuma ietveršanas likumā nepieciešamību, un ņemot vērā jauna administratīvās atbildības pamata noteikšanas kritērijus. Atkārtoti vēršam uzmanību, ka, neskarot Uzturlīdzekļu garantijas fonda likuma 7. pantā minēto, pirms jebkuru jaunu administratīvo pārkāpumu veidošanas vispirms ir nepieciešams izvērtēt administratīvās atbildības nepieciešamības un pieļaujamības kritērijus, kā arī skaidri izklāstīt jaunā pārkāpuma saturu un pamatot administratīvā soda veida un apmēra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aicina iekļaut likumprojektā no tā izņemto 10. pantu, ar kuru paredzēts noteikt administratīvo atbildību par atpūtas kuģa vadīšanu, ja atpūtas kuģa vadīšanas tiesības ir atņemtas vai ja ir spēkā atpūtas kuģa vadīšanas tiesību izmantošanas aizliegums, un pamatot administratīvās atbildības noteikšanu, ņemot vērā Tieslietu ministrijas iepriekšējos atzinumos (13.08.2024 un 11.09.2024) norādīto. Administratīvā procesa likumā noteiktie administratīvā akta piespiedu izpildes līdzekļi šajā gadījumā nav piemērots līdzeklis.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11.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67.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Par atpūtas kuģa vadīšanu, ja Uzturlīdzekļu garantiju fonda administrācija piemērojusi parādniekam kuģošanas līdzekļu vadīšanas tiesību izmantošanas aizliegumu, piemēro naudas sodu desmit naudas soda vienību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devītajā daļā vārdus "aizliegumu iegūt" ar vārdu "atņem";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vienpadsmito daļu pēc vārda "atņemtas" ar vārdiem "vai administratīvā pārkāpuma procesā piemērots procesuālais piespiedu līdzeklis — atpūtas kuģa vadīšanas tiesību izmantošanas apturēšana,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1.3. sadaļa papildināta ar problēmas un risinājuma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2.1. sadaļa papildināta ar ietekmes uz sabiedrības grupām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3. sadaļa (Cita informācija) papildināta ar paskaidrojumu par ietekmi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4.2. sadaļa papildināta ar paskaidrojumu par ietekmi uz Ministru kabineta 2012. gada 4. septembra noteikumiem Nr. 619 "Noteikumi par atpūtas kuģu vadītāju apmācību, sertificēšanu un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7.1. un 7.4. sadaļa papildināta ar projekta izpildē iesaistītajām institūcijām un ietekmi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iekļaut likumprojekta 10. pantā paredzētā pārkāpuma satura skaidrojumu atbilstoši Tieslietu ministrijas 2024. gada 13. augusta atzinumā minētajam, kā arī norādīt no likuma izrietošās korespondējošās tiesību normas, par kuru neievērošanu būs paredzēta administratīvā atbildība. Tieslietu ministrijas ieskatā ir nepieciešama izvērstāka anotācijas papildināšana, jo 10. pants piedāvātajā redakcijā pēc būtības paredz atbildību par jaunu administratīvo pārkāpumu, t.i. atpūtas kuģa vadīšanu, ja ir  spēkā atpūtas kuģa vadīšanas tiesību izmantošanas aizliegums. Līdz ar to tiek noteikts jauns administratīvās atbildības pamats, nevis tiek paplašināts jau esošās administratīvās atbildības tvērums.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 pants izslēgts un atbilstoši precizēta anotācija, jo paredzot administratīvo sodu par atpūtas kuģa vadīšanu, ja ir spēkā atpūtas kuģa vadīšanas tiesību izmantošanas aizliegums, faktiski veidotos atbildība par Uzturlīdzekļu garantiju fonda administrācijas iepriekš izdota administratīvā akta neizpildi. No Tieslietu ministrijas 13.08.2024. iebilduma pamatojumā citētājiem tiesību palīgavotiem, izriet, ka šajā gadījumā Uzturlīdzekļu garantiju fonda administrācijas izdota administratīvā akta izpildes nodrošināšanai ir izmantojami  Administratīvā procesa likumā noteiktie administratīvā akta piespiedu izpildes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iekļaut likumprojekta 10. pantā paredzētā pārkāpuma satura skaidrojumu un no likuma izrietošās korespondējošās tiesību normas, par kuru neievērošanu būs paredzēta administratīvā atbildība. Papildus lūdzam likumprojekta anotāciju papildināt ar administratīvās atbildības nepieciešamības un pieļaujamības kritēriju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pirms noteikt jaunu administratīvās atbildības pamatu, jāizvērtē vismaz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nozīmīgs rādītājs ir arī problēmsituācijas aktualitāte, proti, vai attiecīgi pārkāpumi faktiski tiek izdarīti pietiekami bieži, lai par to būtu nepieciešams paredzēt administratīvo atbildību, vai esošais regulējums nav novecojis (sal. </w:t>
            </w:r>
            <w:r w:rsidR="00000000" w:rsidRPr="00000000" w:rsidDel="00000000">
              <w:rPr>
                <w:i w:val="1"/>
                <w:rtl w:val="0"/>
              </w:rPr>
              <w:t xml:space="preserve">Informatīvais ziņojums "Nozaru administratīvo pārkāpumu kodifikācijas ieviešanas sistēmas īstenošana", 03.03.2020., 2. lpp. Pieejams: http://polsis.mk.gov.lv/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w:t>
            </w:r>
            <w:r w:rsidR="00000000" w:rsidRPr="00000000" w:rsidDel="00000000">
              <w:rPr>
                <w:b w:val="1"/>
                <w:rtl w:val="0"/>
              </w:rPr>
              <w:t xml:space="preserve">administratīvā akta (rīkojuma, procesa) prioritātes princips </w:t>
            </w:r>
            <w:r w:rsidR="00000000" w:rsidRPr="00000000" w:rsidDel="00000000">
              <w:rPr>
                <w:rtl w:val="0"/>
              </w:rPr>
              <w:t xml:space="preserve">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Sabiedriskās kārtības mērķa sasniegšanas efektivitāte</w:t>
            </w:r>
            <w:r w:rsidR="00000000" w:rsidRPr="00000000" w:rsidDel="00000000">
              <w:rPr>
                <w:rtl w:val="0"/>
              </w:rPr>
              <w:t xml:space="preserv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regulējums </w:t>
            </w:r>
            <w:r w:rsidR="00000000" w:rsidRPr="00000000" w:rsidDel="00000000">
              <w:rPr>
                <w:b w:val="1"/>
                <w:rtl w:val="0"/>
              </w:rPr>
              <w:t xml:space="preserve">nav paredzēts civiltiesisku strīdu risināšanai</w:t>
            </w:r>
            <w:r w:rsidR="00000000" w:rsidRPr="00000000" w:rsidDel="00000000">
              <w:rPr>
                <w:rtl w:val="0"/>
              </w:rPr>
              <w:t xml:space="preserve">.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56.-57.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noteikt administratīvo atbildību konkrētas problēmsituācijas risināšanai, jākonstatē tās </w:t>
            </w:r>
            <w:r w:rsidR="00000000" w:rsidRPr="00000000" w:rsidDel="00000000">
              <w:rPr>
                <w:b w:val="1"/>
                <w:rtl w:val="0"/>
              </w:rPr>
              <w:t xml:space="preserve">bīstamība vai kaitīgums sabiedrības interesēm</w:t>
            </w:r>
            <w:r w:rsidR="00000000" w:rsidRPr="00000000" w:rsidDel="00000000">
              <w:rPr>
                <w:rtl w:val="0"/>
              </w:rPr>
              <w:t xml:space="preserve">. Proti, jāizvērtē, vai iespējamais pārkāpums var aizskart sabiedriskās intereses tādā mērā, ka nepieciešams paredzēt administratīvo atbildību par to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 lpp.</w:t>
            </w:r>
            <w:r w:rsidR="00000000" w:rsidRPr="00000000" w:rsidDel="00000000">
              <w:rPr>
                <w:rtl w:val="0"/>
              </w:rPr>
              <w:t xml:space="preserve">). Šajā aspektā nozīmīga var būt arī administratīvās atbildības un kriminālatbildības norobežošana. Likumdevēja izvēle starp noziedzīgu nodarījumu un administratīvo pārkāpumu nedrīkst būt patvaļīga. Administratīvie pārkāpumi izpaužas kā noteiktas pārvaldības kārtības neievērošana, un tie nav saistīti ar sociālu stigmatizāciju vai publisku kaunu (</w:t>
            </w:r>
            <w:r w:rsidR="00000000" w:rsidRPr="00000000" w:rsidDel="00000000">
              <w:rPr>
                <w:i w:val="1"/>
                <w:rtl w:val="0"/>
              </w:rPr>
              <w:t xml:space="preserve">Smiltēna A. Administratīvās atbildības norobežošanas no kriminālatbildības problemātika. Grām.: Administratīvo pārkāpumu tiesības. Administratīvās atbildības likuma skaidrojumi. Sagatavojis autoru kolektīvs. E. Danovska un G. Kūtra zinātniskajā redakcijā. Rīga: Tiesu namu aģentūra, 2020, 23. lpp.</w:t>
            </w:r>
            <w:r w:rsidR="00000000" w:rsidRPr="00000000" w:rsidDel="00000000">
              <w:rPr>
                <w:rtl w:val="0"/>
              </w:rPr>
              <w:t xml:space="preserve">). Šie pārkāpumi ir vienkārši traucējoši labai pārvaldībai vai sabiedriskajai kārtībai, bet tie neietver sevī kādu īpašu ļaunumu vai pilnīgu sabiedrības vai valsts vērtību ignoranci (</w:t>
            </w:r>
            <w:r w:rsidR="00000000" w:rsidRPr="00000000" w:rsidDel="00000000">
              <w:rPr>
                <w:i w:val="1"/>
                <w:rtl w:val="0"/>
              </w:rPr>
              <w:t xml:space="preserve">Kalniņa V. Administratīvo pārkāpumu tiesību sistēmas reforma – domāšanas reforma. Jurista Vārds, 15.11.2016., Nr. 46</w:t>
            </w:r>
            <w:r w:rsidR="00000000" w:rsidRPr="00000000" w:rsidDel="00000000">
              <w:rPr>
                <w:rtl w:val="0"/>
              </w:rPr>
              <w:t xml:space="preserve">). Citiem vārdiem sakot, ja noziedzīgs nodarījums ir ļaunums pats par sevi, tad administratīvais pārkāpums ir morāli neitrāla rīcība un tā izdarītājs – nevērīga vai bezrūpīga persona (</w:t>
            </w:r>
            <w:r w:rsidR="00000000" w:rsidRPr="00000000" w:rsidDel="00000000">
              <w:rPr>
                <w:i w:val="1"/>
                <w:rtl w:val="0"/>
              </w:rPr>
              <w:t xml:space="preserve">Foundations of European Criminal Law. Norel Neagu (Ed.). Bucureşti: Editura C.H. Beck, 2014, p. 67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w:t>
            </w:r>
            <w:r w:rsidR="00000000" w:rsidRPr="00000000" w:rsidDel="00000000">
              <w:rPr>
                <w:b w:val="1"/>
                <w:rtl w:val="0"/>
              </w:rPr>
              <w:t xml:space="preserve">aizliegts paredzēt administratīvos sodus par administratīvā akta labprātīgu neizpildīšanu</w:t>
            </w:r>
            <w:r w:rsidR="00000000" w:rsidRPr="00000000" w:rsidDel="00000000">
              <w:rPr>
                <w:rtl w:val="0"/>
              </w:rPr>
              <w:t xml:space="preserve">. Ja lieta ir uzsākta administratīvajā procesā, tad šajā procesā tā arī ir jāpabeidz, ja nepieciešams, izmantojot administratīvā akta piespiedu izpildes līdzekļus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57.-58.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likumprojekta anotācijā iekļaut soda veida un apmēra izvēles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administratīvās atbildības noteikšana par atpūtas kuģa vadīšanu, ja ir spēkā atpūtas kuģa vadīšanas tiesību izmantošanas aizliegums, ir saistīta ar Tieslietu ministrijas vērtējumu un iniciatīvu (Tieslietu ministrijas 2023. gada 23. marta  vēstule Nr. 1-13.9/912 "Par kuģošanas līdzekļa vadīšanas tiesību izmantošanas aizlieguma piemērošanu") un Uzturlīdzekļu garantiju fonda administrācijas (Tieslietu ministrijas pakļautībā esošas iestāde) lēmumiem par kuģošanas līdzekļu vadīšanas tiesību izmantošanas aizliegumu. Ņemot vērā iepriekš minēto, lūdzam atbalstīt un sniegt attiecīgo  informāciju, ja nepieciešama izvērstāka anotācijas papildināšana.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šādu ierakstu: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pārvaldes un jūras drošības likuma 67. panta vienpadsmitā daļa jau šobrīd paredz administratīvo atbildību par atpūtas kuģa vadīšanu, ja atpūtas kuģa vadīšanas tiesības ir atņemtas. Likumprojekta 10. pants paredz papildināt šo tiesību normu ar administratīvo sodu par atpūtas kuģa vadīšanu, ja ir spēkā atpūtas kuģa vadīšanas tiesību izmantošanas aizliegums, kas pēc būtības ir identiski pārkāpumi. Tādējādi likumprojekta 10. pants pēc būtības neparedz atbildību par jaunu administratīvo pārkāpumu, bet precizē esošo atbildības tvērumu, ietverot atpūtas kuģa vadīšanas tiesību izmantošanas aizlieguma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likumprojekta anotācijas 4. sadaļu attiecībā uz saistītajiem tiesību aktu projektiem, kurus būs nepieciešams izstrādāt, ņemot vērā likumprojektā ietverto regulējumu. Atkārtoti norādām, ka vismaz no likumprojektā paredzētā grozījuma likuma 35. panta otrajā daļā izriet, ka būs nepieciešami grozījumi Ministru kabineta 2012. gada 15. maija noteikumos Nr. 339 "Noteikumi par ostu formalitātēm", kas citastarp izdoti uz likuma 35. panta otrajā daļā ietvertā pilnvarojuma pamata, jo tiek grozīts minētais pilnvarojums Ministru kabinetam.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atbilstoši izziņas 15. punkta iebildumā minētajiem apsvērumiem izvērtēt, vai likuma 35. panta otrajā daļā ietverts pietiekams pilnvarojums, lai, ņemot vērā likumprojekta 7. pantā ietvertos grozījumus, Ministru kabineta noteikumos regulētu iecerētos jautājumus, un sniegt skaidrojumu vai, ja nepieciešams,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aicinām informāciju, kas ietverta likumprojekta anotācijas 5.4. apakšsadaļas 1. tabulā ("</w:t>
            </w:r>
            <w:r w:rsidR="00000000" w:rsidRPr="00000000" w:rsidDel="00000000">
              <w:rPr>
                <w:i w:val="1"/>
                <w:rtl w:val="0"/>
              </w:rPr>
              <w:t xml:space="preserve">2025. gada 15. septembrī jāstājas spēkā grozījumiem Ministru kabineta 2012. gada 15. maija noteikumos Nr. 339 "Noteikumi par ostu formalitātēm" un Ministru kabineta 2020. gada 11. februāra noteikumos Nr. 92 "Starptautiskās kravu loģistikas un ostu informācijas sistēmas noteikumi", lai nodrošinātu no regulas Nr. 2019/1239 normām izrietošo un nepieciešamo saistību īstenošanu un tieši piemērojamo saistību pārklāšanās novēršanu (atbildīgā institūcija – Satiksmes ministrija)</w:t>
            </w:r>
            <w:r w:rsidR="00000000" w:rsidRPr="00000000" w:rsidDel="00000000">
              <w:rPr>
                <w:rtl w:val="0"/>
              </w:rPr>
              <w:t xml:space="preserve">.") ietvert anotācijas 4.1. apakšsadaļā. Kā arī aicinām skaidrot, kādēļ paredzēts, ka grozījumiem jāstājas spēkā 2025. gada 15. septembrī.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šādu ierakstu: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Jūrlietu pārvaldes un jūras drošības likuma pieņemšanas 2002. gada 31. oktobrī likuma 35. panta otrā daļa pilnvaro Ministru kabinetu noteikt kārtību jeb ieviest Direktīvā 98/41/EK noteiktās prasības (https://www.saeima.lv/L_Saeima7/lasa-LP1267_0.htm). Līdz ar to pilnvarojums Ministru kabinetam noteikt personu uz pasažieru kuģa reģistrācijas kārtību būtu uztverams plaši, proti, pieņemt arī materiāla rakstura normas, ja tādas izriet no Direktīvas 98/41/EK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sadaļas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likumprojekta anotācijas 4. sadaļu par saistītajiem tiesību aktu projektiem, kurus būs nepieciešams izstrādāt, ņemot vērā likumprojektā ietverto regulējumu. Piemēram, vēršam uzmanību, ka saistībā ar likumprojektā paredzētajiem grozījumiem likuma 35. pantā un 41.</w:t>
            </w:r>
            <w:r w:rsidR="00000000" w:rsidRPr="00000000" w:rsidDel="00000000">
              <w:rPr>
                <w:vertAlign w:val="superscript"/>
                <w:rtl w:val="0"/>
              </w:rPr>
              <w:t xml:space="preserve">1 </w:t>
            </w:r>
            <w:r w:rsidR="00000000" w:rsidRPr="00000000" w:rsidDel="00000000">
              <w:rPr>
                <w:rtl w:val="0"/>
              </w:rPr>
              <w:t xml:space="preserve">pantā, šķiet, būs nepieciešami Ministru kabineta 2012. gada 15. maija noteikumos Nr. 339 "Noteikumi par ostu formalitātēm", kas citastarp izdoti uz likuma 35. panta otrajā daļā un 41.</w:t>
            </w:r>
            <w:r w:rsidR="00000000" w:rsidRPr="00000000" w:rsidDel="00000000">
              <w:rPr>
                <w:vertAlign w:val="superscript"/>
                <w:rtl w:val="0"/>
              </w:rPr>
              <w:t xml:space="preserve">1</w:t>
            </w:r>
            <w:r w:rsidR="00000000" w:rsidRPr="00000000" w:rsidDel="00000000">
              <w:rPr>
                <w:rtl w:val="0"/>
              </w:rPr>
              <w:t xml:space="preserve"> panta trešajā daļā ietvertā pilnvarojuma pamata. Tāpat arī, ņemot vērā likumprojekta 9. pantā paredzēto grozījumu, šķiet, būs nepieciešami arī grozījumi Ministru kabineta 2020. gada 11. februāra noteikumos Nr. 92 "Starptautiskās kravu loģistikas un ostu informācijas sistēmas noteikumi", kas izdoti uz likuma 41.</w:t>
            </w:r>
            <w:r w:rsidR="00000000" w:rsidRPr="00000000" w:rsidDel="00000000">
              <w:rPr>
                <w:vertAlign w:val="superscript"/>
                <w:rtl w:val="0"/>
              </w:rPr>
              <w:t xml:space="preserve">2</w:t>
            </w:r>
            <w:r w:rsidR="00000000" w:rsidRPr="00000000" w:rsidDel="00000000">
              <w:rPr>
                <w:rtl w:val="0"/>
              </w:rPr>
              <w:t xml:space="preserve"> panta trešajā daļā ietvertā pilnvarojuma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4. sadaļa papildināta ar ierakstu: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grozījumi Jūrlietu pārvaldes un jūras drošības likuma 35. pantā neietekmē spēkā esošo tiesību normu sistēmu, jo pakārtoto Ministru kabineta 2012. gada 15. maija noteikumu Nr. 339 "Noteikumi par ostu formalitātēm" 9.</w:t>
            </w:r>
            <w:r w:rsidR="00000000" w:rsidRPr="00000000" w:rsidDel="00000000">
              <w:rPr>
                <w:vertAlign w:val="superscript"/>
                <w:rtl w:val="0"/>
              </w:rPr>
              <w:t xml:space="preserve">1</w:t>
            </w:r>
            <w:r w:rsidR="00000000" w:rsidRPr="00000000" w:rsidDel="00000000">
              <w:rPr>
                <w:rtl w:val="0"/>
              </w:rPr>
              <w:t xml:space="preserve"> nodaļa atbilst likumprojektā ietvertajai Jūrlietu pārvaldes un jūras drošības likuma 35. panta nākotnes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grozījumi Jūrlietu pārvaldes un jūras drošības likuma 41.</w:t>
            </w:r>
            <w:r w:rsidR="00000000" w:rsidRPr="00000000" w:rsidDel="00000000">
              <w:rPr>
                <w:vertAlign w:val="superscript"/>
                <w:rtl w:val="0"/>
              </w:rPr>
              <w:t xml:space="preserve">1</w:t>
            </w:r>
            <w:r w:rsidR="00000000" w:rsidRPr="00000000" w:rsidDel="00000000">
              <w:rPr>
                <w:rtl w:val="0"/>
              </w:rPr>
              <w:t xml:space="preserve"> un 41.</w:t>
            </w:r>
            <w:r w:rsidR="00000000" w:rsidRPr="00000000" w:rsidDel="00000000">
              <w:rPr>
                <w:vertAlign w:val="superscript"/>
                <w:rtl w:val="0"/>
              </w:rPr>
              <w:t xml:space="preserve">2</w:t>
            </w:r>
            <w:r w:rsidR="00000000" w:rsidRPr="00000000" w:rsidDel="00000000">
              <w:rPr>
                <w:rtl w:val="0"/>
              </w:rPr>
              <w:t xml:space="preserve"> pantā ietekmē spēkā esošo tiesību normu sistēmu pastarpināti – ja tiek konstatēta nepieciešamība nodrošināt kādu no regulas Nr. 2019/1239 normām izrietošo saistību īstenošanu vai tiek konstatēta tieši piemērojamo saistību pārklāšanās (anotācijas 5.4. sadaļas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apakšsadaļas 1. tabulā vai anotācijas 1.3. apakšsadaļā skaidrot Regulas 2023/1805 27. panta ("</w:t>
            </w:r>
            <w:r w:rsidR="00000000" w:rsidRPr="00000000" w:rsidDel="00000000">
              <w:rPr>
                <w:i w:val="1"/>
                <w:rtl w:val="0"/>
              </w:rPr>
              <w:t xml:space="preserve">Dalībvalstis izraugās </w:t>
            </w:r>
            <w:r w:rsidR="00000000" w:rsidRPr="00000000" w:rsidDel="00000000">
              <w:rPr>
                <w:i w:val="1"/>
                <w:u w:val="single"/>
                <w:rtl w:val="0"/>
              </w:rPr>
              <w:t xml:space="preserve">vienu vai vairākas kompetentās iestādes</w:t>
            </w:r>
            <w:r w:rsidR="00000000" w:rsidRPr="00000000" w:rsidDel="00000000">
              <w:rPr>
                <w:i w:val="1"/>
                <w:rtl w:val="0"/>
              </w:rPr>
              <w:t xml:space="preserve">, kas atbild par šīs regulas piemērošanu un izpildes nodrošināšanu [..]</w:t>
            </w:r>
            <w:r w:rsidR="00000000" w:rsidRPr="00000000" w:rsidDel="00000000">
              <w:rPr>
                <w:rtl w:val="0"/>
              </w:rPr>
              <w:t xml:space="preserve">") ieviešanu. Proti, lūdzam skaidrot, vai paredzēts noteikt vienu (Valsts vides dienestu) vai vairākas kompetentās iestādes, kas atbild par Regulas 2023/1805 piemērošanu un izpildes nodrošināšanu. Tāpat aicinām papildināt anotācijas 5.4. sadaļas 1. tabulu par Regulas 2023/1805 27. panta ieviešanu likumprojekta 4. pantā. Vēršam uzmanību, ka Regulas 2023/1805 25. panta 3. punktā ir minēta </w:t>
            </w:r>
            <w:r w:rsidR="00000000" w:rsidRPr="00000000" w:rsidDel="00000000">
              <w:rPr>
                <w:u w:val="single"/>
                <w:rtl w:val="0"/>
              </w:rPr>
              <w:t xml:space="preserve">piestāšanas ostas dalībvalsts</w:t>
            </w:r>
            <w:r w:rsidR="00000000" w:rsidRPr="00000000" w:rsidDel="00000000">
              <w:rPr>
                <w:rtl w:val="0"/>
              </w:rPr>
              <w:t xml:space="preserve"> kompetentā iestāde, nevis </w:t>
            </w:r>
            <w:r w:rsidR="00000000" w:rsidRPr="00000000" w:rsidDel="00000000">
              <w:rPr>
                <w:u w:val="single"/>
                <w:rtl w:val="0"/>
              </w:rPr>
              <w:t xml:space="preserve">administrējošās valsts</w:t>
            </w:r>
            <w:r w:rsidR="00000000" w:rsidRPr="00000000" w:rsidDel="00000000">
              <w:rPr>
                <w:rtl w:val="0"/>
              </w:rPr>
              <w:t xml:space="preserve"> kompetentā iestāde. Attiecīgi lūdzam skaidrot, vai ir paredzēts noteikt vairākas kompetentās iestādes, tostarp izvērtēt un skaidrot, vai norāde "administrējošās valsts" likumprojekta 4. pantā nav lieka. Aicinām arī izvērtēt, vai, ja minētā norāde ir nepieciešama, likumprojekta 4. pants nav precizējams, ņemot vērā Regulas 2023/1805 25. panta 3. punktā ietverto norādi uz </w:t>
            </w:r>
            <w:r w:rsidR="00000000" w:rsidRPr="00000000" w:rsidDel="00000000">
              <w:rPr>
                <w:u w:val="single"/>
                <w:rtl w:val="0"/>
              </w:rPr>
              <w:t xml:space="preserve">piestāšanas ostas dalībvalsts</w:t>
            </w:r>
            <w:r w:rsidR="00000000" w:rsidRPr="00000000" w:rsidDel="00000000">
              <w:rPr>
                <w:rtl w:val="0"/>
              </w:rPr>
              <w:t xml:space="preserve"> kompetento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5.4. apakšsadaļas 1. tabulā ietverto aili par Regulā 2023/1805 (piemēram, 2. panta 3.-6.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panta 3. un 11. punktā) dalībvalstij paredzētās rīcības brīvības izmantošanu. Lūdzam arī izvērtēt un skaidrot, vai Regulā 2023/1805 ietvertā regulējuma pilnīgai un efektīvai piemērošanai nav nepieciešami kādi papildu pasākumi, tostarp normatīvo aktu izstrāde (sk., piemēram, Regulas 2023/1805 23. panta 2., 3., 5., 6. un 11. punktā paredzētos pienākumus dalībvalstij).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ieraksts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2023/1805 prasību izpildi, nacionālajos normatīvajos aktos ir jānosaka administrējošās valsts kompetentā iestāde Regulas 2023/1805 17. panta, 20. panta 4. punkta, 22. panta 2. un 5. punkta, 23. panta 2., 3. un 5. punkta izpratnē, un piestāšanās ostas dalībvalsts kompetentā iestāde Regulas 2023/1805 25. panta 3.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"Par piesārņojumu" 45.</w:t>
            </w:r>
            <w:r w:rsidR="00000000" w:rsidRPr="00000000" w:rsidDel="00000000">
              <w:rPr>
                <w:vertAlign w:val="superscript"/>
                <w:rtl w:val="0"/>
              </w:rPr>
              <w:t xml:space="preserve">1</w:t>
            </w:r>
            <w:r w:rsidR="00000000" w:rsidRPr="00000000" w:rsidDel="00000000">
              <w:rPr>
                <w:rtl w:val="0"/>
              </w:rPr>
              <w:t xml:space="preserve"> pantā un 47. panta ceturtajā daļā noteikto Valsts vides dienesta kompetenci attiecībā uz jūras transporta oglekļa dioksīda emisiju monitoringu, Regulas 2023/1805 iepriekš minēto tiesību normu piemērošanas un izpildes nodrošināšanai tieši Valsts vides dienests tiek izraudzīts un noteikts par kompetento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Regulas 2023/1805 27. pants ļauj izraudzīties vairākas kompetentās iestādes, jo minētās regulas izpildes nodrošināšana ir saistīta ar plašu veicamo uzdevumu loku, tostarp uzdevumiem, kas ietilpst ne tikai Valsts vides dienesta kompetencē, piemēram, kuģa inspekcijas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vajadzības Jūrlietu pārvaldes un jūras drošības likumā noteikt Valsts vides dienesta papildu kompetenci, citu iestāžu kompetence, lai nodrošinātu Regulas 2023/1805 izpildi jau izriet no Jūrlietu pārvaldes un jūras drošības likumā noteiktajām iestāžu funkcijām jūrlietās. Proti, Jūrlietu pārvaldes un jūras drošības likuma 6. panta pirmās daļas 3. un 8. punkts jau šobrīd paredz Latvijas Jūras administrācijas kompetenci attiecībā uz Latvijas karoga kuģu uzraudzību un ārvalstu kuģu kontroli, bet šī likuma 7. panta pirmās daļas 1. un 5. punkts un 44. pants – Krasta apsardzes kompetenci vides aizsardzības kuģošanas režīma normatīvo aktu prasību ievērošanas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Verificētāju, kuri veic Regulas 2023/1805 darbības jomā esošās verifikācijas darbības, akreditāciju veic valsts akreditācijas struktūras, kas noteiktas saskaņā ar citas regulas (Eiropas Parlamenta un Padomes Regula (EK) Nr. 765/2008)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Regulas 2023/1805 izpildi atbildīgo iestāžu (Valsts vides dienests, Latvijas Jūras administrācija un Krasta apsardze) pienākumu detalizētāks regulējums plānots tiesību akta projektā "Grozījumi Ministru kabineta 2011. gada 7. jūnija noteikumos Nr. 439 "Noteikumi par kuģu karoga valsts uzraudzības īstenošanu"" (Projekta ID: 24-TA-2040) un tiesību akta projektā "Grozījumi Ministru kabineta 2010. gada 21. decembra noteikumos Nr. 1164 "Ostas valsts kontroles kārtība"" (Projekta ID: 24-TA-2015).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papildinot Jūrlietu pārvaldes un jūras drošības likuma 8. pantā noteikto Valsts vides dienesta kompetenci jūrlietās, Valsts vides dienests tiek noteikts par kompetento iestādi, kas pilda no Regulas 2023/1805 17. panta, 20. panta 4. punkta, 22. panta 2. un 5. punkta, 23. panta 2., 3. un 5. punkta un 25. panta 3. punkta izrietošās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sadaļas 1. tabula papildināta ar informāciju par Regulas 2023/1805 27. pantu un paredzētās rīcības brīvības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 sadaļa par institūciju funkcijām un uzdevumiem saistībā ar Regulu 2023/1805.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kompetences ietvaros citi papildu pasākumi Regulas 2023/1805 piemērošanai šobrīd nav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1998. gada 18. jūnija direktīvas 98/41/EK par to personu reģistrāciju, kas atrodas uz pasažieru kuģiem, kuri kursē uz Kopienas dalībvalstu ostām vai no tām (turpmāk - Direktīva 98/41/EK) 5. panta 1. punkts paredz: "</w:t>
            </w:r>
            <w:r w:rsidR="00000000" w:rsidRPr="00000000" w:rsidDel="00000000">
              <w:rPr>
                <w:i w:val="1"/>
                <w:rtl w:val="0"/>
              </w:rPr>
              <w:t xml:space="preserve">Ja pasažieru kuģis izbrauc no kādas dalībvalsts ostas, </w:t>
            </w:r>
            <w:r w:rsidR="00000000" w:rsidRPr="00000000" w:rsidDel="00000000">
              <w:rPr>
                <w:i w:val="1"/>
                <w:u w:val="single"/>
                <w:rtl w:val="0"/>
              </w:rPr>
              <w:t xml:space="preserve">lai dotos reisā, kurā nobrauktais attālums no izbraukšanas vietas līdz nākamajai ienākšanas ostai ir lielāks nekā 20 jūdzes</w:t>
            </w:r>
            <w:r w:rsidR="00000000" w:rsidRPr="00000000" w:rsidDel="00000000">
              <w:rPr>
                <w:i w:val="1"/>
                <w:rtl w:val="0"/>
              </w:rPr>
              <w:t xml:space="preserve">, reģistrē šādu informāciju [..]</w:t>
            </w:r>
            <w:r w:rsidR="00000000" w:rsidRPr="00000000" w:rsidDel="00000000">
              <w:rPr>
                <w:rtl w:val="0"/>
              </w:rPr>
              <w:t xml:space="preserve">." Saistībā ar minēto lūdzam anotācijas 5.4. apakšsadaļas 1. tabulā vai anotācijas 1.3. apakšsadaļā skaidrot, vai un kā minētais ir pilnībā pārņemts likumprojekta 7. pantā izteiktajā likuma 35. panta pirmajā daļā. Papildus saistībā ar likumprojektā ietverto regulējumu lūdzam skaidrot arī, vai (arī - kādā veidā) izmantota dalībvalsts rīcības brīvība, kas paredzēta Direktīvā 98/41/EK (piemēram, 9. panta 1. un 2. punktā), kā arī skaidrot rīcības brīvības izmantošanas vai neizmantošanas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izvērtēt, vai Direktīvas 98/41/EK 10. panta 1. punkts nav pārņemts arī likumprojekta 7. pantā (likuma 35. panta otrajā daļā), un attiecīgi precizēt anotācijas 5.4. sadaļas 1. tabulu vai sniegt atbilstošu skaidrojumu par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lūdzam anotācijas 5.4. sadaļas 1. tabulā norādīt informāciju par Eiropas Parlamenta un Padomes 2019. gada 20. jūnija regulā (ES) Nr. 2019/1239, ar ko izveido Eiropas Jūras vienloga sistēmas vidi un ar ko atceļ Direktīvu 2010/65/ES prasību ieviešanu likumprojekta 8. pantā izteiktā likuma 41.</w:t>
            </w:r>
            <w:r w:rsidR="00000000" w:rsidRPr="00000000" w:rsidDel="00000000">
              <w:rPr>
                <w:vertAlign w:val="superscript"/>
                <w:rtl w:val="0"/>
              </w:rPr>
              <w:t xml:space="preserve">1</w:t>
            </w:r>
            <w:r w:rsidR="00000000" w:rsidRPr="00000000" w:rsidDel="00000000">
              <w:rPr>
                <w:rtl w:val="0"/>
              </w:rPr>
              <w:t xml:space="preserve"> panta pirmajā daļā. Alternatīvi lūdzam skaidrot, kādēļ tabulā attiecīgā informācija nav norādāma. Vēršam uzmanību, ka pašreiz attiecīgs skaidrojums nav ietverts ne izziņā, ne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šādu ierakstu: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pēc grozījumiem Jūrlietu pārvaldes un jūras drošības likuma 35. pants vispārīgā un nedetalizētā veidā aptvers un noteiks Direktīvas 98/41/EK prasības par personu reģistrāciju, kas atrodas uz pasažieru kuģa. Līdzīgi kā Direktīvas 98/41/EK nosaukumā, arī Jūrlietu pārvaldes un jūras drošības likumā vārds "reģistrācija" tiek lietots vispārinātā nozīmē. Uz vārda "reģistrācija" vispārināto nozīmi norāda Direktīvas 98/41/EK prasību saturs, no kura izriet, ka personu reģistrācija faktiski izpaužas divos veidos: uzskaitot personu skaitu (Direktīvas 98/41/EK 4. panta 1. punkts) un uzskaitot informāciju par personām (Direktīvas 98/41/EK 5. panta 1. punkts). Atšķirībā no informācijas par personām uzskaites, kura ir saistīta ar attālumu, kas nobraukts pasažieru kuģa reisā, personu skaita uzskaite ir obligāta neatkarīgi no attāluma, kas nobraukts pasažieru kuģa reisā. Tātad jebkurā gadījumā personas uz pasažieru kuģa ir reģistrējamas, un Jūrlietu pārvaldes un jūras drošības likuma 35. pants vispārīgi noteiks šādu prasību, aptverot abus iepriekš minētos reģistrācijas veidus. Jūrlietu pārvaldes un jūras drošības likuma 35. panta otrajai daļai pakārtoto Ministru kabineta 2012. gada 15. maija noteikumu Nr. 339 "Noteikumi par ostu formalitātēm" 9.</w:t>
            </w:r>
            <w:r w:rsidR="00000000" w:rsidRPr="00000000" w:rsidDel="00000000">
              <w:rPr>
                <w:vertAlign w:val="superscript"/>
                <w:rtl w:val="0"/>
              </w:rPr>
              <w:t xml:space="preserve">1</w:t>
            </w:r>
            <w:r w:rsidR="00000000" w:rsidRPr="00000000" w:rsidDel="00000000">
              <w:rPr>
                <w:rtl w:val="0"/>
              </w:rPr>
              <w:t xml:space="preserve"> nodaļa jau šobrīd nosaka detalizētas no Direktīvas 98/41/EK izrietošās personu reģistrācijas prasības, un anotācijas 5.4. sadaļas 1. tabulā šie noteikumi ir pieminēti starp tiesību aktiem, ar kuriem ir ieviestas Direktīvas 98/41/EK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sadaļas 1. tabula papildināta ar šādu ierakstu: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likumprojektā tiek tehniski precizēta saistībā ar Padomes 1998. gada 18. jūnija direktīvu 98/41/EK par to personu reģistrāciju, kas atrodas uz pasažieru kuģiem, kuri kursē uz Kopienas dalībvalstu ostām vai no tām, Jūrlietu pārvaldes un jūras drošības likumā lietotā terminoloģija, likumprojekts nav vērsts uz šīs direktīvas jau ieviesto prasību pārskatīšanu pēc būtības (sk. anotācijas 1.3. sadaļu). Līdz ar to likumprojekts neskar jautājumus par dalībvalsts rīcības brīvības izvērtēšanu, jo šajā direktīvā piešķirtās rīcības brīvības izmantošanas lietderības vērtējums ir noticis, pārņemot direktīvas normas iepriekš pieņemtajos tiesību aktos, piemēram, Ministru kabineta 2020. gada 11. februāra noteikumos Nr. 83 "Grozījumi Ministru kabineta 2012. gada 15. maija noteikumos Nr. 339 "Noteikumi par ostu formalitātēm"''.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sadaļas 1. tabula papildināta ar informāciju par Direktīvas 98/41/EK 10.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sadaļas 1. tabula papildināta ar informāciju par regulas (ES) Nr. 2019/1239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regulas Nr. 2019/1239 normās paredzēto rīcības brīvību (sk., piemēram, regulas 4. panta 4. punktu ("</w:t>
            </w:r>
            <w:r w:rsidR="00000000" w:rsidRPr="00000000" w:rsidDel="00000000">
              <w:rPr>
                <w:i w:val="1"/>
                <w:rtl w:val="0"/>
              </w:rPr>
              <w:t xml:space="preserve">Izņēmuma apstākļos dalībvalsts var prasīt deklarētājiem sniegt papildu datu elementus bez Komisijas piekrišanas laikposmā, kas īsāks par trim mēnešiem. [..] Dalībvalsts var turpināt prasīt deklarētājiem sniegt papildu datu elementus, līdz tiek pieņemts Komisijas lēmums, un, ja lēmums ir pozitīvs, – līdz tiek ieviesta grozītā EMSWe datu kopa.</w:t>
            </w:r>
            <w:r w:rsidR="00000000" w:rsidRPr="00000000" w:rsidDel="00000000">
              <w:rPr>
                <w:rtl w:val="0"/>
              </w:rPr>
              <w:t xml:space="preserve">", 5. panta 1. punktu ("</w:t>
            </w:r>
            <w:r w:rsidR="00000000" w:rsidRPr="00000000" w:rsidDel="00000000">
              <w:rPr>
                <w:i w:val="1"/>
                <w:rtl w:val="0"/>
              </w:rPr>
              <w:t xml:space="preserve">Dalībvalstis var kopīgi ar vienu vai vairākām citām dalībvalstīm izveidot jūras vienloga sistēmu</w:t>
            </w:r>
            <w:r w:rsidR="00000000" w:rsidRPr="00000000" w:rsidDel="00000000">
              <w:rPr>
                <w:rtl w:val="0"/>
              </w:rPr>
              <w:t xml:space="preserve">.</w:t>
            </w:r>
            <w:r w:rsidR="00000000" w:rsidRPr="00000000" w:rsidDel="00000000">
              <w:rPr>
                <w:rtl w:val="0"/>
              </w:rPr>
              <w:t xml:space="preserve">"), lūdzam aizpildīt aili par rīcības brīvības izmantošanu, sniedzot skaidrojumu, vai un kā izmantota attiecīgajās regulas normās paredzētā rīcības brīvība dalībvalstij, kā arī skaidrojot rīcības brīvības izmantošanas vai neizmantošanas iemeslus.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un tabulā sniegt skaidrojumu, vai regulas Nr. 2019/1239 prasību pilnīgai un efektīvai piemērošanai paredzēta vēl kādu normatīvo aktu izstrāde vai citi ieviešanas pasākumi (sk., piemēram, 12. panta 3. punktu: "</w:t>
            </w:r>
            <w:r w:rsidR="00000000" w:rsidRPr="00000000" w:rsidDel="00000000">
              <w:rPr>
                <w:i w:val="1"/>
                <w:rtl w:val="0"/>
              </w:rPr>
              <w:t xml:space="preserve">Attiecībā uz piekļuvi valsts jūras vienloga sistēmai dažādās dalībvalstīs deklarētāju vai datu pakalpojumu sniedzēju, kas reģistrēts EMSWe lietotāju reģistra un piekļuves pārvaldības sistēmā, uzskata par reģistrētu valsts jūras vienloga sistēmā visās dalībvalstīs, un tas darbojas to </w:t>
            </w:r>
            <w:r w:rsidR="00000000" w:rsidRPr="00000000" w:rsidDel="00000000">
              <w:rPr>
                <w:i w:val="1"/>
                <w:u w:val="single"/>
                <w:rtl w:val="0"/>
              </w:rPr>
              <w:t xml:space="preserve">piekļuves tiesību robežās, ko katra dalībvalsts piešķir saskaņā ar saviem valsts noteikumiem</w:t>
            </w:r>
            <w:r w:rsidR="00000000" w:rsidRPr="00000000" w:rsidDel="00000000">
              <w:rPr>
                <w:u w:val="single"/>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 sadaļas 1. tabula ar ierakstiem: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20. jūnija regula (ES) Nr. 2019/1239, ar ko izveido Eiropas Jūras vienloga sistēmas vidi un ar ko atceļ Direktīvu 2010/65/ES (turpmāk – regula Nr. 2019/1239), ir tieši piemērojama, un tās 5. panta 1. punkta trešā daļa dalībvalstij piešķir rīcības brīvību atsevišķi vai kopīgi ar vienu vai vairākām citām dalībvalstīm izveidot jūras vienloga sistēmu. Eiropas Komisijas ziņojumā par deleģēto aktu pieņemšanas pilnvarām, ko Komisijai dod Eiropas Parlamenta un Padomes Regula (ES) 2019/1239, norādīts - lai nodrošinātu viszemākās izmaksas un aizsargātu agrākās investīcijas, jaunā ziņošanas vide lielā mērā tiek balstīta pastāvošajās, mantotajās valstu jūrniecības vienloga sistēmās. Šādu apsvērumu dēļ arī Latvijas gadījumā netiks veidota jauna sistēma, bet tiks attīstīta esošā Starptautiskās kravu loģistikas un ostu informācijas sistēma (SKLOIS). Likumprojekta 9. pants nostiprina, ka Starptautiskā kravu loģistikas un ostu informācijas sistēma (SKLOIS) pildīs regulā Nr. 2019/1239 noteiktās valsts jūras vienloga sistēmas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2019/1239 ir tieši piemērojama, un tās 4. panta 4. punkts nosaka, ka izņēmuma apstākļos dalībvalsts var prasīt deklarētājiem sniegt papildu datu elementus bez Eiropas Komisijas piekrišanas laikposmā, kas īsāks par trim mēnešiem. Dalībvalsts minētos datu elementus nekavējoties paziņo Eiropas Komisijai. Šajā norma piešķirto tiesību praktiskai īstenošanai papildu regulējums Jūrlietu pārvaldes un jūras drošības likumā nav nepieciešams. Katrā konkrētajā gadījumā iestādei, kura plāno prasīt papildu datu elementus, ir jāizvērtē attiecīgās jomas normatīvie akti, vai šādai iestādes kompetencei ir priekšraksti, vai ir izdodams tiesību akts u.tml. Paziņošana par papildu datu elementiem Eiropas Komisijai ir īstenojama ar Satiksmes ministrijas starpniecību. Likumprojekta 1. pants nosaka, ka Satiksmes ministrija pilda valsts Eiropas Jūras vienloga sistēmas vides (EMSWe) koordinatora funkcijas, proti, ir valsts kontaktpunkts lietotājiem (arī iestādēm) un Eiropas Komisijai visos ar regulas Nr. 2019/1239 īstenošanu saistītajos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15. septembrī jāstājas spēkā grozījumiem Ministru kabineta 2012. gada 15. maija noteikumos Nr. 339 "Noteikumi par ostu formalitātēm" un Ministru kabineta 2020. gada 11. februāra noteikumos Nr. 92 "Starptautiskās kravu loģistikas un ostu informācijas sistēmas noteikumi", lai nodrošinātu no regulas Nr. 2019/1239 normām izrietošo un nepieciešamo saistību īstenošanu un tieši piemērojamo saistību pārklāšanās novēršanu (atbildīgā institūcija – Satiksmes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2019/1239 12. panta 2. punkts, šķiet, faktiski ir ieviests arī likumprojekta 9. pantā ietvertajā likuma 41.</w:t>
            </w:r>
            <w:r w:rsidR="00000000" w:rsidRPr="00000000" w:rsidDel="00000000">
              <w:rPr>
                <w:vertAlign w:val="superscript"/>
                <w:rtl w:val="0"/>
              </w:rPr>
              <w:t xml:space="preserve">2</w:t>
            </w:r>
            <w:r w:rsidR="00000000" w:rsidRPr="00000000" w:rsidDel="00000000">
              <w:rPr>
                <w:rtl w:val="0"/>
              </w:rPr>
              <w:t xml:space="preserve"> panta otrās daļas otrajā teikumā, tādēļ lūdzam izvērtēt un attiecīgi precizēt likumprojekta anotācijas 5.4. sadaļas 1. tabulu. Papildus lūdzam arī izvērtēt, vai nebūtu precizējama arī anotācijas 1.3. sadaļā ietvertā saistītā informācija. Proti, norādām, ka regulas Nr. 2019/1239 12. panta 2. punkta ieviešana likuma  5. panta 6.</w:t>
            </w:r>
            <w:r w:rsidR="00000000" w:rsidRPr="00000000" w:rsidDel="00000000">
              <w:rPr>
                <w:vertAlign w:val="superscript"/>
                <w:rtl w:val="0"/>
              </w:rPr>
              <w:t xml:space="preserve">1</w:t>
            </w:r>
            <w:r w:rsidR="00000000" w:rsidRPr="00000000" w:rsidDel="00000000">
              <w:rPr>
                <w:rtl w:val="0"/>
              </w:rPr>
              <w:t xml:space="preserve"> punktā ir nesaraujami saistīta arī ar likuma 41.</w:t>
            </w:r>
            <w:r w:rsidR="00000000" w:rsidRPr="00000000" w:rsidDel="00000000">
              <w:rPr>
                <w:vertAlign w:val="superscript"/>
                <w:rtl w:val="0"/>
              </w:rPr>
              <w:t xml:space="preserve">2</w:t>
            </w:r>
            <w:r w:rsidR="00000000" w:rsidRPr="00000000" w:rsidDel="00000000">
              <w:rPr>
                <w:rtl w:val="0"/>
              </w:rPr>
              <w:t xml:space="preserve"> panta otrās daļas 2. teikumu, kas noteic, ka Starptautiskā kravu loģistikas un ostu informācijas sistēma (SKLOIS) pilda regulā Nr. 2019/1239 noteiktās valsts jūras vienloga sistēmas funkcijas. Alternatīvi lūdzam sniegt skaidrojumu, kādēļ precizējumi anotācijas 1.3. un 5.4. sadaļās nav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 sadaļas 1. tabula, norādot, ka regulas Nr. 2019/1239 12. panta 2. punkts tiek pārņemts arī ar likumprojekta 9.pantu (Jūrlietu pārvaldes un jūras drošības likuma 41.</w:t>
            </w:r>
            <w:r w:rsidR="00000000" w:rsidRPr="00000000" w:rsidDel="00000000">
              <w:rPr>
                <w:vertAlign w:val="superscript"/>
                <w:rtl w:val="0"/>
              </w:rPr>
              <w:t xml:space="preserve">2</w:t>
            </w:r>
            <w:r w:rsidR="00000000" w:rsidRPr="00000000" w:rsidDel="00000000">
              <w:rPr>
                <w:rtl w:val="0"/>
              </w:rPr>
              <w:t xml:space="preserve">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šādu 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jūras vienloga sistēma (MNSW) ir arī sistēma, kuru Satiksmes ministrija kā sistēmas pārzinis izmanto regulas 2019/1239 12. panta 2. punkta prasību par jaunu lietotāju identifikāciju un reģistrāciju, par izmaiņu veikšanu esošajos kontos un to darbības izbeigšanu,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Jūrlietu pārvaldes un jūras drošības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pārvaldes un jūras drošības likuma mērķis ir noteikt valsts pārvaldes institucionālo sistēmu jūrlietās un nodrošināt jūras drošības un aizsardzības jomā pieņemto Latvijai saistošo starptautisko līgumu prasību un standartu īstenošanu un ievērošanu, lai nodrošinātu kuģošanas drošību, kuģu, ostu un ostas iekārtu aizsardzību, novērstu vides piesārņošanu no kuģiem un padarītu efektīvāku jūras satiksmi.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13. septembra Regulas (ES) 2023/1805 par atjaunīgo un mazoglekļa degvielu izmantošanu jūras transportā un ar ko groza Direktīvu 2009/16/EK (turpmāk – Regula 2023/1805) nosaka siltumnīcefekta gāzu emisijas intensitātes robežvērtību enerģijai, kas patērēta uz kuģa, kurš ienāk dalībvalsts jurisdikcijā esošās ostās, un pienākumu izmantot krasta energoapgādi vai bezemisiju tehnoloģiju dalībvalsts jurisdikcijā esošās ostās. KEM uzskata, ka Regulā 2023/1805 noteiktās normas un prasības atbilst Jūrlietu pārvaldes un jūras drošības likuma mērķim, it īpaši attiecībā uz prasību un standartu īstenošanu un ievērošanu jūrlietās.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uzskata, ka ar Jūrlietu pārvaldes un jūras drošības likuma grozījumiem ir jāpārņem Regulas 2023/1805 prasības 3. panta 40. punktā iekļautā definīcija “administrējošā valsts”, nosakot konkrētu administrējošās valsts kompetento iestādi un tās uzdevumus, šādi nosakot valsts pārvaldes institucionālo sistēmu jūrlietās atbilstoši Jūrlietu pārvaldes un jūras drošības likuma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Jūrlietu pārvaldes un jūras drošības likuma 8. pantā noteikto Valsts vides dienesta kompetenci attiecībā uz normatīvajiem aktiem un starptautiskām tiesību normām, KEM uzskata, ka likuma 8. pantā var iekļaut normas, kas noteic, ka Regulas 2023/1805 izpratnē administrējošās valsts kompetentā iestāde ir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kā Regulas (ES) 2023/1805 3. panta 40. punktā definētās "administrējošās valsts" atbildīgā kompetentā iestāde ir nosakāms Klimata un enerģētikas ministrijas virzītā likumprojekta "Klimata likums" (Projekta ID: 21-TA-62) speciālajās tiesību normās. Atbildīgās kompetentās iestādes noteikšana ir pakārtota administrējošās valsts noteikšanai. Savukārt administrējošo valsti tiek plānots noteikt saskaņā ar likumprojekta "Klimata likums" 17. panta trešo daļu. Likumprojektā "Klimata likums" tiek regulēta arī Valsts vides dienesta kompetence.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Jūrlietu pārvaldes un jūras drošības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pilda Starptautiskās kravu loģistikas un ostu informācijas sistēmas (SKLOIS) pārziņa funkcijas. Par Starptautiskās kravu loģistikas un ostu informācijas sistēmas (SKLOIS) informācijas un komunikācijas tehnoloģiju resursu un pakalpojumu pārvaldību Satiksmes ministrija slēdz deleģēšanas līgumu ar Latvijas Jūras administrāciju;";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jau pašreiz likuma 5. panta 6.</w:t>
            </w:r>
            <w:r w:rsidR="00000000" w:rsidRPr="00000000" w:rsidDel="00000000">
              <w:rPr>
                <w:vertAlign w:val="superscript"/>
                <w:rtl w:val="0"/>
              </w:rPr>
              <w:t xml:space="preserve">1</w:t>
            </w:r>
            <w:r w:rsidR="00000000" w:rsidRPr="00000000" w:rsidDel="00000000">
              <w:rPr>
                <w:rtl w:val="0"/>
              </w:rPr>
              <w:t xml:space="preserve"> punktā un 6. panta pirmās daļas 12.</w:t>
            </w:r>
            <w:r w:rsidR="00000000" w:rsidRPr="00000000" w:rsidDel="00000000">
              <w:rPr>
                <w:vertAlign w:val="superscript"/>
                <w:rtl w:val="0"/>
              </w:rPr>
              <w:t xml:space="preserve">1</w:t>
            </w:r>
            <w:r w:rsidR="00000000" w:rsidRPr="00000000" w:rsidDel="00000000">
              <w:rPr>
                <w:rtl w:val="0"/>
              </w:rPr>
              <w:t xml:space="preserve"> punktā ietverts regulējums par deleģēšanas līguma noslēgšanu ar Latvijas Jūras administrāciju, tomēr, ņemot vērā likumprojektā ietverto regulējumu, ar ko paredzēts grozīt minētās likuma vienības, aicinām ietvert likumprojekta anotācijā skaidrojumu par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Valsts pārvaldes iekārtas likuma 40. panta pirmā daļa noteic, ka publiska persona var deleģēt privātpersonai un citai publiskai personai (turpmāk – pilnvarotā persona) pārvaldes uzdevumu, ja pilnvarotā persona attiecīgo uzdevumu var veikt efektīvāk. Savukārt Valsts pārvaldes iekārtas likuma 42. pants noteic, ka privātpersonai jābūt tiesīgai veikt attiecīgo pārvaldes uzdevumu. Lemjot par pārvaldes uzdevuma deleģēšanu privātpersonai, ņem vērā tās pieredzi, reputāciju, resursus, personāla kvalifikāciju, kā arī citus kritērijus. Lemjot par pārvaldes uzdevuma deleģēšanu personu apvienībai, izvērtē, vai tā nepārstāv atsevišķas mantiski vai citādi ieinteresētas grupas intereses. Ievērojot minēto, lūdzam papildināt anotāciju ar atbilstošu informāciju, kā arī lūdzam skaidrot, kāds tieši pārvaldes uzdevums tiks deleģēts, un no kāda normatīvā akta vai normatīvajiem aktiem izriet attiecīgs Satiksmes ministrijas pārvaldes uzdevums.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ieraksts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2022. gada 31. maijam Valsts informācijas sistēmu likumā bija spēkā regulējums, kas noteica prasības valsts informācijas sistēmas turētājam, kā arī noteica tā pienākumus. Valsts informācijas sistēmas pārzinim tika ļauts valsts informācijas sistēmas turētāja funkcijas pildīt pašam vai nodot pilnvarotai institūcijai. Pamatojoties uz šo regulējumu, Jūrlietu pārvaldes un jūras drošības likuma 5. panta 6.</w:t>
            </w:r>
            <w:r w:rsidR="00000000" w:rsidRPr="00000000" w:rsidDel="00000000">
              <w:rPr>
                <w:vertAlign w:val="superscript"/>
                <w:rtl w:val="0"/>
              </w:rPr>
              <w:t xml:space="preserve">1</w:t>
            </w:r>
            <w:r w:rsidR="00000000" w:rsidRPr="00000000" w:rsidDel="00000000">
              <w:rPr>
                <w:rtl w:val="0"/>
              </w:rPr>
              <w:t xml:space="preserve"> punkts nosaka, ka par Starptautiskās kravu loģistikas un ostu informācijas sistēmas (SKLOIS) turētāja funkciju pildīšanu Satiksmes ministrija slēdz deleģēšanas līgumu ar valsts sabiedrību ar ierobežotu atbildību "Latvijas Jūras administrācija" (turpmāk – Latvijas Jūras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 gada 5. maija likumu "Grozījumi Valsts informācijas sistēmu likumā" tika izslēgts regulējums attiecībā uz  valsts informācijas sistēmas turētāju, un valsts informācijas sistēmas turētājam noteiktie pienākumi kļuva piekritīgi valsts informācijas sistēmas pārzinim. Valsts informācijas sistēmas pārzinim arī turpmāk ir ļauts vispārīgā kārtība deleģēt no valsts informācijas sistēmas pārziņa funkcijām izrietošus pārvaldes uzdevumus vai slēgt ārpakalpojuma līgumus par informācijas un komunikācijas tehnoloģiju pakalpojumiem. Grozījumi Valsts informācijas sistēmu likumā nekādas izmaiņas deleģēšanas priekšmetā neievieš un nerada nepieciešamību atkārtotai pilnvarotās personas (Latvijas Jūras administrācija) atbilstības kritēriju izvērtēšanai. Latvijas Jūras administrācijas atbilstība tiek uzraudzīta esošā deleģēšanas līguma izpildes procesa ietvaros. No iepriekš minētā likuma anotācijas izriet, ka, veicot grozījumus normatīvajos aktos un deleģēšanas līgumos, kuros ir izmantots termins "valsts informācijas sistēmas turētājs", ir jāprecizē tikai lietotā terminoloģija.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pārvaldes un jūras drošības likumā tiek lietots termins "sistēmas turētājs".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pārvaldes un jūras drošības likuma 5. panta 6.</w:t>
            </w:r>
            <w:r w:rsidR="00000000" w:rsidRPr="00000000" w:rsidDel="00000000">
              <w:rPr>
                <w:vertAlign w:val="superscript"/>
                <w:rtl w:val="0"/>
              </w:rPr>
              <w:t xml:space="preserve">1</w:t>
            </w:r>
            <w:r w:rsidR="00000000" w:rsidRPr="00000000" w:rsidDel="00000000">
              <w:rPr>
                <w:rtl w:val="0"/>
              </w:rPr>
              <w:t xml:space="preserve"> punkts tiek izteikts jaunā redakcijā, nosakot, ka Starptautiskās kravu loģistikas un ostu informācijas sistēmas (SKLOIS) informācijas un komunikācijas tehnoloģiju resursu un pakalpojumu pārvaldībai Satiksmes ministrija slēdz deleģēšanas līgumu ar Latvijas Jūras administrāciju. Jūrlietu pārvaldes un jūras drošības likuma 6. panta pirmās daļas 12.</w:t>
            </w:r>
            <w:r w:rsidR="00000000" w:rsidRPr="00000000" w:rsidDel="00000000">
              <w:rPr>
                <w:vertAlign w:val="superscript"/>
                <w:rtl w:val="0"/>
              </w:rPr>
              <w:t xml:space="preserve">1</w:t>
            </w:r>
            <w:r w:rsidR="00000000" w:rsidRPr="00000000" w:rsidDel="00000000">
              <w:rPr>
                <w:rtl w:val="0"/>
              </w:rPr>
              <w:t xml:space="preserve"> punktā redakcionāli tiek precizēta arī Latvijas Jūras administrācijas kompetence pildīt iepriekš minētos deleģētos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Jūrlietu pārvaldes un jūras drošības likuma 5. panta 6.</w:t>
            </w:r>
            <w:r w:rsidR="00000000" w:rsidRPr="00000000" w:rsidDel="00000000">
              <w:rPr>
                <w:vertAlign w:val="superscript"/>
                <w:rtl w:val="0"/>
              </w:rPr>
              <w:t xml:space="preserve">1</w:t>
            </w:r>
            <w:r w:rsidR="00000000" w:rsidRPr="00000000" w:rsidDel="00000000">
              <w:rPr>
                <w:rtl w:val="0"/>
              </w:rPr>
              <w:t xml:space="preserve"> punktu Satiksmes ministrija ir valsts informācijas sistēmas pārzinis. Valsts informācijas sistēmas pārziņa funkcijas ir noteiktas Valsts informācijas sistēmu likuma 8. pantā. No Valsts informācijas sistēmu likuma 8. pantā noteiktajām valsts informācijas sistēmas pārziņa funkcijām izrietoši pārvaldes uzdevumi tiek deleģēti Latvijas Jūras administrācijai. Ņemot vērā, ka pārvaldes uzdevumi tiek deleģēti ar līgumu, pārvaldes uzdevumu saturs tiek noteikts deleģēšanas līgumā par Starptautiskās kravu loģistikas un ostu informācijas sistēmas (SKLOIS) informācijas un komunikācijas tehnoloģiju resursu un pakalpojumu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pilda Starptautiskās kravu loģistikas un ostu informācijas sistēmas (SKLOIS) pārziņa funkcijas. Par Starptautiskās kravu loģistikas un ostu informācijas sistēmas (SKLOIS) informācijas un komunikācijas tehnoloģiju resursu un pakalpojumu pārvaldību Satiksmes ministrija slēdz deleģēšanas līgumu ar Latvijas Jūras administrāciju;";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Ja normatīvajos aktos nav noteikta konkrēta Latvijas Jūras administrācijas struktūrvienība vai  tās amatpersona, kas pieņem lēmumu šā panta pirmajā daļā minēto funkciju īstenošanai, tad šādu lēmumu Latvijas Jūras administrācijas vārdā pieņem Latvijas Jūras administrācijas valdes priekšsēdētājs. Šā panta pirmajā daļā minēto funkciju īstenošanai pieņemtos Latvijas Jūras administrācijas lēmumus var apstrīdēt un pārsūdzēt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Jūras administrācijas lēmumus, ko sākotnēji pieņem Latvijas Jūras administrācijas struktūrvienības vai to amatpersonas, Administratīvā procesa likumā noteiktajā kārtībā var apstrīdēt Latvijas Jūras administrācijas valdes priekšsēdētājam. Latvijas Jūras administrācijas valdes priekšsēdētāja lēmumu var pārsūdzēt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Jūras administrācijas lēmumus, ko sākotnēji pieņem Latvijas Jūras administrācijas valdes priekšsēdētājs, Administratīvā procesa likumā noteiktajā kārtībā var apstrīdēt Satiksmes ministrijā. Satiksmes ministrijas lēmumus var pārsūdzēt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paredzēto likuma 6. panta 3.</w:t>
            </w:r>
            <w:r w:rsidR="00000000" w:rsidRPr="00000000" w:rsidDel="00000000">
              <w:rPr>
                <w:vertAlign w:val="superscript"/>
                <w:rtl w:val="0"/>
              </w:rPr>
              <w:t xml:space="preserve">1</w:t>
            </w:r>
            <w:r w:rsidR="00000000" w:rsidRPr="00000000" w:rsidDel="00000000">
              <w:rPr>
                <w:rtl w:val="0"/>
              </w:rPr>
              <w:t xml:space="preserve"> daļu lūdzam izvērtēt un precizēt, aizstājot vārdu “funkciju” ar vārdu “uzdevumu”, jo atbilstoši Valsts pārvaldes iekārtas likuma 41. panta pirmajai daļai publiska persona privātpersonai var deleģēt pārvaldes uzdevumus, kuru izpilde ietilpst šīs publiskās personas vai tās iestādes kompetencē. Deleģējot pārvaldes uzdevumus, par funkcijas izpildi kopumā atbild attiecīgā publiskā persona. Vēršam uzmanību, ka Latvijas Jūras administrācija kā valsts kapitālsabiedrība Valsts pārvaldes iekārtas likuma izpratnē ir privātpersona, kurai tiek deleģēts valsts pārvaldes uzdevums. Vienlaikus lūdzam šādu vārdu aizstāšanu veikt arī citās likuma normās, kas nosaka privātpersonas – Latvijas Jūras administrācijas kā institūcijas kompetenci, proti, likuma 4. panta pirmajā daļā, 5. panta 5. punktā, 6. panta trešajā daļā, 3.</w:t>
            </w:r>
            <w:r w:rsidR="00000000" w:rsidRPr="00000000" w:rsidDel="00000000">
              <w:rPr>
                <w:vertAlign w:val="superscript"/>
                <w:rtl w:val="0"/>
              </w:rPr>
              <w:t xml:space="preserve">1 </w:t>
            </w:r>
            <w:r w:rsidR="00000000" w:rsidRPr="00000000" w:rsidDel="00000000">
              <w:rPr>
                <w:rtl w:val="0"/>
              </w:rPr>
              <w:t xml:space="preserve">daļā un ceturtajā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no Valsts pārvaldes iekārtas likuma 41. panta pirmās daļas regulējuma izriet, ka deleģējami ir pārvaldes uzdevumi, tomēr šobrīd mēs atturamies likumprojektā veikt vārda “funkcija” tehnisku aizstāšanu ar vārdu “uzdevums”,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normu sistēmā nereti tiek lietoti abi iepriekš minētie termini, un tas nozīmē konkrētā likumprojekta ietvaros ir nepieciešams veikt padziļinātu sistēmisku mijiedarbības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Valsts pārvaldes iekārtas likuma 41. panta trešās daļas 5. punkta izriet, ka ir pārvaldes uzdevumi, kuri pēc savas būtības var būt valsts pārvaldes funkcijas pamats, un tas nozīmē, ka konkrētā likumprojekta ietvaros ir nepieciešams veikt arī šī valsts pārvaldes funkciju un uzdevumu teorētiskā aspekta izpēti.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Ja normatīvajos aktos nav noteikta konkrēta Latvijas Jūras administrācijas struktūrvienība vai  tās amatpersona, kas pieņem lēmumu šā panta pirmajā daļā minēto funkciju īstenošanai, tad šādu lēmumu Latvijas Jūras administrācijas vārdā pieņem Latvijas Jūras administrācijas valdes priekšsēdētājs. Šā panta pirmajā daļā minēto funkciju īstenošanai pieņemtos Latvijas Jūras administrācijas lēmumus var apstrīdēt un pārsūdzēt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Jūras administrācijas lēmumus, ko sākotnēji pieņem Latvijas Jūras administrācijas struktūrvienības vai to amatpersonas, Administratīvā procesa likumā noteiktajā kārtībā var apstrīdēt Latvijas Jūras administrācijas valdes priekšsēdētājam. Latvijas Jūras administrācijas valdes priekšsēdētāja lēmumu var pārsūdzēt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Jūras administrācijas lēmumus, ko sākotnēji pieņem Latvijas Jūras administrācijas valdes priekšsēdētājs, Administratīvā procesa likumā noteiktajā kārtībā var apstrīdēt Satiksmes ministrijā. Satiksmes ministrijas lēmumus var pārsūdzēt tiesā."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Ar kuģa ienākšanu, kuģa palikšanu ostā un kuģa iziešanu no ostas saistītie ziņošanas pienākumi, tostarp regulā Nr. </w:t>
            </w:r>
            <w:r w:rsidR="00000000" w:rsidRPr="00000000" w:rsidDel="00000000">
              <w:rPr>
                <w:rtl w:val="0"/>
              </w:rPr>
              <w:t xml:space="preserve">2019/1239</w:t>
            </w:r>
            <w:r w:rsidR="00000000" w:rsidRPr="00000000" w:rsidDel="00000000">
              <w:rPr>
                <w:rtl w:val="0"/>
              </w:rPr>
              <w:t xml:space="preserve"> uzskaitītie ziņošanas pienākumi, (turpmāk — ostu formalitātes)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 par kuģa ienākšanu ostā un iziešanu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paziņošana par bīstamu un piesārņojošu kuģa kravu;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paziņošana par kuģa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kuģa pirmsienākšanas aizsardzības informācijas iesniegšana;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paziņošana par personām, kas nokļuvušas un uzturas uz kuģa nelegāli;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ziņošana saskaņā ar 1965.gada Konvenciju par starptautiskās jūras satiksmes atvieglošanu;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ziņošana saistībā ar robežpārbaudēm;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ziņošana saistībā ar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ziņošana saistībā ar kravas veterināro, fitosanitāro, pārtikas nekaitīguma, nepārtikas preču drošuma, kā arī kvalitātes un klasifikācijas kontroli robežšķērsošanas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ziņošana par nepieciešamību veikt paplašinātu inspekciju ostas valsts kontroles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zvejas darbību un nozvejas uzraudzību saistītā ziņošana pirms zvejas kuģa ienākšanas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ziņošana par personām uz pasažieru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 beramkravu kuģa drošu kraušanu saistītā 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ziņošana statistikas pārskatiem par kravu un pasažieru jūras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ziņošana ostas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likumprojekta 8. pantā izteiktā likuma 41.</w:t>
            </w:r>
            <w:r w:rsidR="00000000" w:rsidRPr="00000000" w:rsidDel="00000000">
              <w:rPr>
                <w:vertAlign w:val="superscript"/>
                <w:rtl w:val="0"/>
              </w:rPr>
              <w:t xml:space="preserve">1</w:t>
            </w:r>
            <w:r w:rsidR="00000000" w:rsidRPr="00000000" w:rsidDel="00000000">
              <w:rPr>
                <w:rtl w:val="0"/>
              </w:rPr>
              <w:t xml:space="preserve"> panta pirmās daļas atsevišķos punktos vai anotācijā konkretizēt ziņojamo informāciju, proti, precizēt, tieši kādu informāciju nepieciešams ziņot (piemēram, bet ne tikai, 12. punktā "ziņošana par personām uz pasažieru kuģa", 15. punktā "ziņošana ostas vajadzībām" u.c.) vai arī sniegt skaidrojumu anotācijā, kādos normatīvajos aktos attiecīgie ziņošanas pienākumi ir konkretizēti.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un redakcionāli precizēt 14. punktu "ziņošana statistikas pārskatiem par kravu un pasažieru jūras pārvadājumiem", pašreizējā formulējuma vietā atkarībā no normas mērķa norādot uz, piemēram, statistikas pārskatu par kravu un pasažieru jūras pārvadājumiem ziņošanu vai ziņošanu statistikas pārskatu par kravu un pasažieru jūras pārvadājumiem vajadzībām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8. pants, redakcionāli precizējot tā 14. punktu atbilstoši Statistikas likumā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šādu ierakstu, norādot normatīvos aktus, kuros attiecīgie ziņošanas pienākumi ir konkretizēti: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Konkretizēta uz kuģi attiecināmo ziņošanas pienākumu izpildes kārtība ir noteikta Ministru kabineta 2012. gada 15. maija noteikumos Nr. 339 "Noteikumi par ostu formalitātēm" tieši vai, izdarot norādi uz citas jomas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Ar kuģa ienākšanu, kuģa palikšanu ostā un kuģa iziešanu no ostas saistītie ziņošanas pienākumi, tostarp regulā Nr. </w:t>
            </w:r>
            <w:r w:rsidR="00000000" w:rsidRPr="00000000" w:rsidDel="00000000">
              <w:rPr>
                <w:rtl w:val="0"/>
              </w:rPr>
              <w:t xml:space="preserve">2019/1239</w:t>
            </w:r>
            <w:r w:rsidR="00000000" w:rsidRPr="00000000" w:rsidDel="00000000">
              <w:rPr>
                <w:rtl w:val="0"/>
              </w:rPr>
              <w:t xml:space="preserve"> uzskaitītie ziņošanas pienākumi, (turpmāk — ostu formalitātes)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 par kuģa ienākšanu ostā un iziešanu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paziņošana par bīstamu un piesārņojošu kuģa kravu;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paziņošana par kuģa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kuģa pirmsienākšanas aizsardzības informācijas iesniegšana;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paziņošana par personām, kas nokļuvušas un uzturas uz kuģa nelegāli;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ziņošana saskaņā ar 1965.gada Konvenciju par starptautiskās jūras satiksmes atvieglošanu;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ziņošana saistībā ar robežpārbaudēm;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ziņošana saistībā ar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ziņošana saistībā ar kravas veterināro, fitosanitāro, pārtikas nekaitīguma, nepārtikas preču drošuma, kā arī kvalitātes un klasifikācijas kontroli robežšķērsošanas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ziņošana par nepieciešamību veikt paplašinātu inspekciju ostas valsts kontroles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zvejas darbību un nozvejas uzraudzību saistītā ziņošana pirms zvejas kuģa ienākšanas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ziņošana par personām uz pasažieru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 beramkravu kuģa drošu kraušanu saistītā 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ziņošana statistikas nodrošināšanas vajadzībām par kravu un pasažieru jūras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ziņošana ostas vajadzībām.”;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"44. Grozījumi šā likuma 41.</w:t>
            </w:r>
            <w:r w:rsidR="00000000" w:rsidRPr="00000000" w:rsidDel="00000000">
              <w:rPr>
                <w:vertAlign w:val="superscript"/>
                <w:rtl w:val="0"/>
              </w:rPr>
              <w:t xml:space="preserve">1</w:t>
            </w:r>
            <w:r w:rsidR="00000000" w:rsidRPr="00000000" w:rsidDel="00000000">
              <w:rPr>
                <w:rtl w:val="0"/>
              </w:rPr>
              <w:t xml:space="preserve"> pantā stājas spēkā 2025. gada 15. 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Grozījumi šā likuma 41.</w:t>
            </w:r>
            <w:r w:rsidR="00000000" w:rsidRPr="00000000" w:rsidDel="00000000">
              <w:rPr>
                <w:vertAlign w:val="superscript"/>
                <w:rtl w:val="0"/>
              </w:rPr>
              <w:t xml:space="preserve">2</w:t>
            </w:r>
            <w:r w:rsidR="00000000" w:rsidRPr="00000000" w:rsidDel="00000000">
              <w:rPr>
                <w:rtl w:val="0"/>
              </w:rPr>
              <w:t xml:space="preserve"> pantā attiecībā uz valsts jūras vienloga sistēmas funkciju izpildi stājas spēkā 2025. gada 15. augustā."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likumprojekta 12. pantā ietvertajā likuma pārejas noteikumu 45. punktā, aicinām saturiski aprakstīt arī pārejas noteikumu 44. punktā minēto grozījumu likuma 41.</w:t>
            </w:r>
            <w:r w:rsidR="00000000" w:rsidRPr="00000000" w:rsidDel="00000000">
              <w:rPr>
                <w:vertAlign w:val="superscript"/>
                <w:rtl w:val="0"/>
              </w:rPr>
              <w:t xml:space="preserve">1</w:t>
            </w:r>
            <w:r w:rsidR="00000000" w:rsidRPr="00000000" w:rsidDel="00000000">
              <w:rPr>
                <w:rtl w:val="0"/>
              </w:rPr>
              <w:t xml:space="preserve"> pantā (proti, </w:t>
            </w:r>
            <w:r w:rsidR="00000000" w:rsidRPr="00000000" w:rsidDel="00000000">
              <w:rPr>
                <w:rtl w:val="0"/>
              </w:rPr>
              <w:t xml:space="preserve">raksturot, par kādiem tieši grozījumiem ir runa). Atgādinām, ka, kaut arī līdz šim likuma 41.</w:t>
            </w:r>
            <w:r w:rsidR="00000000" w:rsidRPr="00000000" w:rsidDel="00000000">
              <w:rPr>
                <w:vertAlign w:val="superscript"/>
                <w:rtl w:val="0"/>
              </w:rPr>
              <w:t xml:space="preserve">1</w:t>
            </w:r>
            <w:r w:rsidR="00000000" w:rsidRPr="00000000" w:rsidDel="00000000">
              <w:rPr>
                <w:rtl w:val="0"/>
              </w:rPr>
              <w:t xml:space="preserve"> un 41.</w:t>
            </w:r>
            <w:r w:rsidR="00000000" w:rsidRPr="00000000" w:rsidDel="00000000">
              <w:rPr>
                <w:vertAlign w:val="superscript"/>
                <w:rtl w:val="0"/>
              </w:rPr>
              <w:t xml:space="preserve">2</w:t>
            </w:r>
            <w:r w:rsidR="00000000" w:rsidRPr="00000000" w:rsidDel="00000000">
              <w:rPr>
                <w:rtl w:val="0"/>
              </w:rPr>
              <w:t xml:space="preserve"> pantā nav veikti grozījumi, nākotnē iespējami arī citi grozījumi minētajos likuma pantos un pārejas noteikumi saistībā ar 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vai tiešām pārejas noteikumu domāts attiecināt uz visiem likumprojekta 8. pantā ietvertajiem likuma 41.</w:t>
            </w:r>
            <w:r w:rsidR="00000000" w:rsidRPr="00000000" w:rsidDel="00000000">
              <w:rPr>
                <w:vertAlign w:val="superscript"/>
                <w:rtl w:val="0"/>
              </w:rPr>
              <w:t xml:space="preserve">1</w:t>
            </w:r>
            <w:r w:rsidR="00000000" w:rsidRPr="00000000" w:rsidDel="00000000">
              <w:rPr>
                <w:rtl w:val="0"/>
              </w:rPr>
              <w:t xml:space="preserve"> panta grozījumiem (proti, gan panta nosaukuma un pirmās daļas izteikšanu jaunā redakcijā, gan arī otrās daļas izslēgšanu). Aicinām pēc iespējas precīzāk norādīt, uz kuriem grozījumiem pārejas noteikums (gan 44., gan 45. pārejas noteikums) 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grozījumu likuma 41.</w:t>
            </w:r>
            <w:r w:rsidR="00000000" w:rsidRPr="00000000" w:rsidDel="00000000">
              <w:rPr>
                <w:vertAlign w:val="superscript"/>
                <w:rtl w:val="0"/>
              </w:rPr>
              <w:t xml:space="preserve">2</w:t>
            </w:r>
            <w:r w:rsidR="00000000" w:rsidRPr="00000000" w:rsidDel="00000000">
              <w:rPr>
                <w:rtl w:val="0"/>
              </w:rPr>
              <w:t xml:space="preserve"> pantā saturiskais apraksts, un pēc iespējas saturiski aprakstīti grozījumi likuma 41.</w:t>
            </w:r>
            <w:r w:rsidR="00000000" w:rsidRPr="00000000" w:rsidDel="00000000">
              <w:rPr>
                <w:vertAlign w:val="superscript"/>
                <w:rtl w:val="0"/>
              </w:rPr>
              <w:t xml:space="preserve">1</w:t>
            </w:r>
            <w:r w:rsidR="00000000" w:rsidRPr="00000000" w:rsidDel="00000000">
              <w:rPr>
                <w:rtl w:val="0"/>
              </w:rPr>
              <w:t xml:space="preserve"> pantā. Lakoniski aprakstīt grozījumu likuma 41.</w:t>
            </w:r>
            <w:r w:rsidR="00000000" w:rsidRPr="00000000" w:rsidDel="00000000">
              <w:rPr>
                <w:vertAlign w:val="superscript"/>
                <w:rtl w:val="0"/>
              </w:rPr>
              <w:t xml:space="preserve">1</w:t>
            </w:r>
            <w:r w:rsidR="00000000" w:rsidRPr="00000000" w:rsidDel="00000000">
              <w:rPr>
                <w:rtl w:val="0"/>
              </w:rPr>
              <w:t xml:space="preserve"> pantā būtību, lai nerastos neskaidrības normas piemērošanā, neredzam iespējamu.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plānojam attiecināt uz visiem likumprojekta 9. pantā ietvertajiem likuma 41.</w:t>
            </w:r>
            <w:r w:rsidR="00000000" w:rsidRPr="00000000" w:rsidDel="00000000">
              <w:rPr>
                <w:vertAlign w:val="superscript"/>
                <w:rtl w:val="0"/>
              </w:rPr>
              <w:t xml:space="preserve">1</w:t>
            </w:r>
            <w:r w:rsidR="00000000" w:rsidRPr="00000000" w:rsidDel="00000000">
              <w:rPr>
                <w:rtl w:val="0"/>
              </w:rPr>
              <w:t xml:space="preserve"> panta grozījumiem (proti, gan panta nosaukuma un pirmās daļas izteikšanu jaunā redakcijā, gan arī otrās daļas izslēgšanu), jo tie ir cieši saistīti gan ar regulas Nr. 2019/1239 piemērošanas datumu, gan ar saistošo Ministru kabineta noteikumu grozījumu plānoto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"44. Grozījumi šā likuma 41.</w:t>
            </w:r>
            <w:r w:rsidR="00000000" w:rsidRPr="00000000" w:rsidDel="00000000">
              <w:rPr>
                <w:vertAlign w:val="superscript"/>
                <w:rtl w:val="0"/>
              </w:rPr>
              <w:t xml:space="preserve">1</w:t>
            </w:r>
            <w:r w:rsidR="00000000" w:rsidRPr="00000000" w:rsidDel="00000000">
              <w:rPr>
                <w:rtl w:val="0"/>
              </w:rPr>
              <w:t xml:space="preserve"> pantā par tā nosaukuma un pirmās daļas izteikšanu jaunā redakcijā un otrās daļas izslēgšanu stājas spēkā 2025. gada 15. 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Grozījums šā likuma 41.</w:t>
            </w:r>
            <w:r w:rsidR="00000000" w:rsidRPr="00000000" w:rsidDel="00000000">
              <w:rPr>
                <w:vertAlign w:val="superscript"/>
                <w:rtl w:val="0"/>
              </w:rPr>
              <w:t xml:space="preserve">2</w:t>
            </w:r>
            <w:r w:rsidR="00000000" w:rsidRPr="00000000" w:rsidDel="00000000">
              <w:rPr>
                <w:rtl w:val="0"/>
              </w:rPr>
              <w:t xml:space="preserve"> pantā par tā otrās daļas papildināšanu ar teikumu, kas nosaka, ka Starptautiskā kravu loģistikas un ostu informācijas sistēma (SKLOIS) pilda regulā Nr. 2019/1239 noteiktās valsts jūras vienloga sistēmas funkcijas, stājas spēkā 2025. gada 15. augustā."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minēts: "</w:t>
            </w:r>
            <w:r w:rsidR="00000000" w:rsidRPr="00000000" w:rsidDel="00000000">
              <w:rPr>
                <w:i w:val="1"/>
                <w:rtl w:val="0"/>
              </w:rPr>
              <w:t xml:space="preserve">Jūrlietu pārvaldes un jūras drošības likuma </w:t>
            </w:r>
            <w:r w:rsidR="00000000" w:rsidRPr="00000000" w:rsidDel="00000000">
              <w:rPr>
                <w:i w:val="1"/>
                <w:u w:val="single"/>
                <w:rtl w:val="0"/>
              </w:rPr>
              <w:t xml:space="preserve">41.</w:t>
            </w:r>
            <w:r w:rsidR="00000000" w:rsidRPr="00000000" w:rsidDel="00000000">
              <w:rPr>
                <w:i w:val="1"/>
                <w:u w:val="single"/>
                <w:vertAlign w:val="superscript"/>
                <w:rtl w:val="0"/>
              </w:rPr>
              <w:t xml:space="preserve">1</w:t>
            </w:r>
            <w:r w:rsidR="00000000" w:rsidRPr="00000000" w:rsidDel="00000000">
              <w:rPr>
                <w:i w:val="1"/>
                <w:rtl w:val="0"/>
              </w:rPr>
              <w:t xml:space="preserve"> panta otrā daļa tiek izteikta jaunā redakcijā, nosakot arī to, ka Starptautiskā kravu loģistikas un ostu informācijas sistēma (SKLOIS) pilda regulā Nr. 2019/1239 noteiktās valsts jūras vienloga sistēmas (MNSW) funkcijas.</w:t>
            </w:r>
            <w:r w:rsidR="00000000" w:rsidRPr="00000000" w:rsidDel="00000000">
              <w:rPr>
                <w:rtl w:val="0"/>
              </w:rPr>
              <w:t xml:space="preserve">" Aicinām tehniski precizēt minēto informāciju, ņemot vērā, ka attiecīgs grozījums paredzēts likuma 41.</w:t>
            </w:r>
            <w:r w:rsidR="00000000" w:rsidRPr="00000000" w:rsidDel="00000000">
              <w:rPr>
                <w:vertAlign w:val="superscript"/>
                <w:rtl w:val="0"/>
              </w:rPr>
              <w:t xml:space="preserve">2</w:t>
            </w:r>
            <w:r w:rsidR="00000000" w:rsidRPr="00000000" w:rsidDel="00000000">
              <w:rPr>
                <w:rtl w:val="0"/>
              </w:rPr>
              <w:t xml:space="preserve"> panta otrajā daļā, nevis 41.</w:t>
            </w:r>
            <w:r w:rsidR="00000000" w:rsidRPr="00000000" w:rsidDel="00000000">
              <w:rPr>
                <w:vertAlign w:val="superscript"/>
                <w:rtl w:val="0"/>
              </w:rPr>
              <w:t xml:space="preserve">1</w:t>
            </w:r>
            <w:r w:rsidR="00000000" w:rsidRPr="00000000" w:rsidDel="00000000">
              <w:rPr>
                <w:rtl w:val="0"/>
              </w:rPr>
              <w:t xml:space="preserve">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ieraksts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pārvaldes un jūras drošības likuma 41.</w:t>
            </w:r>
            <w:r w:rsidR="00000000" w:rsidRPr="00000000" w:rsidDel="00000000">
              <w:rPr>
                <w:vertAlign w:val="superscript"/>
                <w:rtl w:val="0"/>
              </w:rPr>
              <w:t xml:space="preserve">2</w:t>
            </w:r>
            <w:r w:rsidR="00000000" w:rsidRPr="00000000" w:rsidDel="00000000">
              <w:rPr>
                <w:rtl w:val="0"/>
              </w:rPr>
              <w:t xml:space="preserve"> panta otrā daļa tiek papildināta ar teikumu, nosakot arī to, ka Starptautiskā kravu loģistikas un ostu informācijas sistēma (SKLOIS) pilda regulā Nr. 2019/1239 noteiktās valsts jūras vienloga sistēmas (MNSW)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saistībā ar likumprojekta 8. pantā paredzēto likuma 41.</w:t>
            </w:r>
            <w:r w:rsidR="00000000" w:rsidRPr="00000000" w:rsidDel="00000000">
              <w:rPr>
                <w:vertAlign w:val="superscript"/>
                <w:rtl w:val="0"/>
              </w:rPr>
              <w:t xml:space="preserve">1</w:t>
            </w:r>
            <w:r w:rsidR="00000000" w:rsidRPr="00000000" w:rsidDel="00000000">
              <w:rPr>
                <w:rtl w:val="0"/>
              </w:rPr>
              <w:t xml:space="preserve"> panta otrās daļas izslēgšanu ietverts šāds skaidrojums: "</w:t>
            </w:r>
            <w:r w:rsidR="00000000" w:rsidRPr="00000000" w:rsidDel="00000000">
              <w:rPr>
                <w:i w:val="1"/>
                <w:rtl w:val="0"/>
              </w:rPr>
              <w:t xml:space="preserve">Jūrlietu pārvaldes un jūras drošības likuma 41.</w:t>
            </w:r>
            <w:r w:rsidR="00000000" w:rsidRPr="00000000" w:rsidDel="00000000">
              <w:rPr>
                <w:i w:val="1"/>
                <w:vertAlign w:val="superscript"/>
                <w:rtl w:val="0"/>
              </w:rPr>
              <w:t xml:space="preserve">1</w:t>
            </w:r>
            <w:r w:rsidR="00000000" w:rsidRPr="00000000" w:rsidDel="00000000">
              <w:rPr>
                <w:i w:val="1"/>
                <w:rtl w:val="0"/>
              </w:rPr>
              <w:t xml:space="preserve"> panta [..] otrajā daļā noteiktais personu, kuru pienākumos ir ziņošanas pienākumu kārtošana, loks var būt plašāks un tiek identificēts, </w:t>
            </w:r>
            <w:r w:rsidR="00000000" w:rsidRPr="00000000" w:rsidDel="00000000">
              <w:rPr>
                <w:i w:val="1"/>
                <w:u w:val="single"/>
                <w:rtl w:val="0"/>
              </w:rPr>
              <w:t xml:space="preserve">nosakot kārtību, kādā notiek konkrētā ziņošanas pienākuma kārtošana</w:t>
            </w:r>
            <w:r w:rsidR="00000000" w:rsidRPr="00000000" w:rsidDel="00000000">
              <w:rPr>
                <w:i w:val="1"/>
                <w:rtl w:val="0"/>
              </w:rPr>
              <w:t xml:space="preserve">. [..] Jūrlietu pārvaldes un jūras drošības likuma 41.</w:t>
            </w:r>
            <w:r w:rsidR="00000000" w:rsidRPr="00000000" w:rsidDel="00000000">
              <w:rPr>
                <w:i w:val="1"/>
                <w:vertAlign w:val="superscript"/>
                <w:rtl w:val="0"/>
              </w:rPr>
              <w:t xml:space="preserve">1</w:t>
            </w:r>
            <w:r w:rsidR="00000000" w:rsidRPr="00000000" w:rsidDel="00000000">
              <w:rPr>
                <w:i w:val="1"/>
                <w:rtl w:val="0"/>
              </w:rPr>
              <w:t xml:space="preserve"> panta otrā daļa, kurā noteiktas personas, kuru pienākumos ir ziņošanas pienākumu kārtošana, tiek izslēgta,</w:t>
            </w:r>
            <w:r w:rsidR="00000000" w:rsidRPr="00000000" w:rsidDel="00000000">
              <w:rPr>
                <w:i w:val="1"/>
                <w:u w:val="single"/>
                <w:rtl w:val="0"/>
              </w:rPr>
              <w:t xml:space="preserve"> ļaujot Ministru kabinetam, kurš ir pilnvarots noteikt ziņošanas pienākumu izpildes kārtību, identificēt arī subjektus, kuru pienākumos ietilpst ziņošanas pienākumu izpilde</w:t>
            </w:r>
            <w:r w:rsidR="00000000" w:rsidRPr="00000000" w:rsidDel="00000000">
              <w:rPr>
                <w:i w:val="1"/>
                <w:rtl w:val="0"/>
              </w:rPr>
              <w:t xml:space="preserve">.</w:t>
            </w:r>
            <w:r w:rsidR="00000000" w:rsidRPr="00000000" w:rsidDel="00000000">
              <w:rPr>
                <w:rtl w:val="0"/>
              </w:rPr>
              <w:t xml:space="preserve">" Saistībā ar minēto lūdzam izvērtēt, vai likuma 41.</w:t>
            </w:r>
            <w:r w:rsidR="00000000" w:rsidRPr="00000000" w:rsidDel="00000000">
              <w:rPr>
                <w:vertAlign w:val="superscript"/>
                <w:rtl w:val="0"/>
              </w:rPr>
              <w:t xml:space="preserve">1</w:t>
            </w:r>
            <w:r w:rsidR="00000000" w:rsidRPr="00000000" w:rsidDel="00000000">
              <w:rPr>
                <w:rtl w:val="0"/>
              </w:rPr>
              <w:t xml:space="preserve"> panta trešajā daļā ietvertais pilnvarojums Ministru kabinetam noteikt </w:t>
            </w:r>
            <w:r w:rsidR="00000000" w:rsidRPr="00000000" w:rsidDel="00000000">
              <w:rPr>
                <w:u w:val="single"/>
                <w:rtl w:val="0"/>
              </w:rPr>
              <w:t xml:space="preserve">kārtību, kādā notiek ostu formalitāšu kārtošana</w:t>
            </w:r>
            <w:r w:rsidR="00000000" w:rsidRPr="00000000" w:rsidDel="00000000">
              <w:rPr>
                <w:rtl w:val="0"/>
              </w:rPr>
              <w:t xml:space="preserve">, ir pietiekams, lai Ministru kabinets atbilstoši iepriekš ietvertajam skaidrojumam regulētu attiecīgos jautājumus.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 Attiecīgi lūdzam izvērtēt, vai pilnvarojums ir pietiekams un vai nav nepieciešams to precizēt, un vai nu sniegt atbilstošu skaidrojumu likumprojekta anotācijā, vai atbilstoši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šādu 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spēkā esošā, gan plānotā Jūrlietu pārvaldes un jūras drošības likuma 41.1 panta pirmā daļa vispārīgi uzskaita ar piestāšanu ostā uz kuģi attiecināmus ziņošanas pienākumu veidus (virzienus), un trešā daļa pilnvaro Ministru kabinetu noteikt kārtību, kādā notiek ziņošanas pienākumu kārtošana. Šis pilnvarojums Ministru kabinetam būtu uztverams plaši, proti, pieņemt arī materiāla rakstura normas, jo likumdevēja līmenī uzskaitītie ziņošanas pienākumi pilnībā nenosaka materiālos aspektus. Ministru kabinets nepārkāpj attiecīgo pilnvarojumu, ja pieņemtās normas atbilst Jūrlietu pārvaldes un jūras drošības likuma 1. pantā noteiktajam mērķim – ar ziņošanas pienākumiem saistītās materiālo tiesību normas nodrošina jūras drošības un aizsardzības jomā pieņemto Latvijai saistošo starptautisko līgumu prasību un standartu īstenošanu un ievērošanu, lai nodrošinātu kuģošanas drošību, kuģu, ostu un ostas iekārtu aizsardzību, novērstu vides piesārņošanu no kuģiem un padarītu efektīvāku jūras satiksmi. Šāds plāša tvēruma pilnvarojums Ministru kabinetam ir elastīgs un ļauj efektīvi ieviest starptautisko juridisko instrumentu un Eiropas Savienības tiesību aktu prasības, jo, piemēram, Eiropas Savienības direktīvas, no kurām izriet ziņošanas pienākumi, satur gan materiālās, gan procesuālās tiesību normas, tostarp subjektu loku, kuru pienākumos ir izpildīt ziņošanas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11.pantā paredzēto un anotācijas 1.sadaļas 1.3.apakšpunktā norādīto, ka likumprojektā ietvertais grozījums paredz noteikt jaunu administratīvo sodu, lūdzam anotācijas 3.sadaļas punkta “Cita informācija” pēdējo rindkopu par administratīvās atbildības preventīvo raksturu, papildināt ar informāciju, ka attiecīgi ietekme uz budžeta ieņēmumiem saistībā ar naudas soda piemērošanu nav precīzi aprēķināma, tāpēc tā nav norādīta.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3.sadaļa papildināta ar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punktā “Cita informācija” norādīt arī MK noteikumus par Eiropas Savienības kohēzijas politikas programmas 2021.–2027. gadam 1.3.1.SAM, kuru ietvaros tiks īstenots Eiropas Savienības fondu finansētais projekts, kā arī norādīt plānotās projekta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papildināta ar šādu ierakstu: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projekta īstenošanas kārtību un pieejamo finansējumu regulē Ministru kabineta 2024. gada 4. jūnija noteikumi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Plānotās projekta izmaksas sastāda 2 800 000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4.1.3. apakšsadaļā norādīts: "</w:t>
            </w:r>
            <w:r w:rsidR="00000000" w:rsidRPr="00000000" w:rsidDel="00000000">
              <w:rPr>
                <w:i w:val="1"/>
                <w:rtl w:val="0"/>
              </w:rPr>
              <w:t xml:space="preserve">Neskatoties uz Jūrlietu pārvaldes un jūras drošības likuma 35. pantā izdarītajiem grozījumiem, kas skar Direktīvas 98/41/EK prasības par personu uz pasažieru kuģa reģistrāciju, grozījumi likumpakārtotajos Ministru kabineta noteikumos nav nepieciešami, </w:t>
            </w:r>
            <w:r w:rsidR="00000000" w:rsidRPr="00000000" w:rsidDel="00000000">
              <w:rPr>
                <w:i w:val="1"/>
                <w:u w:val="single"/>
                <w:rtl w:val="0"/>
              </w:rPr>
              <w:t xml:space="preserve">jo noteikumi saskan</w:t>
            </w:r>
            <w:r w:rsidR="00000000" w:rsidRPr="00000000" w:rsidDel="00000000">
              <w:rPr>
                <w:rtl w:val="0"/>
              </w:rPr>
              <w:t xml:space="preserve"> ar</w:t>
            </w:r>
            <w:r w:rsidR="00000000" w:rsidRPr="00000000" w:rsidDel="00000000">
              <w:rPr>
                <w:i w:val="1"/>
                <w:rtl w:val="0"/>
              </w:rPr>
              <w:t xml:space="preserve"> ieviestās Direktīvas 98/41/EK prasībām un </w:t>
            </w:r>
            <w:r w:rsidR="00000000" w:rsidRPr="00000000" w:rsidDel="00000000">
              <w:rPr>
                <w:i w:val="1"/>
                <w:u w:val="single"/>
                <w:rtl w:val="0"/>
              </w:rPr>
              <w:t xml:space="preserve">plānoto pilnvarojumu likumā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informāciju, jo no likumprojektā paredzētā grozījuma likuma 35. panta otrajā daļā izriet, ka būs nepieciešami grozījumi </w:t>
            </w:r>
            <w:r w:rsidR="00000000" w:rsidRPr="00000000" w:rsidDel="00000000">
              <w:rPr>
                <w:u w:val="single"/>
                <w:rtl w:val="0"/>
              </w:rPr>
              <w:t xml:space="preserve">vismaz</w:t>
            </w:r>
            <w:r w:rsidR="00000000" w:rsidRPr="00000000" w:rsidDel="00000000">
              <w:rPr>
                <w:rtl w:val="0"/>
              </w:rPr>
              <w:t xml:space="preserve"> Ministru kabineta 2012. gada 15. maija noteikumu Nr. 339 "Noteikumi par ostu formalitātēm", kas citastarp izdoti uz likuma 35. panta otrajā daļā ietvertā pilnvarojuma pamata, </w:t>
            </w:r>
            <w:r w:rsidR="00000000" w:rsidRPr="00000000" w:rsidDel="00000000">
              <w:rPr>
                <w:u w:val="single"/>
                <w:rtl w:val="0"/>
              </w:rPr>
              <w:t xml:space="preserve">1. punktā</w:t>
            </w:r>
            <w:r w:rsidR="00000000" w:rsidRPr="00000000" w:rsidDel="00000000">
              <w:rPr>
                <w:rtl w:val="0"/>
              </w:rPr>
              <w:t xml:space="preserve">, jo tiek grozīts minētais pilnvarojums Ministru kabinetam. Atgādinām, ka Ministru kabineta noteikumu 1. punktā </w:t>
            </w:r>
            <w:r w:rsidR="00000000" w:rsidRPr="00000000" w:rsidDel="00000000">
              <w:rPr>
                <w:u w:val="single"/>
                <w:rtl w:val="0"/>
              </w:rPr>
              <w:t xml:space="preserve">pārraksta</w:t>
            </w:r>
            <w:r w:rsidR="00000000" w:rsidRPr="00000000" w:rsidDel="00000000">
              <w:rPr>
                <w:rtl w:val="0"/>
              </w:rPr>
              <w:t xml:space="preserve"> likumā ietverto pilnvarojumu Ministru kabinetam. Attiecīgi aicinām precizēt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ieraksts anotācijas 4.1.3.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Saistīti grozījumi veicami uz Jūrlietu pārvaldes un jūras drošības likuma 35. panta otrās daļas pamata izdotajos Ministru kabineta noteikumos, atbilstoši precizējot šo noteikumu 1. punktu par personu uz pasažieru kuģa reģistrāciju. Pārējā daļā šie noteikumi atbilst Jūrlietu pārvaldes un jūras drošības likuma 35. pantā izdarītajiem grozījumiem, kas skar Direktīvas 98/41/EK prasības par personu uz pasažieru kuģa reģistrāciju.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anotācijas 5.1. apakšsadaļu, novietojot Eiropas Savienības tiesību aktu aprakstus tiem atbilstošajās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izvērstāk raksturot likumprojektā paredzētā regulējuma ietekmi arī uz citām institūcijām (piemēram, saistībā ar likumprojekta 10. panta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administratīvās atbildības noteikšana par atpūtas kuģa vadīšanu, ja ir spēkā atpūtas kuģa vadīšanas tiesību izmantošanas aizliegums, ir saistīta ar Tieslietu ministrijas vērtējumu un iniciatīvu (Tieslietu ministrijas 2023. gada 23. marta  vēstule Nr. 1-13.9/912 "Par kuģošanas līdzekļa vadīšanas tiesību izmantošanas aizlieguma piemērošanu") un Uzturlīdzekļu garantiju fonda administrācijas (Tieslietu ministrijas pakļautībā esošas iestāde) lēmumiem par kuģošanas līdzekļu vadīšanas tiesību izmantošanas aizliegumu. Publiski pieejamajā informācijā par Uzturlīdzekļu garantiju fonda administrācijas darbības rādītājiem un gada pārskatiem (https://www.ugf.gov.lv/lv/publikacijas-un-parskati) aktīvo kuģošanas līdzekļu vadīšanas tiesību izmantošanas liegumu skaits netiek nodalīts. Precīzāka ietekmes noteikšana nav iespējama. Ņemot vērā iepriekš minēto, lūdzam atbalstīt un sniegt attiecīgo informāciju, ja nepieciešama izvērstāka anotācijas papildināšana.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7.4. sadaļa papildināta ar šādu 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robežsardzei, Valsts policijai, pašvaldības policijai, Nacionālo bruņoto spēku Jūras spēku Krasta apsardzes dienestam paplašinās kompetence attiecībā uz pārkāpumiem par atpūtas kuģa vadīšanu, ja ir spēkā atpūtas kuģa vadīšanas tiesību izmantošanas aizliegums. Kompetence paplašinās esošo kontroles funkciju ietvarā.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8.1.1. sadaļā konkretizēt, par kādiem pakalpojumiem likumprojekta kontekstā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 sadaļa papildināta ar šādu 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Sniegtie publiskie pakalpojumi sevī ietvers privātpersonām (kuģošanas kompānijas, komersanti, kas veic kuģu vai kravu aģentēšanu, u.tml.) nodrošinātu iespēju valsts jūras vienloga sistēmā (MNSW) izpildīt ar kuģa ienākšanu, kuģa palikšanu ostā un kuģa iziešanu no ostas saistītos ziņošanas pienākumus pret valsti (kontroles iestādēm), kā arī īstenot ar kuģošanu, kravu apriti un personu pārvietošanos saistītās tiesības, saņemot kontroles iestāžu 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24-TA-1425</w:t>
    </w:r>
    <w:r>
      <w:br/>
    </w:r>
    <w:r w:rsidR="00000000" w:rsidRPr="00000000" w:rsidDel="00000000">
      <w:rPr>
        <w:rtl w:val="0"/>
      </w:rPr>
      <w:t xml:space="preserve">29.11.2024. 11.33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24-TA-1425</w:t>
    </w:r>
    <w:r>
      <w:br/>
    </w:r>
    <w:r w:rsidR="00000000" w:rsidRPr="00000000" w:rsidDel="00000000">
      <w:rPr>
        <w:rtl w:val="0"/>
      </w:rPr>
      <w:t xml:space="preserve">29.11.2024. 11.33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Izziņa_24-TA-1425.docx</dc:title>
</cp:coreProperties>
</file>

<file path=docProps/custom.xml><?xml version="1.0" encoding="utf-8"?>
<Properties xmlns="http://schemas.openxmlformats.org/officeDocument/2006/custom-properties" xmlns:vt="http://schemas.openxmlformats.org/officeDocument/2006/docPropsVTypes"/>
</file>