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24-TA-2441: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Ieguldījumu brokeru sabiedrību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anotācijas 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digitālo tehnoloģiju izmantošanas riskus, likumprojekts paredz noteikt, ka ieguldījumu brokeru sabiedrībām ir pienākums izveidot un pārvaldīt tīklu un informācijas sistēmu atbilstoši Eiropas Parlamenta un Padomes 2022. gada 14. decembra Regulai (ES) 2022/2554 par finanšu nozares digitālās darbības noturību un ar ko groza Regulas (EK) Nr. 1060/2009, (ES) Nr. 648/2012, (ES) Nr. 600/2014, (ES) Nr. 909/2014 un (ES) 2016/1011 (turpmāk – Regula Nr. 2022/2554).".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brokeru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Bankas likumā (skat. Latvijas Bankas likuma 24. panta otro un trešo daļu) ir paredzēts deleģējums Latvijas Bankai noteikt visu tās uzraudzīto finanšu tirgus dalībnieku maksājumu veikšanas un aprēķināšanas kārtību un termiņus, kā arī ir paredzētas sekas, kas iestājas nokavētu vai nepilnīgi veiktu maksājumu gadījumā (nokavējuma nauda par katru nokavēto maksājuma dienu 0,05 procentu apmērā no nesamaksātās summas), Ieguldījumu brokeru sabiedrību likuma 52. panta otrā un trešā daļa, kas paredz analoģisku regulējumu tieši attiecībā uz ieguldījumu brokeru sabiedrībām (Latvijas Republikā licencētām ieguldījumu brokeru sabiedrībām, citu dalībvalstu ieguldījumu brokeru sabiedrību filiālēm un ārvalstu ieguldījumu brokeru sabiedrību filiālēm), ir izslēdzama.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nosaukums izsakāms jaunā redakcijā, to mainot uz "Maksājumi Latvijas Bankai", jo finanšu tirgus dalībnieku maksājumi paši par sevi nenodrošina Latvijas Bankas darbības finansēšanu, bet ļauj papildināt Latvijas Bankas finanšu resursus, no kuriem tiek finansēti visai sabiedrībai nozīmīgi pasākumi un ar kuriem finanšu tirgus dalībnieki uzņemas kopīgu atbildību par sabiedrības vajadzību apmierināšanu.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(grozījumi) 52. pantā:izteikt nosaukumu šādā redakcijā "Maksājumi Latvijas Bankai"; izslēgt otro un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"Maksājumi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un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brokeru sabiedrību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brokeru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Ieguldījumu brokeru sabiedrību likumu ar jaunu - 77.</w:t>
            </w:r>
            <w:r w:rsidR="00000000" w:rsidRPr="00000000" w:rsidDel="00000000">
              <w:rPr>
                <w:vertAlign w:val="superscript"/>
                <w:rtl w:val="0"/>
              </w:rPr>
              <w:t xml:space="preserve">1</w:t>
            </w:r>
            <w:r w:rsidR="00000000" w:rsidRPr="00000000" w:rsidDel="00000000">
              <w:rPr>
                <w:rtl w:val="0"/>
              </w:rPr>
              <w:t xml:space="preserve"> - pantu. Šādas normas iekļaušana novērsīs interpretācijas iespējas par budžetu, kas saņem uzlikto piespiedu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77.</w:t>
            </w:r>
            <w:r w:rsidR="00000000" w:rsidRPr="00000000" w:rsidDel="00000000">
              <w:rPr>
                <w:vertAlign w:val="superscript"/>
                <w:rtl w:val="0"/>
              </w:rPr>
              <w:t xml:space="preserve">1</w:t>
            </w:r>
            <w:r w:rsidR="00000000" w:rsidRPr="00000000" w:rsidDel="00000000">
              <w:rPr>
                <w:rtl w:val="0"/>
              </w:rPr>
              <w:t xml:space="preserve"> pantu šādā redakcijā: "Naudas sods, kuru uzliek saskaņā ar šā likuma 70. un 73. pantā minētajiem noteikumiem, ieskaitāms valsts pamatbudžetā."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6.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70.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pantā minēto soda nauda ieskaita valsts pamatbudžetā."".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brokeru sabiedrību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10. panta otrās daļas 3. punkta “d” apakšpunktā vārdus “informācijas sistēmas” ar vārdiem “informācijas un komunikācijas tehnoloģijas”.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pārveidot grozījumu vienību, lai likumu saskaņotu ar regulā 2022/2554 noteikto (skat. tās 9. panta 4. punkta "a"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 panta otrās daļas 3. punkta “d”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informācijas drošības politiku ar ko paredz noteikumus, lai aizsargātu savu un attiecīgā gadījumā klientu datu, informācijas aktīvu un informācijas un komunikācijas tehnoloģiju aktīvu pieejamību, autentiskumu, integritāti un konfidencialitāti;".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 panta otrās daļas 3. punkta “d”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informācijas drošības politiku saskaņā ar Eiropas Parlamenta un Padomes 2022. gada 14. decembra Regulas (ES) 2022/2554 par finanšu nozares digitālās darbības noturību un ar ko groza Regulas (EK) Nr. 1060/2009, (ES) Nr. 648/2012, (ES) Nr. 600/2014, (ES) Nr. 909/2014 un (ES) 2016/1011 (turpmāk – Regula Nr. 2022/2554) 9. panta 4. punkta “a” apakšpunktu un Finanšu tirgus digitālās darbības noturības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visā likumā vārdus "naudas sods" (attiecīgā locījumā) ar vārdiem "soda nauda" (attiecīgā locījumā).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9. punktu pēc vārda “mehānismus” ar vārdiem un skaitļiem “saskaņā ar Eiropas Parlamenta un Padomes 2022. gada 14. decembra Regulu (ES) 2022/2554 par finanšu nozares digitālās darbības noturību un ar ko groza Regulas (EK) Nr. 1060/2009, (ES) Nr. 648/2012, (ES) Nr. 600/2014, (ES) Nr. 909/2014 un (ES) 2016/1011 (turpmāk – Regula Nr. 2022/2554) un Finanšu tirgus digitālās darbības noturības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brokeru sabiedrību likuma 31. panta pirmās daļas 9. punkts no likuma izslēdzams, jo tajā noteiktais dublēs regulas 2022/2554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grozījumu tiek pārņemts Direktīvas Nr. 2022/2556 6. panta 1. punkta "a"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9. punktu pēc vārda “mehānismus” ar vārdiem un skaitļiem “saskaņā ar Regulu Nr. 2022/2554 un Finanšu tirgus digitālās darbības noturības un mākslīgā intelekta izmantošanas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15. punktu pēc vārda “procedūras” ar vārdiem un skaitļiem “tai skaitā informācijas un komunikāciju tehnoloģijas saskaņā ar Regulas Nr. 2022/2554 7.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pārmaiņām attiecībā uz 9. punkta izslēgšanu, nepieciešams precizēt šo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15. punktu pēc vārda “procedūras” ar vārdiem un skaitļiem “tai skaitā informācijas un komunikāciju tehnoloģijas saskaņā ar Eiropas Parlamenta un Padomes 2022. gada 14. decembra Regulu (ES) 2022/2554 par finanšu nozares digitālās darbības noturību un ar ko groza Regulas (EK) Nr. 1060/2009, (ES) Nr. 648/2012, (ES) Nr. 600/2014, (ES) Nr. 909/2014 un (ES) 2016/1011 (turpmāk –Regula Nr. 2022/2554) 7.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2022/2554 pilnais nosaukums ir saīsināts likumprojekta 2.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15. punktu pēc vārda “procedūras” ar vārdiem un skaitļiem “tai skaitā informācijas un komunikāciju tehnoloģijas saskaņā ar Regulas Nr. 2022/2554 7.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34. panta pirmās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un komunikāciju tehnoloģiju, to pārvaldību vai attīstību saskaņā ar Regulu Nr. 2022/2554 un Finanšu tirgus digitālās darbības noturības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 2022/2554 ieguldījumu brokeru sabiedrībai nosaka tiesības deleģēt ārpakalpojumu sniedzējam informācijas tehnoloģiju vai sistēmu pārvaldību vai attīstības pakalpojumu, šāda norma nav jāsaglabā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34. panta pirmās daļas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par dublēšanu, bet no piemērošanas aspekta šis sarežģī, jo lietotājam ir jāzina, ka ir regula, kurā ir informācijas tehnoloģiju vai sistēmu pārvaldību vai attīstības pakalpojumu deleģēšanas iespēja.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34. panta pirmās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un komunikāciju tehnoloģiju, to pārvaldību vai attīstību saskaņā ar Regulu Nr. 2022/2554 un Finanšu tirgus digitālās darbības noturības un mākslīgā intelekta izmantošanas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aprakstā"</w:t>
            </w:r>
            <w:r w:rsidR="00000000" w:rsidRPr="00000000" w:rsidDel="00000000">
              <w:rPr>
                <w:rtl w:val="0"/>
              </w:rPr>
              <w:t xml:space="preserve"> norādīts, ka likumprojekta 1. pants paredz tehnisku precizējumu, jo jaunais digitālās darbības noturības regulējums neparedz tādus terminus kā "informācijas sistēmas", "informācijas tehnoloģijas" utml. Ņemot vērā minēto, lūdzam izvērtēt analoģiska satura grozījumu nepieciešamību Ieguldījumu brokeru sabiedrību likuma 43. panta otrās daļas 5. punktā un 45.panta pirmās daļas 13. punktā, kuros arī minēts termins "informācijas sistēmas"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likumprojekta 2. pants (iepriekš bija likumprojekta 1. pants) ir izteikts jaunā redakcijā. Tāpat aicinām Ieguldījumu brokeru sabiedrību likuma 43. panta otrās daļas 5. punkta un 45. panta pirmās daļas 13. punkta terminus lietot atbilstoši, proti, nevis "informācijas sistēmas", bet gan "tīklu un informācijas sistēmas". Šāds termins Ieguldījumu brokeru sabiedrību likumā ieviests, pārņemot Eiropas Parlamenta un Padomes 2019. gada 27. novembra direktīvas (ES) 2019/2034 par ieguldījumu brokeru sabiedrību prudenciālo uzraudzību un ar ko groza direktīvas 2002/87/EK, 2009/65/EK, 2011/61/ES, 2013/36/ES, 2014/59/ES un 2014/65/ES, savukārt Regulas Nr. 2022/2554 3. panta 2. punkts definē minēto terminu (tiesa gan, novirzot pašu definējumu atkal uz citu direktīvu, kura ir pārņemta Nacionālās kiberdrošības likumā). Ieviešot Regulas Nr. 2022/2554 prasības esam ieviesuši terminu "tīklu un informācijas sistēma" Finanšu tirgus digitālās darbības noturības likumā ar precīzu atsauci uz jau minēto Nacionālās kiberdrošības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24-TA-2441</w:t>
    </w:r>
    <w:r>
      <w:br/>
    </w:r>
    <w:r w:rsidR="00000000" w:rsidRPr="00000000" w:rsidDel="00000000">
      <w:rPr>
        <w:rtl w:val="0"/>
      </w:rPr>
      <w:t xml:space="preserve">20.03.2025. 12.08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24-TA-2441</w:t>
    </w:r>
    <w:r>
      <w:br/>
    </w:r>
    <w:r w:rsidR="00000000" w:rsidRPr="00000000" w:rsidDel="00000000">
      <w:rPr>
        <w:rtl w:val="0"/>
      </w:rPr>
      <w:t xml:space="preserve">20.03.2025. 12.08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Izziņa_24-TA-2441.docx</dc:title>
</cp:coreProperties>
</file>

<file path=docProps/custom.xml><?xml version="1.0" encoding="utf-8"?>
<Properties xmlns="http://schemas.openxmlformats.org/officeDocument/2006/custom-properties" xmlns:vt="http://schemas.openxmlformats.org/officeDocument/2006/docPropsVTypes"/>
</file>