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22-TA-1321: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10.punktā lūdzam precizēt atsauces uz 20.1. un 20.2.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atsauces.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10.punktā ietverto informāciju “Kopējais pieejamais finansējums sastāda 2 102 400 euro. ” t.i., skaidri norādot, kas ir minētais finansējums (piemēram, </w:t>
            </w:r>
            <w:r w:rsidR="00000000" w:rsidRPr="00000000" w:rsidDel="00000000">
              <w:rPr>
                <w:rtl w:val="0"/>
              </w:rPr>
              <w:t xml:space="preserve">indikatīvais kopējais plānotais finansējums</w:t>
            </w:r>
            <w:r w:rsidR="00000000" w:rsidRPr="00000000" w:rsidDel="00000000">
              <w:rPr>
                <w:rtl w:val="0"/>
              </w:rPr>
              <w:t xml:space="preserve"> ieskaitot/ neieskaitot PVN). Vēršam uzmanību, iepriekš noradīts, ka PVN indikatīvi ir 302 400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23.punktu, norādot, no kādiem līdzekļiem tiks segts sadārdzinājums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ir norādīts, ka sadārdzinājums netiks segts no Atveseļošanās fonda līdzekļiem, līdz ar to, ja radīsies sadārdzinājums, tad finansējuma saņēmēja atbildība būs izvērtēt projektā ieviestās un ieviešamās darbības, lai tiktu sasniegti 12. punktā norādītie rādītāji, ja iespējams pārstrukturējot izdevumus, kas ir primārais finansējuma saņēmēja uzdevums, ja tas nav iespējams, tad tiks meklēti citi iespējamie risinājumi sadārdzinājuma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ir Valsts administrācijas skola, tad aicinām izvērtēt ziņojuma 27. punktā norādīto informāciju un informatīvajā ziņojumā paredzēt, ka Valsts kanceleja kā atbildīgā institūcija izvērtē projekta atbilstību Atveseļošanas fonda plāna nosacījumiem un Finanšu regulā noteiktajiem izslēgšanas nosacījumiem, tik tāl cik tas attiecināms uz konkrēto investīciju. Savukārt pušu tiesības un pienākumi, ka arī projekta īstenošanas nosacījumi aicinām noteikt ar iestādes iekšējiem normatīviem aktiem (piemēram, rīkojumu vai iekšējiem noteikumiem), neparedzot slēgt vienošanos. Attiecīgi lūdzam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administrācijas skola ir Valsts kancelejas pārraudzībā esoša valsts pārvaldes iestāde, līdz ar to atbilstoši Pārvaldes iekārtas likumam rīkojums vai iekšējie noteikumi nav piemērojami. Papildus norādām, ka MK 2022.gada 24.maijā apstiprinājis informatīvo ziņojumu investīcijai 6.3.1.1.i, kas ir saturiski un ieviešanas mehānismā līdzīga investīcijai 6.3.1.2.i., kurā ir paredzēta vienošanās slēgšana starp Atbildīgo institūciju, kas ir Valsts kanceleja un  finansējuma saņēmēju, kas ir 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(turpmāk - ziņojums) ietverta ne vien kārtība, kādā tiek īstenota investīcija 6.3.1.2.i., bet arī tās uzraudzības kārtība, lūdzam atbilstoši papildināt ziņojuma 4. punktu, bet  ziņojuma 2. punktā lūdzam atsaukties arī uz Likuma par budžeta un finanšu vadību 19.</w:t>
            </w:r>
            <w:r w:rsidR="00000000" w:rsidRPr="00000000" w:rsidDel="00000000">
              <w:rPr>
                <w:vertAlign w:val="superscript"/>
                <w:rtl w:val="0"/>
              </w:rPr>
              <w:t xml:space="preserve">3</w:t>
            </w:r>
            <w:r w:rsidR="00000000" w:rsidRPr="00000000" w:rsidDel="00000000">
              <w:rPr>
                <w:rtl w:val="0"/>
              </w:rPr>
              <w:t xml:space="preserve">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 un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ziņojumā simbolu "/" un vārdus un simbolu un vārdiem "un/vai" aizstāt ar saikli "un" vai saikli "vai", jo no ziņojuma attiecīgos gadījumos (piemēram, ziņojuma 12.1. apakšpunktā) nav skaidrs, vai ar simbolu "/" un vārdiem un simbolu "un/vai" tiek saprasts saiklis "un" vai saiklis "vai". Pamatojoties uz juridiskās tehnikas prasībām, juridiskam dokumentam ir jābūt skaidram, lai tā lietotājs un piemērotājs gūtu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visā ziņojuma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16. punktā un nepieciešamības gadījumā arī cituviet ziņojumā nedublēt ziņojuma 40. punktu attiecībā uz vienošanās par projekta īstenošanu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ziņojuma 15. punktā norādīt, kam iesniedzama projekta noslēguma dokumentācija;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ziņojuma 18.1. apakšpunktā skaidrot, par kādu pakalpojumu (uzņēmuma līgumu) izmaksām minētajā apakšpunktā ir 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ziņojuma 24. punktā skaidrot, vai neparedzētajām izmaksām jāatbilst ziņojuma 18. punktā ietvertajām izmaksu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ziņojuma 37. punktā skaidrot, kas saprotams ar terminu "uzraudzība" ("atbilstoši uzraudzībā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15., 18., 24. un 37.punkts.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nodrošināt vienveidīgu un konsekventu terminoloģijas lietojumu. Norādām, ka šobrīd ziņojumā norādīts uz terminu "projekta iesniegums" un "projekts", bet minētie termini tiek lietoti pamīšus un no ziņojuma skaidri neizriet, kurā brīdī projekta iesniegums "kļūst" par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26. un 27.punkts.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ietverta sadaļa "Vienošanās saturs un grozījumu veikšana", tomēr no ziņojuma neizriet attiecīga informācija par grozījumu veikšanu vienošanās par projekta īstenošanu. Attiecīgi ziņojumā ietvertās informācijas nepārprotamam atspoguļojumam lūdzam atbilstoši papildināt ziņojumu vai precizēt minētās sadaļas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sadaļas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12.1. apakšpunktā kā mērķis norādīts uz sagatavotiem publiskās pārvaldes darbiniekiem, savukārt mērķa rādītāja izpildē norādīts uz nodarbinātajiem, kas ir plašāks jēdziens un ietver ne tikai darbiniekus, bet arī, piemēram, amatpersonas. Attiecīgi lūdzam izvērtēt un atbilstoši salāgot 12.1. apakšpunktā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5.punkta apakšpunktus, norādot visus 6.3.1.2.i. investīcijas “Publiskās pārvaldes profesionalizācija un administratīvās kapacitātes stiprināšana” mērķus, tādējādi nodrošinot pilnīgu atbilstību AF plānā minētajam. Šķiet, ka šobrīd iztrūkst mērķi:  1) sekmīga, godprātīga, savlaicīga un rezultatīva Administratīvās kapacitātes ceļa kartes mērķu sasniegšana, kā arī publiskās pārvaldes funkcionēšana kā vienotam veselumam, kur atsevišķās tās ietvaros ietilpstošās institūcijas nevis savstarpēji konkurē un nesadarbojas, bet viena otru papildina efektīvākai rezultātu sasniegšanai un sabiedrības vajadzību apmierināšanai; 2)  būtiski uzlabotas publiskās pārvaldes vadītāju kompetences atbilstoši nākotnes vadītāju kompetenču ietvaram un OECD līderības attīstības vadlīnijām;  3) pieaugošs nodarbināto iesaistīšanās līmenis kopumā un konkrēti attiecībā uz vadītāju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ziņojumu 13.punktu, nosakot, ka lai nodrošinātu informatīvā ziņojuma 12. punktā minēto rādītāju sasniegšanu, ir noteikts šāds sasniedzamiais uzraudzības rādītājs: līdz 2024.gada 3.cet. "To valsts pārvaldes darbinieku skaits, kas sagatavoti vismaz vienā no programmām," - 10 000.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14.punktu, nosakot nepieciešamību uzkrāt arī digitālās prasmes apmācītos dalībniekus, tādējādi nodrošinot Eiropas Parlamenta un Padomes regulsa Nr. 2021/241, ar ko izveido Atveseļošanas un noturības mehānismu 22.panta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26. punktā nepārrakstīt Elektronisko dokumentu likuma 3. panta piektajā daļā ietverto regulējumu, tā vietā lūdzam izdarīt atbilstošu atsauci uz minēto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investīcijas 6.3.1.2.i. atbalsta pārklāšanās risku ar VARAM plānoto atbalstu plānošanas reģionu un pašvaldību kapacitātes celšanai gan Atjaunošanas un noturības mehānisma ietvaros (investīcija 3.1.1.2.i.), kas vērsts uz efektīvu publiskās pārvaldes sekmēšanu reģionālā un vietējā līmenī (t.sk., efektīvāku pārvaldes organizēšanu, optimālu resursu izmantošanu), kā arī labāku, ērtāku un pieejamāku publisko pakalpojumu nodrošināšanu iedzīvotājiem, gan ES fondu ietvaros (SAM 5.1.1.),  kur stratēģiski būtiskākais elements ir attīstības plānošanas procesa uzlabošana.  Attīstības plānošanas process sevī ietver arī stratēģiskā plānošanu un  uz pierādījumiem balstīta politikas plānošana un īstenošana, kā arī  datu  izmantošanu (pratību) augstāk minēto jautājumu risināšanai. Līdz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44.punkta aprakstā  par  6.3.1.2.i.  pašvaldībām un reģioniem, dzēst  vai precizēt saturu par stratēģisko plānošanu un  uz pierādījumiem balstīta politikas plānošanu un īstenošanu, kā arī  datu  izmantošanu (pratību).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noteikt Ministru kabineta protokollēmumā ka Valsts kanceleja saskaņo ar VARAM ikgadējo plānoto mācību saturu 6.3.1.2.i. investīcijām, kur dalībnieki ir plānošanas reģionu vai pašvaldību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1.Ņemts vērā. Precizēta punkta redakcija, norādot koordinācijas mehānismu demarkācijas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2.Nav ņemts vērā. Ņemot vērā, ka mācību vajadzības tiek noteiktas visa gada garumā, kā arī iepirkuma procedūras veikšana ir laikietilpīgs un reizēm arī neprognozējams process, konkrētu apmācību programmu nav iespējams izveidot uz konkrētu datumu visam turpmākajam gadam, līdz ar to VAS 6.3.1.2.i. investīcijas ietvaros, tiks veidota mācību satura koordinējoša grupa, kurā darbosies starpnozaru pārstāvji, lai netiktu dublētas mācību tēmas un nerastos dubultā finansējuma riski. Papildus norādām, ka iebildumu par MK protokollēmuma papildināšanu ar atsevišķu punktu par mācību plāna saskaņošanu ar VARAM veidos papildus administratīvo slogu gan VARAM, gan VK kolēģiem, kā arī kavēs AF finansējuma apguvi.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ziņojuma 18.1. apakšpunktā ietvertās izmaksas ir neskaidras, jo principā paredz pamatu izmaksām, nevis pašu izmaksu veidu, turklāt arī vairākos citos gadījumos ziņojumā paredzētās izmaksas var rasties uz pakalpojuma (uzņēmuma līguma) līguma pamata (piemēram, 18.4. un 18.5. apakšpunktā minētās). Attiecīgi lūdzam ziņojumā konkretizēt, kādas izmaksas ir attiecināmas 18.1. apakšpunkta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5.3. apakšpunktā skaidrot, kādam jābūt uzlabojumam publiskās pārvaldes vadītāju kompetencei, lai tas tiktu novērtēts kā būtisks atbilstoši nākotnes vadītāju kompetenču ietvaram un OECD līderības attīstības vadlīnijām (iesaistīšanās pētījuma rādītājs, 360 grādu novērtēšana rezultāti u.c.), kā arī skaidrot saistošo raksturu un pieejamību nākotnes vadītāju kompetenču ietvaram (t.i., kādi dokumenti šo ietvaru veido) un OECD līderības attīstības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5.3. punkts ir apstiprinātā Atveseļošanas fonda plāna 1870. rindkopas kopija, kas atbilstoši Finanšu ministrijas izstrādāto vadlīniju “Vadlīnijas informatīvā ziņojuma vai Ministru kabineta noteikumu izstrādei par Eiropas Savienības Atveseļošanas un noturības mehānisma plāna reformas vai investīcijas ieviešanu” 9.1.apakšpunktam ir jāiekļauj informatīvajā ziņojumā. Ņemot vērā, ka Atveseļošanas fonda plāna saskaņošanas procesā netika saņemti komentāri, iebildumi un prasīti skaidrojumi par 1870 rindkopu, uzskatām, ka papildus informācija šajā punktā nav jāsniedz, jo pretējā gadījumā šis punkts nesakritīs ar Atveseļošanas fonda plāna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skaidrojums par iebildumā ietvertajiem jautājumiem ir ietverts Publiskās pārvaldes nodarbināto mācīšanās un attīstības plānā https://likumi.lv/ta/id/325395-par-publiskaja-parvalde-nodarbinato-macisanas-un-attistibas-planu-20212027-gadam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pievienojam saiti uz Ekonomiskās sadarbības un attīstības organizācijas https://www.oecd.org/gov/pem/recommendation-on-public-service-leadership-and-capability.htm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nākotnes vadītāju kompetenču novērtējumā, lai pēc iespējas objektīvāk tiktu novērtētas kompetences, tiks izmantoti vairāki novērtēšanas rīki, piemēram, 360 grādu novērtējums, iesaistīšanās pētījums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10.punktā sniegto informāciju par valsts budžeta finansējuma aprēķinu PVN segšanai, ievērojot, ka tajā ir ietverts arī aprēķinātais PVN no 20.1. apakšpunktā norādītajām izmaksām par kompetenču ietvaru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informatīvā ziņojuma 31.punktā "Atbildīgā institūcija veic uzraudzību, nodrošinot resora sniegto datu ticamību, izsekojamību, pamatotību saskaņā ar MK noteikumos Nr.621 noteikto kārtību un institūcijai deleģēto funkciju ietvaru, veicot vismaz šādas pārbaudes:" un 31.6.apakšpunktā noteikto "PVN uzraudzību, pārbauda, vai maksājuma pieprasījumam ir pievienots finansējuma saņēmēja apliecinājums, ka tas PVN izmaksas nav atguvis un neatgūs no valsts budžeta priekšnodokļa veidā" ierosinām informatīvajā ziņojumā paskaidrot, kas ir domāts ar “PVN uzraudzību”. Ja ar to ir domāta pārbaude, vai maksājuma pieprasījumam ir pievienots finansējuma saņēmēja apliecinājums, ka tas PVN izmaksas nav atguvis un neatgūs no valsts budžeta priekšnodokļa veidā, tad izsakām priekšlikumu izvērtēt vārdu “PVN uzraudzību”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24.punktā noteikts, ka Finansējuma saņēmējs var veikt neparedzētās izmaksas piecu procentu apmērā, lūdzam izvērtēt un precizēt uz var paredzēt neparedzētās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punktā noteikts, ka dokumentācijas par reformas mērķu un atskaites punktu sasniegšanu jāglabā piecus gadus no pēdējā maksājuma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dokumentācija ir jāuzglabā 5 gadus pēc EK noslēguma maksājuma veikšanas dalībvalstij, ierosinām norādīt precīzu datumu līdz kuram dokumentācija uzglabājama.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konkrētu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zemsvītras atsaucē, kas ir informatīvā ziņojuma 3.punktā minētie “nacionālā līmeņa plānošanas dokumenti”.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3.punktā vārdu “ievešanā” ar vārdu "ieviešanā".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informatīvā ziņojuma 5.punktā norādīto, t.i., vai Eiropas Padomes atzinumā par Latvijas 2019. gada stabilitātes programmu 4. ieteikumi ir noradīti kā trūkumi. Vēršam uzmanību, ka minētā atzinuma D pielikumā tika apkoptas lietas no Eiropas Komisijas, kurām obligāti būtu jāiekļauj attīstības plānos un tie netika definēti, kā trūkumi, bet nianses pie kurām jāstrādā un jāpilnveido. Attiecīgi, ja nepieciešams, lūdzu precizēt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12.2.apakšpunktā vārdu “pratības” ar vārdu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pratība” ir termins, ko nav iespējams precizēt.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informatīvā ziņojuma 24.punktu, vai neparedzētās izmaksas ir izmaksas, kas nav uzskaitītas 18. punktā. Ja nepieciešams, lūdzam precizēt minēto informatīvā ziņojuma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38.punktu, ka informācijas pieejamību nodrošina arī Latvijas Republikas un Eiropas Komisijas finansēšanas nolīgumā par Atveseļošanas un noturības mehānismu minētajām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40.5.apakšpunktā vārdus “par Eiropas Savienības Atveseļošanas fonda īstenošanas uzraudzības kārtību ”, ņemot vērā iepriekš tekstā noteikto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42.punktu ar vārdu “plāna” aiz vārda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nosaukumu "Par Eiropas Savienības Atveseļošanas un noturības mehānisma plāna 6.komponentes “Likuma vara” reformu un investīciju virziena 6.3.” Publiskās pārvaldes modernizācija” reformas 6.3.1. “Publiskās pārvaldes modernizācija” 6.3.1.2.i investīcijas “Publiskās pārvaldes profesionalizācija un administratīvās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kapacitātes stiprināšana” īstenošanu”, attiecīgi arī citur tekstā precizējot tā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8.punkta 2.teikumu, norādot, ka projekta iesniedzējs 6.3.1.2.i. investīcijas “Publiskās pārvaldes profesionalizācija un administratīvās kapacitātes stiprināšana”  ietvaros ir Valsts administrācijas skola, kura pēc projekta iesnieguma apstiprināšanas kļūst par finansējuma saņēmēju (turpmāk –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punktā aiz vārdiem "pamatojoties uz 2021. gada 6. jūlija Eiropas Savienības" papildināt ar vārdiem "(turpmāk - ES)", un turpmāk tekstā, kur iespējams, izmantot Eiropas Savienības saīsinājumu 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visā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apakšpunktā pārskatīt redakciju vārdu salikumam "labu kvalitatīvu". Vai domāts "labu vai kvalitatīvu", vai "labu un kvalitatīvu", vai arī "labu, kvalitatīvu"?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ir ņemts no apstiprinātā Atjaunošanas un noturības mehānisma plāna  (1872) paragrāfa.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12.2. apakšpunktā precizēt lietoto terminu "Pieejamais kompetenču satvars" uz "Pieejamais kompetenču ietvars".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redakcija ir ņemta no 2022. gada 16.februārī apstiprinātā Eiropas Komisijas un Latvijas Republikas Atveseļošanas un noturības mehānisma finansēšanas nolīgums 1.pielikuma “Atveseļošanas un noturības mehānisma darbības kārtība, par kuru vienojas Eiropas Komisija un Latvija”, pēc kura notiks atskaitīšanās un kura redakcijām stingri līdzi seko FM.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punktā aizstāt vārdus "Valsts kanceleja" ar vārdiem "Atbildīgā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punktā aizstāt vārdus "projekta iesniedzējs" ar vārdiem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veiktajiem precizējumiem Informatīvā ziņojuma 8.punktā. 27.punktā aprakstītās darbības ir vēl saistītas ar statusu “projekta iesniedzējs”, jo tikai pēc vienošanās slēgšanas projekta iesniedzējs kļūst par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29. punktā precizēt daļu "atbildīgā institūcija un iekšējā audita struktūrvienība" uz "atbildīgās institūcijas iekšējā audita struktūrvienība", ja domāts līdzīgi kā 30.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29.punktā ir domāts, ka pārbaudes veic gan atbildīgā iestāde, gan iekšējā audita struktūrvienība.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punktā un zemāk citos punktos ir minēta "reforma", līdz ar to Informatīvā ziņojuma tekstā vajadzētu precizēt, vai domāta konkrēti "6.3.1.reforma", vai vispārīgi.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informatīvā ziņojuma 4.punkta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10.punktu, jo iepriekš 1.punktā vārdi "Ministru kabinets" ir saīsināti uz MK.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22.punktu, svītrojot vārdu "Viss", kā arī papildinot to, ka personāls tiek piesaistīts uz noteikta laika darba vai uzņēmuma līguma pamata, kas piesaistīts projekta ieviešanas laikam.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28.punktu ar vārdu "šī" pirms vārdiem "informatīvajā ziņojumā noteiktajiem rādītājiem" un atsauci uz konkrētiem informatīvā ziņojuma punktiem, kur rādītāji minēti.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precizējams informatīvā ziņojuma 36.1.punkts, ievērojot to, ka finansējuma saņēmēja pienākums, tiklīdz ir zināma informācija par iepirkumu izsludināšanas brīdi, iesniegt iepirkumu plānu KPVIS par visiem investīcijas ieviešanai plānotajiem iepirkumiem, kuru rīkošanai paredzēts piemērot publisko iepirkumu regulējumu – Publisko iepirkumu likumu, Sabiedrisko pakalpojumu sniedzēju likumu vai Ministru kabineta  2017.gada 28.februāra noteikumus Nr. 104 “Noteikumi par iepirkuma procedūru un tās piemērošanas kārtību pasūtītāja finansētiem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iestrādāts vienošanās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44.punktā programmas 2021.-2027.gada plānošanas periodam nosaukumu uz "Eiropas Savienības kohēzijas politikas programma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41. punkta ievaddaļā svītrot norādi, ka vienošanās par projekta īstenošanu tiek ietverti vienpusēja uzteikuma nosacījumi, ņemot vērā, ka tas, ka vienošanās par projekta īstenošanu tiek ietverti vienpusēja uzteikuma nosacījumi, izriet no ziņojuma 41.4.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6.3.1.2.i. investīcijas “Publiskās pārvaldes profesionalizācija un administratīvās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lūdzam nodrošināt, ka ziņojumā nav ietverti neatrunāti saīsinājumi (piemēram, OECD), kā arī lūdzam ziņojumā izvairīties no abreviatūru lietošanas.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22-TA-1321</w:t>
    </w:r>
    <w:r>
      <w:br/>
    </w:r>
    <w:r w:rsidR="00000000" w:rsidRPr="00000000" w:rsidDel="00000000">
      <w:rPr>
        <w:rtl w:val="0"/>
      </w:rPr>
      <w:t xml:space="preserve">11.08.2022. 17.22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22-TA-1321</w:t>
    </w:r>
    <w:r>
      <w:br/>
    </w:r>
    <w:r w:rsidR="00000000" w:rsidRPr="00000000" w:rsidDel="00000000">
      <w:rPr>
        <w:rtl w:val="0"/>
      </w:rPr>
      <w:t xml:space="preserve">11.08.2022. 17.22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Izziņa_22-TA-1321.docx</dc:title>
</cp:coreProperties>
</file>

<file path=docProps/custom.xml><?xml version="1.0" encoding="utf-8"?>
<Properties xmlns="http://schemas.openxmlformats.org/officeDocument/2006/custom-properties" xmlns:vt="http://schemas.openxmlformats.org/officeDocument/2006/docPropsVTypes"/>
</file>