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8. janvāra noteikumos Nr. 21 "Kaušanai paredzēto lauksaimniecības dzīvnieku aizsardzības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(18.04.2020.)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8. janvāra noteikumos Nr. 21 "Kaušanai paredzēto lauksaimniecības dzīvnieku aizsardzības prasības" (Latvijas Vēstnesis, 2013, 7. nr.; 2017, 237. nr.; 2020, 75.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normu par ar informatīvo atsauču uz Eiropas Savienības direktīvām svītrošanu. Vēršam uzmanību, ka Padomes 1964. gada 26. jūnija Direktīva par dzīvnieku veselības problēmām, kas ietekmē liellopu un cūku tirdzniecību Kopienā, un Padomes 2003. gada 11. jūnija Direktīva 2003/50/EK, ar ko groza Direktīvu 91/68/EEK par kontroles pastiprināšanu attiecībā uz aitu un kazu pārvadāšanu, ir zaudējušas spēku (datums, līdz kuram bija spēkā: 20.04.2021). Abas direktīvas atceltas ar Eiropas Parlamenta un Padomes 2016. gada 9. marta Regulu (ES) 2016/429 par pārnēsājamām dzīvnieku slimībām un ar ko groza un atceļ konkrētus aktus dzīvnieku veselības jomā (“Dzīvnieku veselības tiesību akts”). Ņemot vērā, ka noteikumos Nr.21 joprojām norādīts, ka noteikumos iekļautas tiesību normas, kas izriet no spēku zaudējušajām direktīvām, iesakām pārskatīt noteikumus Nr.21 arī kopumā, nodrošinot to korektu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atsauce uz direktīvām ir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 risinājuma apraksta ievadu, ņemot vērā, ka no problēmas apraksta šķietami saprotama noteikumu Nr.21 papildināšana ar 5.</w:t>
            </w:r>
            <w:r w:rsidR="00000000" w:rsidRPr="00000000" w:rsidDel="00000000">
              <w:rPr>
                <w:vertAlign w:val="superscript"/>
                <w:rtl w:val="0"/>
              </w:rPr>
              <w:t xml:space="preserve">1</w:t>
            </w:r>
            <w:r w:rsidR="00000000" w:rsidRPr="00000000" w:rsidDel="00000000">
              <w:rPr>
                <w:rtl w:val="0"/>
              </w:rPr>
              <w:t xml:space="preserve">2 apakšpunktu, lai nodrošinātu no Eiropas Savienības tiesību aktiem izrietošās prasības, kas piemērojamas dzīvnieku pirmskaušanas turēšanas, apdullināšanas un nonāvēšanas laikā. Savukārt risinājuma aprakstā skaidrots, ka konkrētais grozījums nepieciešams skaidrākai visu saistošo tiesību normu noteikšanai, kas tieši un konkrēti neatspoguļo tiesiskā regulējuma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pašreizējās situācijas apraksta otro rindkopu, kur ietvertais skaidrojums domājams nav pilnībā pabeigts. Domājams pietrūkst informācijas, kas pilnīgāk atspoguļo domu par noteikumu Nr. 21 II nodaļas svītrošanu un ietekmi uz konkrētā projekta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veikt nepieciešamos skaidrojumu precizējumus, lai anotācijā tiktu ietverta, skaidra un nepārprotama informācija, kas pilnībā atspoguļotu noteikumu projekta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neietekmē arī fiziskās personas, kas iesaistītas dzīvnieku kaušanā – kāvējus, labturības inspektorus, kautuvju īpašniekus, viņu pilnvarotās personas - un nepieciešamības gadījumā attiecīgi papildināt anotācijas 2.1.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 iekļaujot informāciju 2.1. apakšsadaļā  "Ietekme uz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5.4. apakšpunkta 1.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Nr.1099/2009 7. pants" rindas "B" ailē norādīta atsauce uz noteikumu projekta 2. punktu, lai gan noteikumu projektā ir tikai 1. punkts. Tāpat, ņemot vērā noteikumu projekta redakciju (Ministru kabineta 2013. gada 8. janvāra noteikumu Nr. 21 "Kaušanai paredzēto lauksaimniecības dzīvnieku aizsardzības prasības" (turpmāk - noteikumi Nr.21) 5.</w:t>
            </w:r>
            <w:r w:rsidR="00000000" w:rsidRPr="00000000" w:rsidDel="00000000">
              <w:rPr>
                <w:vertAlign w:val="superscript"/>
                <w:rtl w:val="0"/>
              </w:rPr>
              <w:t xml:space="preserve">1</w:t>
            </w:r>
            <w:r w:rsidR="00000000" w:rsidRPr="00000000" w:rsidDel="00000000">
              <w:rPr>
                <w:rtl w:val="0"/>
              </w:rPr>
              <w:t xml:space="preserve">1 apakšpunkts) secināms, ka ar noteikumu projektu šķietami tiek ieviests tikai Padomes 2009. gada 24. septembra Regulas (EK) Nr. 1099/2009 par dzīvnieku aizsardzību nonāvēšanas laikā (turpmāk - Regula 1099/2009) 7.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Nr.1099/2009 7. pants" šķietami attiecināms uz daļu noteikumu projekta 1. punkta (noteikumu Nr.21 5.</w:t>
            </w:r>
            <w:r w:rsidR="00000000" w:rsidRPr="00000000" w:rsidDel="00000000">
              <w:rPr>
                <w:vertAlign w:val="superscript"/>
                <w:rtl w:val="0"/>
              </w:rPr>
              <w:t xml:space="preserve">1</w:t>
            </w:r>
            <w:r w:rsidR="00000000" w:rsidRPr="00000000" w:rsidDel="00000000">
              <w:rPr>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tabulas "A" ailēs norāda konkrētas Eiropas Savienības tiesību akta vienības (pantu, punktu, apakšpunktu). Attiecīgi lūdzam izvērtēt 1. tabulā ietverto rindu "Regula Nr.1099/2009" un lūdzam to konkretizēt līdz tādam līmenim, kas attiecināms uz konkrēto noteikumu projekta vienību. Vēršam uzmanību, ka no pašreizējā formulējuma saprotams, ka visa regula kā viens kopums tiek ieviesta ar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noteikumu projekta redakcijai uz to attiecināms arī regulas 1099/2009 1. panta 3. punkts, kas šķietami tiek ieviests ar noteikumu Nr.21 5.</w:t>
            </w:r>
            <w:r w:rsidR="00000000" w:rsidRPr="00000000" w:rsidDel="00000000">
              <w:rPr>
                <w:vertAlign w:val="superscript"/>
                <w:rtl w:val="0"/>
              </w:rPr>
              <w:t xml:space="preserve">1</w:t>
            </w:r>
            <w:r w:rsidR="00000000" w:rsidRPr="00000000" w:rsidDel="00000000">
              <w:rPr>
                <w:rtl w:val="0"/>
              </w:rPr>
              <w:t xml:space="preserve">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tabula "Tiesību akta projekta atbilstība ES tiesību aktiem"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7. sadaļu un kontekstā ar noteikumu projekta redakciju izvērtēt tā iespējamo ietekmi uz institūcijām, nolūkā pārliecināties, vai tas tiešām neietekmē nevienu institūciju. Piemēram, ņemot vērā noteikumu projekta 1. punkta (noteikumu Nr.21 5.</w:t>
            </w:r>
            <w:r w:rsidR="00000000" w:rsidRPr="00000000" w:rsidDel="00000000">
              <w:rPr>
                <w:vertAlign w:val="superscript"/>
                <w:rtl w:val="0"/>
              </w:rPr>
              <w:t xml:space="preserve">1</w:t>
            </w:r>
            <w:r w:rsidR="00000000" w:rsidRPr="00000000" w:rsidDel="00000000">
              <w:rPr>
                <w:rtl w:val="0"/>
              </w:rPr>
              <w:t xml:space="preserve">1 apakšpunkta) redakciju, noteikumu projekts šķietami var ietekmēt sabiedrību ar ierobežotu atbildību "Latvijas Lauku konsultāciju un izglītības centrs", kas noteikumos Nr.21 noteikta kā kompetentā iestāde apmācības jomā par dzīvnieku aizsardzību nonāvēšanas un ar to saistīto darbību un izsniedz projektā minētos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sadaļa "Tiesību akta projekta izpildes nodrošināšana un tās ietekme uz institūcijām" papildināta ar skaidrojumu, ka ietekme uz institūcijām nav norādīta, jo projekts neskar esošās funkcijas. Piemēram, Latvijas Lauku konsultāciju un 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izsniedz kāvēju kvalifikācijas sertifikātus. Ievērojot 09.12.2019. grozījumus noteikumos Nr. 21, sasaiste ar regulas Nr. 1099/2009 prasībām tika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w:t>
    </w:r>
    <w:r>
      <w:br/>
    </w:r>
    <w:r w:rsidR="00000000" w:rsidRPr="00000000" w:rsidDel="00000000">
      <w:rPr>
        <w:rtl w:val="0"/>
      </w:rPr>
      <w:t xml:space="preserve">06.08.2024. 16.28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w:t>
    </w:r>
    <w:r>
      <w:br/>
    </w:r>
    <w:r w:rsidR="00000000" w:rsidRPr="00000000" w:rsidDel="00000000">
      <w:rPr>
        <w:rtl w:val="0"/>
      </w:rPr>
      <w:t xml:space="preserve">06.08.2024. 16.28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Izziņa_23-TA-89.docx</dc:title>
</cp:coreProperties>
</file>

<file path=docProps/custom.xml><?xml version="1.0" encoding="utf-8"?>
<Properties xmlns="http://schemas.openxmlformats.org/officeDocument/2006/custom-properties" xmlns:vt="http://schemas.openxmlformats.org/officeDocument/2006/docPropsVTypes"/>
</file>