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23-TA-1296: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35.3.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Priekšlikums mainīt tekstu 35.1. apakšpunktā: “bruto vidējie ienākumi, par kuriem maksāts iedzīvotāju ienākumu nodoklis…”  šādā versijā “bruto vidējie ienākumi - ar iedzīvotāju ienākumu nodokli apliekamie ienākumi atbilstoši Valsts ieņēmumu dienesta  vai līdzvērtīgas ārvalstu nodokļu administrācijas izziņai”.  Ja ALTUM vērtēs īrnieku ienākumus par iepriekšējo gadu pēc VID  Elektroniskas deklarēšanas sistēmā sagatavotās izziņas vai dažos gadījumos manuāli sagatavotas izziņas, tad automātiski sagatavotajā izziņā ir šādas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algota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apliekamie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Neapliekamie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kapitāla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Ienākumi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Ārvalstīs gūtie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samazinātu likmi apliekamie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Nerezidenta ienākumi, izņemot ienākumus no algota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noteikto normu ietvaros neapliekamie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mēdz būt apliekamie ienākumi, kad nesasniedzot  attiecīgo slieksmi,  nav jāmaksā iedzīvotāju ienākuma nodoklis, piemēram lauksaimniecības 3000 euro, vai ja nesasniedzot gada diferencēto neapliekamo minimuma apmēru, arī neapliksies ar iedzīvotaju ienākuma nodokli.  Izziņā netiek atspoguļoti vidējie bruto ienakumi. Līdz ar to lūdzam redakcionāli precizēt 35.1.apakšpunktu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35.1., 35.3. apakšpunkta un 37.punkta redakcija, kā arī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šie grozījumi Ministru kabineta noteikumos Nr.459  tiek veikti būvniecības izmaksu inflācijas  dēļ - tiek mainīts attiecināmo izmaksu apmērs, precizēti neskaidri nosacījumi, par kuriem saņemti jautājumi no aizdevumu pretendentiem. MK noteikumi Nr.459 tika izstrādāti un saskaņoti ar Eiropas Komisiju pirms būvniecību izmaksu, energoresursu cenu pieauguma, tādēļ ar pašreizējiem programmas nosacījumiem projektus nav iespējams īstenot un kopš programmas uzsākšanas nav apstiprināts neviens aizdevumu pieteikums. MK noteikumu Nr.459 grozījumi nemaina pieejamo finansējumu (izsniedzamo aizdevumu apjomu) ,ieviešanas nosacījumus, atbalsta pretendentus, tādēļ nav nepieciešamas aktualizēt programmas rādītāju novērtējumu, kas izstrādāts, apstiprinot programmu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8.2.2.apakšpunktā iekļauto rādītāja daļu "līdz 2026.gada 30.jūnijam apstiprināti projekti par 467 dzīvokļu būvniecību" lūdzam papildināt MK protokollēmumu ar punktu, kas paredz izņēmumu, ka Ekonomikas ministrijai tiek atļauts precizēt 8.2.2.apakšpunktā noteiktā rādītāja mērķa vērtību mazāku, kā noteikts Padomes īstenošanas lēmumā par Atveseļošanas un noturības mehānisma plānu Latvijai, atbilstoši MK protokollēmuma projekta par "Informatīvo ziņojumu par Finanšu ministrijas pārziņā esošo Eiropas Savienības fondu un ārvalstu finanšu palīdzības aktualitātēm līdz 2023. gada 1. martam (pusgada ziņojums)" 3.2.punktā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pārējiem 8.punktā iekļautajiem rādītāju precizējumiem, šobrīd no FM puses nav iespējams atbalstīt šādu precizējumu tālāku virzību, ņemot vērā, ka ar Eiropas Komisiju ir saskaņots tikai 8.2.2.apakšpunktā iekļautais grozījums. Lūdzam EM sagatavot atbilstošu Atveseļošanas un noturības mehānisma plāna precizējumu pamatojumu, kas būtu saskaņojams ar Eiropas Komisiju pirms iekļaušanas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protokollēmums papildināts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Iebildumā minēto, MK noteikumu Nr.459 spēkā esošās redakcijas 8.2.1. apakšpunktā minētais rādītājs tiek saglabāts spēkā esošajā redakcijā ("līdz 2024. gada 31. decembrim ir apstiprināti projekti par 300 dzīvokļu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MK noteikumu Nr.459 spēkā esošās redakcijas 8.1. punktā minētajiem uzraudzības rādītājiem norādām, ka 8.1.1. apakšpunktā minētais rādītājs tiek saglabāts spēkā esošajā redakcijā ("līdz 2023. gada 31. decembrim ir apstiprināti projekti par 105 dzīvokļu būvniecību"); attiecībā uz 8.1.2. apakšpunktā minēto uzraudzības rādītāju - tas tiek samazināts proporcionāli 8.2.2. apakšpunktā Eiropas Komisijas akceptētās mērķa vērtības samazinājumam (no "615" uz "410"). Vēršam uzmanību, ka atbilstoši </w:t>
            </w:r>
            <w:r w:rsidR="00000000" w:rsidRPr="00000000" w:rsidDel="00000000">
              <w:rPr>
                <w:i w:val="1"/>
                <w:rtl w:val="0"/>
              </w:rPr>
              <w:t xml:space="preserve">Atveseļošanas fonda plāna Darbības kārtībai, par kuru vienojas Eiropas Komisija un Latvija </w:t>
            </w:r>
            <w:r w:rsidR="00000000" w:rsidRPr="00000000" w:rsidDel="00000000">
              <w:rPr>
                <w:rtl w:val="0"/>
              </w:rPr>
              <w:t xml:space="preserve">102.1. uzraudzības rādītājs ir saistīts ar 102. rādītāju (gala vērtība, kuras samazinājums ir akceptēts), līdz ar to uzraudzības rādītāja proporcionāls samazinājums akceptētajam mērķa vērtības samazinājumam ir pamatots, pretējā gadījumā MK noteikumos N.459 fiksētā uzraudzības starprādītāja vērtība pārsniegtu gala mērķa vērtību.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uzraudzības rādītāji: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sabiedrība "Possessor" konstatē 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35.1.</w:t>
            </w:r>
            <w:r w:rsidR="00000000" w:rsidRPr="00000000" w:rsidDel="00000000">
              <w:rPr>
                <w:rtl w:val="0"/>
              </w:rPr>
              <w:t xml:space="preserve"> un </w:t>
            </w:r>
            <w:r w:rsidR="00000000" w:rsidRPr="00000000" w:rsidDel="00000000">
              <w:rPr>
                <w:rtl w:val="0"/>
              </w:rPr>
              <w:t xml:space="preserve">35.2.</w:t>
            </w:r>
            <w:r w:rsidR="00000000" w:rsidRPr="00000000" w:rsidDel="00000000">
              <w:rPr>
                <w:rtl w:val="0"/>
              </w:rPr>
              <w:t xml:space="preserve"> apakšpunktā</w:t>
            </w:r>
            <w:r w:rsidR="00000000" w:rsidRPr="00000000" w:rsidDel="00000000">
              <w:rPr>
                <w:rtl w:val="0"/>
              </w:rPr>
              <w:t xml:space="preserve"> minēto nosacījumu pārkāpumus, tā piemēro līgumsodu, kas noteikts šo noteikumu </w:t>
            </w:r>
            <w:r w:rsidR="00000000" w:rsidRPr="00000000" w:rsidDel="00000000">
              <w:rPr>
                <w:rtl w:val="0"/>
              </w:rPr>
              <w:t xml:space="preserve">48.1.</w:t>
            </w:r>
            <w:r w:rsidR="00000000" w:rsidRPr="00000000" w:rsidDel="00000000">
              <w:rPr>
                <w:rtl w:val="0"/>
              </w:rPr>
              <w:t xml:space="preserve"> apakšpunktā</w:t>
            </w:r>
            <w:r w:rsidR="00000000" w:rsidRPr="00000000" w:rsidDel="00000000">
              <w:rPr>
                <w:rtl w:val="0"/>
              </w:rPr>
              <w:t xml:space="preserve"> minētajā aizdevuma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anotācijā norādīto informāciju "</w:t>
            </w:r>
            <w:r w:rsidR="00000000" w:rsidRPr="00000000" w:rsidDel="00000000">
              <w:rPr>
                <w:i w:val="1"/>
                <w:rtl w:val="0"/>
              </w:rPr>
              <w:t xml:space="preserve">tiek precizēts MK noteikumu Nr. 459 71. punkts, kurš paredz, ka sabiedrība "Possessor" noteikumos minētajos gadījumos var piemērot </w:t>
            </w:r>
            <w:r w:rsidR="00000000" w:rsidRPr="00000000" w:rsidDel="00000000">
              <w:rPr>
                <w:i w:val="1"/>
                <w:u w:val="single"/>
                <w:rtl w:val="0"/>
              </w:rPr>
              <w:t xml:space="preserve">līgumsodu, kas noteikts aizdevuma līgumā, iepriekš to nesaskaņojot ar sabiedrību "Altum",ņemot vērā, ka līgumsodi tiek atrunāti uzraudzības līgumā, ko sabiedrība “Possessor ” slēdz ar nekustamā īpašuma attīstītājiem</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paredzētais noteikumu Nr. 459 71. punkts satur atsauci uz noteikumu Nr. 459 </w:t>
            </w:r>
            <w:r w:rsidR="00000000" w:rsidRPr="00000000" w:rsidDel="00000000">
              <w:rPr>
                <w:u w:val="single"/>
                <w:rtl w:val="0"/>
              </w:rPr>
              <w:t xml:space="preserve">48.1. apakšpunktā</w:t>
            </w:r>
            <w:r w:rsidR="00000000" w:rsidRPr="00000000" w:rsidDel="00000000">
              <w:rPr>
                <w:rtl w:val="0"/>
              </w:rPr>
              <w:t xml:space="preserve"> minēto līgumu, kas paredz, ka nekustamā ī</w:t>
            </w:r>
            <w:r w:rsidR="00000000" w:rsidRPr="00000000" w:rsidDel="00000000">
              <w:rPr>
                <w:u w:val="single"/>
                <w:rtl w:val="0"/>
              </w:rPr>
              <w:t xml:space="preserve">pašuma attīstītājs noslēdz aizdevuma līgumu ar sabiedrību "Altum"</w:t>
            </w:r>
            <w:r w:rsidR="00000000" w:rsidRPr="00000000" w:rsidDel="00000000">
              <w:rPr>
                <w:rtl w:val="0"/>
              </w:rPr>
              <w:t xml:space="preserve">, t.i., sabiedrība "Possessor" nav 48.1. apakšpunktā minētā līguma puse. Ievērojot minēto, lūdzam precizēt noteikumu projektu un tā anotāciju, novēršot minēto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sabiedrība "Possessor" konstatē 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35.1.</w:t>
            </w:r>
            <w:r w:rsidR="00000000" w:rsidRPr="00000000" w:rsidDel="00000000">
              <w:rPr>
                <w:rtl w:val="0"/>
              </w:rPr>
              <w:t xml:space="preserve"> un </w:t>
            </w:r>
            <w:r w:rsidR="00000000" w:rsidRPr="00000000" w:rsidDel="00000000">
              <w:rPr>
                <w:rtl w:val="0"/>
              </w:rPr>
              <w:t xml:space="preserve">35.2.</w:t>
            </w:r>
            <w:r w:rsidR="00000000" w:rsidRPr="00000000" w:rsidDel="00000000">
              <w:rPr>
                <w:rtl w:val="0"/>
              </w:rPr>
              <w:t xml:space="preserve"> apakšpunktā</w:t>
            </w:r>
            <w:r w:rsidR="00000000" w:rsidRPr="00000000" w:rsidDel="00000000">
              <w:rPr>
                <w:rtl w:val="0"/>
              </w:rPr>
              <w:t xml:space="preserve"> minēto nosacījumu pārkāpumus, tā piemēro līgumsodu, kas noteikts šo noteikumu </w:t>
            </w:r>
            <w:r w:rsidR="00000000" w:rsidRPr="00000000" w:rsidDel="00000000">
              <w:rPr>
                <w:rtl w:val="0"/>
              </w:rPr>
              <w:t xml:space="preserve">48.2.</w:t>
            </w:r>
            <w:r w:rsidR="00000000" w:rsidRPr="00000000" w:rsidDel="00000000">
              <w:rPr>
                <w:rtl w:val="0"/>
              </w:rPr>
              <w:t xml:space="preserve"> apakšpunktā</w:t>
            </w:r>
            <w:r w:rsidR="00000000" w:rsidRPr="00000000" w:rsidDel="00000000">
              <w:rPr>
                <w:rtl w:val="0"/>
              </w:rPr>
              <w:t xml:space="preserve"> minētajā uzraudzības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Šo noteikumu </w:t>
            </w:r>
            <w:r w:rsidR="00000000" w:rsidRPr="00000000" w:rsidDel="00000000">
              <w:rPr>
                <w:rtl w:val="0"/>
              </w:rPr>
              <w:t xml:space="preserve">72.</w:t>
            </w:r>
            <w:r w:rsidR="00000000" w:rsidRPr="00000000" w:rsidDel="00000000">
              <w:rPr>
                <w:rtl w:val="0"/>
              </w:rPr>
              <w:t xml:space="preserve"> punktā</w:t>
            </w:r>
            <w:r w:rsidR="00000000" w:rsidRPr="00000000" w:rsidDel="00000000">
              <w:rPr>
                <w:rtl w:val="0"/>
              </w:rPr>
              <w:t xml:space="preserve"> minētās attiecināmās izmaksas nepārsniedz 93 825 </w:t>
            </w:r>
            <w:r w:rsidR="00000000" w:rsidRPr="00000000" w:rsidDel="00000000">
              <w:rPr>
                <w:i w:val="1"/>
                <w:rtl w:val="0"/>
              </w:rPr>
              <w:t xml:space="preserve">euro</w:t>
            </w:r>
            <w:r w:rsidR="00000000" w:rsidRPr="00000000" w:rsidDel="00000000">
              <w:rPr>
                <w:rtl w:val="0"/>
              </w:rPr>
              <w:t xml:space="preserve"> bez pievienotās vērtības nodokļa vidēji par vienu dzīvojamās īres mājas dzīvokli.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noteikto ierobežojumu, ņemot vērā, ka matemātiski sadalot investīcijas ietvaros pieejamo finansējumu (atskaitot Possessor izdevumus) ar 8.2.2.apakšpunktā precizēto rādītāju, izmaksu maksimālā robeža uz dzīvokli veidojas mazāka, nekā šeit noteikts, t.i. 89 107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priekšlikums izvērtēt iespēju salāgot izmaksu ierobežojumu ar Atveseļošanas un noturības mehānisma plānu, pārejot uz izmaksu aprēķināšanu uz vienu kvadrātmetru, nevis dzīvokli.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ir vērtēta iespēja pāriet uz izmaksu aprēķināšanu uz vienu kvadrātmetru (nevis dzīvokli), taču norādāms, ka šādā gadījumā būtu apdraudēta iespēja nodrošināt (kontrolēt) rādītāju sasniegšanu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Šo noteikumu </w:t>
            </w:r>
            <w:r w:rsidR="00000000" w:rsidRPr="00000000" w:rsidDel="00000000">
              <w:rPr>
                <w:rtl w:val="0"/>
              </w:rPr>
              <w:t xml:space="preserve">72.</w:t>
            </w:r>
            <w:r w:rsidR="00000000" w:rsidRPr="00000000" w:rsidDel="00000000">
              <w:rPr>
                <w:rtl w:val="0"/>
              </w:rPr>
              <w:t xml:space="preserve"> punktā</w:t>
            </w:r>
            <w:r w:rsidR="00000000" w:rsidRPr="00000000" w:rsidDel="00000000">
              <w:rPr>
                <w:rtl w:val="0"/>
              </w:rPr>
              <w:t xml:space="preserve"> minētās attiecināmās izmaksas nepārsniedz 89 107 </w:t>
            </w:r>
            <w:r w:rsidR="00000000" w:rsidRPr="00000000" w:rsidDel="00000000">
              <w:rPr>
                <w:i w:val="1"/>
                <w:rtl w:val="0"/>
              </w:rPr>
              <w:t xml:space="preserve">euro</w:t>
            </w:r>
            <w:r w:rsidR="00000000" w:rsidRPr="00000000" w:rsidDel="00000000">
              <w:rPr>
                <w:rtl w:val="0"/>
              </w:rPr>
              <w:t xml:space="preserve"> bez pievienotās vērtības nodokļa vidēji par vienu dzīvojamās īres mājas dzīvokli.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anotācijā norādīts, ka aizņēmējam nepieciešams cita finansētāja atteikums pirms atbalsta saņemšanas.Programmā aizdevuma likmē nav iekļauts EURIBOR, jo tiek izsniegts ANM finansējums, un likme ir vismaz par 3,5 procentpunktiem zemāka par citu aizdevēju likmēm (bankas, EIB u.c.). Līdz ar to izvērtējams, vai aizņēmējam joprojām nepieciešams saņemt cita finansētāja atteikumu finansēt projektu, jo citus aizdevēju likmes būs par vismaz 3.5 procentpunktiem augstākas.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tiek atļauts precizēt investīcijas noteiktā rādītāja mērķa vērtību mazāku kā noteikts 2021.gada gada 6. jūlija Eiropas Savienības Padomes īstenošanas lēmumā “Par Latvijas atveseļošanas un noturības plāna novērtējuma apstiprināšanu”, paredzot, ka  līdz 2026. gada 30. jūnijam ir apstiprināti projekti par 467 dzīvokļu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3. punktu ar samazināmā rādītāja nosaukumu, lai nodrošinātu viennozīmīgu normas izpratni, par kuru rādītāju ir runa, kā arī ar aktuālo rādītāja vērtību, kas būtu sasniedzama gadījumā, ja Eiropas Komisija neatbalsta rādītāja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saņemts pozitīvs Eiropas Komisijas viedoklis par Atveseļošanas un noturības mehānisma plāna 3.1.1.4.i investīcijas "Finansēšanas fonda izveide zemas īres mājokļu būvniecībai" grozījumu priekšlikumu par mērķrādītāja "Dzīvokļu skaits apstiprinātajos projektos" līdz 2026.gada 30.jūnijam sasniedzamās vērtības samazinājumu no 700 uz 467, Ekonomikas ministrijai atļaut precizēt mērķrādītāja un saistītā uzraudzības rādītāja "Dzīvokļu skaits apstiprinātajos projektos" līdz 2025.gada 31.decembrim sasniedzamās vērtības samazinājumu no 615 uz 410, kas ir mazāks nekā šobrīd noteikts 2021.gada gada 6. jūlija Eiropas Savienības Padomes īstenošanas lēmumā “Par Latvijas atveseļošanas un noturības plāna novērtējuma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3.punkts precizēts atbilstoši priekšlikumā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ir saņemts pozitīvs Eiropas Komisijas viedoklis par Atveseļošanas un noturības mehānisma plāna 3.1.1.4.i investīcijas "Finansēšanas fonda izveide zemas īres mājokļu būvniecībai" grozījumu priekšlikumu par mērķrādītāja "Dzīvokļu skaits apstiprinātajos projektos" līdz 2026.gada 30.jūnijam sasniedzamās vērtības samazinājumu no 700 uz 467, Ekonomikas ministrijai atļaut precizēt mērķrādītāja un saistītā uzraudzības rādītāja "Dzīvokļu skaits apstiprinātajos projektos" līdz 2025.gada 31.decembrim sasniedzamās vērtības samazinājumu no 615 uz 410, kas ir mazāks nekā šobrīd noteikts 2021.gada gada 6. jūlija Eiropas Savienības Padomes īstenošanas lēmumā “Par Latvijas atveseļošanas un noturības plāna novērtējuma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netiek saņemts pozitīvs Eiropas Komisijas lēmums par Atveseļošanas fonda plāna grozījumu priekšlikumiem, Ekonomikas ministrijai iesniegt Ministru kabinetā priekšlikumus rīcībai, kas paredz mērķrādītāja sasniegšanu 2021.gada gada 6. jūlija Eiropas Savienības Padomes īstenošanas lēmumā “Par Latvijas atveseļošanas un noturības plāna novērtējuma apstiprināšanu” minētajā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4. punktu ar samazināmā rādītāja nosaukumu, lai nodrošinātu viennozīmīgu normas izpratni, par kuru rādītāju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netiek saņemts pozitīvs Eiropas Komisijas gala lēmums par Atveseļošanas un noturības mehānisma plāna grozījumu priekšlikumu par mērķrādītāja "Dzīvokļu skaits apstiprinātajos projektos" līdz 2026.gada 30.jūnijam vērtības samazinājumu no 700 uz 467, Ekonomikas ministrijai iesniegt Ministru kabinetā priekšlikumus rīcībai, lai nodrošinātu mērķrādītāja sasniegšanu 2021.gada gada 6. jūlija Eiropas Savienības Padomes īstenošanas lēmumā “Par Latvijas atveseļošanas un noturības plāna novērtējuma apstiprināšanu” minētajā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4.punkts precizēts atbilstoši priekšlikumā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netiek saņemts pozitīvs Eiropas Komisijas gala lēmums par Atveseļošanas un noturības mehānisma plāna grozījumu priekšlikumu par mērķrādītāja "Dzīvokļu skaits apstiprinātajos projektos" līdz 2026.gada 30.jūnijam vērtības samazinājumu no 700 uz 467, Ekonomikas ministrijai iesniegt Ministru kabinetā priekšlikumus rīcībai, lai nodrošinātu mērķrādītāja sasniegšanu 2021.gada gada 6. jūlija Eiropas Savienības Padomes īstenošanas lēmumā “Par Latvijas atveseļošanas un noturības plāna novērtējuma apstiprināšanu” minētajā apjomā.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grozījumu projektu ar pārejas noteikumiem, kas nosaka, ka grozījumi šo noteikumu 8.1.2. un 8.2.2. apakšpunktā par izmaiņām pasākuma ietvaros sasniedzamo mērķrādītāju vērtībām stājas spēkā ar dienu, kad stājas spēkā Eiropas Komisijas lēmums par attiecīgajiem Atveseļošanas fonda plāna grozījumu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minisrija pēc tam, kad Eiropas Komisija pieņēmusi lēmumu par Atveseļošanas fonda plāna grozījumu priekšlikumiem, nosūta attiecīgu paziņojumu publicēšanai oficiālajā izdevumā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šo noteikumu 8.1.2. un 8.2.2. apakšpunktā par izmaiņām pasākuma ietvaros sasniedzamo mērķrādītāju vērtībām stājas spēkā ar dienu, kad stājas spēkā Eiropas Komisijas lēmums par attiecīgajiem Atveseļošanas fonda plāna grozījumu priekšlikumiem. Ekonomikas ministrija pēc tam, kad Eiropas Komisija pieņēmusi lēmumu par Atveseļošanas fonda plāna grozījumu priekšlikumiem, nosūta attiecīgu paziņojumu publicēšanai oficiālajā izdevumā "Latvijas Vēstnesis".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attiecīgo tiesību normu.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Nekustamā īpašuma attīstītāji, kuriem ir piemērojams publisko iepirkumu regulējums, lai nodrošinātu dzīvojamās īres mājas būvniecību, pirms atbalsta pieteikuma iesniegšanas vai pirms iepirkumu izsludināšanas iesniedz iepirkumu plānu sabiedrībai "Altum". Sabiedrība "Altum" iesniedz kopējo iepirkumu plānu Kohēzijas politikas fondu vadības informācijas sistēmā. Sabiedrība "Altum" veic iepirkumu plāna un tajā ietverto iepirkumu pārbaudes tādā apmērā, lai novērstu interešu konflikta, korupcijas, krāpšanas un dubultfinansējuma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"pirms atbalsta pieteikuma iesniegšanas vai pirms iepirkumu izsludināšanas". Veicot iepirkumu, pieteicējs noskaidro projekta izmaksas un lemj par projekta īstenošanu, tādēļ nav korekti ierobežot iepirkuma procedūras veikšanu pirms pieteikuma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Nekustamā īpašuma attīstītāji, kuriem ir piemērojams publisko iepirkumu regulējums, lai nodrošinātu dzīvojamās īres mājas būvniecību, iesniedz iepirkumu plānu sabiedrībai "Altum". Sabiedrība "Altum" iesniedz kopējo iepirkumu plānu Kohēzijas politikas fondu vadības informācijas sistēmā. Sabiedrība "Altum" veic iepirkumu plāna un tajā ietverto iepirkumu pārbaudes tādā apmērā, lai novērstu interešu konflikta, korupcijas, krāpšanas un dubultfinansējuma riskus.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dzīvokļi tiek izīrēti mājsaimniecībām, kuru kopējie mēneša bruto vidējie ienākumi, par kuriem maksāts iedzīvotāju ienākumu nodoklis atbilstoši Valsts ieņēmumu dienesta  vai līdzvērtīgas ārvalstu nodokļu administrācijas izziņai, iepriekšējā taksācijas gadā dzīvojamās telpas piešķiršanas brīdī izīrēšanai ir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noteikumos vai skaidrot anotācijā, (1) uz kuru gadu (2022. vai 2023.gadu) attiecināmi ienākumi, ņemot vērā noteikumos paredzēto indeksāciju; (2) šādi nepieciešams skaidrot arī noteikumu 22.1.punktu; (3) noteikumu 26.1. un 55.6.punktu nepieciešams papildināt ar vārdiem "vismaz"; (4) 86.punktu papildināt ar atsaucēm uz 22.2. un 23.3.punktu.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daļēji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par to, ka MK noteikumos Nr.459 fiksētie ienākumu sliekšņi atbilst un vērtējami MK noteikumu pieņemšanas brīdī - 2022.gadā.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Nr.459 26.1.apakšpunkta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dzīvokļi tiek izīrēti mājsaimniecībām, kuru kopējie mēneša bruto vidējie ienākumi - ar iedzīvotāju ienākuma nodokli apliekamie ienākumi  atbilstoši Valsts ieņēmumu dienesta  vai līdzvērtīgas ārvalstu nodokļu administrācijas izziņai, iepriekšējā taksācijas gadā dzīvojamās telpas piešķiršanas brīdī izīrēšanai ir šādi: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48.2. </w:t>
            </w:r>
            <w:r w:rsidR="00000000" w:rsidRPr="00000000" w:rsidDel="00000000">
              <w:rPr>
                <w:rtl w:val="0"/>
              </w:rPr>
              <w:t xml:space="preserve">apakšpunktu</w:t>
            </w:r>
            <w:r w:rsidR="00000000" w:rsidRPr="00000000" w:rsidDel="00000000">
              <w:rPr>
                <w:rtl w:val="0"/>
              </w:rPr>
              <w:t xml:space="preserve">  minētais līgums jānoslēdz līdz aizdevuma vai paralēlā aizdevuma izsniegšanas uzsākšanai.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9. punktā paredzētā noteikumu 48.</w:t>
            </w:r>
            <w:r w:rsidR="00000000" w:rsidRPr="00000000" w:rsidDel="00000000">
              <w:rPr>
                <w:vertAlign w:val="superscript"/>
                <w:rtl w:val="0"/>
              </w:rPr>
              <w:t xml:space="preserve">1 </w:t>
            </w:r>
            <w:r w:rsidR="00000000" w:rsidRPr="00000000" w:rsidDel="00000000">
              <w:rPr>
                <w:rtl w:val="0"/>
              </w:rPr>
              <w:t xml:space="preserve">punkta nepieciešamību. Vēršam uzmanību, ka no noteikumu 48. punkta jau izriet, ka attiecīgo līgumu noslēgšana ir priekšnoteikums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anotācijā ir sniegts skaidrojums šo grozījumu mērķim - precizēt brīdi, kad ir jānoslēdz uzraudzības līgums, ņemot vērā jau šobrīd saņemtos jautājumus no nekustamā īpašuma attīstītājiem.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48.2. </w:t>
            </w:r>
            <w:r w:rsidR="00000000" w:rsidRPr="00000000" w:rsidDel="00000000">
              <w:rPr>
                <w:rtl w:val="0"/>
              </w:rPr>
              <w:t xml:space="preserve">apakšpunktu</w:t>
            </w:r>
            <w:r w:rsidR="00000000" w:rsidRPr="00000000" w:rsidDel="00000000">
              <w:rPr>
                <w:rtl w:val="0"/>
              </w:rPr>
              <w:t xml:space="preserve">  minētais līgums jānoslēdz līdz aizdevuma vai paralēlā aizdevuma izsniegšanas uzsākšanai.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 kurš atbilst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panta 1. punktā noteiktajiem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skaidrojumu, ka Atveseļošanas un noturības mehānisma ietvaros izslēgšanas nosacījumi tiek pārbaudīti tāpat kā Eiropas Savienības struktūrfondu un Kohēzijas fonda ietvaros, MKN459 53.4 punktā dzēšama atsauce uz Finanšu Regulas 136. pantu, tā vietā šo punktu izsakot šādā redakcijā, kas atbilst ES strukturfondu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 kurš atbilst  Eiropas Parlamenta un Padomes 2018. gada 18. jūlija Regulas (ES, Euratom)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panta 1. punktā noteiktajiem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sabiedrība "Possessor" konstatē 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35.1.</w:t>
            </w:r>
            <w:r w:rsidR="00000000" w:rsidRPr="00000000" w:rsidDel="00000000">
              <w:rPr>
                <w:rtl w:val="0"/>
              </w:rPr>
              <w:t xml:space="preserve"> un </w:t>
            </w:r>
            <w:r w:rsidR="00000000" w:rsidRPr="00000000" w:rsidDel="00000000">
              <w:rPr>
                <w:rtl w:val="0"/>
              </w:rPr>
              <w:t xml:space="preserve">35.2.</w:t>
            </w:r>
            <w:r w:rsidR="00000000" w:rsidRPr="00000000" w:rsidDel="00000000">
              <w:rPr>
                <w:rtl w:val="0"/>
              </w:rPr>
              <w:t xml:space="preserve"> apakšpunktā</w:t>
            </w:r>
            <w:r w:rsidR="00000000" w:rsidRPr="00000000" w:rsidDel="00000000">
              <w:rPr>
                <w:rtl w:val="0"/>
              </w:rPr>
              <w:t xml:space="preserve"> minēto nosacījumu pārkāpumus, tā piemēro līgumsodu, kas noteikts šo noteikumu </w:t>
            </w:r>
            <w:r w:rsidR="00000000" w:rsidRPr="00000000" w:rsidDel="00000000">
              <w:rPr>
                <w:rtl w:val="0"/>
              </w:rPr>
              <w:t xml:space="preserve">48.1.</w:t>
            </w:r>
            <w:r w:rsidR="00000000" w:rsidRPr="00000000" w:rsidDel="00000000">
              <w:rPr>
                <w:rtl w:val="0"/>
              </w:rPr>
              <w:t xml:space="preserve"> apakšpunktā</w:t>
            </w:r>
            <w:r w:rsidR="00000000" w:rsidRPr="00000000" w:rsidDel="00000000">
              <w:rPr>
                <w:rtl w:val="0"/>
              </w:rPr>
              <w:t xml:space="preserve"> minētajā aizdevuma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līguma termiņš ir ievērojami īsāks par uzraudzības līguma termiņu, līdz ar to (1) līgumsodi, kas piemērojami t.sk. pēc aizdevuma atmaksas un aizdevuma saistību izpildes, norādāmi uzraudzības līgumā - attiecīgi priekšlikums precizēt noteikumu 71.punktu, (2) 48.2.punktā nepieciešams noteikt, ka uzraudzības līgums noslēdzams līdz aizdevuma izsniegšanas uzsākšanai; (3) 20.punktā norādīt, minētie līgumsodi ir mājokļu piejamības fonda finansējums; (4) MKN459 39.punkts paredz, ka attīstītājs veic maksājumus Mājokļu pieejamības fondā, kas saskaņā ar MKN459 19. punkta ir Altum pārvaldībā. Savukārt MKN459  69. punkts nosaka, ka Possessor reizi gadā šos maksājumus pārskaita Mājokļu pieejamības fondā, no kā var secināt, ka attīstītājs veic maksājumus Possessor, līdz ar to nepieciešams precizēt 39.un 68.punktu.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sabiedrība "Possessor" konstatē šo noteikumu 23, 25., 28. un 29. punktā un 35.1. un 35.2. apakšpunktā minēto nosacījumu pārkāpumus, tā piemēro līgumsodu, kas noteikts šo noteikumu 48.2. apakšpunktā minētajā uzraudzības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"līdz aizdevuma vai paralēlā aizdevuma izsniegšanas uzsākšanai"  līgumu ar sabiedrību "Possessor" par šo noteikumu 79. punktā minēto uzraudzību, šo noteikumu 39. un 67. punktā noteikto pienākumu ievērošanu un nosacījumiem, ja šie pienākumi tiek pārkāpti, un par reālnastas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līgumsodi, kas iekasēti par pārkāpumiem saskaņā ar šo noteikumu 48.2. punkta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Pēc šo noteikumu ietvaros izsniegtā sabiedrības "Altum" aizdevuma saistību izpildes nekustamā īpašuma attīstītājs vai saistību pārņēmējs reizi ceturksnī līdz attiecīgā ceturkšņa pēdējai darbdienai veic maksājumu 50 % apmērā no ieņēmumiem no īres maksas sabiedrībai “Possessor” tā pārskaitīšanai Mājokļu pieejamības fonda saskaņā ar šo noteikumu 48.2. apakšpunktā minēto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Ja sabiedrība "Possessor" atbilstoši šo noteikumu 65. punktā minētajai metodikai konstatē pārmērīgu kompensāciju, nekustamā īpašuma attīstītājs iemaksā sabiedrībai “Possessor” pārskaitīšanai sabiedrībai “Altum” Mājokļu pieejamības fondāam  līdzekļus, kas ir brīvi no komercdarbības atbalsta, pārmērīgas kompensācijas apmērā, ievērojot normatīvos aktus komercdarbības atbalsta kontroles jomā par nelikumīga komercdarbības atbalsta atgūšanu. Ja            pārmērīgas kompensācijas summa nepārsniedz 10 % no vidējās gada kompensācijas summas, sabiedrība "Possessor" šādu pārmērīgas kompensācijas apmēru pārnes uz nākamo periodu un atskaita no kompensācijas summas par minēto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daļēji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Nr.459 71.punkta un 48.2. apakšpunkta redakcija, kā arī noteikumi papildināti ar jaunu 48.</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sabiedrība "Possessor" konstatē šo noteikumu </w:t>
            </w:r>
            <w:r w:rsidR="00000000" w:rsidRPr="00000000" w:rsidDel="00000000">
              <w:rPr>
                <w:rtl w:val="0"/>
              </w:rPr>
              <w:t xml:space="preserve">23.1.</w:t>
            </w:r>
            <w:r w:rsidR="00000000" w:rsidRPr="00000000" w:rsidDel="00000000">
              <w:rPr>
                <w:rtl w:val="0"/>
              </w:rPr>
              <w:t xml:space="preserve"> apakšpunktā</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un </w:t>
            </w:r>
            <w:r w:rsidR="00000000" w:rsidRPr="00000000" w:rsidDel="00000000">
              <w:rPr>
                <w:rtl w:val="0"/>
              </w:rPr>
              <w:t xml:space="preserve">35.1.</w:t>
            </w:r>
            <w:r w:rsidR="00000000" w:rsidRPr="00000000" w:rsidDel="00000000">
              <w:rPr>
                <w:rtl w:val="0"/>
              </w:rPr>
              <w:t xml:space="preserve"> un </w:t>
            </w:r>
            <w:r w:rsidR="00000000" w:rsidRPr="00000000" w:rsidDel="00000000">
              <w:rPr>
                <w:rtl w:val="0"/>
              </w:rPr>
              <w:t xml:space="preserve">35.2.</w:t>
            </w:r>
            <w:r w:rsidR="00000000" w:rsidRPr="00000000" w:rsidDel="00000000">
              <w:rPr>
                <w:rtl w:val="0"/>
              </w:rPr>
              <w:t xml:space="preserve"> apakšpunktā</w:t>
            </w:r>
            <w:r w:rsidR="00000000" w:rsidRPr="00000000" w:rsidDel="00000000">
              <w:rPr>
                <w:rtl w:val="0"/>
              </w:rPr>
              <w:t xml:space="preserve"> minēto nosacījumu pārkāpumus, tā piemēro līgumsodu, kas noteikts šo noteikumu </w:t>
            </w:r>
            <w:r w:rsidR="00000000" w:rsidRPr="00000000" w:rsidDel="00000000">
              <w:rPr>
                <w:rtl w:val="0"/>
              </w:rPr>
              <w:t xml:space="preserve">48.2.</w:t>
            </w:r>
            <w:r w:rsidR="00000000" w:rsidRPr="00000000" w:rsidDel="00000000">
              <w:rPr>
                <w:rtl w:val="0"/>
              </w:rPr>
              <w:t xml:space="preserve"> apakšpunktā</w:t>
            </w:r>
            <w:r w:rsidR="00000000" w:rsidRPr="00000000" w:rsidDel="00000000">
              <w:rPr>
                <w:rtl w:val="0"/>
              </w:rPr>
              <w:t xml:space="preserve"> minētajā uzraudzības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23-TA-1296</w:t>
    </w:r>
    <w:r>
      <w:br/>
    </w:r>
    <w:r w:rsidR="00000000" w:rsidRPr="00000000" w:rsidDel="00000000">
      <w:rPr>
        <w:rtl w:val="0"/>
      </w:rPr>
      <w:t xml:space="preserve">13.06.2023. 11.06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23-TA-1296</w:t>
    </w:r>
    <w:r>
      <w:br/>
    </w:r>
    <w:r w:rsidR="00000000" w:rsidRPr="00000000" w:rsidDel="00000000">
      <w:rPr>
        <w:rtl w:val="0"/>
      </w:rPr>
      <w:t xml:space="preserve">13.06.2023. 11.06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Izziņa_23-TA-1296.docx</dc:title>
</cp:coreProperties>
</file>

<file path=docProps/custom.xml><?xml version="1.0" encoding="utf-8"?>
<Properties xmlns="http://schemas.openxmlformats.org/officeDocument/2006/custom-properties" xmlns:vt="http://schemas.openxmlformats.org/officeDocument/2006/docPropsVTypes"/>
</file>