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22-TA-789: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24. maija noteikumos Nr. 320 "Valsts un Eiropas Savienības atbalsta piešķiršanas kārtība pasākumā "Atbalsts ieguldījumiem ar lauksaimniecību nesaistītu darbību radīšanā un attīstīšanā" atklātu projektu iesniegumu konkursu veidā"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3.nodaļas 1. un 2.punktā precizēt 2025.gadam norādīto summu, ņemot vērā 6.punktā norādīto, ka apakšpasākuma M6.4. “Atbalsts ieguldījumiem ar lauksaimniecību nesaistītu darbību radīšanā un attīstīšanā” īstenošanai finansējums 2025.gadā plānots 2 500 000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3.nodaļas 1. un 2.punktā precizēts, ievērojot norādīto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punkta izvērtējumu pret Komisijas regulas nr.651/2014 14.panta 15.punktu, vēršam uzmanību, ka tajā ir noteiktas prasības Eiropas teritoriālās sadarbības projektiem, uz kuriem attiecas Regula (ES) Nr. 1299/2013 vai Regula (ES) 2021/1059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skaidrībai par atbalsta sniegšanas termiņu ar Komisijas regulas Nr.651/2014 14.panta mērķi, lūdzam anotāciju papildināt ar informāciju, ka atbalstu saskaņā ar Komisijas regulas Nr. 651/2014 14.pantu var piešķirt līdz 31.12.2023.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pretendents visu projekta īstenošanas un uzraudzības laiku nodrošina, ka projekts atbilst pasākuma mērķim, un neaizvieto esošos pamatlīdzekļus. Par pamatlīdzekļu aizvietošanu, ievērojot šo noteikumu </w:t>
            </w:r>
            <w:r w:rsidR="00000000" w:rsidRPr="00000000" w:rsidDel="00000000">
              <w:rPr>
                <w:rtl w:val="0"/>
              </w:rPr>
              <w:t xml:space="preserve">53.</w:t>
            </w:r>
            <w:r w:rsidR="00000000" w:rsidRPr="00000000" w:rsidDel="00000000">
              <w:rPr>
                <w:rtl w:val="0"/>
              </w:rPr>
              <w:t xml:space="preserve"> punktā noteikto, neuzskata: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terminu "pārbūve" un "atjaunošana" lietošanu. Vēršam uzmanību uz Eiropas Komisijas sniegto atbildi Spānijai un Francijai (eWIKI), ka izmaksas, kas saistītas ar renovāciju (atjaunošana), kuras radušās lieliem uzņēmumiem, nevar iekļaut attiecināmo izmaksu bāzē, jo pēc būtības renovācija ir saistīta ar lietotiem aktīviem, līdz ar to, ja uz attiecināmo projektu attiecas 2. panta 49. punkta a) apakšpunktā noteiktais, tad lielu uzņēmumu gadījumā aktīviem ir jābūt jauniem. Ievērojot izteikto iebildumu, lūdzam pārskatīt 21.punktā un jo īpaši tā 21.1. un 21.4.apakšpunktos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šī un citu Latvijas lauku attīstības programmas pasākumu ietvaros atbalsts būvju atjaunošanai tiek sniegts tikai gadījumā, ja tās funkcionāli tiek uzlabotas precīzāk to definējot noteikumu 10.punktā, piemēram, piemēram, uzlabota ēkas energoefektivitāte, telpas pārveidotas un pielāgotas ražošanas, pakalpojuma vai tūrisma vajadzībām, nemainot būves apjomu vai nesošo elementu nestspēju. Atbalsts netiek sniegts par būvju renovāciju jeb atjaunošanu iepriekšējā stāvoklī, nomainot nolietojušos būves elementus vai konstrukcijas.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21.punktā ir sniegta atsauce uz noteikumu 53.punktu, kurš ietver atsauci uz Regulas Nr.651/2014 2.panta 49.punktu.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Atbalsta pretendents visu projekta īstenošanas un uzraudzības laiku nodrošina, ka projekts atbilst pasākuma mērķim, un neaizvieto esošos pamatlīdzekļus. Par pamatlīdzekļu aizvietošanu, ievērojot šo noteikumu </w:t>
            </w:r>
            <w:r w:rsidR="00000000" w:rsidRPr="00000000" w:rsidDel="00000000">
              <w:rPr>
                <w:rtl w:val="0"/>
              </w:rPr>
              <w:t xml:space="preserve">53.</w:t>
            </w:r>
            <w:r w:rsidR="00000000" w:rsidRPr="00000000" w:rsidDel="00000000">
              <w:rPr>
                <w:rtl w:val="0"/>
              </w:rPr>
              <w:t xml:space="preserve"> punktā noteikto, neuzskata: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papildu investīcijas esošos pamatlīdzekļos, kas vecāki par 10 gadiem. Papildinot esošos pamatlīdzekļus, kas jaunāki par 10 gadiem, tie jāsaglabā vismaz piecus gadus no projekta iesniegšanas dienas vai līdz pamatlīdzekļa nolietojuma 10 gadiem;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šī punkta redakciju, lai nodrošinātu atbilstību MK noteikumu 55.punktā noteiktajam, t.i., "Saskaņā ar regulas Nr. 651/2014 14. panta 5. punktu projektā veiktos ieguldījumus saglabā projekta īstenošanas vietā vismaz piecus gadus pēc tā īstenošanas."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papildu investīcijas esošos pamatlīdzekļos, kas vecāki par 10 gadiem. Papildinot esošos pamatlīdzekļus, kas jaunāki par 10 gadiem, tie jāsaglabā projekta īstenošanas vietā vismaz piecus gadus pēc projekta īstenošanas vai līdz pamatlīdzekļa nolietojuma 10 gadiem;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Atbalsta intensitāte ir 40 procentu no attiecināmajām izmaksām, bet par ieguldījumiem energoefektīvās ēkās – 50 procentu, par specializētās meža tehnikas iegādi – 35 procenti un par citas mobilās tehnikas iegādi – 25 procenti no attiecināmajām izmaksām, nepārsniedzot šo noteikumu 61. punktā noteikto maksimālo reģionālā finansējuma atbalsta intensitāti, izņemot šo noteikumu 36. punktā noteiktajā gadījumā.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35. un 36.punkta redakcijas un pārstrādāt tās, lai ir skaidrs, kādas ir maksimālās atbalsta intensitātes šo noteikumu ietvaros kā lielam, tā mazam un vidējam uzņēmumam, izdalot tās atseviškos apakšpunktos. No šī brīža redakcijām viennozīmīgi nav skaidrs, kura intensitāte uz ko ir 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35.punkta redakcija un svītrots 36.punkts.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Atbalsta intensitāte no projekta kopējās attiecināmo izmaksu summas (reģioni atbilstoši statistisko NUTS 3 reģionu klasifikatoram):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iekārtu un aprīkojumu iegāde un uzstādīšana atjaunojamās elektroenerģijas ražošanai atbalsta pretendenta pašpatēriņam, ja elektroenerģijas ražošanas jauda nepārsniedz atbalsta pretendenta elektroenerģijas pašpatēriņu iepriekšējā kalendāra gadā vai atbalsta pretendents pamato plānoto elektroenerģijas patēriņa palielinājumu.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atbalsta programmā plānots iekļaut attiecināmajās izmaksās arī enerģijas ražošanas iekārtu izmaksas, tad tas ir pieļaujams, ja atbalsta programmā tiks iekļauti kumulatīvi nosacījumi, kas izriet no eWiki sistēmā Eiropas Komisijas 25.06.2018. atbildē sniegtā skaidrojuma: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ieguldījumu projekta galvenais mērķis nav vērsts uz enerģijas ražošanu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enerģijas ražošanas jauda ir jāpielāgo uzņēmuma vajadzībām, kas nozīmē, ka mērķis ir pašpatēriņš un tādējādi tiktu pārdoti ne vairāk kā 20% no plānotās saražotās enerģijas (pamatojoties uz ex ante analīzi), t.i., 80/20;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ieguldījumi attiecināmi uz atjaunojamiem enerģijas avotiem vai augstas efektivitātes koģenerāciju.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saistībā aicinām, piemēram, skatīt pēc analoģijas likuma “Par nodokļu piemērošanu brīvostās un speciālajās ekonomiskajās zonās” 5. panta ceturtās daļas 8. punktu). Lūdzam atbilstoši precizēt noteikumu punktu un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38.8.apakšpunkts un ietverts jauns noteikumu punkts - 39.1 - atbilstoši iebilduma būtībai.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38.8. iekārtu un aprīkojumu iegāde un uzstādīšana atjaunojamās elektroenerģijas ražošanai atbalsta pretendenta pašpatēriņam.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9.</w:t>
            </w:r>
            <w:r w:rsidR="00000000" w:rsidRPr="00000000" w:rsidDel="00000000">
              <w:rPr>
                <w:rtl w:val="0"/>
              </w:rPr>
              <w:t xml:space="preserve"> punktā minētajām aktivitātēm atbalstu sniedz saskaņā ar regulas Nr.  </w:t>
            </w:r>
            <w:r w:rsidR="00000000" w:rsidRPr="00000000" w:rsidDel="00000000">
              <w:rPr>
                <w:rtl w:val="0"/>
              </w:rPr>
              <w:t xml:space="preserve">651/2014</w:t>
            </w:r>
            <w:r w:rsidR="00000000" w:rsidRPr="00000000" w:rsidDel="00000000">
              <w:rPr>
                <w:rtl w:val="0"/>
              </w:rPr>
              <w:t xml:space="preserve"> 14. panta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regulas Nr.14.panta 14.punktā noteikto, lūdzam papildināt noteikumus ar punktu, ka nosacījums, ka atbalsta saņēmējs nodrošina finansiālu ieguldījumu vismaz 25 % apmērā no attiecināmajām izmaksām, izmantojot pašu līdzekļus vai ārējo finansējumu, par kuru nav saņemts nekāds publisks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9.</w:t>
            </w:r>
            <w:r w:rsidR="00000000" w:rsidRPr="00000000" w:rsidDel="00000000">
              <w:rPr>
                <w:rtl w:val="0"/>
              </w:rPr>
              <w:t xml:space="preserve"> punktā minētajām aktivitātēm atbalstu sniedz saskaņā ar regulas Nr. </w:t>
            </w:r>
            <w:r w:rsidR="00000000" w:rsidRPr="00000000" w:rsidDel="00000000">
              <w:rPr>
                <w:rtl w:val="0"/>
              </w:rPr>
              <w:t xml:space="preserve">651/2014</w:t>
            </w:r>
            <w:r w:rsidR="00000000" w:rsidRPr="00000000" w:rsidDel="00000000">
              <w:rPr>
                <w:rtl w:val="0"/>
              </w:rPr>
              <w:t xml:space="preserve"> 14. panta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Piešķirot atbalstu lieliem komersantiem būtisku pārmaiņu ieviešanai ražošanas procesā, ievēro regulas Nr. </w:t>
            </w:r>
            <w:r w:rsidR="00000000" w:rsidRPr="00000000" w:rsidDel="00000000">
              <w:rPr>
                <w:rtl w:val="0"/>
              </w:rPr>
              <w:t xml:space="preserve">651/2014</w:t>
            </w:r>
            <w:r w:rsidR="00000000" w:rsidRPr="00000000" w:rsidDel="00000000">
              <w:rPr>
                <w:rtl w:val="0"/>
              </w:rPr>
              <w:t xml:space="preserve"> 14. panta 7.punkta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 651/2014 14. panta 7.punkta ietvertā prasība: "</w:t>
            </w:r>
            <w:r w:rsidR="00000000" w:rsidRPr="00000000" w:rsidDel="00000000">
              <w:rPr>
                <w:i w:val="1"/>
                <w:rtl w:val="0"/>
              </w:rPr>
              <w:t xml:space="preserve">Attiecībā uz atbalstu, ko piešķir </w:t>
            </w:r>
            <w:r w:rsidR="00000000" w:rsidRPr="00000000" w:rsidDel="00000000">
              <w:rPr>
                <w:i w:val="1"/>
                <w:u w:val="single"/>
                <w:rtl w:val="0"/>
              </w:rPr>
              <w:t xml:space="preserve">esošas uzņēmējdarbības vietas darbības dažādošanai</w:t>
            </w:r>
            <w:r w:rsidR="00000000" w:rsidRPr="00000000" w:rsidDel="00000000">
              <w:rPr>
                <w:i w:val="1"/>
                <w:rtl w:val="0"/>
              </w:rPr>
              <w:t xml:space="preserve">, attiecināmajām izmaksām vismaz par 200 % jāpārsniedz atkārtoti izmantoto aktīvu uzskaites vērtība, kas reģistrēta iepriekšējā fiskālajā gadā pirms darbu sākšanas</w:t>
            </w:r>
            <w:r w:rsidR="00000000" w:rsidRPr="00000000" w:rsidDel="00000000">
              <w:rPr>
                <w:rtl w:val="0"/>
              </w:rPr>
              <w:t xml:space="preserve">" ir attiecināmas uz lielajiem komersantiem un ievērojot šo noteikumu 53.punktā noteikto, ka materiālie aktīvi atbilst regulas Nr. 651/2014 2. panta 49. punkta definīcijai, t.i. pieļaujama esošas uzņēmējdarbības vietas darības dažādošana, lūdzam atbilstoši papildināt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Piešķirot atbalstu lieliem komersantiem ievēro regulas Nr. </w:t>
            </w:r>
            <w:r w:rsidR="00000000" w:rsidRPr="00000000" w:rsidDel="00000000">
              <w:rPr>
                <w:rtl w:val="0"/>
              </w:rPr>
              <w:t xml:space="preserve">651/2014</w:t>
            </w:r>
            <w:r w:rsidR="00000000" w:rsidRPr="00000000" w:rsidDel="00000000">
              <w:rPr>
                <w:rtl w:val="0"/>
              </w:rPr>
              <w:t xml:space="preserve"> 2. panta 49. punkta un 14. panta 7.punkta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Piešķirot atbalstu lieliem komersantiem būtisku pārmaiņu ieviešanai ražošanas procesā, ievēro regulas Nr. </w:t>
            </w:r>
            <w:r w:rsidR="00000000" w:rsidRPr="00000000" w:rsidDel="00000000">
              <w:rPr>
                <w:rtl w:val="0"/>
              </w:rPr>
              <w:t xml:space="preserve">651/2014</w:t>
            </w:r>
            <w:r w:rsidR="00000000" w:rsidRPr="00000000" w:rsidDel="00000000">
              <w:rPr>
                <w:rtl w:val="0"/>
              </w:rPr>
              <w:t xml:space="preserve"> 2. panta 49. punkta un 14. panta 7.punkta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punktā dzēst vārdus “būtisku pārmaiņu ieviešanai ražošanas procesā”, ņemot vērā, ka atbalsta programmā ir paredzēts atbalstīt ne tikai būtiskas pārmaiņas ražošanas procesā, bet arī esošas uzņēmējdarbības vietas darbības dažādošanu, kā tas arī izriet nonoteikumu punkta redakcijas, atbilstoši Komisijas regulas Nr. 651/2014 2. panta 49. punktam un tādējādi uz abiem gadījumiem gan būtiskām pārmaiņām ražošanas procesā, gan esošas uzņēmējdarbības vietas darbības dažādošanai  ir attiecināms Komisijas regulas Nr. 651/2014 14.panta 7.punktā ietvertās atšķirīgās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Piešķirot atbalstu lieliem komersantiem ievēro regulas Nr. </w:t>
            </w:r>
            <w:r w:rsidR="00000000" w:rsidRPr="00000000" w:rsidDel="00000000">
              <w:rPr>
                <w:rtl w:val="0"/>
              </w:rPr>
              <w:t xml:space="preserve">651/2014</w:t>
            </w:r>
            <w:r w:rsidR="00000000" w:rsidRPr="00000000" w:rsidDel="00000000">
              <w:rPr>
                <w:rtl w:val="0"/>
              </w:rPr>
              <w:t xml:space="preserve"> 2. panta 49. punkta un 14. panta 7.punkta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kas piešķirts, pamatojoties uz šiem noteikumiem, var apvienot ar citu valsts atbalstu, kura attiecināmās izmaksas nav nosakāmas, nepārsniedzot šajos noteikumos paredzēto finansējuma intensitāti un apmēru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60. un 61.punkts paredz atbalsta kumulācijas iespēju, lūdzam paredzēt arī noteikumos jaunu punktu, kas noteiktu atbalsta saņēmējam pienākumu, ja tas ir paredzējis noteikumu 60. un 61.punktā paredzēto kumulāciju, iesniegt visu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Ietverts 61.</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sīkajiem (mikro) vai mazajiem komersantiem Kurzemes, Zemgales, Vidzemes un Latgales reģionā – 50 procentu, Pierīgas reģionā – 40 procentu;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2. novembra noteikumu Nr. 729 "Noteikumi par reģionālās attīstības atbalstu Latvijas Republikā līdz 2027. gadam" 3. un 5.punktu attiecībā uz mazajiem uzņēmumiem, kas darbojas Kurzemes, Zemgales, Vidzemes un Latgales reģionā maksimālā reģionālā atbalsta intensitāte var būt 60% (30%+10%+20%), savukārt mazajiem uzņēmumiem Pierīgā  50% (30%+20%). Aicinām izvērtēt precizējumu veikšanu MK noteikumu Nr.320 61.1.apakšpunktā. Gadījumā, ja tomēr programmas ietvaros netiek piemērotas iepriekš minētās maksimālā atbalsta iespējas, lūdzam anotācijas V sadaļas 2. tabulā pie noteikumu projekta punktu izvērtējuma norādīt un pamatot, ka tiek paredzētas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sīkajiem (mikro) vai mazajiem komersantiem Kurzemes, Zemgales, Vidzemes un Latgales reģionā – 60 procentu, Pierīgas reģionā – 50 procentu;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nepiešķir, ja Lauku atbalsta dienests projekta iesnieguma apstiprināšanas brīdī ir konstatējis kādu no grūtībās nonākuša uzņēmuma pazīmēm atbilstoši regulas Nr.  </w:t>
            </w:r>
            <w:r w:rsidR="00000000" w:rsidRPr="00000000" w:rsidDel="00000000">
              <w:rPr>
                <w:rtl w:val="0"/>
              </w:rPr>
              <w:t xml:space="preserve">651/2014</w:t>
            </w:r>
            <w:r w:rsidR="00000000" w:rsidRPr="00000000" w:rsidDel="00000000">
              <w:rPr>
                <w:rtl w:val="0"/>
              </w:rPr>
              <w:t xml:space="preserve"> 2. panta 18. punktam un normatīvajiem aktiem par Eiropas Lauksaimniecības garantiju fonda, Eiropas Lauksaimniecības fonda lauku attīstībai un Eiropas Jūrlietu un zivsaimniecības fonda, kā arī valsts un Eiropas Savienības atbalsta lauksaimniecībai un lauku un zivsaimniecības attīstībai finansējuma administrēšanu 2014.–2020.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par Komisijas regulas Nr.651/2014 2.panta 18.punkta c) apakšpunktā ietverto piebildi “</w:t>
            </w:r>
            <w:r w:rsidR="00000000" w:rsidRPr="00000000" w:rsidDel="00000000">
              <w:rPr>
                <w:i w:val="1"/>
                <w:rtl w:val="0"/>
              </w:rPr>
              <w:t xml:space="preserve">vai tas atbilst normatīvajos aktos noteiktiem kritērijiem, lai tam pēc kreditora pieprasījuma piemērotu maksātnespējas procedūru</w:t>
            </w:r>
            <w:r w:rsidR="00000000" w:rsidRPr="00000000" w:rsidDel="00000000">
              <w:rPr>
                <w:rtl w:val="0"/>
              </w:rPr>
              <w:t xml:space="preserve">” pārbaudi nav iespējams veikt, pamatojoties uz publiskajos reģistros pieejamo informāciju, skaidrojam, ka tās pārbaude parasti tiek veikta, ņemot vērā atbalsta pretendenta iesniegtu apliecinājumu. Lūdzam paredzēt atbalsta pretendenta pienākumu iesniegt šādu apliecinājumu.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nepiešķir, ja Lauku atbalsta dienests uz atbalsta piešķiršanas brīdi ir konstatējis kādu no grūtībās nonākuša uzņēmuma pazīmēm atbilstoši regulas Nr. </w:t>
            </w:r>
            <w:r w:rsidR="00000000" w:rsidRPr="00000000" w:rsidDel="00000000">
              <w:rPr>
                <w:rtl w:val="0"/>
              </w:rPr>
              <w:t xml:space="preserve">651/2014</w:t>
            </w:r>
            <w:r w:rsidR="00000000" w:rsidRPr="00000000" w:rsidDel="00000000">
              <w:rPr>
                <w:rtl w:val="0"/>
              </w:rPr>
              <w:t xml:space="preserve"> 2. panta 18. punktam un normatīvajiem aktiem par Eiropas Lauksaimniecības garantiju fonda, Eiropas Lauksaimniecības fonda lauku attīstībai un Eiropas Jūrlietu un zivsaimniecības fonda, kā arī valsts un Eiropas Savienības atbalsta lauksaimniecībai un lauku un zivsaimniecības attīstībai finansējuma administrēšanu 2014.–2020. gada plānošanas periodā. Nosacījumu, lai saimnieciskās darbības veicējam pēc kreditora pieprasījuma piemērotu maksātnespējas procedūru, pārbauda, balstoties uz atbalsta pretendenta iesniegtu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r w:rsidR="00000000" w:rsidRPr="00000000" w:rsidDel="00000000">
              <w:rPr>
                <w:vertAlign w:val="superscript"/>
                <w:rtl w:val="0"/>
              </w:rPr>
              <w:t xml:space="preserve">1</w:t>
            </w:r>
            <w:r w:rsidR="00000000" w:rsidRPr="00000000" w:rsidDel="00000000">
              <w:rPr>
                <w:rtl w:val="0"/>
              </w:rPr>
              <w:t xml:space="preserve"> Ja atbalsta saņēmējs izmanto noteikumu 60. un 61.punktā paredzēto kumulāciju, tad pretendējot uz atbalstu šo noteikumu ietvaros, norāda visu informāciju par  plānoto un piešķirto atbalstu tā paša projekta ietvaros, tai skaitā par tām pašām attiecināmajām izmaksām, norādot atbalsta piešķiršanas datumu, atbalsta sniedzēju, atbalsta pasākumu un plānoto vai piešķirto atbalsta summu, kā arī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vai dzēst šo punktu, jo dublē noteikumu 60.punktu. Vienlaikus vēršam uzmanību, ka būtu vēlams saglabāt iepriekšējo noteikumu 60.punkta redakciju, jo tajā bija atrunāta atbalsta apvienošanas kārtība ar citu valsts atbalstu, kura attiecināmās izmaksas nav nosakāmas.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nepiešķir, ja Lauku atbalsta dienests projekta iesnieguma apstiprināšanas brīdī ir konstatējis kādu no grūtībās nonākuša uzņēmuma pazīmēm atbilstoši regulas Nr. </w:t>
            </w:r>
            <w:r w:rsidR="00000000" w:rsidRPr="00000000" w:rsidDel="00000000">
              <w:rPr>
                <w:rtl w:val="0"/>
              </w:rPr>
              <w:t xml:space="preserve">651/2014</w:t>
            </w:r>
            <w:r w:rsidR="00000000" w:rsidRPr="00000000" w:rsidDel="00000000">
              <w:rPr>
                <w:rtl w:val="0"/>
              </w:rPr>
              <w:t xml:space="preserve"> 2. panta 18. punktam un normatīvajiem aktiem par Eiropas Lauksaimniecības garantiju fonda, Eiropas Lauksaimniecības fonda lauku attīstībai un Eiropas Jūrlietu un zivsaimniecības fonda, kā arī valsts un Eiropas Savienības atbalsta lauksaimniecībai un lauku un zivsaimniecības attīstībai finansējuma administrēšanu 2014.–2020. gada plānošanas periodā vai vai atbalsta pretendentam,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 Nosacījumu, lai saimnieciskās darbības veicējam pēc kreditora pieprasījuma piemērotu maksātnespējas procedūru, pārbauda, balstoties uz atbalsta pretendenta iesniegtu apliecinājumu.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nepiešķir, ja Lauku atbalsta dienests projekta iesnieguma apstiprināšanas brīdī ir konstatējis kādu no grūtībās nonākuša uzņēmuma pazīmēm atbilstoši regulas Nr. 651/2014 2. panta 18. punktam, lūdzam dzēst teksta daļu:"vai vai atbalsta pretendentam, kuram ierosināta tiesiskās aizsardzības procesa lieta, tiek īstenots tiesiskās aizsardzības process vai pasludināts maksātnespējas process, vai tas atbilst normatīvajos aktos noteiktiem kritērijiem, lai tam pēc kreditora pieprasījuma piemērotu maksātnespējas procedūru.", jo tā rada maldīgu priekšstatu, ka pārējie regulas Nr.651/2014 2. panta 18. punkta nosacījumi nav attiecināmi.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pārskatīt šīs normas redakciju, ievērojot 63.</w:t>
            </w:r>
            <w:r w:rsidR="00000000" w:rsidRPr="00000000" w:rsidDel="00000000">
              <w:rPr>
                <w:vertAlign w:val="superscript"/>
                <w:rtl w:val="0"/>
              </w:rPr>
              <w:t xml:space="preserve">1</w:t>
            </w:r>
            <w:r w:rsidR="00000000" w:rsidRPr="00000000" w:rsidDel="00000000">
              <w:rPr>
                <w:rtl w:val="0"/>
              </w:rPr>
              <w:t xml:space="preserve">punktā noteikto, ka Lauku atbalsta dienesta lēmuma pieņemšanas datums par iesnieguma apstiprināšanu uzskatāms par valsts atbalsta piešķiršanas dienu, attiecīgi arī Lauku atbalsta dienestam būtu jāpārliecinās, ka projekta iesniedzējs nav grūtībās nonācis uz atbalsta piešķiršanas brīdi.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Atbalstu nepiešķir, ja Lauku atbalsta dienests uz atbalsta piešķiršanas brīdi ir konstatējis kādu no grūtībās nonākuša uzņēmuma pazīmēm atbilstoši regulas Nr. </w:t>
            </w:r>
            <w:r w:rsidR="00000000" w:rsidRPr="00000000" w:rsidDel="00000000">
              <w:rPr>
                <w:rtl w:val="0"/>
              </w:rPr>
              <w:t xml:space="preserve">651/2014</w:t>
            </w:r>
            <w:r w:rsidR="00000000" w:rsidRPr="00000000" w:rsidDel="00000000">
              <w:rPr>
                <w:rtl w:val="0"/>
              </w:rPr>
              <w:t xml:space="preserve"> 2. panta 18. punktam un normatīvajiem aktiem par Eiropas Lauksaimniecības garantiju fonda, Eiropas Lauksaimniecības fonda lauku attīstībai un Eiropas Jūrlietu un zivsaimniecības fonda, kā arī valsts un Eiropas Savienības atbalsta lauksaimniecībai un lauku un zivsaimniecības attīstībai finansējuma administrēšanu 2014.–2020. gada plānošanas periodā. Nosacījumu, lai saimnieciskās darbības veicējam pēc kreditora pieprasījuma piemērotu maksātnespējas procedūru, pārbauda, balstoties uz atbalsta pretendenta iesniegtu apliecinājumu.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Lai izpildītu regulas Nr.  </w:t>
            </w:r>
            <w:r w:rsidR="00000000" w:rsidRPr="00000000" w:rsidDel="00000000">
              <w:rPr>
                <w:rtl w:val="0"/>
              </w:rPr>
              <w:t xml:space="preserve">651/2014</w:t>
            </w:r>
            <w:r w:rsidR="00000000" w:rsidRPr="00000000" w:rsidDel="00000000">
              <w:rPr>
                <w:rtl w:val="0"/>
              </w:rPr>
              <w:t xml:space="preserve"> 6. panta 2. punktā minēto stimulējošās ietekmes nosacījumu, projektu uzsāk īstenot pēc projekta iesnieguma iesniegšanas Lauku atbalsta dienestā. Projekta īstenošana tiek uzsākta atbilstoši regulas Nr.  </w:t>
            </w:r>
            <w:r w:rsidR="00000000" w:rsidRPr="00000000" w:rsidDel="00000000">
              <w:rPr>
                <w:rtl w:val="0"/>
              </w:rPr>
              <w:t xml:space="preserve">651/2014</w:t>
            </w:r>
            <w:r w:rsidR="00000000" w:rsidRPr="00000000" w:rsidDel="00000000">
              <w:rPr>
                <w:rtl w:val="0"/>
              </w:rPr>
              <w:t xml:space="preserve"> 2. panta 23. punktam. Ja projekta īstenošana ir uzsākta pirms projekta iesnieguma iesniegšanas, projekta iesniegumu noraida.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Komisijas regulas Nr. 651/2014 6.panta 2.punktā noteiktajām pieteikumā ietvertajām prasībām, lūdzam precizēt, ka projekta iesniegums/pieteikums atbilst Komisijas regulas Nr. 651/2014 6.panta 2.punktā ietvertajām prasībām par pieteikumā iekļaujamo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Lai izpildītu regulas Nr. </w:t>
            </w:r>
            <w:r w:rsidR="00000000" w:rsidRPr="00000000" w:rsidDel="00000000">
              <w:rPr>
                <w:rtl w:val="0"/>
              </w:rPr>
              <w:t xml:space="preserve">651/2014</w:t>
            </w:r>
            <w:r w:rsidR="00000000" w:rsidRPr="00000000" w:rsidDel="00000000">
              <w:rPr>
                <w:rtl w:val="0"/>
              </w:rPr>
              <w:t xml:space="preserve"> 6. panta 2. punktā minēto stimulējošās ietekmes nosacījumu, projektu uzsāk īstenot pēc projekta iesnieguma iesniegšanas Lauku atbalsta dienestā. Projekta iesniegums atbilst regulas Nr. 651/2014 6.panta 2.punktā ietvertajām prasībām par pieteikumā iekļaujamo informāciju. Projekta īstenošana tiek uzsākta atbilstoši regulas Nr. </w:t>
            </w:r>
            <w:r w:rsidR="00000000" w:rsidRPr="00000000" w:rsidDel="00000000">
              <w:rPr>
                <w:rtl w:val="0"/>
              </w:rPr>
              <w:t xml:space="preserve">651/2014</w:t>
            </w:r>
            <w:r w:rsidR="00000000" w:rsidRPr="00000000" w:rsidDel="00000000">
              <w:rPr>
                <w:rtl w:val="0"/>
              </w:rPr>
              <w:t xml:space="preserve"> 2. panta 23. punktam. Ja projekta īstenošana ir uzsākta pirms projekta iesnieguma iesniegšanas, projekta iesniegumu noraida.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Ja tiek pārkāptas regulas Nr.  651/2014 prasības, Lauku atbalsta dienests uzliek par pienākumu atbalsta saņēmējam atmaksāt nelikumīgi saņemto valsts atbalstu Lauku atbalsta dienestam no līdzekļiem, kas ir brīvi no valsts atbalsta, atbilstoši Komercdarbības atbalsta kontroles likuma IV vai V nodaļā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MKN ietver stingrākas prasības, nekā pieļauj Komisijas regulas Nr. 651/2014 nosacījumi, lūdzam nepārprotamai interpretācijai šo punktu izteikt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Nr.651/2014, atbalsta saņēmējam ir pienākums atmaksāt Lauku atbalsta dienestam visu saņemto nelikumīgo valsts atbalstu kopā ar procentiem no līdzekļiem, kas ir brīvi no valsts atbalsta, atbilstoši Komercdarbības atbalsta kontroles likuma IV vai V nodaļas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r w:rsidR="00000000" w:rsidRPr="00000000" w:rsidDel="00000000">
              <w:rPr>
                <w:vertAlign w:val="superscript"/>
                <w:rtl w:val="0"/>
              </w:rPr>
              <w:t xml:space="preserve">1</w:t>
            </w:r>
            <w:r w:rsidR="00000000" w:rsidRPr="00000000" w:rsidDel="00000000">
              <w:rPr>
                <w:rtl w:val="0"/>
              </w:rPr>
              <w:t xml:space="preserve"> Ja tiek pārkāptas šajos noteikumos noteiktās komercdarbības atbalsta kontroles normas, tostarp nosacījumi, kas izriet no Regulas Nr.651/2014, atbalsta saņēmējam ir pienākums atmaksāt Lauku atbalsta dienestam visu saņemto nelikumīgo valsts atbalstu kopā ar procentiem no līdzekļiem, kas ir brīvi no valsts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Lēmumu par atbalsta piešķiršanu saskaņā ar regulu Nr. 651/2014 pieņem līdz šīs regulas darbības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atbalstu saskaņā ar Komisijas regulas Nr. 651/2014 14.pantu var piešķirt līdz 31.12.2023. Lūdzam atbilstoši precizēt šo punktu un informāciju anotācijā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Lēmumu par atbalsta piešķiršanu saskaņā ar regulu Nr. 651/2014 pieņem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Lēmumu par atbalsta piešķiršanu saskaņā ar regulu Nr. 651/2014 pieņem līdz 58. panta 4. punktā un 59. pantā noteiktā piemērošanas termiņa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Nepārprotamai skaidrībai par atbalsta sniegšanas termiņu ar Komisijas regulas Nr.651/2014 14.panta mērķi, lūdzam precizēt šo punktu norādot, ka atbalstu saskaņā ar Komisijas regulas Nr. 651/2014 14.pantu var piešķirt līdz 31.12.2023.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Lēmumu par atbalsta piešķiršanu saskaņā ar regulu Nr. 651/2014 pieņem līdz 2023.gada 31.decembrim.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 atbalsta piešķiršanai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pielikumā noteiktie projektu atlases kritēriji atbalsta piešķiršanai paredz būtiski atšķirīgus nosacījumus kritēriju grupā “Darbības nozare”. Būtiski atšķirīgs regulējums ir noteikts ne tikai piešķiramo punktu skaitā par šiem kritērijiem, bet no kritēriju loka ir svītrotas vairāk nekā divdesmit nozares. Noteikumu projekta anotācijā nav sniegts pamatojums, kāpēc jaunajā plānošanas periodā atbalsts sniedzams tikai noteikumu projekta 2. pielikumā norādītajās darbības nozares grupās un ir izslēgts vairums nozares grupas, kurām iepriekšējā plānošanas periodā bija iespējams pieteikties atbalsta saņemšanai. Noteikumu projekta anotācijā nav arī skaidrots un pamatos noteiktais piešķiramais punktu skaits kritērijā, kas arī attiecīgajā nozaru grupā ir būtiski atšķirīgs no iepriekšējā plānošanas perioda ietvaros piešķirtā punktu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lūdzam papildināt noteikumu projekta anotāciju ar izvērstu skaidrojumu, kāpēc noteikumu projekta 2. pielikumā noteiktie projektu atlases kritēriji atbalsta piešķiršanai paredz būtiski atšķirīgus nosacījumus kritēriju grupā “Darbības nozare” (gan kritērijos, gan punktu skaitā kritērijā).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atbilstoši atbalsta saņemšanas nosacījumiem no atbalsta saņemšanas ir izslēgtas tās nozares, kas minētas noteikumu 12.punktā. Savukārt ņemot vērā ierobežoto un nelielo pieejamo finansējumu pasākuma ietvaros, projektu atlases kritērijos atstātas būtiskākās NACE nozares, bet neizslēdzot iespēju pretendēt uz atbalstu citām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prioritāro nozaru sadalījums noteikts apzinot situāciju Zemkopības ministrijas pārziņā esošajās nozarēs, attiecīgi identificējot tās jomas/nozares, kurām būtu jāparedz prioritāte jeb  projektu atlases prioritātes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mežizstrādei, ņemot vērā, ka šai nozarei nav pieejami citi atbalsta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veterināriem pakalpojumiem, lai veicinātu šo pakalpojumu pieejamību lauku teritorijā, ņemot vērā, ka jaunie speciālisti pārsvarā izvēlas iespēju specializēties mazo dzīvnieku ārstēšanā pilsētās un lauku teritorijās esošo veterināro pakalpojumu pieejamība ir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lauku tūrismam investīciju iespējas  pēdējo gadu laikā  ir samazinājušās, turklāt attālākos reģionos ir īpaši apgrūtinātas iespējas piesaistīt finansējumu. Turklāt iepriekšējās projektu iesniegumu pieņemšanas kārtās lauku tūrismam tika noteikta atsevišķa finansējuma aploksne, kas netiks noteikta pārejas perioda finansējumam, tāpēc tiek paredzēti papildu projektu atlases kritēriju punkti, lai prioritāri veicinātu ieguldījumus lauku tūrismā, ņemot vērā arī pandēmijas ietekmi uz šo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ierobežoto finansējuma apjomu – 5 milj.EUR – izvērtējot iepriekšējo kārtu rezultātus un apzinot nozaru prioritātes lauku apdzīvotības saglabāšanā ir noteiktas iepriekšminētās prioritārās nozares, kurām tiek piešķirti papildu projektu atlases kritēriju punkti. Bet tas neliedz iespēju pretendēt uz atbalstu jebkuras citas nozares ietvaros īstenotam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atlases kritēriji saskaņoti ar Latvijas Lauku attīstības programmas 2014.-2020.gadam Uzraudzības komiteju.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informācija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atlases kritēriji atbalsta piešķiršanai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Lielais komersants atbilst regulas Nr. 651/2014 2. panta 24. punktā noteiktajai definīcijai. Atbalstu lieliem komersantiem piešķir tikai tādiem sākotnējiem ieguldījumiem, kas attiecīgajā apgabalā veicina jaunu saimniecisko darbību atbilstoši regulas Nr. 651/2014 14. panta 3. 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- 22.04.2022.)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regulas Nr. 651/2014 14. panta 3. punktā noteiktais, ka atbalstu lieliem komersantiem piešķir tikai tādiem sākotnējiem ieguldījumiem, kas attiecīgajā apgabalā veicina jaunu saimniecisko darbību, ir attiecināms uz atbalstāmajiem apgabaliem, kas atbilst Līguma 107.panta 3.punkta c) apakšpunkta nosacījumiem. Latvija atbilst Līguma 107.panta 3.punkta a) apakšpunkta nosacījumiem. Lūdzam attiecīgi dzēst otro 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tomēr programmas ietvaros attiecībā uz lielajiem komersantiem tiek paredzētas visas regulas Nr. 651/2014 14. panta 3. punktā noteiktās prasības, lūdzam anotācijas V sadaļas 2. tabulā pie noteikumu projekta punktu izvērtējuma norādīt un pamatot, ka tiek paredzētas stingrākas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54.punktā dzēsts otrais teikums.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Lielais komersants atbilst regulas Nr. 651/2014 2. panta 24. punktā noteiktajai definīcijai.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kas piešķirts, pamatojoties uz šiem noteikumiem, var apvienot ar citu valsts atbalstu, kura attiecināmās izmaksas nav nosakāmas, nepārsniedzot šajos noteikumos paredzēto finansējuma intensitāti un apmēru un maksimālā publiskā finansējuma apmēru vai maksimālo robežvērtību, kas noteikta citā valsts atbalsta programmā, individuālā atbalsta projektā vai Eiropas Komisijas lēmumā.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60. un 61.punkts paredz atbalsta kumulācijas iespēju, lūdzam paredzēt arī noteikumos jaunu punktu, kas noteiktu atbalsta saņēmējam pienākumu, ja tas ir paredzējis noteikumu 60. un 61.punktā paredzēto kumulāciju, iesniegt visu informāciju par  plānoto un piešķirto atbalstu tā paša projekta ietvaros, tai skaitā par tām pašām attiecināmajām izmaksām, norādot atbalsta piešķiršanas datumu, atbalsta sniedzēju, atbalsta pasākumu un plānoto/piešķirto atbalsta summu un atbalsta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ietverts jauns punkts 61.</w:t>
            </w:r>
            <w:r w:rsidR="00000000" w:rsidRPr="00000000" w:rsidDel="00000000">
              <w:rPr>
                <w:vertAlign w:val="superscript"/>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Atbalstu, kas piešķirts, pamatojoties uz šiem noteikumiem, var apvienot ar citu valsts atbalstu, kura attiecināmās izmaksas nav nosakāmas, nepārsniedzot šajos noteikumos paredzēto finansējuma intensitāti un apmēru un maksimālā publiskā finansējuma apmēru vai maksimālo robežvērtību, kas noteikta citā valsts atbalsta programmā, individuālā atbalsta projektā vai Eiropas Komisijas lēmumā.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Lauku atbalsta dienesta lēmuma pieņemšanas datums par iesnieguma apstiprināšanu uzskatāms par valsts atbalsta piešķiršanas dienu.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reģionālā atbalsta kumulācijas gadījumā ir jāievēro ne tikai attiecināmās izmaksas un maksimālās atbalsta intensitātes, bet arī nosacījums par 25% brīvs no valsts atbalsta, lai nodrošinātu, ka projekta ietvaros tiek ievērotas visas komercdarbības atbalsta prasības un atbalsta pretendents par tām ir informēts tiesību aktā, aicinām papildināt šī punkta redakciju, ka reģionālā atbalsta kumulācijas gadījumā projektu var uzsākt tad, kad visās iestādēs, kur pretendē uz atbalstu, ir iesniegts pieteikums un ir pieņemts lēmums par atbalsta piešķiršanu vai noslēgts līgums (ja atbalstu nepiešķir ar lēmumu) (skat., piem., Ministru kabineta 2021.gada 6.jūlija noteikumi Nr. 503 "Noteikumi par aizdevumiem ar kapitāla atlaidi investīciju projektiem komersantiem konkurētspējas veicināšanai" 14.1.2.punkts).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61.</w:t>
            </w:r>
            <w:r w:rsidR="00000000" w:rsidRPr="00000000" w:rsidDel="00000000">
              <w:rPr>
                <w:vertAlign w:val="superscript"/>
                <w:rtl w:val="0"/>
              </w:rPr>
              <w:t xml:space="preserve">2</w:t>
            </w:r>
            <w:r w:rsidR="00000000" w:rsidRPr="00000000" w:rsidDel="00000000">
              <w:rPr>
                <w:rtl w:val="0"/>
              </w:rPr>
              <w:t xml:space="preserve">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Lauku atbalsta dienesta lēmuma pieņemšanas datums par iesnieguma apstiprināšanu uzskatāms par valsts atbalsta piešķiršanas dienu.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22-TA-789</w:t>
    </w:r>
    <w:r>
      <w:br/>
    </w:r>
    <w:r w:rsidR="00000000" w:rsidRPr="00000000" w:rsidDel="00000000">
      <w:rPr>
        <w:rtl w:val="0"/>
      </w:rPr>
      <w:t xml:space="preserve">27.05.2022. 14.02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22-TA-789</w:t>
    </w:r>
    <w:r>
      <w:br/>
    </w:r>
    <w:r w:rsidR="00000000" w:rsidRPr="00000000" w:rsidDel="00000000">
      <w:rPr>
        <w:rtl w:val="0"/>
      </w:rPr>
      <w:t xml:space="preserve">27.05.2022. 14.02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Izziņa_22-TA-789.docx</dc:title>
</cp:coreProperties>
</file>

<file path=docProps/custom.xml><?xml version="1.0" encoding="utf-8"?>
<Properties xmlns="http://schemas.openxmlformats.org/officeDocument/2006/custom-properties" xmlns:vt="http://schemas.openxmlformats.org/officeDocument/2006/docPropsVTypes"/>
</file>