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24-TA-132: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9. janvāra noteikumos Nr. 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1.2.1.2.i.2. pasākuma "Inovatīvu produktu un tehnoloģiju izstrāde"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(18.01.2024.)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 noteikumu ietvaros Kohēzijas politikas fondu vadības informācijas sistēmā (turpmāk – vadības informācijas sistēma) attiecībā uz viedās specializācijas jomu tiek ievadīti dati par šādiem nacionālajiem rādītājiem, kas sasniedzami līdz 2026.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- 13.02.2024.)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kategoriski iebilst pret publiskā finansējuma izmantošanu pētniecībā, jaunu tehnoloģiju, produktu izstrādē kodolenerģijas jomā. Jaunu produktu un tehnoloģiju izstrāde kodolenerģijas jomā veicinās šīs tehnoloģijas attīstību un var novest pie kodolenerģijas ražošanas. Ir secināms, ka atbalsts pētniecībai, jaunu tehnoloģiju un produktu izstrādei, ir atbalsts arī kodolenerģijas ražošanai nākotnē. Atveseļošanās un noturības mehānisma ietvaros īstenotajām investīcijām ir jāatbilst "Nenodarīt būtisku kaitējumu" principam, kas nav savienojams ar tehnoloģiju, kas, pirmkārt, rada augsti radioaktīvus atkritumus, kas rada potenciāli ļoti lielu apdraudējumu dzīvajai dabai, tai skaitā cilvēkiem, ja, iestājoties kādiem neparedzamiem apstākļiem, šos atkritumus vairs nav iespējams droši uzglabāt līdz pat vairākiem desmitiem tūkstošu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kodolenerģija, pat tad, ja to nosauc par "drošu", nepadara šo tehnoloģiju mazāk potenciāli bīstamu un nesamazina šīs tehnoloģijas ļoti nopietnās ietekmes uz vidi un cilvēkiem, kad notiek mazāki vai lielāki negadījumi. Neviena tehnoloģija nevar būt 100% droša, jo nav iespējams paredzēt visus iespējamos ārējos apdraudējumus (dabas katastrofas, kara aktivitātes, terorismu), kas turklāt, sevišķi šī brīža situācijā ar teroristisku kaimiņvalsti, vairs nešķiet tik teorētiski neiespējamas.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kodolenerģijas spēkstaciju attīstība (jaunu spēkstaciju izbūve) nepalīdz klimata mērķu sasniegšanā, jo spēkstacijas izbūve kopumā aizņem pārāk lielu laika nogriezni (tipiski 15-20 gadi, avots: https://www.worldnuclearreport.org/IMG/pdf/wnisr2023-v4-hr.pdf). Tādejādi kodolenerģijas attīstības stratēģija tieši aizkavē šo mērķu sasniegšanu, jo novirza finansējumu prom no atjaunīgās enerģijas tehnoloģiju attīstības.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publiskās investīcijas šim mērķim pārkāpj Atveseļošanās un noturības mehānisma regulā nostiprināto "Nenodarīt būtisku kaitējumu" principu un ir jāveic attiecīgi grozījumi noteikumos, izslēdzot no 8.panta sekojošus apakšpunktus: 8.2.1.6., 8.2.2.6., 8.3.1.6., 8.3.2.6., 8.3.3.6.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veikt grozījumus, izslēdzot no 8.panta sekojošus apakšpunktus: 8.2.1.6., 8.2.2.6., 8.3.1.6., 8.3.2.6., 8.3.3.6.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investīcijas mērķis ir finansējuma pieejamības nodrošināšana tādu jaunu produktu, tehnoloģiju un pakalpojumu izstrādei, </w:t>
            </w:r>
            <w:r w:rsidR="00000000" w:rsidRPr="00000000" w:rsidDel="00000000">
              <w:rPr>
                <w:b w:val="1"/>
                <w:rtl w:val="0"/>
              </w:rPr>
              <w:t xml:space="preserve">kas veicina zemu oglekļa emisiju ekonomiku, noturību pret klimata pārmaiņām vai pielāgošanos tām</w:t>
            </w:r>
            <w:r w:rsidR="00000000" w:rsidRPr="00000000" w:rsidDel="00000000">
              <w:rPr>
                <w:rtl w:val="0"/>
              </w:rPr>
              <w:t xml:space="preserve">, piesaistot privāto līdzfinansējumu inovāciju ieviešanā. MK noteikumu atbalstāmās darbības ir cieši saistītas ar investīcijas mērķi un nodrošina tā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projekta iesniedzējam visu projekta īstenošanas laiku jāievēro principa "nenodarīt būtisku kaitējumu" nodrošināšana, atbilstoši MK noteikumu 32. punktam. Vēršam uzmanību, ka MK noteikumu 8. punktā uzskaitītie nacionālie rādītāji tiek uzkrāti attiecībā uz RIS3 jomām un tiem nav noteiktas sasniedzamās vērtības, finansējuma saņēmējs īstenojot projektu KPVIS sistēmā ievadīs datus, ja tādi būs radušies. Galvenais mērķis šādu datu uzkrāšanai ir pilnvērtīga uzraudzība un RIS3 jomu monitorings.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MK noteikumu 8.2.1.6., 8.2.2.6., 8.3.1.6., 8.3.2.6., 8.3.3.6. apakšpunktā minētā </w:t>
            </w:r>
            <w:r w:rsidR="00000000" w:rsidRPr="00000000" w:rsidDel="00000000">
              <w:rPr>
                <w:u w:val="single"/>
                <w:rtl w:val="0"/>
              </w:rPr>
              <w:t xml:space="preserve">droša kodolenerģija</w:t>
            </w:r>
            <w:r w:rsidR="00000000" w:rsidRPr="00000000" w:rsidDel="00000000">
              <w:rPr>
                <w:rtl w:val="0"/>
              </w:rPr>
              <w:t xml:space="preserve">, nav noteikta kā mērķis projekta īstenošanai, bet izriet no Latvijas Nacionālā enerģētikas un klimata plāna 2021.–2030. gadam un attiecīgie noteikumu projekta punkti tika pievienoti MK noteikumiem pēc Klimata un enerģētikas ministrijas lūguma.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MK noteikumu ietvaros tiek nodrošināta horizontālā principa "nenodarīt būtisku kaitējumu" ievērošana un MK noteikumos iekļautās atbalstāmās darbības un ar tām saistītās attiecināmās izmaksas, nesniedz atbalstu aktivitātēm, kas saistītas ar kodolenerģiju. Vienlaikus, projekta ietvaros nav plānots sniegt atbalstu pētniecības projektiem, kas saistīti ar kodolenerģijas ražošanu, bet attīstīt RIS3 jomas Latvijā, kas uzskatāms par MK noteikumu virsmērķi. Skaidrojam, ka MK noteikumos jāsaglabā 8.2.1.6., 8.2.2.6., 8.3.1.6., 8.3.2.6., 8.3.3.6. apakšpunkti, jo saskaņošanas procesā Klimata un enerģētikas ministrija norādīja uz to nepieciešamību.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1.1.apakšpunktā, kā arī citviet anotācijā norādīto, ka noteikumu projekts "izstrādāts, lai nodrošinātu pārizdotās </w:t>
            </w:r>
            <w:r w:rsidR="00000000" w:rsidRPr="00000000" w:rsidDel="00000000">
              <w:rPr>
                <w:i w:val="1"/>
                <w:rtl w:val="0"/>
              </w:rPr>
              <w:t xml:space="preserve">de minimis</w:t>
            </w:r>
            <w:r w:rsidR="00000000" w:rsidRPr="00000000" w:rsidDel="00000000">
              <w:rPr>
                <w:rtl w:val="0"/>
              </w:rPr>
              <w:t xml:space="preserve"> regulas normu pārņemšanu". Vēršam uzmanību, ka Eiropas Savienības regulas ir tieši piemērojami tiesību akti, kurus, atšķirībā no direktīvām, nacionālajos normatīvajos aktos nav atļauts pārņemt. Turklāt no noteikumu projekta secināms, ka pēc būtības tajā tiek aizstātas atsauces uz spēku zaudējušo </w:t>
            </w:r>
            <w:r w:rsidR="00000000" w:rsidRPr="00000000" w:rsidDel="00000000">
              <w:rPr>
                <w:i w:val="1"/>
                <w:rtl w:val="0"/>
              </w:rPr>
              <w:t xml:space="preserve">Komisijas 2013. gada 18. decembra Regula (ES) Nr. 1407/2013 par Līguma par Eiropas Savienības darbību 107. un 108. panta piemērošanu</w:t>
            </w:r>
            <w:r w:rsidR="00000000" w:rsidRPr="00000000" w:rsidDel="00000000">
              <w:rPr>
                <w:rtl w:val="0"/>
              </w:rPr>
              <w:t xml:space="preserve"> de minimis</w:t>
            </w:r>
            <w:r w:rsidR="00000000" w:rsidRPr="00000000" w:rsidDel="00000000">
              <w:rPr>
                <w:i w:val="1"/>
                <w:rtl w:val="0"/>
              </w:rPr>
              <w:t xml:space="preserve"> atbalstam</w:t>
            </w:r>
            <w:r w:rsidR="00000000" w:rsidRPr="00000000" w:rsidDel="00000000">
              <w:rPr>
                <w:rtl w:val="0"/>
              </w:rPr>
              <w:t xml:space="preserve"> ar atsaucēm uz to aizstājošo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Komisijas 2023. gada 13. decembra Regulas (ES) Nr. 12023/2831 par Līguma par Eiropas Savienības darbību 107. un 108. panta piemērošanu </w:t>
            </w:r>
            <w:r w:rsidR="00000000" w:rsidRPr="00000000" w:rsidDel="00000000">
              <w:rPr>
                <w:rtl w:val="0"/>
              </w:rPr>
              <w:t xml:space="preserve">de minimis</w:t>
            </w:r>
            <w:r w:rsidR="00000000" w:rsidRPr="00000000" w:rsidDel="00000000">
              <w:rPr>
                <w:i w:val="1"/>
                <w:rtl w:val="0"/>
              </w:rPr>
              <w:t xml:space="preserve"> atbalstam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anotācijā norādīt, piemēram, ka projekta mērķis ir nodrošināt jaunās </w:t>
            </w:r>
            <w:r w:rsidR="00000000" w:rsidRPr="00000000" w:rsidDel="00000000">
              <w:rPr>
                <w:i w:val="1"/>
                <w:rtl w:val="0"/>
              </w:rPr>
              <w:t xml:space="preserve">de minimis</w:t>
            </w:r>
            <w:r w:rsidR="00000000" w:rsidRPr="00000000" w:rsidDel="00000000">
              <w:rPr>
                <w:rtl w:val="0"/>
              </w:rPr>
              <w:t xml:space="preserve"> regulas ieviešanu, aktualizējot atsauces un tajās norādot spēkā esošo Eiropas Savienības tiesību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pēc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projekta anotācijas skaidrojumu par noteikumu 603.3. apakšpunktā paredzētajiem grozījumiem. Anotācijā šobrīd norādīts, ka, svītrojot vārdus "kas atgūstams no valsts budžeta priekšnodokļa veidā", tiek nodrošinātas skaidras tiesību normas un mazinātas interpretācijas iespējas. Tomēr pēc būtības ar grozījumiem 60.3. apakšpunktā tiek mainīts attiecināmo izmaksu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ietvaros tiek grozīts Noteikumu Nr.33 60.3., lai nodrošinātu atbilstošu tiesību normu piemērošanu par pievienotās vērtības nodokli, atbilstoši Finanšu ministrijas izstrādātajām vadlīnijām. Attiecīgi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nekorektu regulējuma interpretāciju, lūdzam precizēt anotācijas 1.3. sadaļas "Risinājuma apraksts" trešās rindkopas pirmos divus teikumus, ņemot vērā, ka noteikumu projekts minēto jautājumu neregulē. Ņemot vērā minēto, lūdzam attiecīgo anotācijā ietverto informāciju precizēt šādā redakcijā: "Ņemot vērā, ka Ministru kabineta 2024. gada 9. janvāra noteikumos Nr. 33 "Latvijas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1.2.1.2.i.2. pasākuma "Inovatīvu produktu un tehnoloģiju izstrāde" īstenošanas noteikumi"" minētais Centrālās finanšu un līgumu aģentūras (turpmāk - aģentūra) lēmums par finansējuma saņēmēja apstiprināšanu ir lēmums, kas paredz publiskā finansējuma sadali, uz aģentūras attiecīgajiem nodarbinātajiem attiecināms valsts amatpersonas statuss."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pēc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06.02.2024. uzsākta investīcijas pasākuma atlase, lūdzam ietvert anotācijā izvērtējumu par ierosināto grozījumu ietekmi uz uzsākto projektu iesniegumu atlasi, projektu iesniedzējiem un to plānotajiem projektiem,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projektu iesniegumiem, kuri atrodas 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iesniegtiem projektu iesniegumiem, kuru vērtēšana vēl nav uzsākta;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iesniegumiem, kas vēl nav iesniegti, taču tiek izstrādāti izsludinātās projektu iesniegumu atlases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īstenošanā esošajiem projektiem, t.i., vai būs nepieciešami grozījumi noslēgtajos līgumos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lūgums ietvert informāciju, ka ir plānota visu projektu iesniedzēju informēšana par grozījumiem pēc to apstiprināšanas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ierosinātajiem grozījumiem nav ietekmes uz uzsākto atlases kārtu, šai informācijai arī ir jābūt iekļautai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pieprasīto informāciju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1. punktu svītrojot vārdu "zināšanai", ņemot vērā, ka noteikumu (grozījumu) projektu nepieciešams pieņemt.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pēc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 Eiropas Komisijas 2024.gada 13.martā elektroniski saņemtos komentārus par 1.2.1.2.i. investīcijas 2. pasākuma "Inovatīvu produktu un tehnoloģiju izstrāde" īstenošanas noteikumiem  (adresēti arī Ekonomikas ministrijai) un veikt nepieciešamos precizējumus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izvērtējusi Eiropas Komisijas š.g. 13.martā sniegtos komentārus DNSH principa piemērošanai un ar grozījumiem veikti precizējumi atbilstošai DNSH principa piemerošanai.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Eiropas Komisijas 2023.gada 21.decembra e-pastu ar komentāriem par 1.2.1.2.i.2 pasākuma MK noteikumu projektu un nepieciešamības gadījumā MK noteikumu projektā ietvert precizējumus attiecībā uz principu “nenodarīt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izvērtējusi Eiropas Komisijas 2023.gada 21.decembra e-pastā sniegtos komentārus 1.2.1.2.i. investīcijai un MK noteikumu projekts jau līdzšinēji ticis precizēts atbilstoši sniegtajiem komentāriem.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tas atbilst komercdarbības atbalsta nosacījumiem un de minimis atbalsta nosacījumiem saskaņā ar Eiropas Komisijas 2023. gada 13. decembra Regulas (ES) Nr. 2023/2831 par Līguma par Eiropas Savienības darbību 107. un 108. panta piemērošanu de minimis atbalstam (Eiropas Savienības Oficiālais Vēstnesis, 2023. gada 13. decembris, Nr. L 2023/2831) (turpmāk – Komisijas regula Nr. 2023/2831)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regulas nosaukumu atbilstoši Eiropas Savienības Oficiālajā Vēstnesī publicētajam nosaukumam, proti, svītrot vārdu "Eiropas" pirms vārda "Komisijas".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pēc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tas atbilst komercdarbības atbalsta nosacījumiem un </w:t>
            </w:r>
            <w:r w:rsidR="00000000" w:rsidRPr="00000000" w:rsidDel="00000000">
              <w:rPr>
                <w:i w:val="1"/>
                <w:rtl w:val="0"/>
              </w:rPr>
              <w:t xml:space="preserve">de minimis</w:t>
            </w:r>
            <w:r w:rsidR="00000000" w:rsidRPr="00000000" w:rsidDel="00000000">
              <w:rPr>
                <w:rtl w:val="0"/>
              </w:rPr>
              <w:t xml:space="preserve"> atbalsta nosacījumiem saskaņā ar Komisijas 2023. gada 13. decembra Regulas (ES) Nr. 2023/2831 par Līguma par Eiropas Savienības darbību 107. un 108. panta piemērošanu de minimis atbalstam (Eiropas Savienības Oficiālais Vēstnesis, 2023. gada 13. decembris, Nr. L 2023/2831) (turpmāk – Komisijas regula Nr. 2023/2831) nosacījumiem;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darbībām, kas saistītas ar atkritumu poligoniem (izņemot gadījumus, ja projekta iesniedzējs ir saņēmis atļauju šo darbību veikšanai), sadedzināšanas iekārtām (izņemot darbībām, kas paredzētas vienīgi nepārstrādājamu bīstamo atkritumu apstrādei un ja darbības paredzētas, lai palielinātu energoefektivitāti, uztvertu izplūdes gāzes glabāšanai vai izmantošanai, vai reģenerētu materiālus no sadedzināšanas iekārtu darbības rezultātā radušajiem pelniem, ar nosacījumu, ka šādas darbības saskaņā ar šo pasākumu nepalielina iekārtu atkritumu pārstrādes jaudu vai nepagarina iekārtu darbmūžu; par ko pētniecības projekta noslēgumā ir sniegti pierādījumi) un mehāniski bioloģiskās apstrādes iekārtām (izņemot darbībām, kas paredzētas, lai palielinātu energoefektivitāti vai modernizētu dalīto atkritumu pārstrādes darbībām, tos pārveidojot par komposta bioatkritumiem un bioatkritumu anaerobo noārdīšanu, ar nosacījumu, ka šādas darbības nepalielina iekārtu atkritumu pārstrādes jaudu vai nepagarina iekārtu darbmūžu; par ko pētniecības projekta noslēgumā ir sniegti pierādījumi);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- 13.03.2024.)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izņēmums attiecībā uz finansējuma saņemšanu, kas noteikts 32.3.punktā ir jāpiemēro attiecībā uz visām sadedzināšanas iekārtām vai tomēr tikai uz atkritumu sadedzināšanas iekārtām. VARAM neredz pamatojumu, kādēļ arī parastajām sadedzināšanas iekārtām, kas sadedzina kurināmo, lai iegūtu siltumenerģiju būtu jāliedz saņemt attiecīgo finansiālo atbalstu un kādu kaitējumu tas nodarītu, ja šādas iekārtas saņemtu finansiālo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terminu "sadedzināšanas iekārta" ar terminu "atkritumu sadedzināšanas vai līdzsadedzināšanas iekārta".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izskatījusi priekšlikumu un veikti precizējumi apakšpunkta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darbībām, kas saistītas ar atkritumu poligoniem, atkritumu sadedzināšanas iekārtām (izņemot darbībām, kas paredzētas iekārtām vienīgi nepārstrādājamu bīstamo atkritumu apstrādei, un darbībām, kas paredzētas esošām iekārtām, lai palielinātu energoefektivitāti, uztvertu izplūdes gāzes glabāšanai vai izmantošanai, vai reģenerētu materiālus no sadedzināšanas iekārtu darbības rezultātā radušajiem pelniem, ar nosacījumu, ka šādas darbības saskaņā ar šo pasākumu nepalielina iekārtu atkritumu pārstrādes jaudu vai nepagarina iekārtu darbmūžu; par ko pētniecības projekta noslēgumā ir sniegti pierādījumi iekārtu līmenī) un mehāniski bioloģiskās apstrādes iekārtām (izņemot darbībām, kas veiktas esošām iekārtām un paredzētas, lai palielinātu energoefektivitāti vai modernizētu dalīto atkritumu pārstrādes darbībām, tos pārveidojot par komposta bioatkritumiem un bioatkritumu anaerobo noārdīšanu, ar nosacījumu, ka šādas darbības nepalielina iekārtu atkritumu pārstrādes jaudu vai nepagarina iekārtu darbmūžu; par ko pētniecības projekta noslēgumā ir sniegti pierādījumi iekārtu līmenī);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Atbalstu projekta iesniedzējam nepiešķir Komisijas regulas Nr. </w:t>
            </w:r>
            <w:r w:rsidR="00000000" w:rsidRPr="00000000" w:rsidDel="00000000">
              <w:rPr>
                <w:rtl w:val="0"/>
              </w:rPr>
              <w:t xml:space="preserve">​</w:t>
            </w:r>
            <w:r w:rsidR="00000000" w:rsidRPr="00000000" w:rsidDel="00000000">
              <w:rPr>
                <w:rtl w:val="0"/>
              </w:rPr>
              <w:t xml:space="preserve">2023/2831 1. panta 1. punktā noteiktajām 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regulas Nr.2023/2831 1.panta 1.punktā ir noteiktas ne tikai nozares, bet arī darbības, kurām nepiešķir atbalstu saskaņā ar Komisijas regulu Nr.2023/2831, lūdzam precizēt noteikumu 45.punktu,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”Atbalstu projekta iesniedzējam nepiešķir Komisijas regulas Nr.2023/2831 1.panta 1.punktā noteiktajām nozarēm un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izskatījusi priekšlikumu un veikti precizējumi pēc sniegtajiem norādījumiem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Atbalstu projekta iesniedzējam nepiešķir Komisijas regulas Nr. </w:t>
            </w:r>
            <w:r w:rsidR="00000000" w:rsidRPr="00000000" w:rsidDel="00000000">
              <w:rPr>
                <w:rtl w:val="0"/>
              </w:rPr>
              <w:t xml:space="preserve">​</w:t>
            </w:r>
            <w:r w:rsidR="00000000" w:rsidRPr="00000000" w:rsidDel="00000000">
              <w:rPr>
                <w:rtl w:val="0"/>
              </w:rPr>
              <w:t xml:space="preserve">2023/2831 1. panta 1. punktā noteiktajām nozarēm un darbībām.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Komercdarbības atbalstu drīkst piešķirt tikai tad, ja atbalstāmās darbības un ar to īstenošanu saistītās finanšu plūsmas tiek skaidri nodalītas no citu darbības nozaru darbībām un finanšu plūsmām, nodrošinot, ka darbības neatbalstāmajās nozarēs negūst labumu no komercdarbības atbalsta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noteikumu projekta viennozīmīgi būtu skaidrs atbalsta saņēmēja pienākums nodrošināt atbalstāmo nozaru darbību un finanšu plūsmu nodalīšanu no neatbalstāmajām nozarēm, lūdzam noteikumu 48.punkta ievaddaļu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atbalstu drīkst piešķirt tikai tad, ja tiek skaidri nodalītas darbības un finanšu plūsmas atbalstāmās nozarēs, nodrošinot, ka darbības neatbalstāmajās nozarēs negūst labumu no pasākuma ietvaros piešķirtā atbalsta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izskatījusi priekšlikumu un veikti precizējumi punktu izsakot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Komercdarbības atbalstu drīkst piešķirt tikai tad, ja tiek skaidri nodalītas darbības un finanšu plūsmas atbalstāmās nozarēs, nodrošinot, ka darbības neatbalstāmajās nozarēs negūst labumu no komercdarbības atbalsta šādos gadījumos: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24-TA-132</w:t>
    </w:r>
    <w:r>
      <w:br/>
    </w:r>
    <w:r w:rsidR="00000000" w:rsidRPr="00000000" w:rsidDel="00000000">
      <w:rPr>
        <w:rtl w:val="0"/>
      </w:rPr>
      <w:t xml:space="preserve">20.03.2024. 16.44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24-TA-132</w:t>
    </w:r>
    <w:r>
      <w:br/>
    </w:r>
    <w:r w:rsidR="00000000" w:rsidRPr="00000000" w:rsidDel="00000000">
      <w:rPr>
        <w:rtl w:val="0"/>
      </w:rPr>
      <w:t xml:space="preserve">20.03.2024. 16.44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Izziņa_24-TA-132.docx</dc:title>
</cp:coreProperties>
</file>

<file path=docProps/custom.xml><?xml version="1.0" encoding="utf-8"?>
<Properties xmlns="http://schemas.openxmlformats.org/officeDocument/2006/custom-properties" xmlns:vt="http://schemas.openxmlformats.org/officeDocument/2006/docPropsVTypes"/>
</file>