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088" w:rsidP="00317A37" w:rsidRDefault="00891088" w14:paraId="362ECE45" w14:textId="77777777">
      <w:r>
        <w:rPr>
          <w:noProof/>
          <w:lang w:eastAsia="lv-LV"/>
        </w:rPr>
        <w:drawing>
          <wp:inline distT="0" distB="0" distL="0" distR="0" wp14:anchorId="544B1F84" wp14:editId="6104EE29">
            <wp:extent cx="5760085" cy="127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domes_veidlapas_galvin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1279525"/>
                    </a:xfrm>
                    <a:prstGeom prst="rect">
                      <a:avLst/>
                    </a:prstGeom>
                  </pic:spPr>
                </pic:pic>
              </a:graphicData>
            </a:graphic>
          </wp:inline>
        </w:drawing>
      </w:r>
    </w:p>
    <w:p w:rsidRPr="002A1DAD" w:rsidR="00754C6D" w:rsidP="00075411" w:rsidRDefault="00754C6D" w14:paraId="3CAC0435" w14:textId="77777777">
      <w:pPr>
        <w:pStyle w:val="Virsraksts1"/>
        <w:spacing w:before="120"/>
        <w:rPr>
          <w:b/>
          <w:szCs w:val="24"/>
        </w:rPr>
      </w:pPr>
      <w:r w:rsidRPr="002A1DAD">
        <w:rPr>
          <w:szCs w:val="24"/>
        </w:rPr>
        <w:t>Rīgā</w:t>
      </w:r>
    </w:p>
    <w:p w:rsidRPr="009400C6" w:rsidR="00754C6D" w:rsidP="00B82BD8" w:rsidRDefault="00754C6D" w14:paraId="2E2A489C" w14:textId="33EB4E45">
      <w:pPr>
        <w:spacing w:after="0" w:line="276" w:lineRule="auto"/>
        <w:rPr>
          <w:rFonts w:ascii="Garamond" w:hAnsi="Garamond" w:cs="Times New Roman"/>
          <w:sz w:val="24"/>
          <w:szCs w:val="24"/>
        </w:rPr>
      </w:pPr>
      <w:r w:rsidRPr="00245A6E">
        <w:rPr>
          <w:rFonts w:ascii="Garamond" w:hAnsi="Garamond" w:cs="Times New Roman"/>
          <w:sz w:val="24"/>
          <w:szCs w:val="24"/>
        </w:rPr>
        <w:t xml:space="preserve">Datums laika zīmogā, Nr. </w:t>
      </w:r>
      <w:r w:rsidR="00697697">
        <w:rPr>
          <w:rFonts w:ascii="Garamond" w:hAnsi="Garamond" w:cs="Times New Roman"/>
          <w:sz w:val="24"/>
          <w:szCs w:val="24"/>
        </w:rPr>
        <w:t>nos</w:t>
      </w:r>
      <w:r w:rsidRPr="00872C97">
        <w:rPr>
          <w:rFonts w:ascii="Garamond" w:hAnsi="Garamond" w:cs="Times New Roman"/>
          <w:sz w:val="24"/>
          <w:szCs w:val="24"/>
        </w:rPr>
        <w:t>. 01-1</w:t>
      </w:r>
      <w:r w:rsidRPr="00872C97" w:rsidR="00506F61">
        <w:rPr>
          <w:rFonts w:ascii="Garamond" w:hAnsi="Garamond" w:cs="Times New Roman"/>
          <w:sz w:val="24"/>
          <w:szCs w:val="24"/>
        </w:rPr>
        <w:t>1</w:t>
      </w:r>
      <w:r w:rsidRPr="00872C97">
        <w:rPr>
          <w:rFonts w:ascii="Garamond" w:hAnsi="Garamond" w:cs="Times New Roman"/>
          <w:sz w:val="24"/>
          <w:szCs w:val="24"/>
        </w:rPr>
        <w:t>/</w:t>
      </w:r>
      <w:r w:rsidRPr="00872C97" w:rsidR="00872C97">
        <w:rPr>
          <w:rFonts w:ascii="Garamond" w:hAnsi="Garamond" w:cs="Times New Roman"/>
          <w:sz w:val="24"/>
          <w:szCs w:val="24"/>
        </w:rPr>
        <w:t>240</w:t>
      </w:r>
    </w:p>
    <w:p w:rsidRPr="00245A6E" w:rsidR="0099346A" w:rsidP="00B82BD8" w:rsidRDefault="0099346A" w14:paraId="7DBE973D" w14:textId="77777777">
      <w:pPr>
        <w:spacing w:after="0" w:line="276" w:lineRule="auto"/>
        <w:jc w:val="right"/>
        <w:rPr>
          <w:rFonts w:ascii="Garamond" w:hAnsi="Garamond" w:cs="Times New Roman"/>
          <w:b/>
          <w:bCs/>
          <w:sz w:val="24"/>
          <w:szCs w:val="24"/>
        </w:rPr>
      </w:pPr>
    </w:p>
    <w:p w:rsidR="00872C97" w:rsidP="00B82BD8" w:rsidRDefault="00872C97" w14:paraId="24A2803D" w14:textId="77777777">
      <w:pPr>
        <w:spacing w:after="0" w:line="276" w:lineRule="auto"/>
        <w:jc w:val="right"/>
        <w:rPr>
          <w:rFonts w:ascii="Garamond" w:hAnsi="Garamond" w:cs="Times New Roman"/>
          <w:b/>
          <w:bCs/>
          <w:sz w:val="24"/>
          <w:szCs w:val="24"/>
        </w:rPr>
      </w:pPr>
    </w:p>
    <w:p w:rsidR="00872C97" w:rsidP="00B82BD8" w:rsidRDefault="00872C97" w14:paraId="6D9BDF4D" w14:textId="77777777">
      <w:pPr>
        <w:spacing w:after="0" w:line="276" w:lineRule="auto"/>
        <w:jc w:val="right"/>
        <w:rPr>
          <w:rFonts w:ascii="Garamond" w:hAnsi="Garamond" w:cs="Times New Roman"/>
          <w:b/>
          <w:bCs/>
          <w:sz w:val="24"/>
          <w:szCs w:val="24"/>
        </w:rPr>
      </w:pPr>
    </w:p>
    <w:p w:rsidRPr="00697697" w:rsidR="001373FE" w:rsidP="00B82BD8" w:rsidRDefault="00697697" w14:paraId="3BCB9AE6" w14:textId="091E61D5">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Tieslietu ministrijas</w:t>
      </w:r>
    </w:p>
    <w:p w:rsidRPr="00697697" w:rsidR="00697697" w:rsidP="00B82BD8" w:rsidRDefault="00697697" w14:paraId="0139A7CF" w14:textId="18621494">
      <w:pPr>
        <w:spacing w:after="0" w:line="276" w:lineRule="auto"/>
        <w:jc w:val="right"/>
        <w:rPr>
          <w:rFonts w:ascii="Garamond" w:hAnsi="Garamond" w:cs="Times New Roman"/>
          <w:b/>
          <w:bCs/>
          <w:sz w:val="24"/>
          <w:szCs w:val="24"/>
        </w:rPr>
      </w:pPr>
      <w:r w:rsidRPr="00697697">
        <w:rPr>
          <w:rFonts w:ascii="Garamond" w:hAnsi="Garamond" w:cs="Times New Roman"/>
          <w:b/>
          <w:bCs/>
          <w:sz w:val="24"/>
          <w:szCs w:val="24"/>
        </w:rPr>
        <w:t>valsts sekretāram Raivim Kronbergam</w:t>
      </w:r>
    </w:p>
    <w:p w:rsidRPr="00697697" w:rsidR="002A1DAD" w:rsidP="00B82BD8" w:rsidRDefault="0099346A" w14:paraId="5930E85B" w14:textId="314B9623">
      <w:pPr>
        <w:spacing w:after="0" w:line="276" w:lineRule="auto"/>
        <w:jc w:val="right"/>
        <w:rPr>
          <w:rFonts w:ascii="Garamond" w:hAnsi="Garamond" w:cs="Times New Roman"/>
          <w:sz w:val="24"/>
          <w:szCs w:val="24"/>
        </w:rPr>
      </w:pPr>
      <w:r w:rsidRPr="00697697">
        <w:rPr>
          <w:rFonts w:ascii="Garamond" w:hAnsi="Garamond"/>
          <w:sz w:val="24"/>
          <w:szCs w:val="24"/>
        </w:rPr>
        <w:t xml:space="preserve"> </w:t>
      </w:r>
      <w:r w:rsidRPr="00697697" w:rsidR="002A1DAD">
        <w:rPr>
          <w:rFonts w:ascii="Garamond" w:hAnsi="Garamond"/>
          <w:sz w:val="24"/>
          <w:szCs w:val="24"/>
        </w:rPr>
        <w:t xml:space="preserve">                                                                                      </w:t>
      </w:r>
    </w:p>
    <w:p w:rsidRPr="00697697" w:rsidR="002A1DAD" w:rsidP="00B82BD8" w:rsidRDefault="0099346A" w14:paraId="01439926" w14:textId="6661D7C2">
      <w:pPr>
        <w:spacing w:line="276" w:lineRule="auto"/>
        <w:ind w:right="911"/>
        <w:jc w:val="right"/>
        <w:rPr>
          <w:rFonts w:ascii="Garamond" w:hAnsi="Garamond"/>
          <w:b/>
          <w:sz w:val="24"/>
          <w:szCs w:val="24"/>
        </w:rPr>
      </w:pPr>
      <w:r w:rsidRPr="00697697">
        <w:rPr>
          <w:rFonts w:ascii="Garamond" w:hAnsi="Garamond"/>
          <w:sz w:val="24"/>
          <w:szCs w:val="24"/>
        </w:rPr>
        <w:t xml:space="preserve">                </w:t>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r w:rsidRPr="00697697" w:rsidR="002A1DAD">
        <w:rPr>
          <w:rFonts w:ascii="Garamond" w:hAnsi="Garamond"/>
          <w:b/>
          <w:sz w:val="24"/>
          <w:szCs w:val="24"/>
        </w:rPr>
        <w:tab/>
      </w:r>
    </w:p>
    <w:p w:rsidRPr="00697697" w:rsidR="00697697" w:rsidP="00697697" w:rsidRDefault="00697697" w14:paraId="10C96C30" w14:textId="4F4C886A">
      <w:pPr>
        <w:pStyle w:val="Nosaukums"/>
        <w:numPr>
          <w:ilvl w:val="0"/>
          <w:numId w:val="1"/>
        </w:numPr>
        <w:tabs>
          <w:tab w:val="clear" w:pos="432"/>
          <w:tab w:val="num" w:pos="0"/>
        </w:tabs>
        <w:ind w:left="0" w:right="4690" w:firstLine="0"/>
        <w:jc w:val="both"/>
        <w:rPr>
          <w:rFonts w:ascii="Garamond" w:hAnsi="Garamond"/>
          <w:iCs/>
        </w:rPr>
      </w:pPr>
      <w:bookmarkStart w:name="OLE_LINK3" w:id="0"/>
      <w:r w:rsidRPr="00697697">
        <w:rPr>
          <w:rFonts w:ascii="Garamond" w:hAnsi="Garamond"/>
          <w:iCs/>
        </w:rPr>
        <w:t xml:space="preserve">Par </w:t>
      </w:r>
      <w:bookmarkEnd w:id="0"/>
      <w:r w:rsidRPr="00697697">
        <w:rPr>
          <w:rFonts w:ascii="Garamond" w:hAnsi="Garamond"/>
          <w:iCs/>
        </w:rPr>
        <w:t>bāriņtiesas kompetences reformas likumprojektiem</w:t>
      </w:r>
    </w:p>
    <w:p w:rsidRPr="001661BE" w:rsidR="00697697" w:rsidP="00697697" w:rsidRDefault="00697697" w14:paraId="1A4825A3" w14:textId="77777777">
      <w:pPr>
        <w:rPr>
          <w:rFonts w:ascii="Garamond" w:hAnsi="Garamond" w:cs="Arial"/>
          <w:b/>
          <w:sz w:val="24"/>
          <w:szCs w:val="24"/>
        </w:rPr>
      </w:pPr>
    </w:p>
    <w:p w:rsidRPr="001661BE" w:rsidR="00697697" w:rsidP="00697697" w:rsidRDefault="00697697" w14:paraId="7CAD35B5" w14:textId="4DDBEF2A">
      <w:pPr>
        <w:rPr>
          <w:rFonts w:ascii="Garamond" w:hAnsi="Garamond" w:cs="Arial"/>
          <w:b/>
          <w:sz w:val="24"/>
          <w:szCs w:val="24"/>
        </w:rPr>
      </w:pPr>
      <w:r w:rsidRPr="001661BE">
        <w:rPr>
          <w:rFonts w:ascii="Garamond" w:hAnsi="Garamond" w:cs="Arial"/>
          <w:sz w:val="24"/>
          <w:szCs w:val="24"/>
        </w:rPr>
        <w:t>God. R.Kronberga kungs!</w:t>
      </w:r>
    </w:p>
    <w:p w:rsidRPr="001661BE" w:rsidR="00A770A8" w:rsidP="00A770A8" w:rsidRDefault="00697697" w14:paraId="53012C2C" w14:textId="77777777">
      <w:pPr>
        <w:spacing w:after="0" w:line="360" w:lineRule="auto"/>
        <w:ind w:firstLine="567"/>
        <w:jc w:val="both"/>
        <w:rPr>
          <w:rFonts w:ascii="Garamond" w:hAnsi="Garamond"/>
          <w:iCs/>
          <w:sz w:val="24"/>
          <w:szCs w:val="24"/>
        </w:rPr>
      </w:pPr>
      <w:r w:rsidRPr="001661BE">
        <w:rPr>
          <w:rFonts w:ascii="Garamond" w:hAnsi="Garamond"/>
          <w:sz w:val="24"/>
          <w:szCs w:val="24"/>
        </w:rPr>
        <w:t>Latvijas Zvērinātu notāru padome (turpmāk – Padome) iepazinās ar Tieslietu ministrijas sagatavotajiem un šā gada 30.jūlijā Valsts sekretāru sanāksmē izsludinātajiem likumprojektiem.</w:t>
      </w:r>
      <w:r w:rsidRPr="001661BE" w:rsidR="00A770A8">
        <w:rPr>
          <w:rFonts w:ascii="Garamond" w:hAnsi="Garamond"/>
          <w:sz w:val="24"/>
          <w:szCs w:val="24"/>
        </w:rPr>
        <w:t xml:space="preserve"> </w:t>
      </w:r>
      <w:r w:rsidRPr="001661BE">
        <w:rPr>
          <w:rFonts w:ascii="Garamond" w:hAnsi="Garamond"/>
          <w:iCs/>
          <w:sz w:val="24"/>
          <w:szCs w:val="24"/>
        </w:rPr>
        <w:t xml:space="preserve">Padome </w:t>
      </w:r>
      <w:r w:rsidRPr="001661BE">
        <w:rPr>
          <w:rFonts w:ascii="Garamond" w:hAnsi="Garamond"/>
          <w:iCs/>
          <w:sz w:val="24"/>
          <w:szCs w:val="24"/>
          <w:u w:val="single"/>
        </w:rPr>
        <w:t>pilnībā atbalsta</w:t>
      </w:r>
      <w:r w:rsidRPr="001661BE">
        <w:rPr>
          <w:rFonts w:ascii="Garamond" w:hAnsi="Garamond"/>
          <w:iCs/>
          <w:sz w:val="24"/>
          <w:szCs w:val="24"/>
        </w:rPr>
        <w:t xml:space="preserve"> sagatavotos likumprojektus</w:t>
      </w:r>
      <w:r w:rsidRPr="001661BE" w:rsidR="00A770A8">
        <w:rPr>
          <w:rFonts w:ascii="Garamond" w:hAnsi="Garamond"/>
          <w:iCs/>
          <w:sz w:val="24"/>
          <w:szCs w:val="24"/>
        </w:rPr>
        <w:t>:</w:t>
      </w:r>
    </w:p>
    <w:p w:rsidRPr="001661BE" w:rsidR="00A770A8" w:rsidP="00A770A8" w:rsidRDefault="00A770A8" w14:paraId="5CC2510D" w14:textId="1C5D83E8">
      <w:pPr>
        <w:spacing w:after="0" w:line="360" w:lineRule="auto"/>
        <w:ind w:firstLine="567"/>
        <w:jc w:val="both"/>
        <w:rPr>
          <w:rFonts w:ascii="Garamond" w:hAnsi="Garamond"/>
          <w:sz w:val="24"/>
          <w:szCs w:val="24"/>
        </w:rPr>
      </w:pPr>
      <w:r w:rsidRPr="001661BE">
        <w:rPr>
          <w:rFonts w:ascii="Garamond" w:hAnsi="Garamond"/>
          <w:iCs/>
          <w:sz w:val="24"/>
          <w:szCs w:val="24"/>
        </w:rPr>
        <w:t xml:space="preserve">[1] Plānotās izmaiņas novērsīs </w:t>
      </w:r>
      <w:r w:rsidRPr="001661BE">
        <w:rPr>
          <w:rFonts w:ascii="Garamond" w:hAnsi="Garamond" w:cs="Times New Roman"/>
          <w:sz w:val="24"/>
          <w:szCs w:val="24"/>
        </w:rPr>
        <w:t>n</w:t>
      </w:r>
      <w:r w:rsidRPr="001661BE" w:rsidR="00697697">
        <w:rPr>
          <w:rFonts w:ascii="Garamond" w:hAnsi="Garamond" w:cs="Times New Roman"/>
          <w:sz w:val="24"/>
          <w:szCs w:val="24"/>
        </w:rPr>
        <w:t>oziedzīgi iegūtu līdzekļu legalizācij</w:t>
      </w:r>
      <w:r w:rsidR="00540DC9">
        <w:rPr>
          <w:rFonts w:ascii="Garamond" w:hAnsi="Garamond" w:cs="Times New Roman"/>
          <w:sz w:val="24"/>
          <w:szCs w:val="24"/>
        </w:rPr>
        <w:t>as</w:t>
      </w:r>
      <w:r w:rsidRPr="001661BE" w:rsidR="00697697">
        <w:rPr>
          <w:rFonts w:ascii="Garamond" w:hAnsi="Garamond" w:cs="Times New Roman"/>
          <w:sz w:val="24"/>
          <w:szCs w:val="24"/>
        </w:rPr>
        <w:t xml:space="preserve"> un terorisma finansēšan</w:t>
      </w:r>
      <w:r w:rsidR="00540DC9">
        <w:rPr>
          <w:rFonts w:ascii="Garamond" w:hAnsi="Garamond" w:cs="Times New Roman"/>
          <w:sz w:val="24"/>
          <w:szCs w:val="24"/>
        </w:rPr>
        <w:t xml:space="preserve">as </w:t>
      </w:r>
      <w:r w:rsidRPr="001661BE" w:rsidR="00540DC9">
        <w:rPr>
          <w:rFonts w:ascii="Garamond" w:hAnsi="Garamond"/>
          <w:iCs/>
          <w:sz w:val="24"/>
          <w:szCs w:val="24"/>
        </w:rPr>
        <w:t>augstu risku</w:t>
      </w:r>
      <w:r w:rsidRPr="001661BE">
        <w:rPr>
          <w:rFonts w:ascii="Garamond" w:hAnsi="Garamond" w:cs="Times New Roman"/>
          <w:sz w:val="24"/>
          <w:szCs w:val="24"/>
        </w:rPr>
        <w:t>, jo</w:t>
      </w:r>
      <w:r w:rsidRPr="001661BE">
        <w:rPr>
          <w:rFonts w:ascii="Garamond" w:hAnsi="Garamond"/>
          <w:sz w:val="24"/>
          <w:szCs w:val="24"/>
        </w:rPr>
        <w:t xml:space="preserve"> </w:t>
      </w:r>
      <w:r w:rsidRPr="001661BE">
        <w:rPr>
          <w:rFonts w:ascii="Garamond" w:hAnsi="Garamond" w:cs="Times New Roman"/>
          <w:sz w:val="24"/>
          <w:szCs w:val="24"/>
        </w:rPr>
        <w:t>bāriņtiesas nav Noziedzīgi iegūtu līdzekļu legalizācijas un terorisma finansēšanas novēršanas likuma subjekti, tādējādi tām nav uzraudzības un kontroles institūcija</w:t>
      </w:r>
      <w:r w:rsidR="002A08DB">
        <w:rPr>
          <w:rFonts w:ascii="Garamond" w:hAnsi="Garamond" w:cs="Times New Roman"/>
          <w:sz w:val="24"/>
          <w:szCs w:val="24"/>
        </w:rPr>
        <w:t>s</w:t>
      </w:r>
      <w:r w:rsidRPr="001661BE">
        <w:rPr>
          <w:rFonts w:ascii="Garamond" w:hAnsi="Garamond" w:cs="Times New Roman"/>
          <w:sz w:val="24"/>
          <w:szCs w:val="24"/>
        </w:rPr>
        <w:t xml:space="preserve">, tās nav ieviesušas iekšējās kontroles sistēmas, neveic apmācības par šo jomu un neizpilda citas likuma prasības. </w:t>
      </w:r>
    </w:p>
    <w:p w:rsidRPr="001661BE" w:rsidR="00A770A8" w:rsidP="00A770A8" w:rsidRDefault="00A770A8" w14:paraId="5F0FDE42" w14:textId="77777777">
      <w:pPr>
        <w:spacing w:after="0" w:line="360" w:lineRule="auto"/>
        <w:ind w:firstLine="567"/>
        <w:jc w:val="both"/>
        <w:rPr>
          <w:rFonts w:ascii="Garamond" w:hAnsi="Garamond"/>
          <w:sz w:val="24"/>
          <w:szCs w:val="24"/>
        </w:rPr>
      </w:pPr>
      <w:r w:rsidRPr="001661BE">
        <w:rPr>
          <w:rFonts w:ascii="Garamond" w:hAnsi="Garamond"/>
          <w:sz w:val="24"/>
          <w:szCs w:val="24"/>
        </w:rPr>
        <w:t xml:space="preserve">[1.1] </w:t>
      </w:r>
      <w:r w:rsidRPr="001661BE" w:rsidR="00697697">
        <w:rPr>
          <w:rFonts w:ascii="Garamond" w:hAnsi="Garamond" w:cs="Times New Roman"/>
          <w:sz w:val="24"/>
          <w:szCs w:val="24"/>
        </w:rPr>
        <w:t>Funkciju dublēšanās starp bāriņtiesu un zvērinātu notāru neatbilst labas pārvaldības principam. Tiesību zinātnē asi kritizētas bāriņtiesu funkcijas veikt notariālos apliecinājumus</w:t>
      </w:r>
      <w:r w:rsidRPr="001661BE">
        <w:rPr>
          <w:rFonts w:ascii="Garamond" w:hAnsi="Garamond" w:cs="Times New Roman"/>
          <w:sz w:val="24"/>
          <w:szCs w:val="24"/>
        </w:rPr>
        <w:t xml:space="preserve">. </w:t>
      </w:r>
      <w:r w:rsidRPr="001661BE" w:rsidR="00697697">
        <w:rPr>
          <w:rFonts w:ascii="Garamond" w:hAnsi="Garamond" w:cs="Times New Roman"/>
          <w:color w:val="000000"/>
          <w:sz w:val="24"/>
          <w:szCs w:val="24"/>
          <w:shd w:val="clear" w:color="auto" w:fill="FFFFFF"/>
        </w:rPr>
        <w:t>Latvijas Universitātes profesore un Satversmes tiesas tiesnese</w:t>
      </w:r>
      <w:r w:rsidRPr="001661BE">
        <w:rPr>
          <w:rFonts w:ascii="Garamond" w:hAnsi="Garamond" w:cs="Times New Roman"/>
          <w:color w:val="000000"/>
          <w:sz w:val="24"/>
          <w:szCs w:val="24"/>
          <w:shd w:val="clear" w:color="auto" w:fill="FFFFFF"/>
        </w:rPr>
        <w:t xml:space="preserve"> </w:t>
      </w:r>
      <w:r w:rsidRPr="001661BE" w:rsidR="00697697">
        <w:rPr>
          <w:rFonts w:ascii="Garamond" w:hAnsi="Garamond" w:cs="Times New Roman"/>
          <w:color w:val="000000"/>
          <w:sz w:val="24"/>
          <w:szCs w:val="24"/>
          <w:shd w:val="clear" w:color="auto" w:fill="FFFFFF"/>
        </w:rPr>
        <w:t xml:space="preserve">Sanita Osipova atzinusi, ka Latvija ir </w:t>
      </w:r>
      <w:r w:rsidRPr="001661BE" w:rsidR="00697697">
        <w:rPr>
          <w:rFonts w:ascii="Garamond" w:hAnsi="Garamond" w:cs="Times New Roman"/>
          <w:sz w:val="24"/>
          <w:szCs w:val="24"/>
        </w:rPr>
        <w:t>pārņēmusi Krievijas impērijas un PSRS laika praksi. Krievijas impērijā tas bija skaidrojams ar plašo teritoriju un nepietiekamo kvalificētu notāru skaitu. Savukārt PSRS ideoloģija noteica, ka PSRS ir tautas valsts, un tauta visos līmeņos piedalās valsts pārvaldīšanā un pilsoņu lietu izskatīšanā, kas noteica plašo kompetenci darbaļaužu deputātu padomju izpildu komitejām, t.sk. notariālās funkcijas. L</w:t>
      </w:r>
      <w:r w:rsidRPr="001661BE">
        <w:rPr>
          <w:rFonts w:ascii="Garamond" w:hAnsi="Garamond" w:cs="Times New Roman"/>
          <w:sz w:val="24"/>
          <w:szCs w:val="24"/>
        </w:rPr>
        <w:t>atvijā</w:t>
      </w:r>
      <w:r w:rsidRPr="001661BE" w:rsidR="00697697">
        <w:rPr>
          <w:rFonts w:ascii="Garamond" w:hAnsi="Garamond" w:cs="Times New Roman"/>
          <w:sz w:val="24"/>
          <w:szCs w:val="24"/>
        </w:rPr>
        <w:t xml:space="preserve"> šobrīd nav ne plašas teritorijas, ne nepietiekams kvalificētu juristu skaits, tāpēc nav pamata turpināt Krievijas impērijas un PSRS laika tradīcijas.</w:t>
      </w:r>
      <w:r w:rsidRPr="001661BE" w:rsidR="00697697">
        <w:rPr>
          <w:rStyle w:val="Vresatsauce"/>
          <w:rFonts w:ascii="Garamond" w:hAnsi="Garamond" w:cs="Times New Roman"/>
          <w:sz w:val="24"/>
          <w:szCs w:val="24"/>
        </w:rPr>
        <w:footnoteReference w:id="1"/>
      </w:r>
    </w:p>
    <w:p w:rsidRPr="001661BE" w:rsidR="00A770A8" w:rsidP="00A770A8" w:rsidRDefault="00A770A8" w14:paraId="777AC5E9" w14:textId="795D07AD">
      <w:pPr>
        <w:spacing w:after="0" w:line="360" w:lineRule="auto"/>
        <w:ind w:firstLine="567"/>
        <w:jc w:val="both"/>
        <w:rPr>
          <w:rFonts w:ascii="Garamond" w:hAnsi="Garamond" w:eastAsia="Times New Roman" w:cs="Times New Roman"/>
          <w:bCs/>
          <w:sz w:val="24"/>
          <w:szCs w:val="24"/>
          <w:lang w:eastAsia="lv-LV"/>
        </w:rPr>
      </w:pPr>
      <w:r w:rsidRPr="001661BE">
        <w:rPr>
          <w:rFonts w:ascii="Garamond" w:hAnsi="Garamond"/>
          <w:sz w:val="24"/>
          <w:szCs w:val="24"/>
        </w:rPr>
        <w:lastRenderedPageBreak/>
        <w:t xml:space="preserve">[1.2] Esošā </w:t>
      </w:r>
      <w:r w:rsidRPr="001661BE" w:rsidR="00697697">
        <w:rPr>
          <w:rFonts w:ascii="Garamond" w:hAnsi="Garamond" w:cs="Times New Roman"/>
          <w:sz w:val="24"/>
          <w:szCs w:val="24"/>
        </w:rPr>
        <w:t xml:space="preserve">Latvijas prakse </w:t>
      </w:r>
      <w:r w:rsidRPr="001661BE" w:rsidR="00697697">
        <w:rPr>
          <w:rFonts w:ascii="Garamond" w:hAnsi="Garamond" w:cs="Times New Roman"/>
          <w:bCs/>
          <w:sz w:val="24"/>
          <w:szCs w:val="24"/>
        </w:rPr>
        <w:t>neatbilst labajai starptautiskajai praksei</w:t>
      </w:r>
      <w:r w:rsidRPr="001661BE" w:rsidR="00697697">
        <w:rPr>
          <w:rFonts w:ascii="Garamond" w:hAnsi="Garamond" w:cs="Times New Roman"/>
          <w:sz w:val="24"/>
          <w:szCs w:val="24"/>
        </w:rPr>
        <w:t>. Piem., kopš neatkarības atjaunošanas Igaunijā un Lietuvā</w:t>
      </w:r>
      <w:r w:rsidR="002A08DB">
        <w:rPr>
          <w:rFonts w:ascii="Garamond" w:hAnsi="Garamond" w:cs="Times New Roman"/>
          <w:sz w:val="24"/>
          <w:szCs w:val="24"/>
        </w:rPr>
        <w:t>,</w:t>
      </w:r>
      <w:r w:rsidRPr="001661BE" w:rsidR="00697697">
        <w:rPr>
          <w:rFonts w:ascii="Garamond" w:hAnsi="Garamond" w:cs="Times New Roman"/>
          <w:sz w:val="24"/>
          <w:szCs w:val="24"/>
        </w:rPr>
        <w:t xml:space="preserve"> notariālās palīdzības funkcija </w:t>
      </w:r>
      <w:r w:rsidRPr="001661BE">
        <w:rPr>
          <w:rFonts w:ascii="Garamond" w:hAnsi="Garamond" w:cs="Times New Roman"/>
          <w:sz w:val="24"/>
          <w:szCs w:val="24"/>
        </w:rPr>
        <w:t>tādā apmēr</w:t>
      </w:r>
      <w:r w:rsidR="002A08DB">
        <w:rPr>
          <w:rFonts w:ascii="Garamond" w:hAnsi="Garamond" w:cs="Times New Roman"/>
          <w:sz w:val="24"/>
          <w:szCs w:val="24"/>
        </w:rPr>
        <w:t>ā</w:t>
      </w:r>
      <w:r w:rsidRPr="001661BE">
        <w:rPr>
          <w:rFonts w:ascii="Garamond" w:hAnsi="Garamond" w:cs="Times New Roman"/>
          <w:sz w:val="24"/>
          <w:szCs w:val="24"/>
        </w:rPr>
        <w:t xml:space="preserve"> </w:t>
      </w:r>
      <w:r w:rsidR="002A08DB">
        <w:rPr>
          <w:rFonts w:ascii="Garamond" w:hAnsi="Garamond" w:cs="Times New Roman"/>
          <w:sz w:val="24"/>
          <w:szCs w:val="24"/>
        </w:rPr>
        <w:t xml:space="preserve">vairs </w:t>
      </w:r>
      <w:r w:rsidRPr="001661BE">
        <w:rPr>
          <w:rFonts w:ascii="Garamond" w:hAnsi="Garamond" w:cs="Times New Roman"/>
          <w:sz w:val="24"/>
          <w:szCs w:val="24"/>
        </w:rPr>
        <w:t>nav sa</w:t>
      </w:r>
      <w:r w:rsidRPr="001661BE" w:rsidR="00697697">
        <w:rPr>
          <w:rFonts w:ascii="Garamond" w:hAnsi="Garamond" w:cs="Times New Roman"/>
          <w:sz w:val="24"/>
          <w:szCs w:val="24"/>
        </w:rPr>
        <w:t xml:space="preserve">dalīta starp zvērinātu notāru un pašvaldību. </w:t>
      </w:r>
    </w:p>
    <w:p w:rsidRPr="001661BE" w:rsidR="00A770A8" w:rsidP="00A770A8" w:rsidRDefault="00A770A8" w14:paraId="77F9A69C" w14:textId="7A15072E">
      <w:pPr>
        <w:spacing w:after="0" w:line="360" w:lineRule="auto"/>
        <w:ind w:firstLine="567"/>
        <w:jc w:val="both"/>
        <w:rPr>
          <w:rFonts w:ascii="Garamond" w:hAnsi="Garamond" w:cs="Times New Roman"/>
          <w:sz w:val="24"/>
          <w:szCs w:val="24"/>
        </w:rPr>
      </w:pPr>
      <w:r w:rsidRPr="001661BE">
        <w:rPr>
          <w:rFonts w:ascii="Garamond" w:hAnsi="Garamond" w:eastAsia="Times New Roman" w:cs="Times New Roman"/>
          <w:bCs/>
          <w:sz w:val="24"/>
          <w:szCs w:val="24"/>
          <w:lang w:eastAsia="lv-LV"/>
        </w:rPr>
        <w:t xml:space="preserve">[1.3] </w:t>
      </w:r>
      <w:r w:rsidRPr="001661BE" w:rsidR="00697697">
        <w:rPr>
          <w:rFonts w:ascii="Garamond" w:hAnsi="Garamond" w:cs="Times New Roman"/>
          <w:sz w:val="24"/>
          <w:szCs w:val="24"/>
        </w:rPr>
        <w:t>Bāriņtiesu locekļ</w:t>
      </w:r>
      <w:r w:rsidR="002A08DB">
        <w:rPr>
          <w:rFonts w:ascii="Garamond" w:hAnsi="Garamond" w:cs="Times New Roman"/>
          <w:sz w:val="24"/>
          <w:szCs w:val="24"/>
        </w:rPr>
        <w:t xml:space="preserve">u izglītība nav </w:t>
      </w:r>
      <w:r w:rsidRPr="001661BE" w:rsidR="00697697">
        <w:rPr>
          <w:rFonts w:ascii="Garamond" w:hAnsi="Garamond" w:cs="Times New Roman"/>
          <w:bCs/>
          <w:sz w:val="24"/>
          <w:szCs w:val="24"/>
        </w:rPr>
        <w:t>pietiekama izglītība</w:t>
      </w:r>
      <w:r w:rsidR="002A08DB">
        <w:rPr>
          <w:rFonts w:ascii="Garamond" w:hAnsi="Garamond" w:cs="Times New Roman"/>
          <w:bCs/>
          <w:sz w:val="24"/>
          <w:szCs w:val="24"/>
        </w:rPr>
        <w:t>, lai</w:t>
      </w:r>
      <w:r w:rsidRPr="001661BE">
        <w:rPr>
          <w:rFonts w:ascii="Garamond" w:hAnsi="Garamond" w:cs="Times New Roman"/>
          <w:bCs/>
          <w:sz w:val="24"/>
          <w:szCs w:val="24"/>
        </w:rPr>
        <w:t xml:space="preserve"> īstenot</w:t>
      </w:r>
      <w:r w:rsidR="002A08DB">
        <w:rPr>
          <w:rFonts w:ascii="Garamond" w:hAnsi="Garamond" w:cs="Times New Roman"/>
          <w:bCs/>
          <w:sz w:val="24"/>
          <w:szCs w:val="24"/>
        </w:rPr>
        <w:t>u</w:t>
      </w:r>
      <w:r w:rsidRPr="001661BE">
        <w:rPr>
          <w:rFonts w:ascii="Garamond" w:hAnsi="Garamond" w:cs="Times New Roman"/>
          <w:bCs/>
          <w:sz w:val="24"/>
          <w:szCs w:val="24"/>
        </w:rPr>
        <w:t xml:space="preserve"> notariālo palīdzību</w:t>
      </w:r>
      <w:r w:rsidR="002A08DB">
        <w:rPr>
          <w:rFonts w:ascii="Garamond" w:hAnsi="Garamond" w:cs="Times New Roman"/>
          <w:sz w:val="24"/>
          <w:szCs w:val="24"/>
        </w:rPr>
        <w:t xml:space="preserve"> un</w:t>
      </w:r>
      <w:r w:rsidRPr="001661BE" w:rsidR="00697697">
        <w:rPr>
          <w:rFonts w:ascii="Garamond" w:hAnsi="Garamond" w:cs="Times New Roman"/>
          <w:sz w:val="24"/>
          <w:szCs w:val="24"/>
        </w:rPr>
        <w:t xml:space="preserve"> kvalitatīvi </w:t>
      </w:r>
      <w:r w:rsidR="002A08DB">
        <w:rPr>
          <w:rFonts w:ascii="Garamond" w:hAnsi="Garamond" w:cs="Times New Roman"/>
          <w:sz w:val="24"/>
          <w:szCs w:val="24"/>
        </w:rPr>
        <w:t>veiktu</w:t>
      </w:r>
      <w:r w:rsidRPr="001661BE" w:rsidR="00697697">
        <w:rPr>
          <w:rFonts w:ascii="Garamond" w:hAnsi="Garamond" w:cs="Times New Roman"/>
          <w:sz w:val="24"/>
          <w:szCs w:val="24"/>
        </w:rPr>
        <w:t xml:space="preserve"> notariālās darbības.</w:t>
      </w:r>
      <w:r w:rsidRPr="001661BE" w:rsidR="00697697">
        <w:rPr>
          <w:rStyle w:val="Vresatsauce"/>
          <w:rFonts w:ascii="Garamond" w:hAnsi="Garamond" w:cs="Times New Roman"/>
          <w:sz w:val="24"/>
          <w:szCs w:val="24"/>
        </w:rPr>
        <w:footnoteReference w:id="2"/>
      </w:r>
      <w:r w:rsidRPr="001661BE" w:rsidR="00697697">
        <w:rPr>
          <w:rFonts w:ascii="Garamond" w:hAnsi="Garamond" w:cs="Times New Roman"/>
          <w:sz w:val="24"/>
          <w:szCs w:val="24"/>
        </w:rPr>
        <w:t xml:space="preserve"> Salīdzinājumam - zvērinātam notāram likums pieprasa maģistra grādu tiesību zinātnē. Tiesību sistēmas sarežģītība aizvien vairāk prasa nepieciešamību pēc speciālām un padziļinātām juridiskām zināšanām. </w:t>
      </w:r>
    </w:p>
    <w:p w:rsidRPr="001661BE" w:rsidR="001661BE" w:rsidP="001661BE" w:rsidRDefault="00A770A8" w14:paraId="52E67CE8" w14:textId="7D37699D">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[1.4] </w:t>
      </w:r>
      <w:r w:rsidRPr="001661BE" w:rsidR="00697697">
        <w:rPr>
          <w:rFonts w:ascii="Garamond" w:hAnsi="Garamond" w:cs="Times New Roman"/>
          <w:sz w:val="24"/>
          <w:szCs w:val="24"/>
        </w:rPr>
        <w:t xml:space="preserve">Notariālās palīdzības sniegšanai arvien vairāk nepieciešami dažādi </w:t>
      </w:r>
      <w:r w:rsidRPr="001661BE" w:rsidR="00697697">
        <w:rPr>
          <w:rFonts w:ascii="Garamond" w:hAnsi="Garamond" w:cs="Times New Roman"/>
          <w:bCs/>
          <w:sz w:val="24"/>
          <w:szCs w:val="24"/>
        </w:rPr>
        <w:t>tehnoloģiski risinājumi, k</w:t>
      </w:r>
      <w:r w:rsidR="002A08DB">
        <w:rPr>
          <w:rFonts w:ascii="Garamond" w:hAnsi="Garamond" w:cs="Times New Roman"/>
          <w:bCs/>
          <w:sz w:val="24"/>
          <w:szCs w:val="24"/>
        </w:rPr>
        <w:t>as</w:t>
      </w:r>
      <w:r w:rsidRPr="001661BE" w:rsidR="00697697">
        <w:rPr>
          <w:rFonts w:ascii="Garamond" w:hAnsi="Garamond" w:cs="Times New Roman"/>
          <w:bCs/>
          <w:sz w:val="24"/>
          <w:szCs w:val="24"/>
        </w:rPr>
        <w:t xml:space="preserve"> visām pašvaldību bāriņtiesām nav pieejami</w:t>
      </w:r>
      <w:r w:rsidRPr="001661BE" w:rsidR="00697697">
        <w:rPr>
          <w:rFonts w:ascii="Garamond" w:hAnsi="Garamond" w:cs="Times New Roman"/>
          <w:sz w:val="24"/>
          <w:szCs w:val="24"/>
        </w:rPr>
        <w:t xml:space="preserve"> un </w:t>
      </w:r>
      <w:r w:rsidR="002A08DB">
        <w:rPr>
          <w:rFonts w:ascii="Garamond" w:hAnsi="Garamond" w:cs="Times New Roman"/>
          <w:sz w:val="24"/>
          <w:szCs w:val="24"/>
        </w:rPr>
        <w:t xml:space="preserve">kurus </w:t>
      </w:r>
      <w:r w:rsidRPr="001661BE" w:rsidR="00697697">
        <w:rPr>
          <w:rFonts w:ascii="Garamond" w:hAnsi="Garamond" w:cs="Times New Roman"/>
          <w:sz w:val="24"/>
          <w:szCs w:val="24"/>
        </w:rPr>
        <w:t xml:space="preserve">katrai atsevišķi nav iespējams </w:t>
      </w:r>
      <w:r w:rsidRPr="001661BE" w:rsidR="008A35A4">
        <w:rPr>
          <w:rFonts w:ascii="Garamond" w:hAnsi="Garamond" w:cs="Times New Roman"/>
          <w:sz w:val="24"/>
          <w:szCs w:val="24"/>
        </w:rPr>
        <w:t xml:space="preserve">finansiāli </w:t>
      </w:r>
      <w:r w:rsidRPr="001661BE" w:rsidR="00697697">
        <w:rPr>
          <w:rFonts w:ascii="Garamond" w:hAnsi="Garamond" w:cs="Times New Roman"/>
          <w:sz w:val="24"/>
          <w:szCs w:val="24"/>
        </w:rPr>
        <w:t>nodrošināt. Valstiskā līmenī nav saprātīgi un racionāli attīstīt notariālo funkciju izpildes procesus divās publiskās iestādēs –</w:t>
      </w:r>
      <w:r w:rsidRPr="001661BE" w:rsidR="001661BE">
        <w:rPr>
          <w:rFonts w:ascii="Garamond" w:hAnsi="Garamond" w:cs="Times New Roman"/>
          <w:sz w:val="24"/>
          <w:szCs w:val="24"/>
        </w:rPr>
        <w:t xml:space="preserve"> </w:t>
      </w:r>
      <w:r w:rsidRPr="001661BE" w:rsidR="00697697">
        <w:rPr>
          <w:rFonts w:ascii="Garamond" w:hAnsi="Garamond" w:cs="Times New Roman"/>
          <w:sz w:val="24"/>
          <w:szCs w:val="24"/>
        </w:rPr>
        <w:t>bāriņtiesās un notariātā.  Šos līdzekļus var novirzīt svarīgākām prioritātēm.</w:t>
      </w:r>
      <w:r w:rsidR="008A35A4">
        <w:rPr>
          <w:rFonts w:ascii="Garamond" w:hAnsi="Garamond" w:cs="Times New Roman"/>
          <w:sz w:val="24"/>
          <w:szCs w:val="24"/>
        </w:rPr>
        <w:t xml:space="preserve"> </w:t>
      </w:r>
    </w:p>
    <w:p w:rsidRPr="001661BE" w:rsidR="001661BE" w:rsidP="001661BE" w:rsidRDefault="001661BE" w14:paraId="732425B3" w14:textId="4C5AAFD7">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[1.5] </w:t>
      </w:r>
      <w:r w:rsidRPr="001661BE" w:rsidR="00697697">
        <w:rPr>
          <w:rFonts w:ascii="Garamond" w:hAnsi="Garamond" w:cs="Times New Roman"/>
          <w:sz w:val="24"/>
          <w:szCs w:val="24"/>
        </w:rPr>
        <w:t xml:space="preserve">Bāriņtiesa ir </w:t>
      </w:r>
      <w:r w:rsidRPr="001661BE" w:rsidR="00697697">
        <w:rPr>
          <w:rFonts w:ascii="Garamond" w:hAnsi="Garamond" w:cs="Times New Roman"/>
          <w:sz w:val="24"/>
          <w:szCs w:val="24"/>
          <w:shd w:val="clear" w:color="auto" w:fill="FFFFFF"/>
        </w:rPr>
        <w:t>aizbildnības un aizgādnības iestāde, kuras uzdevums ir aizsargāt konkrētu personu cilvēktiesības un kur</w:t>
      </w:r>
      <w:r w:rsidR="008A35A4">
        <w:rPr>
          <w:rFonts w:ascii="Garamond" w:hAnsi="Garamond" w:cs="Times New Roman"/>
          <w:sz w:val="24"/>
          <w:szCs w:val="24"/>
          <w:shd w:val="clear" w:color="auto" w:fill="FFFFFF"/>
        </w:rPr>
        <w:t>ai ir būtiska</w:t>
      </w:r>
      <w:r w:rsidRPr="001661BE" w:rsidR="00697697">
        <w:rPr>
          <w:rFonts w:ascii="Garamond" w:hAnsi="Garamond" w:cs="Times New Roman"/>
          <w:sz w:val="24"/>
          <w:szCs w:val="24"/>
          <w:shd w:val="clear" w:color="auto" w:fill="FFFFFF"/>
        </w:rPr>
        <w:t xml:space="preserve"> ietekme uz cilvēku dzīvēm. Notariālā palīdzība pamatā saistīta ar personas saimnieciskajām (civiltiesiskajām) darbībām, kuru nozīme un prioritāte nav salīdzināma ar bērnu u.c. mazaizsargātu personu cilvēktiesību aizsardzību. Bāriņtiesu </w:t>
      </w:r>
      <w:r w:rsidR="008A35A4">
        <w:rPr>
          <w:rFonts w:ascii="Garamond" w:hAnsi="Garamond" w:cs="Times New Roman"/>
          <w:sz w:val="24"/>
          <w:szCs w:val="24"/>
          <w:shd w:val="clear" w:color="auto" w:fill="FFFFFF"/>
        </w:rPr>
        <w:t>veikto</w:t>
      </w:r>
      <w:r w:rsidRPr="001661BE" w:rsidR="008A35A4">
        <w:rPr>
          <w:rFonts w:ascii="Garamond" w:hAnsi="Garamond" w:cs="Times New Roman"/>
          <w:sz w:val="24"/>
          <w:szCs w:val="24"/>
        </w:rPr>
        <w:t xml:space="preserve"> </w:t>
      </w:r>
      <w:r w:rsidRPr="001661BE" w:rsidR="00697697">
        <w:rPr>
          <w:rFonts w:ascii="Garamond" w:hAnsi="Garamond" w:cs="Times New Roman"/>
          <w:sz w:val="24"/>
          <w:szCs w:val="24"/>
        </w:rPr>
        <w:t>notariālo darbību skaits ir tāds, kas rada šaubas par resursu pietiekamību pamatfunkcijas izpildei un to kvalitātei.</w:t>
      </w:r>
      <w:r w:rsidRPr="001661BE" w:rsidR="00697697">
        <w:rPr>
          <w:rStyle w:val="Vresatsauce"/>
          <w:rFonts w:ascii="Garamond" w:hAnsi="Garamond" w:cs="Times New Roman"/>
          <w:sz w:val="24"/>
          <w:szCs w:val="24"/>
        </w:rPr>
        <w:footnoteReference w:id="3"/>
      </w:r>
      <w:r w:rsidRPr="001661BE" w:rsidR="00697697">
        <w:rPr>
          <w:rFonts w:ascii="Garamond" w:hAnsi="Garamond" w:cs="Times New Roman"/>
          <w:sz w:val="24"/>
          <w:szCs w:val="24"/>
        </w:rPr>
        <w:t xml:space="preserve"> Augstākā tiesa ir pieņēmusi vairākus būtiskus spriedumus par bāriņtiesu darbību kvalitāti.</w:t>
      </w:r>
      <w:r w:rsidRPr="001661BE" w:rsidR="00697697">
        <w:rPr>
          <w:rStyle w:val="Vresatsauce"/>
          <w:rFonts w:ascii="Garamond" w:hAnsi="Garamond" w:cs="Times New Roman"/>
          <w:sz w:val="24"/>
          <w:szCs w:val="24"/>
        </w:rPr>
        <w:footnoteReference w:id="4"/>
      </w:r>
      <w:r w:rsidRPr="001661BE" w:rsidR="00697697">
        <w:rPr>
          <w:rFonts w:ascii="Garamond" w:hAnsi="Garamond" w:cs="Times New Roman"/>
          <w:sz w:val="24"/>
          <w:szCs w:val="24"/>
        </w:rPr>
        <w:t xml:space="preserve"> </w:t>
      </w:r>
      <w:r w:rsidR="008A35A4">
        <w:rPr>
          <w:rFonts w:ascii="Garamond" w:hAnsi="Garamond" w:cs="Times New Roman"/>
          <w:sz w:val="24"/>
          <w:szCs w:val="24"/>
        </w:rPr>
        <w:t>Tādēļ b</w:t>
      </w:r>
      <w:r w:rsidRPr="001661BE" w:rsidR="00697697">
        <w:rPr>
          <w:rFonts w:ascii="Garamond" w:hAnsi="Garamond" w:cs="Times New Roman"/>
          <w:sz w:val="24"/>
          <w:szCs w:val="24"/>
        </w:rPr>
        <w:t xml:space="preserve">āriņtiesas </w:t>
      </w:r>
      <w:r w:rsidR="008A35A4">
        <w:rPr>
          <w:rFonts w:ascii="Garamond" w:hAnsi="Garamond" w:cs="Times New Roman"/>
          <w:sz w:val="24"/>
          <w:szCs w:val="24"/>
        </w:rPr>
        <w:t>būtu</w:t>
      </w:r>
      <w:r w:rsidRPr="001661BE" w:rsidR="00697697">
        <w:rPr>
          <w:rFonts w:ascii="Garamond" w:hAnsi="Garamond" w:cs="Times New Roman"/>
          <w:sz w:val="24"/>
          <w:szCs w:val="24"/>
        </w:rPr>
        <w:t xml:space="preserve"> atbrīvojams no tām uzdotām papildus funkcijām, </w:t>
      </w:r>
      <w:r w:rsidR="008A35A4">
        <w:rPr>
          <w:rFonts w:ascii="Garamond" w:hAnsi="Garamond" w:cs="Times New Roman"/>
          <w:sz w:val="24"/>
          <w:szCs w:val="24"/>
        </w:rPr>
        <w:t xml:space="preserve">jo īpaši tādām, </w:t>
      </w:r>
      <w:r w:rsidRPr="001661BE" w:rsidR="00697697">
        <w:rPr>
          <w:rFonts w:ascii="Garamond" w:hAnsi="Garamond" w:cs="Times New Roman"/>
          <w:sz w:val="24"/>
          <w:szCs w:val="24"/>
        </w:rPr>
        <w:t>k</w:t>
      </w:r>
      <w:r w:rsidR="008A35A4">
        <w:rPr>
          <w:rFonts w:ascii="Garamond" w:hAnsi="Garamond" w:cs="Times New Roman"/>
          <w:sz w:val="24"/>
          <w:szCs w:val="24"/>
        </w:rPr>
        <w:t>uras ir zvērināta notāra kompetencē.</w:t>
      </w:r>
    </w:p>
    <w:p w:rsidRPr="001661BE" w:rsidR="00697697" w:rsidP="001661BE" w:rsidRDefault="001661BE" w14:paraId="0D134B1C" w14:textId="1CF3D615">
      <w:pPr>
        <w:spacing w:after="0" w:line="360" w:lineRule="auto"/>
        <w:ind w:firstLine="567"/>
        <w:jc w:val="both"/>
        <w:rPr>
          <w:rFonts w:ascii="Garamond" w:hAnsi="Garamond" w:cs="Times New Roman"/>
          <w:sz w:val="24"/>
          <w:szCs w:val="24"/>
        </w:rPr>
      </w:pPr>
      <w:r w:rsidRPr="001661BE">
        <w:rPr>
          <w:rFonts w:ascii="Garamond" w:hAnsi="Garamond" w:cs="Times New Roman"/>
          <w:sz w:val="24"/>
          <w:szCs w:val="24"/>
        </w:rPr>
        <w:t xml:space="preserve">[1.6] </w:t>
      </w:r>
      <w:r w:rsidRPr="001661BE" w:rsidR="00697697">
        <w:rPr>
          <w:rFonts w:ascii="Garamond" w:hAnsi="Garamond" w:cs="Times New Roman"/>
          <w:bCs/>
          <w:sz w:val="24"/>
          <w:szCs w:val="24"/>
        </w:rPr>
        <w:t>Pieejamība notariālajai palīdzībai tiks saglabāta</w:t>
      </w:r>
      <w:r w:rsidRPr="001661BE" w:rsidR="00697697">
        <w:rPr>
          <w:rFonts w:ascii="Garamond" w:hAnsi="Garamond" w:cs="Times New Roman"/>
          <w:sz w:val="24"/>
          <w:szCs w:val="24"/>
        </w:rPr>
        <w:t xml:space="preserve"> </w:t>
      </w:r>
      <w:r w:rsidR="008A35A4">
        <w:rPr>
          <w:rFonts w:ascii="Garamond" w:hAnsi="Garamond" w:cs="Times New Roman"/>
          <w:sz w:val="24"/>
          <w:szCs w:val="24"/>
        </w:rPr>
        <w:t xml:space="preserve">arī </w:t>
      </w:r>
      <w:r w:rsidRPr="001661BE" w:rsidR="00697697">
        <w:rPr>
          <w:rFonts w:ascii="Garamond" w:hAnsi="Garamond" w:cs="Times New Roman"/>
          <w:sz w:val="24"/>
          <w:szCs w:val="24"/>
        </w:rPr>
        <w:t xml:space="preserve">pēc bāriņtiesu funkciju </w:t>
      </w:r>
      <w:r w:rsidRPr="001661BE">
        <w:rPr>
          <w:rFonts w:ascii="Garamond" w:hAnsi="Garamond" w:cs="Times New Roman"/>
          <w:sz w:val="24"/>
          <w:szCs w:val="24"/>
        </w:rPr>
        <w:t>pārskatīšanas</w:t>
      </w:r>
      <w:r w:rsidRPr="001661BE" w:rsidR="00697697">
        <w:rPr>
          <w:rFonts w:ascii="Garamond" w:hAnsi="Garamond" w:cs="Times New Roman"/>
          <w:sz w:val="24"/>
          <w:szCs w:val="24"/>
        </w:rPr>
        <w:t xml:space="preserve">. </w:t>
      </w:r>
      <w:r w:rsidRPr="001661BE" w:rsidR="00697697">
        <w:rPr>
          <w:rFonts w:ascii="Garamond" w:hAnsi="Garamond" w:eastAsia="Times New Roman" w:cs="Times New Roman"/>
          <w:bCs/>
          <w:sz w:val="24"/>
          <w:szCs w:val="24"/>
          <w:lang w:eastAsia="lv-LV"/>
        </w:rPr>
        <w:t xml:space="preserve">Latvijā zvērināta notāra amata vietas ir </w:t>
      </w:r>
      <w:r w:rsidRPr="001661BE" w:rsidR="00697697">
        <w:rPr>
          <w:rFonts w:ascii="Garamond" w:hAnsi="Garamond" w:eastAsia="Times New Roman" w:cs="Times New Roman"/>
          <w:sz w:val="24"/>
          <w:szCs w:val="24"/>
          <w:lang w:eastAsia="lv-LV"/>
        </w:rPr>
        <w:t>3</w:t>
      </w:r>
      <w:r w:rsidRPr="001661BE">
        <w:rPr>
          <w:rFonts w:ascii="Garamond" w:hAnsi="Garamond" w:eastAsia="Times New Roman" w:cs="Times New Roman"/>
          <w:sz w:val="24"/>
          <w:szCs w:val="24"/>
          <w:lang w:eastAsia="lv-LV"/>
        </w:rPr>
        <w:t>3</w:t>
      </w:r>
      <w:r w:rsidRPr="001661BE" w:rsidR="00697697">
        <w:rPr>
          <w:rFonts w:ascii="Garamond" w:hAnsi="Garamond" w:eastAsia="Times New Roman" w:cs="Times New Roman"/>
          <w:sz w:val="24"/>
          <w:szCs w:val="24"/>
          <w:lang w:eastAsia="lv-LV"/>
        </w:rPr>
        <w:t xml:space="preserve"> pilsētās</w:t>
      </w:r>
      <w:r w:rsidR="00835D6C">
        <w:rPr>
          <w:rFonts w:ascii="Garamond" w:hAnsi="Garamond" w:eastAsia="Times New Roman" w:cs="Times New Roman"/>
          <w:sz w:val="24"/>
          <w:szCs w:val="24"/>
          <w:lang w:eastAsia="lv-LV"/>
        </w:rPr>
        <w:t xml:space="preserve"> 106 birojos</w:t>
      </w:r>
      <w:r w:rsidRPr="001661BE" w:rsidR="00697697">
        <w:rPr>
          <w:rFonts w:ascii="Garamond" w:hAnsi="Garamond" w:eastAsia="Times New Roman" w:cs="Times New Roman"/>
          <w:sz w:val="24"/>
          <w:szCs w:val="24"/>
          <w:lang w:eastAsia="lv-LV"/>
        </w:rPr>
        <w:t xml:space="preserve">. Turklāt zvērināts notārs var sniegt notariālo palīdzību </w:t>
      </w:r>
      <w:r w:rsidRPr="001661BE">
        <w:rPr>
          <w:rFonts w:ascii="Garamond" w:hAnsi="Garamond" w:eastAsia="Times New Roman" w:cs="Times New Roman"/>
          <w:sz w:val="24"/>
          <w:szCs w:val="24"/>
          <w:lang w:eastAsia="lv-LV"/>
        </w:rPr>
        <w:t>attālināti</w:t>
      </w:r>
      <w:r w:rsidR="008A35A4">
        <w:rPr>
          <w:rFonts w:ascii="Garamond" w:hAnsi="Garamond" w:eastAsia="Times New Roman" w:cs="Times New Roman"/>
          <w:sz w:val="24"/>
          <w:szCs w:val="24"/>
          <w:lang w:eastAsia="lv-LV"/>
        </w:rPr>
        <w:t>,</w:t>
      </w:r>
      <w:r w:rsidRPr="001661BE">
        <w:rPr>
          <w:rFonts w:ascii="Garamond" w:hAnsi="Garamond" w:eastAsia="Times New Roman" w:cs="Times New Roman"/>
          <w:sz w:val="24"/>
          <w:szCs w:val="24"/>
          <w:lang w:eastAsia="lv-LV"/>
        </w:rPr>
        <w:t xml:space="preserve"> </w:t>
      </w:r>
      <w:r w:rsidRPr="001661BE" w:rsidR="00697697">
        <w:rPr>
          <w:rFonts w:ascii="Garamond" w:hAnsi="Garamond" w:eastAsia="Times New Roman" w:cs="Times New Roman"/>
          <w:sz w:val="24"/>
          <w:szCs w:val="24"/>
          <w:lang w:eastAsia="lv-LV"/>
        </w:rPr>
        <w:t xml:space="preserve">videokonferences režīmā. </w:t>
      </w:r>
      <w:r w:rsidRPr="001661BE" w:rsidR="00697697">
        <w:rPr>
          <w:rFonts w:ascii="Garamond" w:hAnsi="Garamond" w:cs="Times New Roman"/>
          <w:sz w:val="24"/>
          <w:szCs w:val="24"/>
        </w:rPr>
        <w:t>Notariālās palīdzība pieejamība tiks nodrošināta arī sociāli mazaizsargātām personām. Notariāta likums paredz zvērināta notāra pienākumu veikt amata darbības mājas vizītēs. Pastāv arī kārtība, kā no zvērināta notāra amata atlīdzības var atbrīvot fizisku un juridisku personu, kura ievērojot viņas īpašo situāciju, īpašuma stāvokli un ienākuma līmeni, nav spējīga daļēji vai pilnībā nodrošināt savu tiesību aizsardzību. No atlīdzības var atbrīvot maznodrošinātas un trūcīgas personas, kā arī ikvienu personu, ja pastāv personas īpaša situācija, kuras dēļ atlīdzību nav iespējams samaksāt.</w:t>
      </w:r>
      <w:r w:rsidRPr="001661BE" w:rsidR="00697697">
        <w:rPr>
          <w:rStyle w:val="Vresatsauce"/>
          <w:rFonts w:ascii="Garamond" w:hAnsi="Garamond" w:cs="Times New Roman"/>
          <w:sz w:val="24"/>
          <w:szCs w:val="24"/>
        </w:rPr>
        <w:footnoteReference w:id="5"/>
      </w:r>
    </w:p>
    <w:p w:rsidRPr="00835D6C" w:rsidR="001661BE" w:rsidP="001661BE" w:rsidRDefault="001661BE" w14:paraId="6B325D56" w14:textId="4ACCD285">
      <w:pPr>
        <w:spacing w:after="0" w:line="360" w:lineRule="auto"/>
        <w:ind w:firstLine="567"/>
        <w:jc w:val="both"/>
        <w:rPr>
          <w:rFonts w:ascii="Garamond" w:hAnsi="Garamond"/>
          <w:iCs/>
          <w:sz w:val="24"/>
          <w:szCs w:val="24"/>
        </w:rPr>
      </w:pPr>
      <w:r w:rsidRPr="00835D6C">
        <w:rPr>
          <w:rFonts w:ascii="Garamond" w:hAnsi="Garamond" w:cs="Times New Roman"/>
          <w:sz w:val="24"/>
          <w:szCs w:val="24"/>
        </w:rPr>
        <w:lastRenderedPageBreak/>
        <w:t xml:space="preserve">[2] </w:t>
      </w:r>
      <w:r w:rsidRPr="00835D6C" w:rsidR="00697697">
        <w:rPr>
          <w:rFonts w:ascii="Garamond" w:hAnsi="Garamond"/>
          <w:iCs/>
          <w:sz w:val="24"/>
          <w:szCs w:val="24"/>
        </w:rPr>
        <w:t>Vienlaikus Padome lūdz precizēt un papildināt</w:t>
      </w:r>
      <w:r w:rsidRPr="00835D6C">
        <w:rPr>
          <w:rFonts w:ascii="Garamond" w:hAnsi="Garamond"/>
          <w:iCs/>
          <w:sz w:val="24"/>
          <w:szCs w:val="24"/>
        </w:rPr>
        <w:t xml:space="preserve"> likumprojekta "Grozījumi Bāriņtiesu likumā" (VSS-636) 8.punktā ietverto šādā redakcijā:</w:t>
      </w:r>
    </w:p>
    <w:p w:rsidRPr="00835D6C" w:rsidR="001661BE" w:rsidP="001661BE" w:rsidRDefault="001661BE" w14:paraId="50350512" w14:textId="4E18968F">
      <w:pPr>
        <w:spacing w:after="0" w:line="360" w:lineRule="auto"/>
        <w:ind w:firstLine="720"/>
        <w:jc w:val="both"/>
        <w:rPr>
          <w:rFonts w:ascii="Garamond" w:hAnsi="Garamond" w:eastAsia="Times New Roman" w:cs="Times New Roman"/>
          <w:sz w:val="24"/>
          <w:szCs w:val="24"/>
          <w:lang w:eastAsia="lv-LV"/>
        </w:rPr>
      </w:pPr>
      <w:r w:rsidRPr="00835D6C">
        <w:rPr>
          <w:rFonts w:ascii="Garamond" w:hAnsi="Garamond" w:eastAsia="Times New Roman" w:cs="Times New Roman"/>
          <w:sz w:val="24"/>
          <w:szCs w:val="24"/>
          <w:lang w:eastAsia="lv-LV"/>
        </w:rPr>
        <w:t>“23. </w:t>
      </w:r>
      <w:r w:rsidRPr="00835D6C">
        <w:rPr>
          <w:rFonts w:ascii="Garamond" w:hAnsi="Garamond"/>
          <w:sz w:val="24"/>
          <w:szCs w:val="24"/>
          <w:shd w:val="clear" w:color="auto" w:fill="FFFFFF"/>
        </w:rPr>
        <w:t xml:space="preserve">Bāriņtiesa tās rīcībā esošās testamentu grāmatas, tajā skaitā, glabāšanā pieņemtos privātos testamentus, ne vēlāk kā līdz 2021. gada 15. janvārim </w:t>
      </w:r>
      <w:r w:rsidRPr="00835D6C">
        <w:rPr>
          <w:rFonts w:ascii="Garamond" w:hAnsi="Garamond"/>
          <w:sz w:val="24"/>
          <w:szCs w:val="24"/>
          <w:u w:val="single"/>
          <w:shd w:val="clear" w:color="auto" w:fill="FFFFFF"/>
        </w:rPr>
        <w:t>saskaņā ar Latvijas zvērinātu notāru padomes līdz 202</w:t>
      </w:r>
      <w:r w:rsidR="008A35A4">
        <w:rPr>
          <w:rFonts w:ascii="Garamond" w:hAnsi="Garamond"/>
          <w:sz w:val="24"/>
          <w:szCs w:val="24"/>
          <w:u w:val="single"/>
          <w:shd w:val="clear" w:color="auto" w:fill="FFFFFF"/>
        </w:rPr>
        <w:t>1</w:t>
      </w:r>
      <w:r w:rsidRPr="00835D6C">
        <w:rPr>
          <w:rFonts w:ascii="Garamond" w:hAnsi="Garamond"/>
          <w:sz w:val="24"/>
          <w:szCs w:val="24"/>
          <w:u w:val="single"/>
          <w:shd w:val="clear" w:color="auto" w:fill="FFFFFF"/>
        </w:rPr>
        <w:t>.gada 1.janvārim izstrādātu kārtību</w:t>
      </w:r>
      <w:r w:rsidRPr="00835D6C">
        <w:rPr>
          <w:rFonts w:ascii="Garamond" w:hAnsi="Garamond"/>
          <w:sz w:val="24"/>
          <w:szCs w:val="24"/>
          <w:shd w:val="clear" w:color="auto" w:fill="FFFFFF"/>
        </w:rPr>
        <w:t xml:space="preserve"> nodod tuvākajā apkaimes apdzīvotajā vietā praktizējošam zvērinātam notāram un paziņo par to testamentu reģistram.”</w:t>
      </w:r>
    </w:p>
    <w:p w:rsidR="00835D6C" w:rsidP="001661BE" w:rsidRDefault="001661BE" w14:paraId="224E9A9A" w14:textId="6EB34DDF">
      <w:pPr>
        <w:spacing w:after="0" w:line="360" w:lineRule="auto"/>
        <w:ind w:firstLine="567"/>
        <w:jc w:val="both"/>
        <w:rPr>
          <w:rFonts w:ascii="Garamond" w:hAnsi="Garamond"/>
          <w:sz w:val="24"/>
          <w:szCs w:val="24"/>
          <w:shd w:val="clear" w:color="auto" w:fill="FFFFFF"/>
        </w:rPr>
      </w:pPr>
      <w:r w:rsidRPr="00835D6C">
        <w:rPr>
          <w:rFonts w:ascii="Garamond" w:hAnsi="Garamond"/>
          <w:iCs/>
          <w:sz w:val="24"/>
          <w:szCs w:val="24"/>
        </w:rPr>
        <w:t xml:space="preserve">Papildinājums ir nepieciešams, lai </w:t>
      </w:r>
      <w:r w:rsidRPr="00835D6C">
        <w:rPr>
          <w:rFonts w:ascii="Garamond" w:hAnsi="Garamond"/>
          <w:sz w:val="24"/>
          <w:szCs w:val="24"/>
          <w:shd w:val="clear" w:color="auto" w:fill="FFFFFF"/>
        </w:rPr>
        <w:t>testamentu grāmatu nodošanā ieviestu noteiktību un skaidrību, kā arī process tiktu pārvaldīts. Padome</w:t>
      </w:r>
      <w:r w:rsidRPr="00835D6C" w:rsidR="00540DC9">
        <w:rPr>
          <w:rFonts w:ascii="Garamond" w:hAnsi="Garamond"/>
          <w:sz w:val="24"/>
          <w:szCs w:val="24"/>
          <w:shd w:val="clear" w:color="auto" w:fill="FFFFFF"/>
        </w:rPr>
        <w:t>s</w:t>
      </w:r>
      <w:r w:rsidRPr="00835D6C">
        <w:rPr>
          <w:rFonts w:ascii="Garamond" w:hAnsi="Garamond"/>
          <w:sz w:val="24"/>
          <w:szCs w:val="24"/>
          <w:shd w:val="clear" w:color="auto" w:fill="FFFFFF"/>
        </w:rPr>
        <w:t xml:space="preserve"> izstrādātajā kārtībā tiktu noteikts, kuram zvērinātam notāram </w:t>
      </w:r>
      <w:r w:rsidRPr="00835D6C" w:rsidR="00540DC9">
        <w:rPr>
          <w:rFonts w:ascii="Garamond" w:hAnsi="Garamond"/>
          <w:sz w:val="24"/>
          <w:szCs w:val="24"/>
          <w:shd w:val="clear" w:color="auto" w:fill="FFFFFF"/>
        </w:rPr>
        <w:t xml:space="preserve">ir jāpieņem konkrētās bāriņtiesas grāmatas. Šāda kārtība ļautu izvairīties arī no tā, ka vienam zvērinātam notāram tiek nodotas </w:t>
      </w:r>
      <w:r w:rsidR="008A35A4">
        <w:rPr>
          <w:rFonts w:ascii="Garamond" w:hAnsi="Garamond"/>
          <w:sz w:val="24"/>
          <w:szCs w:val="24"/>
          <w:shd w:val="clear" w:color="auto" w:fill="FFFFFF"/>
        </w:rPr>
        <w:t>nesamērīgi</w:t>
      </w:r>
      <w:r w:rsidRPr="00835D6C" w:rsidR="008A35A4">
        <w:rPr>
          <w:rFonts w:ascii="Garamond" w:hAnsi="Garamond"/>
          <w:sz w:val="24"/>
          <w:szCs w:val="24"/>
          <w:shd w:val="clear" w:color="auto" w:fill="FFFFFF"/>
        </w:rPr>
        <w:t xml:space="preserve"> </w:t>
      </w:r>
      <w:r w:rsidR="008A35A4">
        <w:rPr>
          <w:rFonts w:ascii="Garamond" w:hAnsi="Garamond"/>
          <w:sz w:val="24"/>
          <w:szCs w:val="24"/>
          <w:shd w:val="clear" w:color="auto" w:fill="FFFFFF"/>
        </w:rPr>
        <w:t>liels lietu apjoms</w:t>
      </w:r>
      <w:r w:rsidRPr="00835D6C" w:rsidR="00540DC9">
        <w:rPr>
          <w:rFonts w:ascii="Garamond" w:hAnsi="Garamond"/>
          <w:sz w:val="24"/>
          <w:szCs w:val="24"/>
          <w:shd w:val="clear" w:color="auto" w:fill="FFFFFF"/>
        </w:rPr>
        <w:t xml:space="preserve">, kas rada arhivēšanas un cita veida izdevumus. </w:t>
      </w:r>
    </w:p>
    <w:p w:rsidRPr="00835D6C" w:rsidR="001661BE" w:rsidP="001661BE" w:rsidRDefault="00540DC9" w14:paraId="7CC53B77" w14:textId="76C70364">
      <w:pPr>
        <w:spacing w:after="0" w:line="360" w:lineRule="auto"/>
        <w:ind w:firstLine="567"/>
        <w:jc w:val="both"/>
        <w:rPr>
          <w:rFonts w:ascii="Garamond" w:hAnsi="Garamond"/>
          <w:iCs/>
          <w:sz w:val="24"/>
          <w:szCs w:val="24"/>
        </w:rPr>
      </w:pPr>
      <w:r w:rsidRPr="00835D6C">
        <w:rPr>
          <w:rFonts w:ascii="Garamond" w:hAnsi="Garamond"/>
          <w:sz w:val="24"/>
          <w:szCs w:val="24"/>
          <w:shd w:val="clear" w:color="auto" w:fill="FFFFFF"/>
        </w:rPr>
        <w:t>Līdz ar to</w:t>
      </w:r>
      <w:r w:rsidR="00835D6C">
        <w:rPr>
          <w:rFonts w:ascii="Garamond" w:hAnsi="Garamond"/>
          <w:sz w:val="24"/>
          <w:szCs w:val="24"/>
          <w:shd w:val="clear" w:color="auto" w:fill="FFFFFF"/>
        </w:rPr>
        <w:t xml:space="preserve"> no iepriekš minētā risinājuma</w:t>
      </w:r>
      <w:r w:rsidRPr="00835D6C">
        <w:rPr>
          <w:rFonts w:ascii="Garamond" w:hAnsi="Garamond"/>
          <w:sz w:val="24"/>
          <w:szCs w:val="24"/>
          <w:shd w:val="clear" w:color="auto" w:fill="FFFFFF"/>
        </w:rPr>
        <w:t xml:space="preserve"> ieguvēji būtu gan zvērināti notāri, gan bāriņtiesas.</w:t>
      </w:r>
    </w:p>
    <w:p w:rsidR="001661BE" w:rsidP="001661BE" w:rsidRDefault="001661BE" w14:paraId="10C8274E" w14:textId="77777777">
      <w:pPr>
        <w:jc w:val="both"/>
        <w:rPr>
          <w:iCs/>
        </w:rPr>
      </w:pPr>
    </w:p>
    <w:p w:rsidR="00D37696" w:rsidP="00D37696" w:rsidRDefault="00D37696" w14:paraId="14B1CB42" w14:textId="77777777">
      <w:pPr>
        <w:spacing w:after="0" w:line="276" w:lineRule="auto"/>
        <w:ind w:firstLine="720"/>
        <w:jc w:val="both"/>
        <w:rPr>
          <w:rFonts w:ascii="Arial" w:hAnsi="Arial" w:eastAsia="Times New Roman" w:cs="Arial"/>
          <w:color w:val="414142"/>
          <w:sz w:val="20"/>
          <w:szCs w:val="20"/>
          <w:lang w:val="en-US"/>
        </w:rPr>
      </w:pPr>
    </w:p>
    <w:p w:rsidRPr="00B82BD8" w:rsidR="00754C6D" w:rsidP="00B82BD8" w:rsidRDefault="00754C6D" w14:paraId="156DF3B5" w14:textId="77777777">
      <w:pPr>
        <w:spacing w:after="0" w:line="276" w:lineRule="auto"/>
        <w:rPr>
          <w:rFonts w:ascii="Garamond" w:hAnsi="Garamond" w:cs="Arial"/>
          <w:sz w:val="24"/>
          <w:szCs w:val="24"/>
        </w:rPr>
      </w:pPr>
      <w:r w:rsidRPr="00B82BD8">
        <w:rPr>
          <w:rFonts w:ascii="Garamond" w:hAnsi="Garamond" w:cs="Arial"/>
          <w:sz w:val="24"/>
          <w:szCs w:val="24"/>
        </w:rPr>
        <w:t>Ar cieņu</w:t>
      </w:r>
    </w:p>
    <w:p w:rsidRPr="00B82BD8" w:rsidR="00754C6D" w:rsidP="00B82BD8" w:rsidRDefault="00540DC9" w14:paraId="362B2CBD" w14:textId="7F4032FA">
      <w:pPr>
        <w:spacing w:after="0" w:line="276" w:lineRule="auto"/>
        <w:rPr>
          <w:rFonts w:ascii="Garamond" w:hAnsi="Garamond" w:cs="Arial"/>
          <w:sz w:val="24"/>
          <w:szCs w:val="24"/>
        </w:rPr>
      </w:pPr>
      <w:r>
        <w:rPr>
          <w:rFonts w:ascii="Garamond" w:hAnsi="Garamond" w:cs="Arial"/>
          <w:sz w:val="24"/>
          <w:szCs w:val="24"/>
        </w:rPr>
        <w:t>p</w:t>
      </w:r>
      <w:r w:rsidR="00D8320E">
        <w:rPr>
          <w:rFonts w:ascii="Garamond" w:hAnsi="Garamond" w:cs="Arial"/>
          <w:sz w:val="24"/>
          <w:szCs w:val="24"/>
        </w:rPr>
        <w:t>riekšsēdētāj</w:t>
      </w:r>
      <w:r>
        <w:rPr>
          <w:rFonts w:ascii="Garamond" w:hAnsi="Garamond" w:cs="Arial"/>
          <w:sz w:val="24"/>
          <w:szCs w:val="24"/>
        </w:rPr>
        <w:t>a vietniece</w:t>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sidRPr="00B82BD8" w:rsidR="00754C6D">
        <w:rPr>
          <w:rFonts w:ascii="Garamond" w:hAnsi="Garamond" w:cs="Arial"/>
          <w:sz w:val="24"/>
          <w:szCs w:val="24"/>
        </w:rPr>
        <w:tab/>
      </w:r>
      <w:r>
        <w:rPr>
          <w:rFonts w:ascii="Garamond" w:hAnsi="Garamond" w:cs="Arial"/>
          <w:sz w:val="24"/>
          <w:szCs w:val="24"/>
        </w:rPr>
        <w:t xml:space="preserve">                   </w:t>
      </w:r>
      <w:r w:rsidRPr="00B82BD8" w:rsidR="000C43F0">
        <w:rPr>
          <w:rFonts w:ascii="Garamond" w:hAnsi="Garamond" w:cs="Arial"/>
          <w:sz w:val="24"/>
          <w:szCs w:val="24"/>
        </w:rPr>
        <w:t xml:space="preserve"> </w:t>
      </w:r>
      <w:r>
        <w:rPr>
          <w:rFonts w:ascii="Garamond" w:hAnsi="Garamond" w:cs="Arial"/>
          <w:sz w:val="24"/>
          <w:szCs w:val="24"/>
        </w:rPr>
        <w:t xml:space="preserve">             A. Maldupe-Krūmiņa</w:t>
      </w:r>
    </w:p>
    <w:p w:rsidRPr="00B82BD8" w:rsidR="00754C6D" w:rsidP="00B82BD8" w:rsidRDefault="00754C6D" w14:paraId="31601B2A" w14:textId="77777777">
      <w:pPr>
        <w:spacing w:after="0" w:line="276" w:lineRule="auto"/>
        <w:jc w:val="center"/>
        <w:rPr>
          <w:rFonts w:ascii="Garamond" w:hAnsi="Garamond"/>
          <w:b/>
          <w:sz w:val="24"/>
          <w:szCs w:val="24"/>
        </w:rPr>
      </w:pPr>
    </w:p>
    <w:p w:rsidRPr="00B82BD8" w:rsidR="00754C6D" w:rsidP="00B82BD8" w:rsidRDefault="00754C6D" w14:paraId="4EFEDF31" w14:textId="77777777">
      <w:pPr>
        <w:spacing w:after="0" w:line="276" w:lineRule="auto"/>
        <w:jc w:val="center"/>
        <w:rPr>
          <w:rFonts w:ascii="Garamond" w:hAnsi="Garamond"/>
          <w:sz w:val="24"/>
          <w:szCs w:val="24"/>
        </w:rPr>
      </w:pPr>
      <w:r w:rsidRPr="00B82BD8">
        <w:rPr>
          <w:rFonts w:ascii="Garamond" w:hAnsi="Garamond"/>
          <w:sz w:val="24"/>
          <w:szCs w:val="24"/>
        </w:rPr>
        <w:t>Drošs elektroniskais paraksts</w:t>
      </w:r>
    </w:p>
    <w:p w:rsidRPr="00F40278" w:rsidR="00754C6D" w:rsidP="00506F61" w:rsidRDefault="00754C6D" w14:paraId="22C538D7" w14:textId="77777777">
      <w:pPr>
        <w:spacing w:after="0" w:line="240" w:lineRule="auto"/>
        <w:rPr>
          <w:rFonts w:ascii="Garamond" w:hAnsi="Garamond"/>
          <w:sz w:val="24"/>
          <w:szCs w:val="24"/>
        </w:rPr>
      </w:pPr>
    </w:p>
    <w:p w:rsidR="00540DC9" w:rsidP="00506F61" w:rsidRDefault="00540DC9" w14:paraId="48EFE92F" w14:textId="77777777">
      <w:pPr>
        <w:spacing w:after="0" w:line="240" w:lineRule="auto"/>
        <w:rPr>
          <w:rFonts w:ascii="Garamond" w:hAnsi="Garamond"/>
          <w:sz w:val="20"/>
          <w:szCs w:val="20"/>
        </w:rPr>
      </w:pPr>
    </w:p>
    <w:p w:rsidR="00540DC9" w:rsidP="00506F61" w:rsidRDefault="00540DC9" w14:paraId="1D4902D7" w14:textId="77777777">
      <w:pPr>
        <w:spacing w:after="0" w:line="240" w:lineRule="auto"/>
        <w:rPr>
          <w:rFonts w:ascii="Garamond" w:hAnsi="Garamond"/>
          <w:sz w:val="20"/>
          <w:szCs w:val="20"/>
        </w:rPr>
      </w:pPr>
    </w:p>
    <w:p w:rsidR="00540DC9" w:rsidP="00506F61" w:rsidRDefault="00540DC9" w14:paraId="0B47F298" w14:textId="77777777">
      <w:pPr>
        <w:spacing w:after="0" w:line="240" w:lineRule="auto"/>
        <w:rPr>
          <w:rFonts w:ascii="Garamond" w:hAnsi="Garamond"/>
          <w:sz w:val="20"/>
          <w:szCs w:val="20"/>
        </w:rPr>
      </w:pPr>
    </w:p>
    <w:p w:rsidR="00540DC9" w:rsidP="00506F61" w:rsidRDefault="00540DC9" w14:paraId="41C99849" w14:textId="77777777">
      <w:pPr>
        <w:spacing w:after="0" w:line="240" w:lineRule="auto"/>
        <w:rPr>
          <w:rFonts w:ascii="Garamond" w:hAnsi="Garamond"/>
          <w:sz w:val="20"/>
          <w:szCs w:val="20"/>
        </w:rPr>
      </w:pPr>
    </w:p>
    <w:p w:rsidRPr="001C0263" w:rsidR="00C82382" w:rsidP="00506F61" w:rsidRDefault="00384FE7" w14:paraId="03224203" w14:textId="68979FD6">
      <w:pPr>
        <w:spacing w:after="0" w:line="240" w:lineRule="auto"/>
        <w:rPr>
          <w:rFonts w:ascii="Garamond" w:hAnsi="Garamond"/>
          <w:sz w:val="20"/>
          <w:szCs w:val="20"/>
        </w:rPr>
      </w:pPr>
      <w:r w:rsidRPr="00F40278">
        <w:rPr>
          <w:rFonts w:ascii="Garamond" w:hAnsi="Garamond"/>
          <w:sz w:val="20"/>
          <w:szCs w:val="20"/>
        </w:rPr>
        <w:t>Litvins</w:t>
      </w:r>
      <w:r w:rsidRPr="00F40278" w:rsidR="00754C6D">
        <w:rPr>
          <w:rFonts w:ascii="Garamond" w:hAnsi="Garamond"/>
          <w:sz w:val="20"/>
          <w:szCs w:val="20"/>
        </w:rPr>
        <w:t xml:space="preserve"> </w:t>
      </w:r>
      <w:r w:rsidRPr="00540DC9" w:rsidR="00540DC9">
        <w:rPr>
          <w:rFonts w:ascii="Garamond" w:hAnsi="Garamond"/>
          <w:sz w:val="20"/>
          <w:szCs w:val="20"/>
        </w:rPr>
        <w:t>24202100</w:t>
      </w:r>
    </w:p>
    <w:sectPr w:rsidRPr="001C0263" w:rsidR="00C82382" w:rsidSect="009C422A">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968C7" w14:textId="77777777" w:rsidR="00C92AD6" w:rsidRDefault="00C92AD6" w:rsidP="003D63EE">
      <w:pPr>
        <w:spacing w:after="0" w:line="240" w:lineRule="auto"/>
      </w:pPr>
      <w:r>
        <w:separator/>
      </w:r>
    </w:p>
  </w:endnote>
  <w:endnote w:type="continuationSeparator" w:id="0">
    <w:p w14:paraId="1FB859B9" w14:textId="77777777" w:rsidR="00C92AD6" w:rsidRDefault="00C92AD6" w:rsidP="003D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3251812"/>
      <w:docPartObj>
        <w:docPartGallery w:val="Page Numbers (Bottom of Page)"/>
        <w:docPartUnique/>
      </w:docPartObj>
    </w:sdtPr>
    <w:sdtEndPr>
      <w:rPr>
        <w:rFonts w:ascii="Garamond" w:hAnsi="Garamond"/>
        <w:noProof/>
        <w:sz w:val="20"/>
        <w:szCs w:val="20"/>
      </w:rPr>
    </w:sdtEndPr>
    <w:sdtContent>
      <w:p w14:paraId="4A6EAFCA" w14:textId="1BBE6C00" w:rsidR="00835D6C" w:rsidRPr="00835D6C" w:rsidRDefault="00835D6C">
        <w:pPr>
          <w:pStyle w:val="Kjene"/>
          <w:jc w:val="center"/>
          <w:rPr>
            <w:rFonts w:ascii="Garamond" w:hAnsi="Garamond"/>
            <w:sz w:val="20"/>
            <w:szCs w:val="20"/>
          </w:rPr>
        </w:pPr>
        <w:r w:rsidRPr="00835D6C">
          <w:rPr>
            <w:rFonts w:ascii="Garamond" w:hAnsi="Garamond"/>
            <w:sz w:val="20"/>
            <w:szCs w:val="20"/>
          </w:rPr>
          <w:fldChar w:fldCharType="begin"/>
        </w:r>
        <w:r w:rsidRPr="00835D6C">
          <w:rPr>
            <w:rFonts w:ascii="Garamond" w:hAnsi="Garamond"/>
            <w:sz w:val="20"/>
            <w:szCs w:val="20"/>
          </w:rPr>
          <w:instrText xml:space="preserve"> PAGE   \* MERGEFORMAT </w:instrText>
        </w:r>
        <w:r w:rsidRPr="00835D6C">
          <w:rPr>
            <w:rFonts w:ascii="Garamond" w:hAnsi="Garamond"/>
            <w:sz w:val="20"/>
            <w:szCs w:val="20"/>
          </w:rPr>
          <w:fldChar w:fldCharType="separate"/>
        </w:r>
        <w:r w:rsidR="008A35A4">
          <w:rPr>
            <w:rFonts w:ascii="Garamond" w:hAnsi="Garamond"/>
            <w:noProof/>
            <w:sz w:val="20"/>
            <w:szCs w:val="20"/>
          </w:rPr>
          <w:t>3</w:t>
        </w:r>
        <w:r w:rsidRPr="00835D6C">
          <w:rPr>
            <w:rFonts w:ascii="Garamond" w:hAnsi="Garamond"/>
            <w:noProof/>
            <w:sz w:val="20"/>
            <w:szCs w:val="20"/>
          </w:rPr>
          <w:fldChar w:fldCharType="end"/>
        </w:r>
      </w:p>
    </w:sdtContent>
  </w:sdt>
  <w:p w14:paraId="2A570DD9" w14:textId="77777777" w:rsidR="003D63EE" w:rsidRDefault="003D63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038910" w14:textId="77777777" w:rsidR="00C92AD6" w:rsidRDefault="00C92AD6" w:rsidP="003D63EE">
      <w:pPr>
        <w:spacing w:after="0" w:line="240" w:lineRule="auto"/>
      </w:pPr>
      <w:r>
        <w:separator/>
      </w:r>
    </w:p>
  </w:footnote>
  <w:footnote w:type="continuationSeparator" w:id="0">
    <w:p w14:paraId="4C2F4C48" w14:textId="77777777" w:rsidR="00C92AD6" w:rsidRDefault="00C92AD6" w:rsidP="003D63EE">
      <w:pPr>
        <w:spacing w:after="0" w:line="240" w:lineRule="auto"/>
      </w:pPr>
      <w:r>
        <w:continuationSeparator/>
      </w:r>
    </w:p>
  </w:footnote>
  <w:footnote w:id="1">
    <w:p w14:paraId="02AFA5E2" w14:textId="1BC5EFA7" w:rsidR="00697697" w:rsidRPr="00A770A8" w:rsidRDefault="00697697" w:rsidP="00697697">
      <w:pPr>
        <w:spacing w:after="0" w:line="240" w:lineRule="auto"/>
        <w:jc w:val="both"/>
        <w:rPr>
          <w:rFonts w:ascii="Garamond" w:hAnsi="Garamond" w:cs="Times New Roman"/>
          <w:sz w:val="20"/>
          <w:szCs w:val="20"/>
        </w:rPr>
      </w:pPr>
      <w:r w:rsidRPr="00A770A8">
        <w:rPr>
          <w:rStyle w:val="Vresatsauce"/>
          <w:rFonts w:ascii="Garamond" w:hAnsi="Garamond" w:cs="Times New Roman"/>
          <w:sz w:val="20"/>
          <w:szCs w:val="20"/>
        </w:rPr>
        <w:footnoteRef/>
      </w:r>
      <w:r w:rsidRPr="00A770A8">
        <w:rPr>
          <w:rFonts w:ascii="Garamond" w:hAnsi="Garamond" w:cs="Times New Roman"/>
          <w:sz w:val="20"/>
          <w:szCs w:val="20"/>
        </w:rPr>
        <w:t>Osipova S. Latvijas notariāta funkcijas un tā sniegtās juridiskās palīdzības pieejamība,  to izvērtējums. Rīga: 2008, 51.-53., 68.lpp.</w:t>
      </w:r>
      <w:r w:rsidR="00A770A8" w:rsidRPr="00A770A8">
        <w:rPr>
          <w:rFonts w:ascii="Garamond" w:hAnsi="Garamond" w:cs="Times New Roman"/>
          <w:sz w:val="20"/>
          <w:szCs w:val="20"/>
        </w:rPr>
        <w:t xml:space="preserve">; Bāriņtiesa: vai vecās pagasttiesas pinekļos. </w:t>
      </w:r>
      <w:hyperlink r:id="rId1" w:history="1">
        <w:r w:rsidR="00A770A8" w:rsidRPr="00A770A8">
          <w:rPr>
            <w:rStyle w:val="Hipersaite"/>
            <w:rFonts w:ascii="Garamond" w:hAnsi="Garamond" w:cs="Times New Roman"/>
            <w:sz w:val="20"/>
            <w:szCs w:val="20"/>
          </w:rPr>
          <w:t>https://juristavards.lv/doc/266557-barintiesa-vai-vecas-pagasttiesas-pineklos/</w:t>
        </w:r>
      </w:hyperlink>
    </w:p>
  </w:footnote>
  <w:footnote w:id="2">
    <w:p w14:paraId="58892B55" w14:textId="77777777" w:rsidR="00697697" w:rsidRPr="00835D6C"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Osipova S. Latvijas notariāta funkcijas un tā sniegtās juridiskās palīdzības pieejamība, to izvērtējums. Rīga: 2008, 68.lpp.</w:t>
      </w:r>
    </w:p>
  </w:footnote>
  <w:footnote w:id="3">
    <w:p w14:paraId="21503126" w14:textId="77777777" w:rsidR="00697697" w:rsidRPr="00835D6C" w:rsidRDefault="00697697" w:rsidP="00697697">
      <w:pPr>
        <w:pStyle w:val="Virsraksts2"/>
        <w:shd w:val="clear" w:color="auto" w:fill="FFFFFF"/>
        <w:spacing w:before="0"/>
        <w:rPr>
          <w:rFonts w:ascii="Garamond" w:hAnsi="Garamond"/>
          <w:b/>
          <w:bCs/>
          <w:color w:val="auto"/>
          <w:sz w:val="20"/>
          <w:szCs w:val="20"/>
        </w:rPr>
      </w:pPr>
      <w:r w:rsidRPr="00835D6C">
        <w:rPr>
          <w:rStyle w:val="Vresatsauce"/>
          <w:rFonts w:ascii="Garamond" w:hAnsi="Garamond"/>
          <w:color w:val="auto"/>
          <w:sz w:val="20"/>
          <w:szCs w:val="20"/>
        </w:rPr>
        <w:footnoteRef/>
      </w:r>
      <w:r w:rsidRPr="00835D6C">
        <w:rPr>
          <w:rFonts w:ascii="Garamond" w:hAnsi="Garamond"/>
          <w:color w:val="auto"/>
          <w:sz w:val="20"/>
          <w:szCs w:val="20"/>
        </w:rPr>
        <w:t xml:space="preserve"> Piem., Valsts kontroles ziņojums “Atņemtā bērnība: Ikvienam bērnam ir tiesības uzaugt ģimenē”. Senāta 16.04.2018. spriedums lietā Nr. SKA-681/2018.</w:t>
      </w:r>
    </w:p>
  </w:footnote>
  <w:footnote w:id="4">
    <w:p w14:paraId="1AF85704" w14:textId="77777777" w:rsidR="00697697" w:rsidRPr="00835D6C" w:rsidRDefault="00697697" w:rsidP="00697697">
      <w:pPr>
        <w:pStyle w:val="Vresteksts"/>
      </w:pPr>
      <w:r w:rsidRPr="00835D6C">
        <w:rPr>
          <w:rStyle w:val="Vresatsauce"/>
          <w:rFonts w:ascii="Garamond" w:hAnsi="Garamond" w:cs="Times New Roman"/>
        </w:rPr>
        <w:footnoteRef/>
      </w:r>
      <w:r w:rsidRPr="00835D6C">
        <w:rPr>
          <w:rFonts w:ascii="Garamond" w:hAnsi="Garamond" w:cs="Times New Roman"/>
        </w:rPr>
        <w:t xml:space="preserve"> </w:t>
      </w:r>
      <w:hyperlink r:id="rId2" w:history="1">
        <w:r w:rsidRPr="00835D6C">
          <w:rPr>
            <w:rStyle w:val="Hipersaite"/>
            <w:rFonts w:ascii="Garamond" w:hAnsi="Garamond" w:cs="Times New Roman"/>
            <w:color w:val="auto"/>
          </w:rPr>
          <w:t>http://at.gov.lv/lv/judikatura/judikaturas-nolemumu-arhivs/administrativo-lietu-departaments/klasifikators-pec-lietu-kategorijam/bernu-tiesibas-vecaku-tiesibas</w:t>
        </w:r>
      </w:hyperlink>
      <w:r w:rsidRPr="00835D6C">
        <w:t xml:space="preserve"> </w:t>
      </w:r>
    </w:p>
  </w:footnote>
  <w:footnote w:id="5">
    <w:p w14:paraId="442EEBD3" w14:textId="77777777" w:rsidR="00697697" w:rsidRPr="00540DC9" w:rsidRDefault="00697697" w:rsidP="00697697">
      <w:pPr>
        <w:pStyle w:val="Vresteksts"/>
        <w:jc w:val="both"/>
        <w:rPr>
          <w:rFonts w:ascii="Garamond" w:hAnsi="Garamond" w:cs="Times New Roman"/>
        </w:rPr>
      </w:pPr>
      <w:r w:rsidRPr="00835D6C">
        <w:rPr>
          <w:rStyle w:val="Vresatsauce"/>
          <w:rFonts w:ascii="Garamond" w:hAnsi="Garamond" w:cs="Times New Roman"/>
        </w:rPr>
        <w:footnoteRef/>
      </w:r>
      <w:r w:rsidRPr="00835D6C">
        <w:rPr>
          <w:rFonts w:ascii="Garamond" w:hAnsi="Garamond" w:cs="Times New Roman"/>
        </w:rPr>
        <w:t xml:space="preserve"> </w:t>
      </w:r>
      <w:r w:rsidRPr="00835D6C">
        <w:rPr>
          <w:rFonts w:ascii="Garamond" w:hAnsi="Garamond" w:cs="Times New Roman"/>
          <w:shd w:val="clear" w:color="auto" w:fill="FFFFFF"/>
        </w:rPr>
        <w:t>Kārtība, kādā fiziskas un juridiskas personas var atbrīvot no zvērināta notāra amata atlīdzības</w:t>
      </w:r>
      <w:r w:rsidRPr="00835D6C">
        <w:rPr>
          <w:rFonts w:ascii="Garamond" w:hAnsi="Garamond" w:cs="Times New Roman"/>
        </w:rPr>
        <w:t xml:space="preserve">. </w:t>
      </w:r>
      <w:hyperlink r:id="rId3" w:history="1">
        <w:r w:rsidRPr="00835D6C">
          <w:rPr>
            <w:rStyle w:val="Hipersaite"/>
            <w:rFonts w:ascii="Garamond" w:hAnsi="Garamond" w:cs="Times New Roman"/>
            <w:color w:val="auto"/>
          </w:rPr>
          <w:t>https://www.latvijasnotars.lv/pages/normativie-akti</w:t>
        </w:r>
      </w:hyperlink>
      <w:r w:rsidRPr="00835D6C">
        <w:rPr>
          <w:rFonts w:ascii="Garamond" w:hAnsi="Garamond"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5BE685E"/>
    <w:lvl w:ilvl="0">
      <w:start w:val="1"/>
      <w:numFmt w:val="none"/>
      <w:pStyle w:val="Virsraksts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0F3E76"/>
    <w:multiLevelType w:val="hybridMultilevel"/>
    <w:tmpl w:val="029EC478"/>
    <w:lvl w:ilvl="0" w:tplc="2248B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F0AE8"/>
    <w:multiLevelType w:val="hybridMultilevel"/>
    <w:tmpl w:val="73DA065E"/>
    <w:lvl w:ilvl="0" w:tplc="0426000F">
      <w:start w:val="1"/>
      <w:numFmt w:val="decimal"/>
      <w:lvlText w:val="%1."/>
      <w:lvlJc w:val="left"/>
      <w:pPr>
        <w:ind w:left="720" w:hanging="360"/>
      </w:p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62AD496F"/>
    <w:multiLevelType w:val="hybridMultilevel"/>
    <w:tmpl w:val="23F265C4"/>
    <w:lvl w:ilvl="0" w:tplc="771015A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22A"/>
    <w:rsid w:val="000011A2"/>
    <w:rsid w:val="00075411"/>
    <w:rsid w:val="000C43F0"/>
    <w:rsid w:val="000C449C"/>
    <w:rsid w:val="000F6C90"/>
    <w:rsid w:val="00110299"/>
    <w:rsid w:val="00111846"/>
    <w:rsid w:val="001373FE"/>
    <w:rsid w:val="00144C19"/>
    <w:rsid w:val="001661BE"/>
    <w:rsid w:val="001758B9"/>
    <w:rsid w:val="001C0263"/>
    <w:rsid w:val="0021122B"/>
    <w:rsid w:val="00245A6E"/>
    <w:rsid w:val="0028004D"/>
    <w:rsid w:val="002A08DB"/>
    <w:rsid w:val="002A1DAD"/>
    <w:rsid w:val="00317A37"/>
    <w:rsid w:val="00381CE6"/>
    <w:rsid w:val="00384FE7"/>
    <w:rsid w:val="003D63EE"/>
    <w:rsid w:val="003E7789"/>
    <w:rsid w:val="00422A8D"/>
    <w:rsid w:val="004765BA"/>
    <w:rsid w:val="00480ADF"/>
    <w:rsid w:val="0049062F"/>
    <w:rsid w:val="0049212D"/>
    <w:rsid w:val="004A2A5B"/>
    <w:rsid w:val="004C2831"/>
    <w:rsid w:val="004E497A"/>
    <w:rsid w:val="00506F61"/>
    <w:rsid w:val="00540DC9"/>
    <w:rsid w:val="00545487"/>
    <w:rsid w:val="00570635"/>
    <w:rsid w:val="006155B0"/>
    <w:rsid w:val="0064502C"/>
    <w:rsid w:val="00697697"/>
    <w:rsid w:val="006C3C4D"/>
    <w:rsid w:val="006F3AC7"/>
    <w:rsid w:val="006F67E1"/>
    <w:rsid w:val="00751C77"/>
    <w:rsid w:val="00754C6D"/>
    <w:rsid w:val="007B63DE"/>
    <w:rsid w:val="00812BAD"/>
    <w:rsid w:val="00815DD7"/>
    <w:rsid w:val="00835D6C"/>
    <w:rsid w:val="00836853"/>
    <w:rsid w:val="0085663E"/>
    <w:rsid w:val="00872C97"/>
    <w:rsid w:val="00891088"/>
    <w:rsid w:val="008A35A4"/>
    <w:rsid w:val="008A4781"/>
    <w:rsid w:val="008B4BC7"/>
    <w:rsid w:val="00912828"/>
    <w:rsid w:val="00921AF4"/>
    <w:rsid w:val="009400C6"/>
    <w:rsid w:val="00975A38"/>
    <w:rsid w:val="0099346A"/>
    <w:rsid w:val="009C422A"/>
    <w:rsid w:val="00A04EB7"/>
    <w:rsid w:val="00A27A5A"/>
    <w:rsid w:val="00A517B7"/>
    <w:rsid w:val="00A770A8"/>
    <w:rsid w:val="00AA5523"/>
    <w:rsid w:val="00AD7BDD"/>
    <w:rsid w:val="00AF0104"/>
    <w:rsid w:val="00B5488F"/>
    <w:rsid w:val="00B60543"/>
    <w:rsid w:val="00B82BD8"/>
    <w:rsid w:val="00C35A53"/>
    <w:rsid w:val="00C508BF"/>
    <w:rsid w:val="00C70A98"/>
    <w:rsid w:val="00C778B5"/>
    <w:rsid w:val="00C82382"/>
    <w:rsid w:val="00C92AD6"/>
    <w:rsid w:val="00CC47B8"/>
    <w:rsid w:val="00D37696"/>
    <w:rsid w:val="00D61006"/>
    <w:rsid w:val="00D76CFC"/>
    <w:rsid w:val="00D82E57"/>
    <w:rsid w:val="00D8320E"/>
    <w:rsid w:val="00D84B36"/>
    <w:rsid w:val="00D93E82"/>
    <w:rsid w:val="00DD36E6"/>
    <w:rsid w:val="00DF5CC4"/>
    <w:rsid w:val="00E543E2"/>
    <w:rsid w:val="00E83376"/>
    <w:rsid w:val="00E94631"/>
    <w:rsid w:val="00EB0258"/>
    <w:rsid w:val="00F00608"/>
    <w:rsid w:val="00F271CB"/>
    <w:rsid w:val="00F274AD"/>
    <w:rsid w:val="00F40278"/>
    <w:rsid w:val="00FC246E"/>
    <w:rsid w:val="00FE6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5D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qFormat/>
    <w:rsid w:val="00754C6D"/>
    <w:pPr>
      <w:keepNext/>
      <w:numPr>
        <w:numId w:val="1"/>
      </w:numPr>
      <w:tabs>
        <w:tab w:val="clear" w:pos="432"/>
      </w:tabs>
      <w:suppressAutoHyphens/>
      <w:spacing w:after="0" w:line="240" w:lineRule="auto"/>
      <w:ind w:left="0" w:firstLine="0"/>
      <w:jc w:val="center"/>
      <w:outlineLvl w:val="0"/>
    </w:pPr>
    <w:rPr>
      <w:rFonts w:ascii="Garamond" w:eastAsia="Times" w:hAnsi="Garamond" w:cs="Arial"/>
      <w:bCs/>
      <w:kern w:val="32"/>
      <w:sz w:val="24"/>
      <w:szCs w:val="32"/>
      <w:lang w:eastAsia="lv-LV"/>
    </w:rPr>
  </w:style>
  <w:style w:type="paragraph" w:styleId="Virsraksts2">
    <w:name w:val="heading 2"/>
    <w:basedOn w:val="Parasts"/>
    <w:next w:val="Parasts"/>
    <w:link w:val="Virsraksts2Rakstz"/>
    <w:uiPriority w:val="9"/>
    <w:semiHidden/>
    <w:unhideWhenUsed/>
    <w:qFormat/>
    <w:rsid w:val="006976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EB025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B0258"/>
    <w:rPr>
      <w:rFonts w:ascii="Segoe UI" w:hAnsi="Segoe UI" w:cs="Segoe UI"/>
      <w:sz w:val="18"/>
      <w:szCs w:val="18"/>
    </w:rPr>
  </w:style>
  <w:style w:type="paragraph" w:styleId="Galvene">
    <w:name w:val="header"/>
    <w:basedOn w:val="Parasts"/>
    <w:link w:val="GalveneRakstz"/>
    <w:uiPriority w:val="99"/>
    <w:unhideWhenUsed/>
    <w:rsid w:val="003D63EE"/>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3D63EE"/>
  </w:style>
  <w:style w:type="paragraph" w:styleId="Kjene">
    <w:name w:val="footer"/>
    <w:basedOn w:val="Parasts"/>
    <w:link w:val="KjeneRakstz"/>
    <w:uiPriority w:val="99"/>
    <w:unhideWhenUsed/>
    <w:rsid w:val="003D63EE"/>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3D63EE"/>
  </w:style>
  <w:style w:type="character" w:customStyle="1" w:styleId="Virsraksts1Rakstz">
    <w:name w:val="Virsraksts 1 Rakstz."/>
    <w:basedOn w:val="Noklusjumarindkopasfonts"/>
    <w:link w:val="Virsraksts1"/>
    <w:rsid w:val="00754C6D"/>
    <w:rPr>
      <w:rFonts w:ascii="Garamond" w:eastAsia="Times" w:hAnsi="Garamond" w:cs="Arial"/>
      <w:bCs/>
      <w:kern w:val="32"/>
      <w:sz w:val="24"/>
      <w:szCs w:val="32"/>
      <w:lang w:eastAsia="lv-LV"/>
    </w:rPr>
  </w:style>
  <w:style w:type="paragraph" w:styleId="Pamatteksts2">
    <w:name w:val="Body Text 2"/>
    <w:basedOn w:val="Parasts"/>
    <w:link w:val="Pamatteksts2Rakstz"/>
    <w:uiPriority w:val="99"/>
    <w:semiHidden/>
    <w:unhideWhenUsed/>
    <w:rsid w:val="00754C6D"/>
    <w:pPr>
      <w:spacing w:after="120" w:line="480" w:lineRule="auto"/>
    </w:pPr>
  </w:style>
  <w:style w:type="character" w:customStyle="1" w:styleId="Pamatteksts2Rakstz">
    <w:name w:val="Pamatteksts 2 Rakstz."/>
    <w:basedOn w:val="Noklusjumarindkopasfonts"/>
    <w:link w:val="Pamatteksts2"/>
    <w:uiPriority w:val="99"/>
    <w:semiHidden/>
    <w:rsid w:val="00754C6D"/>
  </w:style>
  <w:style w:type="character" w:styleId="Vresatsauce">
    <w:name w:val="footnote reference"/>
    <w:rsid w:val="00754C6D"/>
    <w:rPr>
      <w:vertAlign w:val="superscript"/>
    </w:rPr>
  </w:style>
  <w:style w:type="character" w:styleId="Hipersaite">
    <w:name w:val="Hyperlink"/>
    <w:basedOn w:val="Noklusjumarindkopasfonts"/>
    <w:uiPriority w:val="99"/>
    <w:unhideWhenUsed/>
    <w:rsid w:val="00754C6D"/>
    <w:rPr>
      <w:color w:val="0563C1" w:themeColor="hyperlink"/>
      <w:u w:val="single"/>
    </w:rPr>
  </w:style>
  <w:style w:type="paragraph" w:styleId="Sarakstarindkopa">
    <w:name w:val="List Paragraph"/>
    <w:basedOn w:val="Parasts"/>
    <w:uiPriority w:val="34"/>
    <w:qFormat/>
    <w:rsid w:val="00E83376"/>
    <w:pPr>
      <w:ind w:left="720"/>
      <w:contextualSpacing/>
    </w:p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
    <w:basedOn w:val="Parasts"/>
    <w:link w:val="VrestekstsRakstz"/>
    <w:uiPriority w:val="99"/>
    <w:unhideWhenUsed/>
    <w:rsid w:val="001C0263"/>
    <w:pPr>
      <w:spacing w:after="0" w:line="240" w:lineRule="auto"/>
    </w:pPr>
    <w:rPr>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rsid w:val="001C0263"/>
    <w:rPr>
      <w:sz w:val="20"/>
      <w:szCs w:val="20"/>
    </w:rPr>
  </w:style>
  <w:style w:type="character" w:customStyle="1" w:styleId="UnresolvedMention1">
    <w:name w:val="Unresolved Mention1"/>
    <w:basedOn w:val="Noklusjumarindkopasfonts"/>
    <w:uiPriority w:val="99"/>
    <w:semiHidden/>
    <w:unhideWhenUsed/>
    <w:rsid w:val="00751C77"/>
    <w:rPr>
      <w:color w:val="605E5C"/>
      <w:shd w:val="clear" w:color="auto" w:fill="E1DFDD"/>
    </w:rPr>
  </w:style>
  <w:style w:type="character" w:styleId="Izclums">
    <w:name w:val="Emphasis"/>
    <w:basedOn w:val="Noklusjumarindkopasfonts"/>
    <w:uiPriority w:val="20"/>
    <w:qFormat/>
    <w:rsid w:val="002A1DAD"/>
    <w:rPr>
      <w:i/>
      <w:iCs/>
    </w:rPr>
  </w:style>
  <w:style w:type="table" w:styleId="Reatabula">
    <w:name w:val="Table Grid"/>
    <w:basedOn w:val="Parastatabula"/>
    <w:uiPriority w:val="39"/>
    <w:rsid w:val="00144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9346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zatstarpm">
    <w:name w:val="No Spacing"/>
    <w:uiPriority w:val="1"/>
    <w:qFormat/>
    <w:rsid w:val="004A2A5B"/>
    <w:pPr>
      <w:spacing w:after="0" w:line="240" w:lineRule="auto"/>
    </w:pPr>
  </w:style>
  <w:style w:type="paragraph" w:styleId="Nosaukums">
    <w:name w:val="Title"/>
    <w:basedOn w:val="Parasts"/>
    <w:link w:val="NosaukumsRakstz"/>
    <w:uiPriority w:val="10"/>
    <w:qFormat/>
    <w:rsid w:val="00697697"/>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osaukumsRakstz">
    <w:name w:val="Nosaukums Rakstz."/>
    <w:basedOn w:val="Noklusjumarindkopasfonts"/>
    <w:link w:val="Nosaukums"/>
    <w:uiPriority w:val="10"/>
    <w:rsid w:val="00697697"/>
    <w:rPr>
      <w:rFonts w:ascii="Times New Roman" w:eastAsia="Times New Roman" w:hAnsi="Times New Roman" w:cs="Times New Roman"/>
      <w:b/>
      <w:bCs/>
      <w:sz w:val="24"/>
      <w:szCs w:val="24"/>
      <w:lang w:eastAsia="ar-SA"/>
    </w:rPr>
  </w:style>
  <w:style w:type="character" w:customStyle="1" w:styleId="Virsraksts2Rakstz">
    <w:name w:val="Virsraksts 2 Rakstz."/>
    <w:basedOn w:val="Noklusjumarindkopasfonts"/>
    <w:link w:val="Virsraksts2"/>
    <w:uiPriority w:val="9"/>
    <w:semiHidden/>
    <w:rsid w:val="00697697"/>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Noklusjumarindkopasfonts"/>
    <w:rsid w:val="00697697"/>
  </w:style>
  <w:style w:type="character" w:styleId="Izmantotahipersaite">
    <w:name w:val="FollowedHyperlink"/>
    <w:basedOn w:val="Noklusjumarindkopasfonts"/>
    <w:uiPriority w:val="99"/>
    <w:semiHidden/>
    <w:unhideWhenUsed/>
    <w:rsid w:val="00835D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629588">
      <w:bodyDiv w:val="1"/>
      <w:marLeft w:val="0"/>
      <w:marRight w:val="0"/>
      <w:marTop w:val="0"/>
      <w:marBottom w:val="0"/>
      <w:divBdr>
        <w:top w:val="none" w:sz="0" w:space="0" w:color="auto"/>
        <w:left w:val="none" w:sz="0" w:space="0" w:color="auto"/>
        <w:bottom w:val="none" w:sz="0" w:space="0" w:color="auto"/>
        <w:right w:val="none" w:sz="0" w:space="0" w:color="auto"/>
      </w:divBdr>
    </w:div>
    <w:div w:id="293949311">
      <w:bodyDiv w:val="1"/>
      <w:marLeft w:val="0"/>
      <w:marRight w:val="0"/>
      <w:marTop w:val="0"/>
      <w:marBottom w:val="0"/>
      <w:divBdr>
        <w:top w:val="none" w:sz="0" w:space="0" w:color="auto"/>
        <w:left w:val="none" w:sz="0" w:space="0" w:color="auto"/>
        <w:bottom w:val="none" w:sz="0" w:space="0" w:color="auto"/>
        <w:right w:val="none" w:sz="0" w:space="0" w:color="auto"/>
      </w:divBdr>
      <w:divsChild>
        <w:div w:id="3096482">
          <w:marLeft w:val="0"/>
          <w:marRight w:val="0"/>
          <w:marTop w:val="0"/>
          <w:marBottom w:val="0"/>
          <w:divBdr>
            <w:top w:val="none" w:sz="0" w:space="0" w:color="auto"/>
            <w:left w:val="none" w:sz="0" w:space="0" w:color="auto"/>
            <w:bottom w:val="none" w:sz="0" w:space="0" w:color="auto"/>
            <w:right w:val="none" w:sz="0" w:space="0" w:color="auto"/>
          </w:divBdr>
        </w:div>
        <w:div w:id="673800483">
          <w:marLeft w:val="150"/>
          <w:marRight w:val="0"/>
          <w:marTop w:val="0"/>
          <w:marBottom w:val="0"/>
          <w:divBdr>
            <w:top w:val="none" w:sz="0" w:space="0" w:color="auto"/>
            <w:left w:val="none" w:sz="0" w:space="0" w:color="auto"/>
            <w:bottom w:val="none" w:sz="0" w:space="0" w:color="auto"/>
            <w:right w:val="none" w:sz="0" w:space="0" w:color="auto"/>
          </w:divBdr>
          <w:divsChild>
            <w:div w:id="1187256663">
              <w:marLeft w:val="0"/>
              <w:marRight w:val="0"/>
              <w:marTop w:val="0"/>
              <w:marBottom w:val="0"/>
              <w:divBdr>
                <w:top w:val="none" w:sz="0" w:space="0" w:color="auto"/>
                <w:left w:val="none" w:sz="0" w:space="0" w:color="auto"/>
                <w:bottom w:val="none" w:sz="0" w:space="0" w:color="auto"/>
                <w:right w:val="none" w:sz="0" w:space="0" w:color="auto"/>
              </w:divBdr>
            </w:div>
            <w:div w:id="5077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336087">
      <w:bodyDiv w:val="1"/>
      <w:marLeft w:val="0"/>
      <w:marRight w:val="0"/>
      <w:marTop w:val="0"/>
      <w:marBottom w:val="0"/>
      <w:divBdr>
        <w:top w:val="none" w:sz="0" w:space="0" w:color="auto"/>
        <w:left w:val="none" w:sz="0" w:space="0" w:color="auto"/>
        <w:bottom w:val="none" w:sz="0" w:space="0" w:color="auto"/>
        <w:right w:val="none" w:sz="0" w:space="0" w:color="auto"/>
      </w:divBdr>
      <w:divsChild>
        <w:div w:id="156072942">
          <w:marLeft w:val="0"/>
          <w:marRight w:val="0"/>
          <w:marTop w:val="0"/>
          <w:marBottom w:val="0"/>
          <w:divBdr>
            <w:top w:val="none" w:sz="0" w:space="0" w:color="auto"/>
            <w:left w:val="none" w:sz="0" w:space="0" w:color="auto"/>
            <w:bottom w:val="none" w:sz="0" w:space="0" w:color="auto"/>
            <w:right w:val="none" w:sz="0" w:space="0" w:color="auto"/>
          </w:divBdr>
        </w:div>
        <w:div w:id="2034457952">
          <w:marLeft w:val="150"/>
          <w:marRight w:val="0"/>
          <w:marTop w:val="0"/>
          <w:marBottom w:val="0"/>
          <w:divBdr>
            <w:top w:val="none" w:sz="0" w:space="0" w:color="auto"/>
            <w:left w:val="none" w:sz="0" w:space="0" w:color="auto"/>
            <w:bottom w:val="none" w:sz="0" w:space="0" w:color="auto"/>
            <w:right w:val="none" w:sz="0" w:space="0" w:color="auto"/>
          </w:divBdr>
          <w:divsChild>
            <w:div w:id="308285158">
              <w:marLeft w:val="0"/>
              <w:marRight w:val="0"/>
              <w:marTop w:val="0"/>
              <w:marBottom w:val="0"/>
              <w:divBdr>
                <w:top w:val="none" w:sz="0" w:space="0" w:color="auto"/>
                <w:left w:val="none" w:sz="0" w:space="0" w:color="auto"/>
                <w:bottom w:val="none" w:sz="0" w:space="0" w:color="auto"/>
                <w:right w:val="none" w:sz="0" w:space="0" w:color="auto"/>
              </w:divBdr>
            </w:div>
            <w:div w:id="723218433">
              <w:marLeft w:val="0"/>
              <w:marRight w:val="0"/>
              <w:marTop w:val="0"/>
              <w:marBottom w:val="0"/>
              <w:divBdr>
                <w:top w:val="none" w:sz="0" w:space="0" w:color="auto"/>
                <w:left w:val="none" w:sz="0" w:space="0" w:color="auto"/>
                <w:bottom w:val="none" w:sz="0" w:space="0" w:color="auto"/>
                <w:right w:val="none" w:sz="0" w:space="0" w:color="auto"/>
              </w:divBdr>
            </w:div>
          </w:divsChild>
        </w:div>
        <w:div w:id="1157458964">
          <w:marLeft w:val="0"/>
          <w:marRight w:val="0"/>
          <w:marTop w:val="0"/>
          <w:marBottom w:val="0"/>
          <w:divBdr>
            <w:top w:val="none" w:sz="0" w:space="0" w:color="auto"/>
            <w:left w:val="none" w:sz="0" w:space="0" w:color="auto"/>
            <w:bottom w:val="none" w:sz="0" w:space="0" w:color="auto"/>
            <w:right w:val="none" w:sz="0" w:space="0" w:color="auto"/>
          </w:divBdr>
        </w:div>
        <w:div w:id="171652931">
          <w:marLeft w:val="150"/>
          <w:marRight w:val="0"/>
          <w:marTop w:val="0"/>
          <w:marBottom w:val="0"/>
          <w:divBdr>
            <w:top w:val="none" w:sz="0" w:space="0" w:color="auto"/>
            <w:left w:val="none" w:sz="0" w:space="0" w:color="auto"/>
            <w:bottom w:val="none" w:sz="0" w:space="0" w:color="auto"/>
            <w:right w:val="none" w:sz="0" w:space="0" w:color="auto"/>
          </w:divBdr>
          <w:divsChild>
            <w:div w:id="1388071889">
              <w:marLeft w:val="0"/>
              <w:marRight w:val="0"/>
              <w:marTop w:val="0"/>
              <w:marBottom w:val="0"/>
              <w:divBdr>
                <w:top w:val="none" w:sz="0" w:space="0" w:color="auto"/>
                <w:left w:val="none" w:sz="0" w:space="0" w:color="auto"/>
                <w:bottom w:val="none" w:sz="0" w:space="0" w:color="auto"/>
                <w:right w:val="none" w:sz="0" w:space="0" w:color="auto"/>
              </w:divBdr>
            </w:div>
            <w:div w:id="7186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5187">
      <w:bodyDiv w:val="1"/>
      <w:marLeft w:val="0"/>
      <w:marRight w:val="0"/>
      <w:marTop w:val="0"/>
      <w:marBottom w:val="0"/>
      <w:divBdr>
        <w:top w:val="none" w:sz="0" w:space="0" w:color="auto"/>
        <w:left w:val="none" w:sz="0" w:space="0" w:color="auto"/>
        <w:bottom w:val="none" w:sz="0" w:space="0" w:color="auto"/>
        <w:right w:val="none" w:sz="0" w:space="0" w:color="auto"/>
      </w:divBdr>
    </w:div>
    <w:div w:id="519205745">
      <w:bodyDiv w:val="1"/>
      <w:marLeft w:val="0"/>
      <w:marRight w:val="0"/>
      <w:marTop w:val="0"/>
      <w:marBottom w:val="0"/>
      <w:divBdr>
        <w:top w:val="none" w:sz="0" w:space="0" w:color="auto"/>
        <w:left w:val="none" w:sz="0" w:space="0" w:color="auto"/>
        <w:bottom w:val="none" w:sz="0" w:space="0" w:color="auto"/>
        <w:right w:val="none" w:sz="0" w:space="0" w:color="auto"/>
      </w:divBdr>
    </w:div>
    <w:div w:id="619722205">
      <w:bodyDiv w:val="1"/>
      <w:marLeft w:val="0"/>
      <w:marRight w:val="0"/>
      <w:marTop w:val="0"/>
      <w:marBottom w:val="0"/>
      <w:divBdr>
        <w:top w:val="none" w:sz="0" w:space="0" w:color="auto"/>
        <w:left w:val="none" w:sz="0" w:space="0" w:color="auto"/>
        <w:bottom w:val="none" w:sz="0" w:space="0" w:color="auto"/>
        <w:right w:val="none" w:sz="0" w:space="0" w:color="auto"/>
      </w:divBdr>
      <w:divsChild>
        <w:div w:id="1100759631">
          <w:marLeft w:val="0"/>
          <w:marRight w:val="0"/>
          <w:marTop w:val="0"/>
          <w:marBottom w:val="0"/>
          <w:divBdr>
            <w:top w:val="none" w:sz="0" w:space="0" w:color="auto"/>
            <w:left w:val="none" w:sz="0" w:space="0" w:color="auto"/>
            <w:bottom w:val="none" w:sz="0" w:space="0" w:color="auto"/>
            <w:right w:val="none" w:sz="0" w:space="0" w:color="auto"/>
          </w:divBdr>
        </w:div>
        <w:div w:id="391002686">
          <w:marLeft w:val="150"/>
          <w:marRight w:val="0"/>
          <w:marTop w:val="0"/>
          <w:marBottom w:val="0"/>
          <w:divBdr>
            <w:top w:val="none" w:sz="0" w:space="0" w:color="auto"/>
            <w:left w:val="none" w:sz="0" w:space="0" w:color="auto"/>
            <w:bottom w:val="none" w:sz="0" w:space="0" w:color="auto"/>
            <w:right w:val="none" w:sz="0" w:space="0" w:color="auto"/>
          </w:divBdr>
          <w:divsChild>
            <w:div w:id="1787196359">
              <w:marLeft w:val="0"/>
              <w:marRight w:val="0"/>
              <w:marTop w:val="0"/>
              <w:marBottom w:val="0"/>
              <w:divBdr>
                <w:top w:val="none" w:sz="0" w:space="0" w:color="auto"/>
                <w:left w:val="none" w:sz="0" w:space="0" w:color="auto"/>
                <w:bottom w:val="none" w:sz="0" w:space="0" w:color="auto"/>
                <w:right w:val="none" w:sz="0" w:space="0" w:color="auto"/>
              </w:divBdr>
            </w:div>
            <w:div w:id="10254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22929">
      <w:bodyDiv w:val="1"/>
      <w:marLeft w:val="0"/>
      <w:marRight w:val="0"/>
      <w:marTop w:val="0"/>
      <w:marBottom w:val="0"/>
      <w:divBdr>
        <w:top w:val="none" w:sz="0" w:space="0" w:color="auto"/>
        <w:left w:val="none" w:sz="0" w:space="0" w:color="auto"/>
        <w:bottom w:val="none" w:sz="0" w:space="0" w:color="auto"/>
        <w:right w:val="none" w:sz="0" w:space="0" w:color="auto"/>
      </w:divBdr>
      <w:divsChild>
        <w:div w:id="720328156">
          <w:marLeft w:val="0"/>
          <w:marRight w:val="0"/>
          <w:marTop w:val="0"/>
          <w:marBottom w:val="0"/>
          <w:divBdr>
            <w:top w:val="none" w:sz="0" w:space="0" w:color="auto"/>
            <w:left w:val="none" w:sz="0" w:space="0" w:color="auto"/>
            <w:bottom w:val="none" w:sz="0" w:space="0" w:color="auto"/>
            <w:right w:val="none" w:sz="0" w:space="0" w:color="auto"/>
          </w:divBdr>
        </w:div>
        <w:div w:id="498085289">
          <w:marLeft w:val="150"/>
          <w:marRight w:val="0"/>
          <w:marTop w:val="0"/>
          <w:marBottom w:val="0"/>
          <w:divBdr>
            <w:top w:val="none" w:sz="0" w:space="0" w:color="auto"/>
            <w:left w:val="none" w:sz="0" w:space="0" w:color="auto"/>
            <w:bottom w:val="none" w:sz="0" w:space="0" w:color="auto"/>
            <w:right w:val="none" w:sz="0" w:space="0" w:color="auto"/>
          </w:divBdr>
          <w:divsChild>
            <w:div w:id="1809545537">
              <w:marLeft w:val="0"/>
              <w:marRight w:val="0"/>
              <w:marTop w:val="0"/>
              <w:marBottom w:val="0"/>
              <w:divBdr>
                <w:top w:val="none" w:sz="0" w:space="0" w:color="auto"/>
                <w:left w:val="none" w:sz="0" w:space="0" w:color="auto"/>
                <w:bottom w:val="none" w:sz="0" w:space="0" w:color="auto"/>
                <w:right w:val="none" w:sz="0" w:space="0" w:color="auto"/>
              </w:divBdr>
            </w:div>
            <w:div w:id="149764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5575">
      <w:bodyDiv w:val="1"/>
      <w:marLeft w:val="0"/>
      <w:marRight w:val="0"/>
      <w:marTop w:val="0"/>
      <w:marBottom w:val="0"/>
      <w:divBdr>
        <w:top w:val="none" w:sz="0" w:space="0" w:color="auto"/>
        <w:left w:val="none" w:sz="0" w:space="0" w:color="auto"/>
        <w:bottom w:val="none" w:sz="0" w:space="0" w:color="auto"/>
        <w:right w:val="none" w:sz="0" w:space="0" w:color="auto"/>
      </w:divBdr>
    </w:div>
    <w:div w:id="1903446217">
      <w:bodyDiv w:val="1"/>
      <w:marLeft w:val="0"/>
      <w:marRight w:val="0"/>
      <w:marTop w:val="0"/>
      <w:marBottom w:val="0"/>
      <w:divBdr>
        <w:top w:val="none" w:sz="0" w:space="0" w:color="auto"/>
        <w:left w:val="none" w:sz="0" w:space="0" w:color="auto"/>
        <w:bottom w:val="none" w:sz="0" w:space="0" w:color="auto"/>
        <w:right w:val="none" w:sz="0" w:space="0" w:color="auto"/>
      </w:divBdr>
      <w:divsChild>
        <w:div w:id="245841122">
          <w:marLeft w:val="0"/>
          <w:marRight w:val="0"/>
          <w:marTop w:val="0"/>
          <w:marBottom w:val="0"/>
          <w:divBdr>
            <w:top w:val="none" w:sz="0" w:space="0" w:color="auto"/>
            <w:left w:val="none" w:sz="0" w:space="0" w:color="auto"/>
            <w:bottom w:val="none" w:sz="0" w:space="0" w:color="auto"/>
            <w:right w:val="none" w:sz="0" w:space="0" w:color="auto"/>
          </w:divBdr>
        </w:div>
        <w:div w:id="921373680">
          <w:marLeft w:val="150"/>
          <w:marRight w:val="0"/>
          <w:marTop w:val="0"/>
          <w:marBottom w:val="0"/>
          <w:divBdr>
            <w:top w:val="none" w:sz="0" w:space="0" w:color="auto"/>
            <w:left w:val="none" w:sz="0" w:space="0" w:color="auto"/>
            <w:bottom w:val="none" w:sz="0" w:space="0" w:color="auto"/>
            <w:right w:val="none" w:sz="0" w:space="0" w:color="auto"/>
          </w:divBdr>
          <w:divsChild>
            <w:div w:id="832723227">
              <w:marLeft w:val="0"/>
              <w:marRight w:val="0"/>
              <w:marTop w:val="0"/>
              <w:marBottom w:val="0"/>
              <w:divBdr>
                <w:top w:val="none" w:sz="0" w:space="0" w:color="auto"/>
                <w:left w:val="none" w:sz="0" w:space="0" w:color="auto"/>
                <w:bottom w:val="none" w:sz="0" w:space="0" w:color="auto"/>
                <w:right w:val="none" w:sz="0" w:space="0" w:color="auto"/>
              </w:divBdr>
            </w:div>
            <w:div w:id="20861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atvijasnotars.lv/pages/normativie-akti" TargetMode="External"/><Relationship Id="rId2" Type="http://schemas.openxmlformats.org/officeDocument/2006/relationships/hyperlink" Target="http://at.gov.lv/lv/judikatura/judikaturas-nolemumu-arhivs/administrativo-lietu-departaments/klasifikators-pec-lietu-kategorijam/bernu-tiesibas-vecaku-tiesibas" TargetMode="External"/><Relationship Id="rId1" Type="http://schemas.openxmlformats.org/officeDocument/2006/relationships/hyperlink" Target="https://juristavards.lv/doc/266557-barintiesa-vai-vecas-pagasttiesas-pinekl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AEAB6-DD9F-411B-A358-ABFDB602A6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715C05-E738-42AE-AB48-CEA5D156CAA5}">
  <ds:schemaRefs>
    <ds:schemaRef ds:uri="http://schemas.microsoft.com/sharepoint/v3/contenttype/forms"/>
  </ds:schemaRefs>
</ds:datastoreItem>
</file>

<file path=customXml/itemProps3.xml><?xml version="1.0" encoding="utf-8"?>
<ds:datastoreItem xmlns:ds="http://schemas.openxmlformats.org/officeDocument/2006/customXml" ds:itemID="{1D386A9E-5F8C-45B2-B650-C5CB301B9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4DCB6A-F314-43EA-B6BF-6EA7AF78E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3471</Words>
  <Characters>1979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2020-08-18T10:50:00Z</dcterms:created>
  <dcterms:modified xsi:type="dcterms:W3CDTF">2020-08-18T10:50:00Z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