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 Likumi.lv (06.09.2024.)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18:25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 saražotās enerģijas akumulēšanas vai uzglabāšanas iekārtu iegāde un uzstādīšana, ja enerģijas akumulēšanas vai uzglabāšanas iekārtas kombinē kopā ar atjaunojamo energoresursu tehnoloģiju iegādi un uzstādīšanu vai ja akumulēšanas vai uzglabāšanas iekārtas savieno jau ar esošo atjaunīgo energoresursu ražošanas iekārtu. Akumulēšanas aprīkojums vismaz 75 % no gada griezumā akumulētās enerģijas akumulē no tieši pieslēgtas atjaunīgās enerģijas ražošanas iekārtas. Gadījumā, ja enerģijas akumulēšanas vai uzglabāšanas iekārtas savieno kopā ar jau esošo atjaunīgo energoresursu ražošanas iekārtu, šāda savienošana ir iespējama, ja jau esošās atjaunīgās energoresursu ražošanas iekārtas izmantošana nav bijusi uzsākta līdz atbalsta elektroenerģijas uzkrāšanai piešķiršanas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anotācijā nepieciešams sniegt pamatojumu par noteikumu projektā ietvertajiem grozījumiem, tostarp tiem, kas izriet no saskaņošanas procesā saņemtajiem iebildumiem un priekšlikumiem, kā arī skaidrojumu par to ietekmi uz atbalsta saņēmējiem un jau piešķirto atbalstu. Attiecīgi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 saražotās enerģijas akumulēšanas vai uzglabāšanas iekārtu iegāde un uzstādīšana, ja enerģijas akumulēšanas vai uzglabāšanas iekārtas kombinē kopā ar atjaunojamo energoresursu tehnoloģiju iegādi un uzstādīšanu vai ja akumulēšanas vai uzglabāšanas iekārtas savieno jau ar esošo atjaunīgo energoresursu ražošanas iekārtu. Akumulēšanas aprīkojums vismaz 75 % no gada griezumā akumulētās enerģijas akumulē no tieši pieslēgtas atjaunīgās enerģijas ražošanas iekārtas. Gadījumā, ja enerģijas akumulēšanas vai uzglabāšanas iekārtas savieno kopā ar jau esošo atjaunīgo energoresursu ražošanas iekārtu, šāda savienošana ir iespējama, ja jau esošās atjaunīgās energoresursu ražošanas iekārtas izmantošana nav bijusi uzsākta līdz atbalsta elektroenerģijas uzkrāšanai piešķiršanas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107.8. nodrošina, ka, īstenojot atbalsta programmu, Komisijas regulas Nr. </w:t>
            </w:r>
            <w:r w:rsidR="00000000" w:rsidRPr="00000000" w:rsidDel="00000000">
              <w:rPr>
                <w:rtl w:val="0"/>
              </w:rPr>
              <w:t xml:space="preserve">651/2014</w:t>
            </w:r>
            <w:r w:rsidR="00000000" w:rsidRPr="00000000" w:rsidDel="00000000">
              <w:rPr>
                <w:rtl w:val="0"/>
              </w:rPr>
              <w:t xml:space="preserve"> 4. panta 1. punkta "s" un "s c" apakšpunktā noteiktā paziņošanas robežvērtība saistīto uzņēmumu grupas līmenī vienam uzņēmumam vienā ieguldījumu projektā netiks pārsniegta.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izmantot konsekventu terminoloģiju, kas jau tiek izmantota noteikumos (sk. noteikumu projekta 2.6. apakšpunktā definēto terminu "saistītās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noteikumu projektā lietotajam terminam "uzņēmuma grupa" (MK noteikumu Nr. 594 27.4. un 27.5.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107.8. nodrošina, ka, īstenojot atbalsta programmu, Komisijas regulas Nr. </w:t>
            </w:r>
            <w:r w:rsidR="00000000" w:rsidRPr="00000000" w:rsidDel="00000000">
              <w:rPr>
                <w:rtl w:val="0"/>
              </w:rPr>
              <w:t xml:space="preserve">651/2014</w:t>
            </w:r>
            <w:r w:rsidR="00000000" w:rsidRPr="00000000" w:rsidDel="00000000">
              <w:rPr>
                <w:rtl w:val="0"/>
              </w:rPr>
              <w:t xml:space="preserve"> 4. panta 1. punkta "s" un "s c" apakšpunktā noteiktā paziņošanas robežvērtība uzņēmuma grupas līmenī vienam uzņēmumam vienā ieguldījumu projektā netiks pārsniegta.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09.10.2025. 07:50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12.punktā Ekonomikas ministrijas sniegto skaidrojumu, vēršam uzmanību, ka Komisijas regulas Nr.651/2014 4.panta 1.punkta “s” un “s c” apakšpunktā paredzētās robežvērtības, kas attiecas uz uzņēmumu, ir jāvērtē/jāpiemēro uzņēmuma grupas līmenī (Komisijas regulas Nr.651/2014 angliskajā versijā nosacījumi, kas ir attiecināmi uz ‘</w:t>
            </w:r>
            <w:r w:rsidR="00000000" w:rsidRPr="00000000" w:rsidDel="00000000">
              <w:rPr>
                <w:i w:val="1"/>
                <w:rtl w:val="0"/>
              </w:rPr>
              <w:t xml:space="preserve">undertaking</w:t>
            </w:r>
            <w:r w:rsidR="00000000" w:rsidRPr="00000000" w:rsidDel="00000000">
              <w:rPr>
                <w:rtl w:val="0"/>
              </w:rPr>
              <w:t xml:space="preserve">’, ir jāpārbauda/jāpiemēro uzņēmuma grupas līmenī). Līdz ar to atkārtoti lūdzam papildināt noteikumus ar punktu, kas nodrošinātu minētās prasības ievērošanu, izslēdzot risku, ka saistīto uzņēmumu grupas līmenī vienam uzņēmumam vienā ieguldījumu projektā tiktu pārsniegtas Komisijas regulas Nr.651/2014 4.panta 1.punkta “s” un “s c” apakšpunktā paredzētās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594 ir papildināti ar 107.8.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 saražotās enerģijas akumulēšanas vai uzglabāšanas iekārtu iegāde un uzstādīšana, ja enerģijas akumulēšanas vai uzglabāšanas iekārtas kombinē kopā ar atjaunojamo energoresursu tehnoloģiju iegādi un uzstādīšanu vai ja akumulēšanas vai uzglabāšanas iekārtas savieno jau ar esošo atjaunīgo energoresursu ražošanas iekārtu. Akumulēšanas aprīkojums vismaz 75 % no gada griezumā akumulētās enerģijas akumulē no tieši pieslēgtas atjaunīgās 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regulas Nr. 651/2014 41. panta 1.a punkta nosaka, ka ieguldījumu atbalsts elektroenerģijas akumulēšanas/uzkrāšanas projektiem tiek piešķirts kombinētiem atjaunīgo energoresursu un akumulēšanas/uzglabāšanas projektiem (aiz skaitītāja), ja abi elementi ir viena ieguldījuma sastāvdaļas vai ja krātuve ir savienota ar esošo atjaunīgo energoresursu ražošanas iekārtu, kā arī, ņemot vērā Eiropas Komisijas skaidrojumu e-wiki vietnē (lūdzam skatīt Art. 41 - possible types of investment in promotion of RES - e-State Aid Wiki - EC Extranet Wiki), lai nodrošinātu no šī regulas panta un punkta noteikto prasību ievērošanu, lūdzam papildināt noteikumu projektu ar nosacījumu, ka gadījumā, ja enerģijas akumulēšanas vai uzglabāšanas iekārtas savieno kopā ar jau esošo atjaunīgo energoresursu ražošanas iekārtu, šāda savienošana ir iespējama, ja jau esošās atjaunīgās energoresursu ražošanas iekārtas izmantošana nav bijusi uzsākta līdz atbalsta elektroenerģijas uzkrāšanai piešķiršanas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594 65.8. apakšpunkts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 saražotās enerģijas akumulēšanas vai uzglabāšanas iekārtu iegāde un uzstādīšana, ja enerģijas akumulēšanas vai uzglabāšanas iekārtas kombinē kopā ar atjaunojamo energoresursu tehnoloģiju iegādi un uzstādīšanu vai ja akumulēšanas vai uzglabāšanas iekārtas savieno jau ar esošo atjaunīgo energoresursu ražošanas iekārtu. Akumulēšanas aprīkojums vismaz 75 % no gada griezumā akumulētās enerģijas akumulē no tieši pieslēgtas atjaunīgās enerģijas ražošanas iekārtas. Gadījumā, ja enerģijas akumulēšanas vai uzglabāšanas iekārtas savieno kopā ar jau esošo atjaunīgo energoresursu ražošanas iekārtu, šāda savienošana ir iespējama, ja jau esošās atjaunīgās energoresursu ražošanas iekārtas izmantošana nav bijusi uzsākta līdz atbalsta elektroenerģijas uzkrāšanai piešķiršanas brīdim;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w:t>
            </w:r>
            <w:r w:rsidR="00000000" w:rsidRPr="00000000" w:rsidDel="00000000">
              <w:rPr>
                <w:i w:val="1"/>
                <w:rtl w:val="0"/>
              </w:rPr>
              <w:t xml:space="preserve">izmaiņas kārtējā gadā, salīdzinot ar valsts budžetu kārtējam gadam</w:t>
            </w:r>
            <w:r w:rsidR="00000000" w:rsidRPr="00000000" w:rsidDel="00000000">
              <w:rPr>
                <w:rtl w:val="0"/>
              </w:rPr>
              <w:t xml:space="preserve">”, 1.,1.1., 2. un 2.1.punktā precizēt pārdalāmā finansējuma apmēru un norādīt to ar “-” zīmi. Turklāt lūdzam papildināt 6.punktu ar skaidrojošo informāciju, kas pamato 1.2.1.2.i investīcijas finansējuma samazinājumu 8 419 331 euro apmērā, vienlaikus svītrojot šobrīd otrajā rindkopā sniegto informāciju par veikto pārdali akciju sabiedrībai "Attīstības finanšu institūcija Altum”. Savukārt punktā “Cita informācija” lūdzam norādīt, ka likumā “Par valsts budžetu 2025. gadam un budžeta ietvaru 2025., 2026. un 2027. gadam” Ekonomikas ministrijas budžeta apakšprogrammā 74.06.00 “Atveseļošanas un noturības mehānisma (ANM) projekti un pasākumi” ir ieplānots finansējums 1.2.1.2.i investīcijas īstenošanai 2025.gadam 32 234 400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ir atbilstoši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Ekonomikas ministrijas atbildībā esošā 1.2.1.2.i.1. pasākuma "Energoefektivitātes paaugstināšana uzņēmējdarbībā (ietverot pāreju uz atjaunojamo energoresursu tehnoloģiju izmantošanu siltumapgādē)" finansējuma pārdali uz Klimata un enerģētikas ministrijas atbildībā esošo 7.1.1.2.i. investīciju "Elektroenerģijas pārvades un sadales tīklu modernizācija" un Ekonomikas ministrijas atbildībā esošo 3.1.1.7.i. investīciju "Aizdevumi nekustamā īpašuma attīstītājiem zemas īres maksas mājokļu būvniecībai", lūdzam izvērtēt un papildināt anotācijas 4. sadaļu ar informāciju, ka tiks veikti grozījumi attiecīgo investīciju īstenošanu regulējošajos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noteikumu projektu pirms Eiropas Komisijas lēmuma par Padomes 2021. gada 13. jūlija Īstenošanas lēmuma par Latvijas atveseļošanas un noturības plāna novērtējuma apstiprināšanu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Ministru kabineta sēdes protokollēmuma projekta 3. un 4. punkta nepieciešamību un pieļaujamību, kā arī iespējamos riskus, vienlaikus pamatojot noteikumu projekta virzīšanu apstiprināšanai pirms attiecīgā Eiropas Komisijas lēmuma pieņemšanas. Vēršam arī uzmanību, ka noteikumu projekta atbalstīšana faktiski paredzēta jau ar noteikumu projekta pieņemšanu kā tādu (sk. arī 1. punktu). Ja nepieciešams, aicinām pārveidot punktu (piemēram, paredzot, ka Ministru kabinets pieņem zināšanai, ka noteikumu projekta pieņemšanas laikā vēl nav pieņemts attiecīgs Eiropas Komisijas lēmums par Padomes 2021. gada 13. jūlija Īstenošanas lēmuma par Latvijas atveseļošanas un noturības plāna novērtējuma apstiprināšanu grozījumiem v.tml.).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un 4. punkts ir iekļauts, pamatojoties uz Finanšu ministrijas 26.09.2025. priekšlikumu.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noteikumu projektu pirms Eiropas Komisijas lēmuma par Padomes 2021. gada 13. jūlija Īstenošanas lēmuma par Latvijas atveseļošanas un noturības plāna novērtējuma apstiprināšanu grozījumiem.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informēt Ministru kabinetu par priekšlikumiem rīcībai gadījumā, ja netiek saņemts pozitīvs Eiropas Komisijas lēmums par grozījumiem Atveseļošanas un noturības mehānisma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dotā uzdevuma viennozīmīgu interpretāciju un Ministru kabineta sēdes protokollēmuma projekta 4. punkta sasaisti ar 3. punktu, aicinām 4. punktā aizstāt vārdus "grozījumiem Atveseļošanas un noturības mehānisma plānā" ar vārdiem un skaitļiem "Padomes 2021. gada 13. jūlija Īstenošanas lēmuma par Latvijas atveseļošanas un noturības plāna novērtējuma apstiprināšanu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informēt Ministru kabinetu par priekšlikumiem rīcībai gadījumā, ja netiek saņemts pozitīvs Eiropas Komisijas lēmums par </w:t>
            </w:r>
            <w:r w:rsidR="00000000" w:rsidRPr="00000000" w:rsidDel="00000000">
              <w:rPr>
                <w:u w:val="single"/>
                <w:rtl w:val="0"/>
              </w:rPr>
              <w:t xml:space="preserve">Padomes 2021. gada 13. jūlija Īstenošanas lēmuma par Latvijas atveseļošanas un noturības plāna novērtējuma apstiprināšanu grozījumiem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informēt Ministru kabinetu par priekšlikumiem rīcībai gadījumā, ja netiek saņemts pozitīvs Eiropas Komisijas lēmums par Padomes 2021. gada 13. jūlija Īstenošanas lēmuma par Latvijas atveseļošanas un noturības plāna novērtējuma apstiprināšanu grozījumiem.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par noteikumu 1. pielikumā paredzēto, ka "[s]iltumnīcefekta gāzu emisiju samazinājums projektos, kuru ietvaros uzstāda tikai enerģijas akumulācijas tehnoloģijas, tiek aprēķināts saskaņā ar </w:t>
            </w:r>
            <w:r w:rsidR="00000000" w:rsidRPr="00000000" w:rsidDel="00000000">
              <w:rPr>
                <w:u w:val="single"/>
                <w:rtl w:val="0"/>
              </w:rPr>
              <w:t xml:space="preserve">hipotētisko scenāriju</w:t>
            </w:r>
            <w:r w:rsidR="00000000" w:rsidRPr="00000000" w:rsidDel="00000000">
              <w:rPr>
                <w:rtl w:val="0"/>
              </w:rPr>
              <w:t xml:space="preserve">", sniegts šāds skaidrojums: "</w:t>
            </w:r>
            <w:r w:rsidR="00000000" w:rsidRPr="00000000" w:rsidDel="00000000">
              <w:rPr>
                <w:i w:val="1"/>
                <w:rtl w:val="0"/>
              </w:rPr>
              <w:t xml:space="preserve">Sabiedrībai Altum jau ir izstrādāta un ar Ekonomikas ministriju saskaņota metodika, saskaņā ar kuru projekta iesniedzēji varēs noteikt siltumnīcefekta gāzu emisiju samazinājumu projekta ietvaros. Minētā metodika būs pieejama projektu iesniedzējiem kā informatīvs dokuments siltumnīcefekta gāzu emisiju samazinājuma aprēķinam.</w:t>
            </w:r>
            <w:r w:rsidR="00000000" w:rsidRPr="00000000" w:rsidDel="00000000">
              <w:rPr>
                <w:rtl w:val="0"/>
              </w:rPr>
              <w:t xml:space="preserve">" Saistībā ar minēto atgādinām, ka privātpersonām saistošas tiesību normas ietveramas ārējā normatīvajā aktā, un attiecīgi minētā metodika nebūs privātpersonām saistoša (kā jau skaidrojumā norādīts, tai var būt tikai informatīvs raksturs). Ja nepieciešams metodikā paredzēto padarīt saistošu privātpersonām, aicinām papildināt noteikumu projektu, pārņemot metodikā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minētā metodika būs pieejama projektu iesniedzējiem </w:t>
            </w:r>
            <w:r w:rsidR="00000000" w:rsidRPr="00000000" w:rsidDel="00000000">
              <w:rPr>
                <w:u w:val="single"/>
                <w:rtl w:val="0"/>
              </w:rPr>
              <w:t xml:space="preserve">kā informatīvs dokuments</w:t>
            </w:r>
            <w:r w:rsidR="00000000" w:rsidRPr="00000000" w:rsidDel="00000000">
              <w:rPr>
                <w:rtl w:val="0"/>
              </w:rPr>
              <w:t xml:space="preserve"> siltumnīcefekta gāzu emisiju samazinājuma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12.09.2025. 13:27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pielikumu paredzēts grozīt, specifisko vērtēšanas kritēriju 2. nodaļā grozot vērtēšanas kritēriju un pievienojot šādu teikumu: "</w:t>
            </w:r>
            <w:r w:rsidR="00000000" w:rsidRPr="00000000" w:rsidDel="00000000">
              <w:rPr>
                <w:i w:val="1"/>
                <w:rtl w:val="0"/>
              </w:rPr>
              <w:t xml:space="preserve">Siltumnīcefekta gāzu emisiju samazinājums projektos, kuru ietvaros uzstāda tikai enerģijas akumulācijas tehnoloģijas, </w:t>
            </w:r>
            <w:r w:rsidR="00000000" w:rsidRPr="00000000" w:rsidDel="00000000">
              <w:rPr>
                <w:i w:val="1"/>
                <w:u w:val="single"/>
                <w:rtl w:val="0"/>
              </w:rPr>
              <w:t xml:space="preserve">tiek aprēķināts saskaņā ar hipotētisko scenāriju</w:t>
            </w:r>
            <w:r w:rsidR="00000000" w:rsidRPr="00000000" w:rsidDel="00000000">
              <w:rPr>
                <w:rtl w:val="0"/>
              </w:rPr>
              <w:t xml:space="preserve">." Hipotētiskā scenārija principi tiek skaidroti anotācijā, tomēr atgādinām, ka anotācija ir tiesību palīgavots, un privātpersonām saistošas tiesību normas ietveramas noteikumu projektā. Lūdzam izvērtēt iespēju pilnveidot noteikumu projektu ar attiecīgu tiesisko regulējumu. Alternatīvi lūdzam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projektos, kuru ietvaros uzstāda tikai enerģijas akumulācijas tehnoloģijas, noteikt siltumnīcefekta gāzu emisiju samazinājumu projekta iesniegšanas brīdī nav iespējams, jo tas ir atkarīgs no daudziem faktoriem, ko nevar paredzēt. Attiecīgi šādos gadījumos Ekonomikas ministrija atbalsta siltumnīcefekta gāzu emisiju samazinājuma aprēķinu veikt saskaņā ar hipotētisko scenāriju. Sabiedrībai Altum jau ir izstrādāta un ar Ekonomikas ministriju saskaņota metodika, saskaņā ar kuru projekta iesniedzēji varēs noteikt siltumnīcefekta gāzu emisiju samazinājumu projekta ietvaros. Minētā metodika būs pieejama projektu iesniedzējiem kā informatīvs dokuments siltumnīcefekta gāzu emisiju samazinājuma aprēķinam.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atbalsta programmai pieejamo Atveseļošanas un noturības mehānisma (turpmāk – ANM) finansējumu 6 811 812 euro apmērā, lūdzam aizpildīt anotācijas 3.sadaļu “Tiesību akta projekta ietekme uz valsts budžetu un pašvaldību budžetiem”, tabulā atspoguļojot samazinājumu, 6.punktā sniedzot tam pamatojošo informāciju un punktā “Cita informācija” norādot investīciju, kuras īstenošanai tiek pārdalīts minētais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54.9.2. aprīkojuma uzstādīšana atjaunīgās enerģijas ražošanas iekārtu objektā saražotās enerģijas akumulēšanai. Ja projektā atbalsts tiek sniegts saskaņā ar Komisijas regulu Nr. 651/2014, akumulēšanas aprīkojums vismaz 75 % no gada griezumā akumulētās enerģijas akumulē no tieši pieslēgtas atjaunīgās 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šo Ministru kabineta 2022. gada 20. septembra noteikumu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noteikumi Nr. 594)  54.punktam ir paredzēts, ka atbalstu sniedz saskaņā ar Komisijas 2023. gada 13. decembra Regulu (ES) 2023/2831 par Līguma par Eiropas Savienības darbību 107. un 108. panta piemērošanu de minimis atbalstam (turpmāk - Komisijas regula 2023/2831), lūdzam noteikumu Nr. 594 54.9.2.apakšpunkta plānotajā redakcijā svītrot vārdus un skaitļus: "Ja projektā atbalsts tiek sniegts saskaņā ar Komisijas regulu Nr. 651/2014[..]", jo šajā punktā atbalsts tiek sniegts ar Komisijas regulu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Nr. 94 54.9.2.apakšpunkta otrais teikums, jo Komisijas Regula Nr. 2023/2831 nenosaka minimālo akumulētās enerģijas apjomu no tieši pieslēgtas atjaunīgās 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54.9.2. aprīkojuma uzstādīšana atjaunīgās enerģijas ražošanas iekārtu objektā saražotās enerģijas akumulēšanai;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Atbalstu, kas sniegts saskaņā ar Komisijas regulas Nr. </w:t>
            </w:r>
            <w:r w:rsidR="00000000" w:rsidRPr="00000000" w:rsidDel="00000000">
              <w:rPr>
                <w:rtl w:val="0"/>
              </w:rPr>
              <w:t xml:space="preserve">651/2014</w:t>
            </w:r>
            <w:r w:rsidR="00000000" w:rsidRPr="00000000" w:rsidDel="00000000">
              <w:rPr>
                <w:rtl w:val="0"/>
              </w:rPr>
              <w:t xml:space="preserve"> 38. panta 3.punktu, izmanto šādām papildu ieguldījumu izmaksām, kas nepieciešamas, lai sasniegtu augstāku energoefektivitātes līmeni, un ko nosaka, salīdzinot ieguldījuma izmaksas ar izmaksām hipotētiskajā scenārijā, kas rastos, ja atbalsts netiktu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2014. gada 17. jūnija Regulas (ES) Nr. 651/2014, ar ko noteiktas atbalsta kategorijas atzīst par saderīgām ar iekšējo tirgu, piemērojot Līguma 107. un 108. pantu (turpmāk - Komisijas regula Nr. 651/2014) 38. panta 3.punktā ir noteikti četri iespējamie hipotētiskie scenāriji, lai nodrošinātu korektu Komisijas regulas Nr. 651/2014 38. panta 3.punkta piemērošanu, lūdzam noteikumu Nr. 594 61.4punkta ievaddaļā precizēt, nosakot starp kādām izmaksām salīdzinājums ir jāveic hipotētiskā scenārija gadījumā, kā arī kurš no hipotētiskā scenārija veidiem (a, b, c vai d) tiks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 594 61.</w:t>
            </w:r>
            <w:r w:rsidR="00000000" w:rsidRPr="00000000" w:rsidDel="00000000">
              <w:rPr>
                <w:vertAlign w:val="superscript"/>
                <w:rtl w:val="0"/>
              </w:rPr>
              <w:t xml:space="preserve">4</w:t>
            </w:r>
            <w:r w:rsidR="00000000" w:rsidRPr="00000000" w:rsidDel="00000000">
              <w:rPr>
                <w:rtl w:val="0"/>
              </w:rPr>
              <w:t xml:space="preserve"> punkta ietvaros tiek piemēroti visi Regulas Nr. 651/2014 hipotētiskie scenāriji, jo tie tiek noteikti ņemot vērā ieguldījumu specifiku un katram projektam tiek noteikts tam piemērots hipotētiskais scenārijs.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Atbalstu, kas sniegts saskaņā ar Komisijas regulas Nr. </w:t>
            </w:r>
            <w:r w:rsidR="00000000" w:rsidRPr="00000000" w:rsidDel="00000000">
              <w:rPr>
                <w:rtl w:val="0"/>
              </w:rPr>
              <w:t xml:space="preserve">651/2014</w:t>
            </w:r>
            <w:r w:rsidR="00000000" w:rsidRPr="00000000" w:rsidDel="00000000">
              <w:rPr>
                <w:rtl w:val="0"/>
              </w:rPr>
              <w:t xml:space="preserve"> 38. panta 3.punktu, izmanto šādām papildu ieguldījumu izmaksām, kas nepieciešamas, lai sasniegtu augstāku energoefektivitātes līmeni, un ko nosaka, salīdzinot ieguldījuma izmaksas ar izmaksām hipotētiskajā scenārijā, kas rastos, ja atbalsts netiktu sniegts: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3. jebkāda veida pārvietojamās tehnikas un transportlīdzekļu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Komisijas regulas Nr.651/2014 38.pantu nav iespējams segt transportlīdzekļu iegādes izmaksas, līdz ar to lūdzam saglabāt pašreizējo noteikumu Nr. 594 61.63.apakšpunktu, svītrojot tajā tikai vārdus “transportlīdzekļa iegādēs izmaksas”, nevis svītrot visu normu. Vienlaikus lūdzam precizēt norādīto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anotācijas 1.3. sadaļa precizēta atbilstoši izteiktajam komentāram, nosakot, ka atbalstu nepiešķir transportlīdzekļu iegādes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3. transportlīdzekļu iegādes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sadaļas “Pamatojums” apakšsadaļu “Apraksts”, iekļaujot atsauci uz rosinātajiem priekšlikumiem ANM plāna trešajiem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“Pamatojums” apakšsadaļa “Apraksts” papildināta ar skaidrojumu, ka noteikumu projekts izstrādāts, lai nodrošinātu tā atbilstību grozījumiem Eiropas Komisijas lēmuma par Padomes 2021. gada 13. jūlija Īstenošanas lēmuma par Latvijas atveseļošanas un noturības plāna novērtējuma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“Pašreizējā situācija” skaidrots, ka programmas ietvaros akciju sabiedrība “Attīstības finanšu institūcija Altum” (turpmāk - sabiedrība “Altum”) jau ir organizējusi 10 projektu atlases. Tāpat ir noteikts, ka papildus projektu atlases kārtas ANM ietvaros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594 93. punkta plānotajā redakcijā precizēti termiņi, kādos cits finansētājs komersanta vārdā (ja atbalsts tiek sniegts elektroauto iegādei) no lēmuma saņemšanas dienas piesakās aizdevumam vai garantijai sabiedrībā “Altum”, nosakot, ka pieteikties aizdevumam vai garantijai var ne vēlāk kā astoņu mēnešu laikā (ja atbalsts sniegts pirmās līdz desmitās atlases kārtas ietvaros) vai ne vēlāk kā divu mēnešu laikā (ja atbalsts sniegts vienpadsmitās un turpmāko atlašu kārtu ietvaros) no lēmuma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anotācijā sniegto informāciju, kas šobrīd nosaka, ka papildu atlases netiek plānotas.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apakšsadaļā “Pašreizējā situācija” sniegtais skaidrojums, aktualizējot informāciju uz 2025. gada 25. septembri. Skaidrojam, ka plānota vēl viena atlase. Atlases tiek organizētas kamēr ir pieejams AF finansējums, kā arī lai nodrošinātu ANM mērķu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Ekonomikas ministrija 20 darba dienu laikā pēc atbalsta programmas grozījumu spēkā stāšanās dienas, izmantojot SANI2 sistēmu, Eiropas Komisijai (turpmāk – EK) iesniegs kopsavilkuma informāciju par grozījumiem attiecīgajā atbalsta programmā, ņemot vērā to, ka ar grozījumiem tiek pagarināts atbalsta piešķiršanas termiņš saskaņā ar Komisijas regulu Nr. 651/2014.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ir papildināta anotācijas 5. sadaļa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paralēli norit konsultācijas ar EK par iespēju veikt papildu finansējuma pārdales (attiecīgi vēl samazinot investīcijas finansējumu un rādītāju), aicinām Ekonomikas ministriju virzīt noteikumu Nr. 594 grozījumus pēc tam, kad būs panākta vienošanās ar EK par 1.2.1.2.i investīcijas gala summu. Vienlaikus, ņemot vērā, ka noteikumu Nr. 594 grozījumi tiek virzīti pirms ANM plāna grozījumu apstiprināšanas, lūdzam papildināt Ministru kabineta sēdes protokollēmuma projektu ar jaunu punktu, kas paredz atbalstīt noteikumu Nr. 594 grozījumus pirms attiecīga EK lēmuma par Padomes 2021. gada 13. jūlija Īstenošanas lēmuma par Latvijas atveseļošanas un noturības plāna novērtējuma apstiprināšanu grozījumiem, kā arī Ekonomikas ministrijai informēt Ministru kabinetu par priekšlikumiem rīcībai gadījumā, ja EK neapstiprina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6. oktobrī ir saņemts Eiropas Komisijas neformāls saskaņojums par pārdaļu summām.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attiecīgiem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programmai pieejamais Atveseļošanas fonda finansējums ir 73 774 188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nepieciešamības gadījumā precizēt noteikumu Nr. 594 10.punkta plānoto redakciju, ņemot vērā, ka sasummējot norādīto finansējumu pa tā apakšpunktiem, tas ir par 182 euro mazāks nekā samazinātais investīcijas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Summas ir pārrēķinātas ņemot vērā pārdali uz KEM 7.1.1.2.i investīciju "Elektroenerģijas pārvades un sadales tīklu modernizācija" 6 811 812 EUR apmērā un pārdali uz EM 3.1.1.7.i investīciju "Aizdevumi nekustamā īpašuma attīstītājiem zemas īres maksas mājokļu būvniecībai" 1 607 519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programmai pieejamais Atveseļošanas fonda finansējums ir 72 166 669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līdz 2026. gada 30. jūnijam sabiedrība "Altum" apstiprinājusi projektus, kuru kopsumma ir vismaz 65 870 000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Nr. 594 11.3.1.apakšpunkta plānotajā redakcijā norādīto mērķa redakciju  ar ierosinātajiem grozījumiem ANM plānā, ņemot vērā, ka ierosinātie grozījumi paredz, ka 11.3.1.apakšpunktā izteiktais mērķis ir noslēgtie līgumi nevis apstiprinātie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594 11.3.1. apakšpunkts ir precizēts atbilstoši panāktajai vienošanās par mērķa nosaukumu (noslēgti līgumi, nevis apstiprināti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līdz 2026. gada 30. jūnijam sabiedrība "Altum" noslēgusi līgumus, kuru kopsumma ir vismaz 65 000 000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Nr. 594 ar nosacījumu, ka, īstenojot pasākumu, Komisijas regulas Nr. 651/2014 4. panta 1. punkta "s" un "c"  apakšpunktā noteiktā atbalsta pasākuma paziņošanas robežvērtība (vērtējot atbalsta saņēmēju grupas līmenī) netiks pārsniegta.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norma nav nepieciešama, jo MK noteikumu Nr. 594 47. punkts nosaka, ka kapitāla atlaide, ko piešķir saistītajām personām aizdevuma vai paralēlā aizdevuma pamatsummas pilnīgam vai daļējam samazinājumam, ir līdz 30 % no projekta kopējām izmaksām (neieskaitot pievienotās vērtības nodokli), bet ne vairāk kā 1 500 000 euro (ar grozījumiem ne vairāk kā 1 950 000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komersanti neiesniedz projektus bez kapitāla atlaides, tad līdzšinēji maksimālais piešķirtais aizdevums saistīto personu grupā sasniedza 5 000 000 EUR (ar grozījumiem - 6 500 000 EUR). Attiecīgi 30 000 000 EUR atbalsts vienam uzņēmumam vienā projektā nemaz nav pieļaujams.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lai saņemtu atbalstu, komersants sabiedrībā "Altum"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Komersants informē par </w:t>
            </w:r>
            <w:r w:rsidR="00000000" w:rsidRPr="00000000" w:rsidDel="00000000">
              <w:rPr>
                <w:i w:val="1"/>
                <w:rtl w:val="0"/>
              </w:rPr>
              <w:t xml:space="preserve">de minimis</w:t>
            </w:r>
            <w:r w:rsidR="00000000" w:rsidRPr="00000000" w:rsidDel="00000000">
              <w:rPr>
                <w:rtl w:val="0"/>
              </w:rPr>
              <w:t xml:space="preserve"> atbalsta uzskaites sistēmā izveidotās un iesniegtās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594 32.5.apakšpunktu, aizstājot vārdu “saņemto” ar vārdu “piešķirto”, ņemot vērā to, ka no de minimis regulējuma piemērošanas viedokļa būtisks ir juridiski piešķirtais de minimis atbalsta apmērs, nevis faktiski saņemtais, kas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594 32.5. apakšpunktā vārds “saņemto” aizstāts ar vārdu “piešķirto”.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lai saņemtu atbalstu, komersants sabiedrībā "Altum" iesniedz informāciju par iepriekš piešķirto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Komersants informē par </w:t>
            </w:r>
            <w:r w:rsidR="00000000" w:rsidRPr="00000000" w:rsidDel="00000000">
              <w:rPr>
                <w:i w:val="1"/>
                <w:rtl w:val="0"/>
              </w:rPr>
              <w:t xml:space="preserve">de minimis</w:t>
            </w:r>
            <w:r w:rsidR="00000000" w:rsidRPr="00000000" w:rsidDel="00000000">
              <w:rPr>
                <w:rtl w:val="0"/>
              </w:rPr>
              <w:t xml:space="preserve"> atbalsta uzskaites sistēmā izveidotās un iesniegtās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Komercdarbības atbalsta kontroles likumā  (turpmāk - KAKL) noteikto, atbalstu var piešķirt kā ad-hoc atbalstu projekta ietvaros vai atbalstu atbalsta programmas (jeb shēmas) ietvaros, lūdzam precizēt noteikumu Nr. 594 104.1 apakšpunktu, aizstājot jēdziena “individuālā atbalsta” lietojumu ar KAKL 1. panta otrās daļas 1. punktā noteikto jēdzienu “ad-hoc atbalsts”attiecīgā locījumā. Lūdzam atbilstoši precizēt arī noteikumu Nr. 594 104.3.apakšpunktu.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594 104.1. un 104.3. apakšpunktā termins “individuālā atbalsta” aizstāts ar terminu “ad-hoc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ad-hoc atbalsta projektā vai Eiropas Komisijas lēmumā;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107.3. informāciju par Komisijas regulas Nr. </w:t>
            </w:r>
            <w:r w:rsidR="00000000" w:rsidRPr="00000000" w:rsidDel="00000000">
              <w:rPr>
                <w:rtl w:val="0"/>
              </w:rPr>
              <w:t xml:space="preserve">651/2014</w:t>
            </w:r>
            <w:r w:rsidR="00000000" w:rsidRPr="00000000" w:rsidDel="00000000">
              <w:rPr>
                <w:rtl w:val="0"/>
              </w:rPr>
              <w:t xml:space="preserve"> 38., 38.a vai 41. panta ietvaros izsniegto atbalstu publicē atbilstoši Komisijas regulas Nr. </w:t>
            </w:r>
            <w:r w:rsidR="00000000" w:rsidRPr="00000000" w:rsidDel="00000000">
              <w:rPr>
                <w:rtl w:val="0"/>
              </w:rPr>
              <w:t xml:space="preserve">651/2014</w:t>
            </w:r>
            <w:r w:rsidR="00000000" w:rsidRPr="00000000" w:rsidDel="00000000">
              <w:rPr>
                <w:rtl w:val="0"/>
              </w:rPr>
              <w:t xml:space="preserve"> 9. panta 1. un 4. punktā noteiktajām publicitātes pasākumu prasībām saskaņā ar normatīvajiem aktiem par kārtību, kādā publicē informāciju par sniegto valsts atbalstu un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2025. gada 22. jūlija grozījumiem tika mainīts Ministru kabineta 2016. gada 21.jūnija noteikumu Nr.386 nosaukums, proti, “Kārtība, kādā publicē informāciju par sniegto komercdarbības atbalstu”, lūdzam noteikumu Nr. 594 107.3.apakšpunktā svītrot vārdus: “un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107.3. apakšpunkts precizēts atbilstoši izteiktajam komentāram. Vienlaikus atbilstošs skaidrojums ir iekļauts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sabiedrība "Altum" līdz 2025. gada 1. oktobrim nav pieņēmusi lēmumu par kapitāla atlaides piemērošanu, tad pārskata par projekta ietvaros sasniegtajiem rādītājiem iesniegšanai piemēro šo noteikumu </w:t>
            </w:r>
            <w:r w:rsidR="00000000" w:rsidRPr="00000000" w:rsidDel="00000000">
              <w:rPr>
                <w:rtl w:val="0"/>
              </w:rPr>
              <w:t xml:space="preserve">97.2. </w:t>
            </w:r>
            <w:r w:rsidR="00000000" w:rsidRPr="00000000" w:rsidDel="00000000">
              <w:rPr>
                <w:rtl w:val="0"/>
              </w:rPr>
              <w:t xml:space="preserve">apakšpunktā</w:t>
            </w:r>
            <w:r w:rsidR="00000000" w:rsidRPr="00000000" w:rsidDel="00000000">
              <w:rPr>
                <w:rtl w:val="0"/>
              </w:rPr>
              <w:t xml:space="preserve"> noteikto termiņu - līdz 2029.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šobrīd ir saskaņošanas stadijā, aicinām izvērtēt noteikumu 114. punktā noteikto datumu (2025. gada 1. oktobri) un to precizēt vai arī anotācijā sniegt izvērstāku skaidrojumu par datuma izvēli un pieļaujamību.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2025.gada 1. oktobris tika izvēlēts kā provizoriskais noteikumu projekta izskatīšanas datums Ministru kabinetā. Tā kā sabiedrība "Altum" varēs piemērot šo normu tikai pēc noteikumu projekta apstiprināšanas, tad būtiski, lai šis datums ir saskaņots ar datumu, kurā apstiprina šo noteikumu projektu Ministru kabinetā. Līdz ar to šis termiņš tiek pārcelts uz 4. novembri, jo nepieciešama vismaz vēl viena saskaņošanas reize un izskatīšana Valsts kancelejā pirms iekļaušanas Ministru kabineta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sabiedrība "Altum" līdz 2025. gada 4. novembrim nav pieņēmusi lēmumu par kapitāla atlaides piemērošanu, tad pārskata par projekta ietvaros sasniegtajiem rādītājiem iesniegšanai piemēro šo noteikumu </w:t>
            </w:r>
            <w:r w:rsidR="00000000" w:rsidRPr="00000000" w:rsidDel="00000000">
              <w:rPr>
                <w:rtl w:val="0"/>
              </w:rPr>
              <w:t xml:space="preserve">97.2. </w:t>
            </w:r>
            <w:r w:rsidR="00000000" w:rsidRPr="00000000" w:rsidDel="00000000">
              <w:rPr>
                <w:rtl w:val="0"/>
              </w:rPr>
              <w:t xml:space="preserve">apakšpunktā</w:t>
            </w:r>
            <w:r w:rsidR="00000000" w:rsidRPr="00000000" w:rsidDel="00000000">
              <w:rPr>
                <w:rtl w:val="0"/>
              </w:rPr>
              <w:t xml:space="preserve"> noteikto termiņu - līdz 2029. gada 30. jūnijam.</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(06.09.2024.)</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25-TA-1797</w:t>
    </w:r>
    <w:r>
      <w:br/>
    </w:r>
    <w:r w:rsidR="00000000" w:rsidRPr="00000000" w:rsidDel="00000000">
      <w:rPr>
        <w:rtl w:val="0"/>
      </w:rPr>
      <w:t xml:space="preserve">04.11.2025. 08.56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25-TA-1797</w:t>
    </w:r>
    <w:r>
      <w:br/>
    </w:r>
    <w:r w:rsidR="00000000" w:rsidRPr="00000000" w:rsidDel="00000000">
      <w:rPr>
        <w:rtl w:val="0"/>
      </w:rPr>
      <w:t xml:space="preserve">04.11.2025. 08.56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Izziņa_25-TA-1797.docx</dc:title>
</cp:coreProperties>
</file>

<file path=docProps/custom.xml><?xml version="1.0" encoding="utf-8"?>
<Properties xmlns="http://schemas.openxmlformats.org/officeDocument/2006/custom-properties" xmlns:vt="http://schemas.openxmlformats.org/officeDocument/2006/docPropsVTypes"/>
</file>