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23-TA-1189: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policiju"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notvertu, nosēdinātu vai iznīcinātu tālvadības vai autonomas vadības ierīci, nodarot tai bojājumus, ja tā pārkāpj normatīvajos aktos noteikto aizliegumu iekļūt apsargājamajā objektā, veic izlūkošanas darbībām pielīdzināmus manevrus vai rada reālus draudus kritiskajai infrastruktūrai, valsts un sabiedrības drošības interesēm, objektiem, mantai vai personu dzīvībai un veselībai, kā arī, ja tā tiek izmantota noziedzīga nodarījuma izdarīšanā vai atbalstīšanā.”;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likumprojekts ”Grozījums likumā “Par policiju””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vispārīga regulējuma par prettiesiskām tālvadības vai autonomas vadības ierīcēm daļā par bezpilota gaisa kuģiem iekļaušanu likumā “Par policiju” (turpmāk – likums), jo attiecībā uz bezpilota gaisa kuģiem, kas ir precīzi definēti likumā “Par aviāciju”, regulējums par Valsts policijas kompetenci būtu jāiekļauj šajā likumā, līdzīgi, kā ir izteikts likuma “Par aviāciju” 47.</w:t>
            </w:r>
            <w:r w:rsidR="00000000" w:rsidRPr="00000000" w:rsidDel="00000000">
              <w:rPr>
                <w:vertAlign w:val="superscript"/>
                <w:rtl w:val="0"/>
              </w:rPr>
              <w:t xml:space="preserve">1</w:t>
            </w:r>
            <w:r w:rsidR="00000000" w:rsidRPr="00000000" w:rsidDel="00000000">
              <w:rPr>
                <w:rtl w:val="0"/>
              </w:rPr>
              <w:t xml:space="preserve">  - 49.</w:t>
            </w:r>
            <w:r w:rsidR="00000000" w:rsidRPr="00000000" w:rsidDel="00000000">
              <w:rPr>
                <w:vertAlign w:val="superscript"/>
                <w:rtl w:val="0"/>
              </w:rPr>
              <w:t xml:space="preserve">1</w:t>
            </w:r>
            <w:r w:rsidR="00000000" w:rsidRPr="00000000" w:rsidDel="00000000">
              <w:rPr>
                <w:rtl w:val="0"/>
              </w:rPr>
              <w:t xml:space="preserve"> pants. Šādā gadījumā likuma 12. pantā varētu iekļaut vispārīgu policijas darbinieka tiesību norādi par likumā “Par aviāciju” paredzēto bezpilota gaisa kuģu apturēšanas tiesībām. Tāpat arī ir kritiski vērtējama nepieciešamība likumā veidot atsevišķu tiesisko regulējumu par citām tālvadības vai autonomas vadības ierīcēm, vienlaikus lēmuma pieņemšanai par notveršanu, nosēdināšanu vai iznīcināšanu paredzot precīzi izteiktus nosacījumus, kuri lēmuma pieņemšanas brīdī lielākajā daļā gadījumu (izlūkošana, dažāda veida draudi un noziedzīgi nodarījumi) nebūs zināmi, proti, nebūs zināms šādas ierīces pārvietošanās mērķis. Šāds regulējums minēto ierīču iznīcināšanas gadījumā var radīt dažādus juridiska rakstura strīdus. Tieslietu ministrijai nerada šaubas, piemēram, amatpersonu tiesības apsargājamā objektā aizturēt jebkuras objektam nepiederošas pārvietojošas ierīces, jo arī bezpilotu gaisa kuģiem tiek noteiktas lidojumu aizlieguma zonas. Tādējādi regulējums būtu jāveido, izmantojot vispārējus aizliegumus ar teritoriāliem nosacījumiem vai, piemēram, publiskos pasākumos, nevis likumā rakstot grūti pārbaudāmus ierīces pārvietošanās mērķus. Papildus piedāvājam izvērtēt jau šobrīd spēkā esošo regulējumu par gadījumiem, kas paredz rīcību, piemēram, par publiskās vietās atstātām somām. Ievērojot minēto, Tieslietu ministrija piedāvā izvērtēt šādu likuma grozījumu nepieciešamību, turklāt projekts būtu jāsaskaņo ar Satiksmes ministriju un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 un 3.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regulējums par prettiesiskām tālvadības vai autonomas vadības ierīcēm daļā par bezpilota gaisa kuģiem sākotnēji tika izstrādāts kā likumprojektu pakete, iekļaujot likuma "Par policiju" saturā vispārīgu policijas darbinieku tiesību norādi par likumā "Par aviāciju" paredzēto bezpilota gaisa kuģu apturēšanas tiesībām, bet likumā "Par aviāciju" definējot policijas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likumprojekta nodošanas saskaņošanai Vienotajā tiesību aktu projektu izstrādes un saskaņošanas portālā tas tika nodots apspriešanai Tieslietu ministrijas Administratīvās atbildības likuma pastāvīgajā darba grupā (apspriešana notika 2023. gada 15. septembrī), kurā tika saņemts iebildums no Civilās aviācijas aģentūras un Tieslietu ministrijas par izvēlēto virzienu – nodalīt bezpilota gaisa kuģus no citām bezpilota ierīcēm, kas pārvietojas pa sauszemi vai ūdeni un noteikt Valsts policijas tiesības bezpilota gaisa kuģu piespiedu nosēdināšanā likumā “Par aviāciju”. Tika norādīts, ka attiecīgās tiesības jāparedz nozaru likumos, līdzīgi kā to izdarījusi Valsts robežsardze un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to, ka ar likumprojektu paredzētās policijas darbinieka tiesības tālvadības vai autonomas vadības ierīču apdraudējuma novēršanā tiek paredzētas vienīgi likumā "Par policiju", nepieciešams veidot vienotu tiesību normu sistēmu, pielīdzinot tiesisko regulējumu tā paša resora ietvaros esošas iestādes tiesību normām. Norādām, ka Valsts robežsardzes likuma 16.panta pirmās daļas 7.punkts un 17.panta otrās daļas 8.punkts nosaka robežsarga tiesības lietot fizisko spēku, speciālos cīņas paņēmienus, speciālos līdzekļus, tiesības izmantot dienesta suņus un tiesības pielietot ieroci ne tikai pret bezpilota gaisa kuģiem, bet arī, piemēram, pret attālināti vadāmu peldlīdzekli, attālināti vadāmu visurgājēju un robotu, pamatojot to ar nepieciešamību, kas rodas mūsdienu tehnoloģiskās attīstības dēļ, kā rezultātā palielinās to iespēju klāsts, kādos var izdarīt pārkāpumus, tas ir, pārvietojoties atšķirīgos veidos, piemēram, arī pa sauszemi un ūdeni. Savukārt, Ieslodzījuma vietu pārvaldes likuma 22. panta pirmās daļas 11. punkts nosaka, ka amatpersonai, pildot dienesta uzdevumus, ir tiesības arī fiksēt bezpilota gaisa kuģa un cita veida lidaparāta, kas nav kvalificējams kā gaisa kuģis, lidojumu un pārtraukt to, ja lidojums veikts, pārkāpjot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lēmuma pieņemšanai par tālvadības vai autonomas vadības ierīces notveršanu, nosēdināšanu vai iznīcināšanu, nodarot tai bojājumus, tiek noteikti precīzi nosacījumi, kas saistīti ar policijas funkcijām, vienlaikus esot plaši interpretējami, piemērojami plašam visaptverošam attiecīgo ierīču pārvietošanās mērķim un radītajam apdraudējumam.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notvertu, nosēdinātu vai iznīcinātu tālvadības vai autonomas vadības ierīci, nodarot tai bojājumus, ja tā tiek izmantota, pārkāpjot normatīvo aktu prasības, vai arī ir pamats uzskatīt, ka tā tiek izmantota noziedzīga nodarījuma izdarīšanā.”;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precizētais likumprojekts ”Grozījums likumā “Par policiju””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likuma “Par policiju” (turpmāk – likums) 13.</w:t>
            </w:r>
            <w:r w:rsidR="00000000" w:rsidRPr="00000000" w:rsidDel="00000000">
              <w:rPr>
                <w:vertAlign w:val="superscript"/>
                <w:rtl w:val="0"/>
              </w:rPr>
              <w:t xml:space="preserve">1</w:t>
            </w:r>
            <w:r w:rsidR="00000000" w:rsidRPr="00000000" w:rsidDel="00000000">
              <w:rPr>
                <w:rtl w:val="0"/>
              </w:rPr>
              <w:t xml:space="preserve"> panta otrajā daļā piedāvātajā redakcijā paredzētos gadījumus, kad policijas darbiniekam būs tiesības dienesta pienākumu izpildes procesā izmantot sprāgstvielas un spridzināšanas ietaises, kas atbilstoši projektā piedāvātajai definīcijai būs mērķtiecīga iedarbība uz dzīvu būtni vai objektu. Sprāgstvielām un spridzināšanas ietaisēm dažāda veida kaitējuma nodarīšanā fiziskām personām un mantai ir nekontrolēta darbība, kas tiek interpretēta kā kaitējuma nodarīšana vispārbīstamā veidā. Tādējādi projektā paredzētajā likuma 13.</w:t>
            </w:r>
            <w:r w:rsidR="00000000" w:rsidRPr="00000000" w:rsidDel="00000000">
              <w:rPr>
                <w:vertAlign w:val="superscript"/>
                <w:rtl w:val="0"/>
              </w:rPr>
              <w:t xml:space="preserve">1 </w:t>
            </w:r>
            <w:r w:rsidR="00000000" w:rsidRPr="00000000" w:rsidDel="00000000">
              <w:rPr>
                <w:rtl w:val="0"/>
              </w:rPr>
              <w:t xml:space="preserve">panta otrajā daļā nepieciešams precīzi uzskaitīt visus sprāgstvielu un spridzināšanas ietaišu izmantošanas gadījumus, kuros piemērojamais spēks būtu samērīgs ar apdraudējumu. Tiesiskajā regulējumā, kas būtiski aizskar cilvēktiesības, nebūtu pieļaujams izmantot vispārīgus dažādi interpretējamus apzīmējumus, piemēram, “objekts”. Tāpat arī projektā pārāk plaši ir interpretējams Ieroču aprites likumā paredzētais apzīmējums “ieroči”, jo vēršanās pret personu ar nazi (auksto ieroci) ar sprāgstvielām nebūs samērīgs spēka pielietojums. Tieslietu ministrija var pieļaut, ka sprāgstvielas un spridzināšanas ietaises tiek izmantotas, piemēram, ar šaujamieročiem bruņotas sabiedriski bīstamas personas, kas izrāda pretestību, neitralizēšanā, bet nevar piekrist, piemēram, atsevišķā normā likuma 13.</w:t>
            </w:r>
            <w:r w:rsidR="00000000" w:rsidRPr="00000000" w:rsidDel="00000000">
              <w:rPr>
                <w:vertAlign w:val="superscript"/>
                <w:rtl w:val="0"/>
              </w:rPr>
              <w:t xml:space="preserve">1</w:t>
            </w:r>
            <w:r w:rsidR="00000000" w:rsidRPr="00000000" w:rsidDel="00000000">
              <w:rPr>
                <w:rtl w:val="0"/>
              </w:rPr>
              <w:t xml:space="preserve"> panta otrās daļas 3. punktā noteiktajam, ka sprāgstvielas un spridzināšanas ietaises var tikt izmantotas personu aizturēšanā, jo tā faktiski ir procesuāla darbība. Mūsu ieskatā projektā šo punktu nepieciešams izslēgt, jo smaga nozieguma norāde atbilstoši to klasifikācijai ne vienmēr norāda uz personas sabiedrisko bīstamību.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pirmkārt, ar likumprojektā paredzētā 13.</w:t>
            </w:r>
            <w:r w:rsidR="00000000" w:rsidRPr="00000000" w:rsidDel="00000000">
              <w:rPr>
                <w:vertAlign w:val="superscript"/>
                <w:rtl w:val="0"/>
              </w:rPr>
              <w:t xml:space="preserve">1</w:t>
            </w:r>
            <w:r w:rsidR="00000000" w:rsidRPr="00000000" w:rsidDel="00000000">
              <w:rPr>
                <w:rtl w:val="0"/>
              </w:rPr>
              <w:t xml:space="preserve"> panta otro daļu tiek noteikts, ka policijas darbinieks, pildot attiecīgus uzdevumus, ir tiesīgs izmantot sprāgstvielas un spridzināšanas ietaises, kas viņam izsniegtas lietošanai dienesta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nosacījums, kas pieļauj izmantot vienīgi dienesta vajadzībām izsniegtas sprāgstvielas un spridzināšanas ietaises, rada pamatojumu tam, ka sprāgstvielu un spridzināšanas ietaišu izmantošanas tiesības Valsts policijā paredzētas vienīgi īpaši apmācītām personām. Atkārtoti norādām, ka šobrīd Valsts policijas pretterorisma vienībai "Omega" ir izveidota apmācību sistēma un tiek nodrošinātas regulāras apmācības gan Latvijā (Nacionālajos bruņotajos spēkos), gan ārvalstīs, atbilstoši izstrādātajiem un aprobētajiem algoritmiem darbam ar sprāgstvielām un spridzināšanas ietaisēm (tajā skaitā gan industriālajām, gan militārā tipa).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sprāgstvielu izmantošana tiktu uzskatīta par kaitējuma nodarīšanu vispārbīstamā veidā, būtu jāizpildās nosacījumiem, ka tā notiek nekontrolēti, apzināti ignorējot drošības noteikumus vai pārkāpjot normatīvos aktus, radot nepamatotu risku cilvēkiem un videi. Tomēr šādus nosacījumus nevar attiecināt uz gadījumiem, kad sprāgstvielas izmanto profesionāli apmācītas Valsts policijas amatpersonas. Katrs solis sprāgstvielu izmantošanas procesā tiek noteikts ar specifiskām drošības procedūrām, kas ir paredzētas, lai novērstu jebkādus iespējamos riskus vai kaitējumu. Šīs procedūras ietver stingras pārbaudes, sagatavošanās pasākumus, drošības zonas izveidošanu un citas kontrolētas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sprāgstvielu izmantošanu kontrolē apmācīti profesionāļi un tā tiek veikta, pirms tam rūpīgi novērtējot situāciju un veicot risku analīzi, kā arī novēršot jebkādu nevajadzīgu kaitējumu, tā nav uzskatāma par "vispārbīstamu darbību", bet gan par samērīgu un nepieciešamu līdzekli sabiedriskās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Tieslietu ministrijas izteiktais iebildums projektā paredzētajā likuma 13.</w:t>
            </w:r>
            <w:r w:rsidR="00000000" w:rsidRPr="00000000" w:rsidDel="00000000">
              <w:rPr>
                <w:vertAlign w:val="superscript"/>
                <w:rtl w:val="0"/>
              </w:rPr>
              <w:t xml:space="preserve">1</w:t>
            </w:r>
            <w:r w:rsidR="00000000" w:rsidRPr="00000000" w:rsidDel="00000000">
              <w:rPr>
                <w:rtl w:val="0"/>
              </w:rPr>
              <w:t xml:space="preserve"> panta otrajā daļā precīzi uzskaitīt visus sprāgstvielu un spridzināšanas ietaišu izmantošanas gadījumus, kuros piemērojamais spēks būtu samērīgs ar apdraudējumu, nav īstenojams, jo tiesību normai nav jābūt pārlieku detalizētai, tomēr ir jābūt precīzai pietiekamā apmērā un vienlaikus visaptverošai, lai tā varētu aptvert dažādas situācijas un nodrošināt skaidrību tiesību piemērošanā. Valsts policijas ieskatā, projektā paredzētajā 13.</w:t>
            </w:r>
            <w:r w:rsidR="00000000" w:rsidRPr="00000000" w:rsidDel="00000000">
              <w:rPr>
                <w:vertAlign w:val="superscript"/>
                <w:rtl w:val="0"/>
              </w:rPr>
              <w:t xml:space="preserve">1</w:t>
            </w:r>
            <w:r w:rsidR="00000000" w:rsidRPr="00000000" w:rsidDel="00000000">
              <w:rPr>
                <w:rtl w:val="0"/>
              </w:rPr>
              <w:t xml:space="preserve"> panta otrajā daļā pietiekami precīzi ir uzskaitīti sprāgstvielu un spridzināšanas ietaišu izmantošanas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attiecībā uz Tieslietu ministrijas iebildumu par piemērojamā spēka nesamērību ar apdraudējumu norādām, ka ar projektā paredzēto, nosakot tiesības sprāgstvielu un spridzināšanas ietaišu izmantošanā, tiek noteikts būtisks ierobežojums, proti, tiesības izmantot sprāgstvielas vienīgi galējās nepieciešamības situācijā. Turklāt paredzētā 13.</w:t>
            </w:r>
            <w:r w:rsidR="00000000" w:rsidRPr="00000000" w:rsidDel="00000000">
              <w:rPr>
                <w:vertAlign w:val="superscript"/>
                <w:rtl w:val="0"/>
              </w:rPr>
              <w:t xml:space="preserve">1</w:t>
            </w:r>
            <w:r w:rsidR="00000000" w:rsidRPr="00000000" w:rsidDel="00000000">
              <w:rPr>
                <w:rtl w:val="0"/>
              </w:rPr>
              <w:t xml:space="preserve"> panta ceturtā daļa nosaka, ka sprāgstvielu un spridzināšanas ietaišu izmantošanai jābūt nepieciešamai un samērīgai, maksimāli ierobežojot to nodarīto kaitējumu. Tieši galējās nepieciešamības un samērības nosacījumu iekļaušana paredzētajā 13.</w:t>
            </w:r>
            <w:r w:rsidR="00000000" w:rsidRPr="00000000" w:rsidDel="00000000">
              <w:rPr>
                <w:vertAlign w:val="superscript"/>
                <w:rtl w:val="0"/>
              </w:rPr>
              <w:t xml:space="preserve">1</w:t>
            </w:r>
            <w:r w:rsidR="00000000" w:rsidRPr="00000000" w:rsidDel="00000000">
              <w:rPr>
                <w:rtl w:val="0"/>
              </w:rPr>
              <w:t xml:space="preserve"> pantā rada pienākumu izvērtēt, vai personu darbības un situācijas bīstamība saprātīgi attaisno sprāgstvielu un spridzināšanas ietaišu pielietošanu un vai konkrētajā situācijā pastāv objektīva nepieciešamība tās izmantot, kā arī nodrošina tiesisko samērīgumu un atbilstību cilvēktiesībām. Katrs lēmums par sprāgstvielu un spridzināšanas ietaišu lietošanu ir pieņemams individuāli, izvērtējot konkrēto situāciju un pastāvošo apdraudējumu, kā arī sprāgstvielu un spridzināšanas ietaišu lietošanas nepieciešamību attiecīgā apdraudējuma novēršanai. Sprāgstvielu un spridzināšanas ietaišu izmantošanas nepieciešamība attiecināma uz to, ka tā ir pamatota un nepārsniedz to, kas ir vajadzīgs, lai sasniegtu noteiktu leģitīmu mērķi, turklāt, nepieciešamība nozīmē to, ka sprāgstvielu un spridzināšanas ietaišu izmantošana pieļaujama vienīgi tad, ja tas ir vienīgais un labākais veids, kā efektīvi sasniegt konkrēto mērķi, un ar citu likumā “Par policiju” noteikto līdzekļu (šaujamieroči, speciālie līdzekļi u.c.) izmantošanu attiecīgo mērķi nevar sasniegt vieglāk vai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ne visos iespējamos gadījumos, kas uzskaitīti paredzētajā 13.</w:t>
            </w:r>
            <w:r w:rsidR="00000000" w:rsidRPr="00000000" w:rsidDel="00000000">
              <w:rPr>
                <w:vertAlign w:val="superscript"/>
                <w:rtl w:val="0"/>
              </w:rPr>
              <w:t xml:space="preserve">1</w:t>
            </w:r>
            <w:r w:rsidR="00000000" w:rsidRPr="00000000" w:rsidDel="00000000">
              <w:rPr>
                <w:rtl w:val="0"/>
              </w:rPr>
              <w:t xml:space="preserve"> panta otrajā daļā, tiek noteiktas tiesības izmantot sprāgstvielas un spridzināšanas ietaises, bet gan vienīgi gadījumos, kad sprāgstvielu un spridzināšanas ietaišu izmantošana ir galēji nepieciešama, tā var novērst lielāku kaitējumu, turklāt, ir vienīgais veids, kā sasniegt mērķi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papildus tiek noteikts, ka sprāgstvielu un spridzināšanas ietaišu izmantošanai jābūt, maksimāli ierobežojot nodarīto kaitējumu, kā arī to, ka visos sprāgstvielu un spridzināšanas ietaišu izmantošanas gadījumos policijas darbiniekam jādara viss iespējamais, lai garantētu citu personu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ir lasāmas un interpretējamas kopsakarā, jo tiesību sistēma darbojas kā vienots regulējums, kur katra norma ir cieši saistīta ar citām. Šāda pieeja nodrošina konsekvenci, skaidrību un taisnīgumu tiesību piemērošanā, garantējot, ka tiesību sistēma darbojas harmoniski un saskaņoti ar tās pamatprincipiem un mērķiem. Līdz ar to, interpretējot paredzētā 13.</w:t>
            </w:r>
            <w:r w:rsidR="00000000" w:rsidRPr="00000000" w:rsidDel="00000000">
              <w:rPr>
                <w:vertAlign w:val="superscript"/>
                <w:rtl w:val="0"/>
              </w:rPr>
              <w:t xml:space="preserve">1 </w:t>
            </w:r>
            <w:r w:rsidR="00000000" w:rsidRPr="00000000" w:rsidDel="00000000">
              <w:rPr>
                <w:rtl w:val="0"/>
              </w:rPr>
              <w:t xml:space="preserve">panta saturu visu kopā, secināms, ka, nosakot policijas tiesības sprāgstvielu un spridzināšanas ietaišu izmantošanā, ievēroti samērīguma, nepieciešamības un proporcionalitātes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Tieslietu ministrija norāda, ka regulējumā, kas būtiski aizskar cilvēktiesības, nebūtu pieļaujams izmantot vispārīgus dažādi interpretējamus apzīmējumus, piemēram, “objekts”, “ieroči”.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norāda, ka normatīvajam aktam jābūt pietiekami vispārīgam, lai nodrošinātu tā piemērojamību dažādām situācijām, kas var rasties tiesiskajā regulējumā. Tas nozīmē, ka aktam jāspēj aptvert dažādas tiesiskās attiecības, vienlaikus neierobežojot individuālo gadījumu specifiku. Pārāk detalizēts vai šaurs normatīvais akts var radīt situāciju, kurā likuma piemērošana ir ierobežota, tādējādi neveicinot tiesisko skaidrību vai taisnīgumu. Vispārīguma princips ļauj normatīvajiem aktiem elastīgāk pielāgoties mainīgiem apstākļiem un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 plānoto sprāgstvielu un spridzināšanas ietaišu izmantošanu policijas darbā aptvertu visus iespējamos gadījumus, projektā tiek lietots termins “objekts”, kas ietver sevī ne tikai nocietinājumus, dažādus šķēršļus vai būves, bet arī to daļas, kā arī ieročus vai sprāgstvielas, kuras nav iespējams droši kontrolēt vai neitralizēt, tāpat arī dažāda veida transportlīdzekļus, kas tiek izmantoti uzbrukumos.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policija spētu īstenot likumā “Par policiju” noteiktos pienākumus – aizsargāt personu dzīvību, veselību, tiesības un brīvības, īpašumu, sabiedrības un valsts intereses no noziedzīgiem un citiem prettiesiskiem apdraudējumiem, tās rīcībā jābūt tādiem līdzekļiem, kas ir pietiekami efektīvi, vienlaikus ņemot vērā ne tikai sabiedrības locekļu un likumpārkāpēju, bet arī policijas darbinieku drošību, ja citas alternatīvas nevar sasniegt mērķi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13.</w:t>
            </w:r>
            <w:r w:rsidR="00000000" w:rsidRPr="00000000" w:rsidDel="00000000">
              <w:rPr>
                <w:vertAlign w:val="superscript"/>
                <w:rtl w:val="0"/>
              </w:rPr>
              <w:t xml:space="preserve">1</w:t>
            </w:r>
            <w:r w:rsidR="00000000" w:rsidRPr="00000000" w:rsidDel="00000000">
              <w:rPr>
                <w:rtl w:val="0"/>
              </w:rPr>
              <w:t xml:space="preserve"> panta otrās daļas 2.punktā, tajā skaitā, tiek noteiktas tiesības izmantot sprāgstvielas un spridzināšanas ietaises, lai atvairītu bruņotu uzbrukumu, kurā tiek izmantoti ieroči. Lai norma būtu pietiekami elastīga un darboties spējīga arī nākotnē, tiek lietots termins “ieroči”, kas aptver dažāda veida ieročus vai elementus, kas var tikt izmantoti kā ieroči, piemēram, šaujamieroči, aukstie ieroči, sprāgstvielas un sprādzienbīstamas ierīces, ķīmiskie, bioloģiskie un radioloģiskie ieroči, militārā tehnika, elektriskie un speciāli ieroči, kā arī ieroči kā jebkādi līdzekļi, kas rada kaitējumu. Straujā tehnoloģiskā attīstība pasaulē rada arvien jaunus ieroču veidus, tādējādi normā jābūt ietvertam pietiekami plašam skaidrojumam tam, kas rada pamatu izmantot sprāgstvielas un spridzināšanas ietaises apdraudējuma novēršanai. Nav iespējams normā uzskaitīt pilnīgi visus ieroču veidus, turklāt, nav iespējams paredzēt, kādi tie būs nākotnē. Kā jau norādīts iepriekš, jebkura ieroča esamība pati par sevi nerada tiesisko pamatu sprāgstvielu un spridzināšanas ietaišu izmantošanai, tas ir izvērtējams, ņemot vērā galējo nepieciešamību, proti, samērīgumu un proporcionalitāti.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Tieslietu ministrija norāda, ka paredzētā 13.</w:t>
            </w:r>
            <w:r w:rsidR="00000000" w:rsidRPr="00000000" w:rsidDel="00000000">
              <w:rPr>
                <w:vertAlign w:val="superscript"/>
                <w:rtl w:val="0"/>
              </w:rPr>
              <w:t xml:space="preserve">1</w:t>
            </w:r>
            <w:r w:rsidR="00000000" w:rsidRPr="00000000" w:rsidDel="00000000">
              <w:rPr>
                <w:rtl w:val="0"/>
              </w:rPr>
              <w:t xml:space="preserve"> panta otrās daļas 3. punktā noteiktais, ka sprāgstvielas un spridzināšanas ietaises var tikt izmantotas personu aizturēšanā, ir izslēdzams, jo tā ir procesuāla darbība, turklāt, smaga nozieguma norāde atbilstoši to klasifikācijai ne vienmēr norāda uz personas sabiedrisko bīstamību.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norāda, ka sprāgstvielu un spridzināšanas ietaišu izmantošana nenozīmē vienīgi tiešu iedarbību uz dzīvu būtni, jo, galvenokārt, aizturēšanas gadījumā tas nav uzskatāms par samērību. Sprāgstvielu un spridzināšanas ietaišu izmantošana uz dzīvu būtni varētu būtu attaisnoja vienīgi īpaši bīstamās situācijās, kā minēts anotācijā, piemēram, uz teroristiem ar suicīda jostām, kad rodas būtisks apdraudējums sabiedrībai. Veicot personu vai personu grupu aizturēšanu par smaga vai sevišķi smaga nozieguma gatavošanu, izdarīšanu vai šādu noziegumu izdarīšanas laikā, sprāgstvielas un spridzināšanas ietaises tiktu izmantotas aizturēšanas nodrošināšanai, iedarbojoties uz objektiem. Turklāt, izvērtējot potenciālos draudus, ko rada aizturamā persona, un izvērtējot, vai tos nevar novērst ar mazāk ekstrēmiem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Smagi un sevišķi smagi noziegumi apdraud tiesiskumu un var radīt sekas, kurās cilvēki zaudē uzticību tiesu sistēmai un valsts spējai nodrošināt taisnīgumu, tāpat, ja tie netiek pienācīgi novērsti, tie var veicināt noziedzīgās darbības izplatīšanos un radīt recidīvisma risku. Smagi un sevišķi smagi noziedzīgi nodarījumi ir bīstami sabiedrībai, jo tie rada tiešu apdraudējumu cilvēku dzīvībām, veselībai, īpašumam un sabiedriskajai kārtībai. Šādi noziegumi rada plašu negatīvu ietekmi, tostarp sabiedrības psiholoģisko drošību, ekonomisko stabilitāti un uzticību valsts tiesiskajām institūcijām. Tāpēc ir būtiski, lai valsts efektīvi novērstu un cīnītos pret šādiem noziegumiem, aizsargājot indivīdu un sabiedrības intereses un nodrošinot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piemēram, Lietuvas Republikas policijas likumā tiesības izmantot sprāgstvielas tiek noteiktas vienā tiesību normā ar šaujamieroču izmantošanu, turklāt, attiecībā uz aizturēšanas situācijām vispār netiek izdalīta veiktā noziedzīgā nodarījuma kvalifikācija, vien paredzot, ka ir tiesības izmantot sprāgstvielas, aizturot personu, kura varētu būt izdarījusi noziedzīgu darbību, ja pastāv nenovēršami draudi amatpersonai vai citas personas dzīvībai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jāizstrādā pietiekami savlaicīgi arī Latvijas Republikā un tā, lai krīzes situācijās valstī būtu darboties spējīgs rīcības mehānisms, jo šādos apstākļos tiesībaizsardzības iestādēm ir jābūt iespējai reaģēt nekavējoties un ar efektīviem līdzekļiem, lai aizsargātu sabiedrības drošību un stabilitāti. Novēlota rīcība var izraisīt būtiskas sekas sabiedrības drošībai. Tas izriet no nepieciešamības efektīvi pārvaldīt krīzes un ārkārtas situācijas, piemēram, teroristu uzbrukumus vai militārus konfliktus, kas prasa tūlītēju un efektīvu valsts rīcību. Turklāt, krīzes situācijas parasti ir neprognozējamas un var mainīties ātri, tāpēc tiesību aktiem jābūt izstrādātiem tā, lai tie būtu elastīgi un pielāgojami rīcībai konkrētā situācijā.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pildot attiecīgus uzdevumus,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taktiskās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iekļūtu objektos, kuros tiek veiktas personas dzīvību vai veselību apdraudošas darbības vai likumpārkāpumi, kā arī nolūkā aizturēt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13.1panta otrās daļas 1. un 3.punkts paredz policijas darbiniekiem tiesības izmantot sprāgstvielas un spridzināšanas ietaises, lai iekļūtu un ieņemtu objektus. Vienlaikus Ministru kabineta 2011.gada 18.janvāra noteikumu Nr.55 “Noteikumi par speciālo līdzekļu veidiem un to lietošanas kārtību” (Noteikumi Nr.55) 2.18. un 2.19. punkts jau pašlaik paredz iespēju policijas darbiniekiem lietot speciālos līdzekļus telpu atvēršanai un šķēršļu sagraušanai.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datu par minēto speciālo līdzekļu neefektivitāti, vai šķēršļiem šo jēdzienu tvērumu attiecināt arī uz sprāgstvielām un spridzināšanas ietaisēm. Proti, sprāgstvielas varētu būt viens no telpu atvēršanas un šķēršļu sagraušanas līdzekļu veidiem, kurus atbilstoši likuma “Par policiju” 13.panta ceturtās daļas nosacījumiem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Vairums no Noteikumu Nr.55 2.punktā uzskaitīto speciālo līdzekļu (piemēram, redzi/kustību ierobežojošus līdzekļus, dūmu sveces, dūmu granātas, gāzes granātas, gaismas un trokšņa granātas, gumijas lādiņu granātas) ir paredzēti tieši speciālo uzdevu vienību uzdevumu veikšanai. Turklāt divi no četriem paredzētajiem sprāgstvielu un spridzināšanas ietaišu izmantošanas mērķiem ir identiski likuma “Par policiju” 13.panta pirmajā daļā jau noteiktajiem iemesliem policijas darbiniekam pielietot speciālo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13.1panta otrās daļas 2.punkts paredz, ka sprāgstvielas varēs tikt izmantotas, lai atvairītu uzbrukumu iestādēm, privāto tiesību juridiskajām personām un personu apvienībām, policijas darbiniekiem un citām personām. Likumprojekta anotācijā norādīts, ka Valsts policijas speciālajām intervences vienībām, kuru pienākumos ietilpst bruņotu un sevišķi bīstamu noziedznieku aizturēšana un šo personu ieņemtu objektu atbrīvošana, ķīlnieku un nolaupīto personu atbrīvošana, nav noteiktas tiesības izmantot sprāgstvielas un spridzināšanas ietaises. Tomēr anotācijā nav datu par iestādēm un privāto tiesību juridiskām personām, kuru apsardze vai aizsardzība būtu šo intervences vienību funkciju vai uzdevumu lokā.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13.1panta otrās daļas 5.punkts paredz policijas darbiniekiem tiesības iznīcināt sprāgstvielas vai spridzināšanas ietaises. Vienlaikus Nacionālo bruņoto spēku likuma 6.1panta pirmās daļas 3.punkts paredz, ka NBS iznīcina sprādzienbīstamus priekšmetus un veic spridzināšanas darbus. Arī Zemessardzes likuma 3.pantā noteikts Zemessardzes uzdevums iznīcināt sprādzienbīstamus priekšmetus un veikt spridzināšanas darbus. Likumprojekta anotācijā nav datu par problēmām esošajā sprāgstvielu un sprādzienbīstamu priekšmetu iznīcināšanas kārtībā, kā arī nav minēti apsvērumi šīs funkcijas nepieciešamību vēl vienai institūcijai. Turklāt sprāgstvielu un sprādzienbīstamu priekšmetu iznīcināšanas vietas atbilstošai (drošai) ierīkošanai un aprīkošanai visdrīzāk būs nepieciešams arī iestādes resursu ieguldījums un darbinieku apmācība.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nepastāv noteikts iedalījums vai saraksts ar iestādēm un privāto tiesību juridiskām personām, kuru apsardze vai aizsardzība būtu Valsts policijas speciālās intervences vienību funkciju vai uzdevumu lokā. Valsts policijas pienākums saskaņā ar likuma "Par policiju" 1.pantu ir aizsargāt personu dzīvību, veselību, tiesības un brīvības, īpašumu, sabiedrības un valsts intereses no noziedzīgiem un citiem prettiesiskiem apdraudējumiem, un saskaņā ar 3.panta pirmo daļu policijas uzdevumi ir garantēt personu un sabiedrības drošību; novērst noziedzīgus nodarījumus un citus likumpārkāpumus; atklāt noziedzīgus nodarījumus, meklēt personas, kas izdarījušas noziedzīgus nodarījumus; likumā paredzētajā kārtībā sniegt palīdzību iestādēm, privātpersonām un personu apvienībām to tiesību aizsardzībā un ar likumu noteikto pienākumu realizācijā; savas kompetences ietvaros izpildīt administratīvos sodus un kriminālsodus. No kā izriet, ka Valsts policijas speciālās intervences vienības sniedz palīdzību visām iestādēm un privāto tiesību juridiskām personām, kurām atbilstoši esošajam apdraudējumam ir nepieciešama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pildot attiecīgus uzdevumus,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taktiskās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iekļūtu objektos, kuros tiek veiktas personas dzīvību vai veselību apdraudošas darbības vai likumpārkāpumi, kā arī nolūkā aizturēt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likuma  regulējuma papildināšanu ar 13.</w:t>
            </w:r>
            <w:r w:rsidR="00000000" w:rsidRPr="00000000" w:rsidDel="00000000">
              <w:rPr>
                <w:vertAlign w:val="superscript"/>
                <w:rtl w:val="0"/>
              </w:rPr>
              <w:t xml:space="preserve">1</w:t>
            </w:r>
            <w:r w:rsidR="00000000" w:rsidRPr="00000000" w:rsidDel="00000000">
              <w:rPr>
                <w:rtl w:val="0"/>
              </w:rPr>
              <w:t xml:space="preserve"> pantu par policijas darbinieka tiesībām dienesta pienākumu izpildes procesā izmantot sprāgstvielas un spridzināšanas ietaises. Tieslietu ministrija šādu iespējamo regulējumu interpretē kā tiešu Latvijas Republikas Satversmes 93. un 95. panta, kas paredz cilvēka dzīvības aizsardzību un cietsirdīgas izturēšanās pret cilvēku aizliegumu, pārkāpumu, jo sprāgstvielām un arī spridzināšanas ietaisēm dažāda veida kaitējuma nodarīšanā ir nekontrolēta darbība. Tādējādi Tieslietu ministrija nepiekrīt viedoklim, ka sprāgstvielas un spridzināšanas ietaises pieļaujams izmantot Valsts policijā, kas ir civila valsts pārvaldes institūcija, kurai viens no galvenajiem uzdevumiem ir sabiedriskās kārtības nodrošināšana, tai skaitā cilvēka tiesību ievērošana. Papildus vēlamies norādīt, ka projekta anotācijā netiek skaidrots par iespējamo Valsts policijā izmantojamo sprāgstvielu un spridzināšanas ietaišu klasifikāciju, proti, tiek paredzēts izmantot militāras vai civilas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nevar piekrist projekta anotācijā norādītajam par sprāgstvielu un spridzināšanas ietaišu izmantošanas iespējām Valsts policijas speciālās intervences vienībās, pieļaujot “tiesības izmantot sprāgstvielas un spridzināšanas ietaises taktiskās nepieciešamības situācijā, galējo nepieciešamību aizstājot ar taktisko nepieciešamību, jo sprāgstvielu un spridzināšanas ietaišu izmantošanas mērķis var būt starpiedarbība, piemēram, iekļūšana telpā vai nocietinājuma likvidēšana, lai efektīvāk izmantotu speciālos līdzekļus vai pielietotu šaujamieroci”. Tieslietu ministrija var saprast šādu darbību pieļaujamību kara darbības apstākļos, bet tas nav pieļaujami demokrātiskā un tiesiskā valstī, kurā nav izsludināts izņēmuma stāvoklis vai karš. Saistībā ar projekta anotācijā minēto par terorisma draudiem un ķīlnieku sagrābšanu vēlamies norādīt, ka spilgts negatīvs piemērs sprāgstvielu un spridzināšanas ietaišu izmantošanai no valsts institūciju puses ir ķīlnieku saņemšana Beslanas (Krievija) skolā 2004. gada 1. septembrī, kad ķīlnieku “atbrīvošanas” procesā bojā gāja 334 cilvēki, no kuriem 186 bija bērni. Par minēto gadījumu ir Eiropas Cilvēktiesību tiesas 2017.gada 13. aprīļa spriedums lietā Nr.26562/07 “Tagajeva un citi pret Krieviju”, ar kuru tika noteikts, ka ar savu darbību Krievijas valsts ar letālā spēka izmantošanu no drošības spēku puses ir pārkāpusi Eiropas Cilvēktiesību konvencijas 2. pantu, kas garantē personām tiesības uz dzīvību. Ievērojot šajā spriedumā minētos apstākļus, nevar uzskatīt, ka sprāgstvielu un spridzināšanas ietaišu izmantošana varētu būt efektīvs un cilvēktiesības ievērojošs un cilvēkus saudzējošs līdzeklis dažādu krīžu novēršanai. Nobeigumā vēlamies norādīt, ka nocietinājumu likvidēšanai, iekļūšanai telpās vai personu fiziskai ierobežošanai ir paredzēti dažādi līdzekļi, kas arī pēc darbības principiem var būt līdzīgi spridzināšanas ietaisēm, bet tiek kvalificēti kā speciālie līdzekļi. Šādu ietaišu izmantošanai likuma grozījumi nav vajadzīgi.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demokrātiskā sabiedrībā tiek ievērotas cilvēka pamattiesības un brīvības, kuras valsts atzīst par vērtību un aizsargā. Latvijas Republikas Satversmes 93. pants nosaka, ka ikviena tiesības uz dzīvību nosaka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Cilvēka tiesību un pamatbrīvību aizsardzības konvencijas (turpmāk – Konvencija) 2. pants noteic, ka ikviena tiesības uz dzīvību aizsargā likums. Latvijas Republikas Satversmes tiesa ir atzinusi, ka Latvijas Republikas Satversmes 93. pantā noteiktās tiesības nav interpretējamas plašākā tvērumā, nekā to prasa Konvencija, kā arī pēc iespējas šauri ir interpretējami arī pieļaujamie šo tiesību ierobežojumi (sk. Latvijas Republikas Satversmes tiesas 2010. gada 7. janvāra sprieduma lietā Nr. 2009-12-03 15.2. apakšpunktu). Tādējādi Latvijas Republikas Satversmes 93. pantā paredzētās tiesības var ierobežot tikai Konvencijas 2. pantā paredzētajos gadījumos. Līdz ar to, norādāms, ka saskaņā ar Konvencijas 2. panta 2. punktu dzīvības atņemšana netiek uzskatīta par šī panta nosacījumu pārkāpumu, ja tā notiek spēka pielietošanas rezultātā, nepārsniedzot galējas nepieciešamības robežas: aizstāvot jebkuru personu pret nelikumīgu vardarbību; lai veiktu likumīgu arestu vai aizkavētu likumīgi arestētas personas izbēgšanu; kā arī veicot likumīgas darbības ar nolūku savaldīt dumpi vai sacelšanos.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zinātniskajā literatūrā norādīts, ka tiesības uz dzīvību netiks uzskatītas par pārkāptām tikai tādā gadījumā, ja dzīvības atņemšana bija vienīgais iespējamais līdzeklis, kā novērst lielāku ļaunumu viena no Konvencijas 2. panta otrajā daļā minētajiem mērķiem sasniegšanai (</w:t>
            </w:r>
            <w:r w:rsidR="00000000" w:rsidRPr="00000000" w:rsidDel="00000000">
              <w:rPr>
                <w:i w:val="1"/>
                <w:rtl w:val="0"/>
              </w:rPr>
              <w:t xml:space="preserve">Cilvēktiesības pasaulē un Latvijā. Autoru kolektīvs I. Ziemeles zinātniskajā redakcijā; SIA "Izglītības soļi", Rīga, 2000; 71.lpp</w:t>
            </w:r>
            <w:r w:rsidR="00000000" w:rsidRPr="00000000" w:rsidDel="00000000">
              <w:rPr>
                <w:rtl w:val="0"/>
              </w:rPr>
              <w:t xml:space="preserve">). Turklāt, ANO Cilvēktiesību komiteja, komentējot tiesību saturu Starptautiskā pakta par pilsoniskajām un politiskajām tiesībām 6. panta kontekstā, secināja, ka valstim ir jānovērš patvaļīga dzīvības atņemšana, jāsoda par to vainīgie, jāveic attiecīgi pasākumi, lai pienācīgi tiktu izmeklēti šādi gadījumi, un valstīm būtu jāsper visi iespējamie soļi, lai samazinātu jaundzimušo mirstību un pagarinātu dzīves ilgumu</w:t>
            </w:r>
            <w:r w:rsidR="00000000" w:rsidRPr="00000000" w:rsidDel="00000000">
              <w:rPr>
                <w:i w:val="1"/>
                <w:rtl w:val="0"/>
              </w:rPr>
              <w:t xml:space="preserve"> (ANO Cilvēktiesību komitejas Vispārējais komentārs Nr.6 // ANO dokuments A/37/40. - 1982. - 3. - 5. par.</w:t>
            </w:r>
            <w:r w:rsidR="00000000" w:rsidRPr="00000000" w:rsidDel="00000000">
              <w:rPr>
                <w:rtl w:val="0"/>
              </w:rPr>
              <w:t xml:space="preserve">)., tādā veidā uzliekot valstij pozitīvu pienākumu tiesību uz dzīvību aizsardzības jomā - aizsargāt personu tiesības uz dzīvību, novēršot dzīvībai un veselībai radīto apdraudējumu, jeb, veicot likumā "Par policiju"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lai panāktu cilvēktiesību ievērošanu, likumprojekta 2. pantā paredzētā 13.</w:t>
            </w:r>
            <w:r w:rsidR="00000000" w:rsidRPr="00000000" w:rsidDel="00000000">
              <w:rPr>
                <w:vertAlign w:val="superscript"/>
                <w:rtl w:val="0"/>
              </w:rPr>
              <w:t xml:space="preserve">1</w:t>
            </w:r>
            <w:r w:rsidR="00000000" w:rsidRPr="00000000" w:rsidDel="00000000">
              <w:rPr>
                <w:rtl w:val="0"/>
              </w:rPr>
              <w:t xml:space="preserve"> panta ceturtajā daļā tiek noteikts, ka sprāgstvielu un spridzināšanas ietaišu izmantošanai jābūt nepieciešamai un samērīgai, maksimāli ierobežojot to nodarīto kaitējumu, kā arī paredzēta to izmantošana galējās nepieciešamības situācijā. Tādā veidā nosakot pienākumu īpaši stingri un atbildīgi izvērtēt katru situāciju individuāli, vērtējot sprāgstvielu izmantošanas nepieciešamību, proti, vai konkrētās situācijas raksturs rada nepieciešamību bīstamības novēršanai no visiem pieejamajiem līdzekļiem un ieročiem izmantot tieši sprāgstvielas un spridzināšanas ietaises, vai iegūstamais rezultāts ar iespējamo kaitējumu veido pietiekamu savstarpējo samērību.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situācija Eiropas Savienībā (turpmāk - ES) saistībā ar sevišķi bīstamu noziedznieku veiktajiem uzbrukumiem rada nopietnus draudus sabiedrībai kopumā. Eiropola 2021. gada ziņojumā "Smagās un organizētās noziedzības draudu novērtējums" (SOCTA) (https://www.europol.europa.eu/publications-events/main-reports) tiek norādīts, ka vardarbīgu incidentu draudi ir palielinājušies, bieži lietojot šaujamieročus vai sprāgstvielas sabiedriskās vietās. Turklāt 2023. gada ziņojumā par terorisma situāciju un tendencēm Eiropas Savienībā (TE-SAT) (https://www.europol.europa.eu/publications-events/main-reports) atspoguļota informācija, ka terorisms 2022. gadā joprojām bija nopietns apdraudējums ES dalībvalstīm. ES ir reģistrēti 28 veikti, nesekmīgi vai izjaukti uzbrukumi. Īstenoti tika 16 uzbrukumi, un no tiem lielākā daļa tika attiecināti uz kreisā spārna un anarhistu terorismu (13), divi uz džihādistu  terorismu un viens – uz labējā spārna terorismu. ES dalībvalstu tiesībaizsardzības iestādes 2022. gadā arestēja 380 personas par noziedzīgiem nodarījumiem, kas bija saistīti ar terorismu. Lielākā daļa kreisā spārna teroristu uzbrukumu tika veikti, izmantojot improvizētas aizdedzināšanas ierīces (IID), degšanas paātrinātājus un improvizētas sprāgstvielas (IED). Turklāt, kreisā spārna un anarhistu ekstrēmistu vardarbīgo uzbrukumu galvenais mērķis 2022. gadā bija policijas darbinieki. Vardarbība izpaudās kā tīši un mērķtiecīgi uzbrukumi tiesībaizsardzības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iestādēm gan dienesta pienākumu izpildes laikā, gan ārpus tā, tostarp uzbrukumi privātiem transportlīdzekļiem un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saskaņā ar Eiropola datiem teroristu uzbrukumi Latvijā 2020.–2022. gads nav konstatēti, tomēr, lai Valsts policija spētu pildīt normatīvajos aktos noteiktos pienākumus, tās speciālo intervenču vienību rīcībā jābūt atbilstošam bruņojumam, ņemot vērā efektivitātes ieguvumu, tajā skaitā arī sprāgstvielām un spridzināšanas ietaisēm.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minētajā spriedumā (Eiropas Cilvēktiesību tiesas 2017.gada 13. aprīļa spriedums lietā Nr.26562/07 “Tagajeva un citi pret Krieviju”), ar kuru tika noteikts, ka ar savu darbību Krievijas valsts ar letālā spēka izmantošanu no drošības spēku puses ir pārkāpusi Eiropas Cilvēktiesību konvencijas 2. pantu, kas garantē personām tiesības uz dzīvību, netika vērtēts jautājums, vai vispārīgi tiesībaizsardzības iestāžu rīcībā ir jābūt sprāgstvielām un spridzināšanas ietaisēm, konkretizējot bruņojuma atbilstību vai nepieciešamību, bet gan to izmantošanas veids un samērība. Tāpat attiecīgajā spriedumā norādīts, ka, vērtējot nāves cēloņus, konstatēts, ka 159 no 333 līķiem bija apdegumi, lai gan vairumā gadījumu eksperti norādīja, ka apdegumi, visticamāk, radušies pēc nāves. Nesamērīgi liels upuru skaits ir miris no šautām brūcēm – 44 civiliedzīvotāji, tostarp 11 sievietes un 9 bērni, bet tikai 7 no 11 karavīriem bija miruši no šautām brūcēm.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Draudus cilvēka dzīvībai vai veselībai var radīt ne tikai sprāgstvielas un spridzināšanas ierīces, bet arī fiziska spēka iedarbība, speciālie līdzekļi, speciālie transportlīdzekļi, dienesta suņi un zirgi, turklāt, to lietošanas rezultātā tāpat var iestāties cilvēka nāve. Svarīgi ir saprast, ka ne visām policijas amatpersonām dienesta pienākumu pildīšanai tiks izsniegtas sprāgstvielas un spridzināšanas ietaises, bet vienīgi speciālās intervences vienību nodarbinātajiem, turklāt, individuāli izvērtējot katru situāciju un esošos apstākļus, proporcionāli vērtējot ieguvumu pret iespējamo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drošības viedokļa anotācija nebūtu papildināma ar Valsts policijā izmantojamo sprāgstvielu un spridzināšanas ietaišu klasifikāciju, jo informācija par militāro vai civilo sprāgstvielu bruņojuma apjomu, sastāvu var radīt draudus pretdarbības virzienā.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pildot attiecīgus uzdevumus,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ar jaunu 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paredzēto grozījumus likuma 14. pantā nepieciešams precizēt atbilstoši projektā paredzētajam grozījumam likuma 13. pantā. Vienlaikus piedāvājam projektā paredzēt likuma 14. panta sestās daļas izteikšanu jaunā redakcijā ar korektu šīs daļas punktu numerāciju, jo šobrīd šīs daļas punkti likumi.lv pieejamajā redakcijā nav numurēti.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panta sestā daļa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trešo daļu ar jaunu 6.</w:t>
            </w:r>
            <w:r w:rsidR="00000000" w:rsidRPr="00000000" w:rsidDel="00000000">
              <w:rPr>
                <w:vertAlign w:val="superscript"/>
                <w:rtl w:val="0"/>
              </w:rPr>
              <w:t xml:space="preserve">1</w:t>
            </w:r>
            <w:r w:rsidR="00000000" w:rsidRPr="00000000" w:rsidDel="00000000">
              <w:rPr>
                <w:rtl w:val="0"/>
              </w:rPr>
              <w:t xml:space="preserve">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nepietiekami skaidri definē, kurām Valsts policijas (turpmāk - VP) struktūrām būs pieeja iepriekšminētajiem līdzekļiem. Atsaucoties uz speciālās intervences vienībām, tiek likts noprast, ka tā būtu VP pretterorisma vienība OMEGA, bet tas nav pārliecinoši atrunāts. Lūdzam Iekšlietu ministriju precizēt, kurām VP struktūrvienībām tiek plānota apmācība un dienesta uzdevumu izpildes ietvaros pieeja “sprāgstvielām un spridzināšanas ietaisēm”.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trūkst informācijas par apmācības kārtību un sprāgstvielu un spridzināšanas ietaišu uzglabāšanas kārtību. Piemēram, Nacionālajos bruņotajos spēkos dažāda veida sprāgstvielām ir paredzēta speciāla un pielāgota uzglabāšanas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anotācijā izvērsti atrunāt kārtību, kādā VP darbinieki tiks apmācīti sprāgstvielu un spridzināšanas ietaišu lietošanā, un kāda būs iepriekšminēto vielu un iekārtu uzglabāšanas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nav nepārprotami definēts, kas tiek saprasts ar jēdzienu “sprāgstvielas un spridzināšanas ietaises”. Tiek izdarīta atsauce uz Civilām vajadzībām paredzētu sprāgstvielu likuma 1. panta 6. un 7. punktu, (3. lpp.) bet likumā ietvertā definīcija ietver visu klasisko sprāgstvielu spektru. Atsevišķos anotācijas punktos vēl tiek pieminēti granātmetēji.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konkrēti un saprotami atrunāt kādas sprāgstvielas un spridzināšanas ietaises VP būtu nepieciešamas, pamatojot to ar konkrētu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2.punktā norādīts, ka citu valstu speciālo uzdevumu vienību bruņojumā ir sprāgstvielas un spridzināšanas ietaises. Tomēr, izņemot šo apsvērumu un normatīvo aktu bāzes trūkumu, anotācijā nav datu par mērķiem vai uzdevumiem, kuru sasniegšana vai izpilde policijas intervences vienībām ir nesamērīgi apgrūtināta vai neiespējama ar Noteikumu Nr.55 2.punktā sarakstā jau esošajiem speciāliem līdzekļiem. Turklāt vairāki no uzskaitītiem speciāliem līdzekļiem satur sprāgstvielu (Noteikumu Nr.55 2.13-2.16.punkti - granātas), vai arī jau tiek izmantoti Likumprojekta 13.1panta otrās daļas 5.punktā paredzētiem vai līdzīgiem mērķiem (Noteikumu Nr.55 2.21.punkts - improvizētu sprāgstierīču neitralizēšanas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notvertu, nosēdinātu vai iznīcinātu tālvadības vai autonomas vadības ierīci, nodarot tai bojājumus, ja tā tiek izmantota, pārkāpjot normatīvo aktu prasības, vai arī ir pamats uzskatīt, ka tā tiek izmantota noziedzīga nodarījuma izdarīšanā.”;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tiesību normas -"pārkāpjot normatīvo aktu prasības"  tvērums ir pārāk plašs un neskaidrs. Nepieciešams uzskaitīt konkrētus gadījumus, kad tiek notverta, nosēdināta vai iznīcināta tālvadības vai autonomas vadības ierīce, nodarot tai bojājumus. Konkrēts gadījumu uzskaitījums ir nepieciešams, lai tiesību normas piemērotājam un tiesību subjektam būtu skaidri zināmi un saprotami tiesiskie pienākumi un tiesības. Piedāvājam vārdus "pārkāpjot normatīvo aktu prasības" aizstāt ar vārdiem "ja apdraudēta sabiedriskā kārtība un valsts drošība vai tās intereses", vai arī tiesību normā skaidri nodalīt gadījumus, kad tālvadības vadības ierīce tiek notverta un nosēdināta, un gadījumus, kad minētā ierīce tiek iznīcināta.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normai nav jābūt pārlieku detalizētai, tomēr ir jābūt precīzai pietiekamā apmērā un vienlaikus visaptverošai, lai tā varētu aptvert dažādas situācijas un nodrošināt skaidrību tiesību piemērošanā. Valsts policijas ieskatā, piedāvātā normas redakcija atbilstoši norāda iespējamās situācijas, kad var rasties nepieciešamība notvert, nosēdināt vai iznīcināt tālvadības vai autonomas vadības ierīci, nodarot tai bojājumus.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notvertu, nosēdinātu vai iznīcinātu tālvadības vai autonomas vadības ierīci, nodarot tai bojājumus, ja tā tiek izmantota, pārkāpjot normatīvo aktu prasības, vai arī ir pamats uzskatīt, ka tā tiek izmantota noziedzīga nodarījuma izdarīšanā.”;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spridzināšanas ietaises izmantošana ir izslēgta no normas. Tas ir, no Civilām vajadzībām paredzētu sprāgstvielu aprites likuma 1.pirmā panta 7. punkta izriet, ka  spridzināšanas ietaise ir līdzeklis, kas nodrošina sprādzienu noteiktā vietā un laikā vai konkrētas iedarbības rezultātā (uzspridzināšanas līdzekļi un palaišanas ierīces — detonatori). Līdz ar to arī spridzināšanas ietaišu izmantošana ir uzskatāma mērķtiecīgu iedarbību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pildot attiecīgus uzdevumus,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“..Ar norādīto vienlaikus tiek panākts mērķis maksimāli novērst prettiesisku vai nesamērīgu sprāgstvielu vai spridzināšanas ietaišu izmantošanu, jo vienīgi Valsts policijas speciālās intervences vienību nodarbinātajiem dienesta vajadzībām lietošanai tiks izsniegtas sprāgstvielas un spridzināšanas ietaises…” Tā kā šī norma ir speciāla norma, ierosinām sašaurināt to policijas darbinieku loku, kuriem ir tiesības izmantot sprāgstvielas un spridzināšanas ietaises. Ierosinām izteikt šo pantu šādā redakcijā: “13.</w:t>
            </w:r>
            <w:r w:rsidR="00000000" w:rsidRPr="00000000" w:rsidDel="00000000">
              <w:rPr>
                <w:vertAlign w:val="superscript"/>
                <w:rtl w:val="0"/>
              </w:rPr>
              <w:t xml:space="preserve">1</w:t>
            </w:r>
            <w:r w:rsidR="00000000" w:rsidRPr="00000000" w:rsidDel="00000000">
              <w:rPr>
                <w:rtl w:val="0"/>
              </w:rPr>
              <w:t xml:space="preserve"> pants Valsts policijas speciālās intervences vienības policista tiesības izmantot sprāgstvielas un spridzināšanas ietaises”. Jo mērķis nav noteikt jebkuram Valsts policijas darbiniekam šādu tiesību.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juridiskajai tehnikai normatīvā akta projekts jāizstrādā ar mērķi sekmēt izvairīšanos no normatīvo aktu grozīšanas. Sprāgstvielu un spridzināšanas ietaišu izmantošana Valsts policijā šobrīd tiek plānota pretterorisma vienībā "Omega", taču apdraudējuma paaugstināšanās un ģeopolitiskās situācijas dēļ nav iespējams paredzēt turpmāku nepieciešamību veidot jaunas struktūrvienības vai piešķirt tiesības sprāgstvielu un spridzināšanas ietaišu izmantošanā citām Valsts policijas amatpersonām. Tieši tāpēc ar likumprojektu tiek noteikts, ka minētās tiesības piemītīs vienīgi tiem policijas darbiniekiem, kuriem sprāgstvielas un spridzināšanas ietaises tiks izsniegtas lietošanai dienesta vajadzībām, izvērtējot plānotās veicamās darbības un drošības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pildot attiecīgus uzdevumus,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notvertu, nosēdinātu vai iznīcinātu tālvadības vai autonomas vadības ierīci, nodarot tai bojājumus, ja tā tiek izmantota, pārkāpjot normatīvo aktu prasības, vai arī ir pamats uzskatīt, ka tā tiek izmantota noziedzīga nodarījuma izdarīšanā;”;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tiesību normas -"pārkāpjot normatīvo aktu prasības"  tvērums ir pārāk plašs un neskaidrs. Nepieciešams uzskaitīt konkrētus gadījumus, kad tiek notverta, nosēdināta vai iznīcināta tālvadības vai autonomas vadības ierīce, nodarot tai bojājumus. Konkrēts gadījumu uzskaitījums ir nepieciešams, lai tiesību normas piemērotājam un tiesību subjektam būtu skaidri zināmi un saprotami tiesiskie pienākumi un tiesības. Piedāvājam vārdus "pārkāpjot normatīvo aktu prasības" aizstāt ar vārdiem "ja apdraudēta sabiedriskā kārtība un valsts drošība vai tās intereses", vai arī tiesību normā skaidri nodalīt gadījumus, kad tālvadības vadības ierīce tiek notverta un nosēdināta, un gadījumus, kad minētā ierīce tiek iznīcināta.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tiesību normai nav jābūt pārlieku detalizētai, tomēr ir jābūt precīzai pietiekamā apmērā un vienlaikus visaptverošai, lai tā varētu aptvert dažādas situācijas un nodrošināt skaidrību tiesību piemērošanā. Valsts policijas ieskatā, piedāvātā normas redakcija atbilstoši norāda iespējamās situācijas, kad var rasties nepieciešamība notvert, nosēdināt vai iznīcināt tālvadības vai autonomas vadības ierīci, nodarot tai bojājumus.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notvertu, nosēdinātu vai iznīcinātu tālvadības vai autonomas vadības ierīci, nodarot tai bojājumus, ja tā tiek izmantota, pārkāpjot normatīvo aktu prasības, vai arī ir pamats uzskatīt, ka tā tiek izmantota noziedzīga nodarījuma izdarīšanā;”;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- 06.03.2024.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“Nacionālajiem bruņotajiem spēkiem normatīvajā regulējumā ir noteiktas tiesības bezpilota ierīču apdraudējuma novēršanai, taču jāņem vērā, ka tās paredzētas, lai novērstu apdraudējumus militārajā objektā, karakuģa tuvumā vai personām vai objektiem, kuru apsardzi saskaņā ar likumu veic Militārā policija, no kā izriet, ka personu un sabiedrības apdraudējuma novēršana visā Latvijas Republikas teritorijā ietilpst Valsts policijas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ieskatā anotācijā Valsts policijas (turpmāk - VP) pārstāvjiem ir izvērsti jāatrunā, kādās teritorijās (piemēram kritiskās infrastruktūras objekti, kuros apsardzi nodrošina VP) veic bezpilota ierīču apdraudējuma novēršanu. Vienlaikus ierosinām atrunāt, ka VP to dara atbilstoši VP spējām un resursiem, jo visdrīzāk grozījumi neiekļauj VP kompetencē novērst apdraudējumu no stratēģiska līmeņa izlūkošanas droniem. Papildus vēršam uzmanību, ka Militārās policijas kompetencē ietilpst teritoriju, kas nav militārie objekti, apsardze, piemēram, Aizsardzības ministrija un Prezidenta 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23-TA-1189</w:t>
    </w:r>
    <w:r>
      <w:br/>
    </w:r>
    <w:r w:rsidR="00000000" w:rsidRPr="00000000" w:rsidDel="00000000">
      <w:rPr>
        <w:rtl w:val="0"/>
      </w:rPr>
      <w:t xml:space="preserve">20.11.2024. 20.42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23-TA-1189</w:t>
    </w:r>
    <w:r>
      <w:br/>
    </w:r>
    <w:r w:rsidR="00000000" w:rsidRPr="00000000" w:rsidDel="00000000">
      <w:rPr>
        <w:rtl w:val="0"/>
      </w:rPr>
      <w:t xml:space="preserve">20.11.2024. 20.42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Izziņa_23-TA-1189.docx</dc:title>
</cp:coreProperties>
</file>

<file path=docProps/custom.xml><?xml version="1.0" encoding="utf-8"?>
<Properties xmlns="http://schemas.openxmlformats.org/officeDocument/2006/custom-properties" xmlns:vt="http://schemas.openxmlformats.org/officeDocument/2006/docPropsVTypes"/>
</file>