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130DA" w14:textId="5713B169" w:rsidR="004B1E93" w:rsidRDefault="004B1E93" w:rsidP="00B64C6F"/>
    <w:p w14:paraId="2989DEB7" w14:textId="4ACC065F" w:rsidR="00406927" w:rsidRDefault="00406927" w:rsidP="00B64C6F"/>
    <w:p w14:paraId="101D5211" w14:textId="4FE20AB3" w:rsidR="00406927" w:rsidRDefault="00406927" w:rsidP="00B64C6F"/>
    <w:p w14:paraId="2DC15B88" w14:textId="6DE13676" w:rsidR="00406927" w:rsidRDefault="00406927" w:rsidP="00B64C6F"/>
    <w:p w14:paraId="7163009C" w14:textId="1E06CED6" w:rsidR="00AF34A6" w:rsidRDefault="00CA10DC" w:rsidP="00CA10DC">
      <w:pPr>
        <w:spacing w:after="0" w:line="240" w:lineRule="auto"/>
        <w:rPr>
          <w:rFonts w:ascii="Book Antiqua" w:hAnsi="Book Antiqua" w:cs="Times New Roman"/>
          <w:bCs/>
          <w:color w:val="000000" w:themeColor="text1"/>
        </w:rPr>
      </w:pPr>
      <w:r w:rsidRPr="009A6D16">
        <w:rPr>
          <w:rFonts w:ascii="Book Antiqua" w:hAnsi="Book Antiqua" w:cs="Times New Roman"/>
          <w:bCs/>
          <w:color w:val="000000" w:themeColor="text1"/>
        </w:rPr>
        <w:t>Rīgā</w:t>
      </w:r>
      <w:r w:rsidR="00AF34A6">
        <w:rPr>
          <w:rFonts w:ascii="Book Antiqua" w:hAnsi="Book Antiqua" w:cs="Times New Roman"/>
          <w:bCs/>
          <w:color w:val="000000" w:themeColor="text1"/>
        </w:rPr>
        <w:t xml:space="preserve">, </w:t>
      </w:r>
      <w:r w:rsidR="00046355">
        <w:rPr>
          <w:rFonts w:ascii="Book Antiqua" w:hAnsi="Book Antiqua" w:cs="Times New Roman"/>
          <w:bCs/>
          <w:color w:val="000000" w:themeColor="text1"/>
        </w:rPr>
        <w:t>19</w:t>
      </w:r>
      <w:r w:rsidR="00AF34A6">
        <w:rPr>
          <w:rFonts w:ascii="Book Antiqua" w:hAnsi="Book Antiqua" w:cs="Times New Roman"/>
          <w:bCs/>
          <w:color w:val="000000" w:themeColor="text1"/>
        </w:rPr>
        <w:t>.0</w:t>
      </w:r>
      <w:r w:rsidR="00046355">
        <w:rPr>
          <w:rFonts w:ascii="Book Antiqua" w:hAnsi="Book Antiqua" w:cs="Times New Roman"/>
          <w:bCs/>
          <w:color w:val="000000" w:themeColor="text1"/>
        </w:rPr>
        <w:t>5</w:t>
      </w:r>
      <w:r w:rsidR="00AF34A6">
        <w:rPr>
          <w:rFonts w:ascii="Book Antiqua" w:hAnsi="Book Antiqua" w:cs="Times New Roman"/>
          <w:bCs/>
          <w:color w:val="000000" w:themeColor="text1"/>
        </w:rPr>
        <w:t>.2023.</w:t>
      </w:r>
    </w:p>
    <w:p w14:paraId="4F9F2077" w14:textId="0A1A8B34" w:rsidR="00CA10DC" w:rsidRPr="009A6D16" w:rsidRDefault="00AF34A6" w:rsidP="00CA10DC">
      <w:pPr>
        <w:spacing w:after="0" w:line="240" w:lineRule="auto"/>
        <w:rPr>
          <w:rFonts w:ascii="Book Antiqua" w:hAnsi="Book Antiqua" w:cs="Times New Roman"/>
          <w:bCs/>
          <w:color w:val="000000" w:themeColor="text1"/>
        </w:rPr>
      </w:pPr>
      <w:r>
        <w:rPr>
          <w:rFonts w:ascii="Book Antiqua" w:hAnsi="Book Antiqua" w:cs="Times New Roman"/>
          <w:bCs/>
          <w:color w:val="000000" w:themeColor="text1"/>
        </w:rPr>
        <w:t xml:space="preserve"> </w:t>
      </w:r>
      <w:r w:rsidR="00CA10DC" w:rsidRPr="00CA10DC">
        <w:rPr>
          <w:rFonts w:ascii="Book Antiqua" w:hAnsi="Book Antiqua" w:cs="Times New Roman"/>
          <w:bCs/>
          <w:color w:val="000000" w:themeColor="text1"/>
        </w:rPr>
        <w:t>Nr. 0</w:t>
      </w:r>
      <w:r w:rsidR="00046355">
        <w:rPr>
          <w:rFonts w:ascii="Book Antiqua" w:hAnsi="Book Antiqua" w:cs="Times New Roman"/>
          <w:bCs/>
          <w:color w:val="000000" w:themeColor="text1"/>
        </w:rPr>
        <w:t>9</w:t>
      </w:r>
      <w:r w:rsidR="00CA10DC" w:rsidRPr="00CA10DC">
        <w:rPr>
          <w:rFonts w:ascii="Book Antiqua" w:hAnsi="Book Antiqua" w:cs="Times New Roman"/>
          <w:bCs/>
          <w:color w:val="000000" w:themeColor="text1"/>
        </w:rPr>
        <w:t>/0</w:t>
      </w:r>
      <w:r w:rsidR="00046355">
        <w:rPr>
          <w:rFonts w:ascii="Book Antiqua" w:hAnsi="Book Antiqua" w:cs="Times New Roman"/>
          <w:bCs/>
          <w:color w:val="000000" w:themeColor="text1"/>
        </w:rPr>
        <w:t>5</w:t>
      </w:r>
      <w:r w:rsidR="00CA10DC" w:rsidRPr="00CA10DC">
        <w:rPr>
          <w:rFonts w:ascii="Book Antiqua" w:hAnsi="Book Antiqua" w:cs="Times New Roman"/>
          <w:bCs/>
          <w:color w:val="000000" w:themeColor="text1"/>
        </w:rPr>
        <w:t>-23</w:t>
      </w:r>
    </w:p>
    <w:p w14:paraId="14FF1008" w14:textId="77777777" w:rsidR="00CA10DC" w:rsidRPr="009A6D16" w:rsidRDefault="00CA10DC" w:rsidP="00CA10DC">
      <w:pPr>
        <w:pStyle w:val="PlainText"/>
        <w:rPr>
          <w:rFonts w:ascii="Book Antiqua" w:hAnsi="Book Antiqua" w:cs="Times New Roman"/>
          <w:b/>
          <w:color w:val="000000" w:themeColor="text1"/>
          <w:szCs w:val="22"/>
          <w:lang w:val="lv-LV"/>
        </w:rPr>
      </w:pPr>
    </w:p>
    <w:p w14:paraId="7D9C72FF" w14:textId="77777777" w:rsidR="00AF34A6" w:rsidRPr="00FF3A6C" w:rsidRDefault="00AF34A6" w:rsidP="00AF34A6">
      <w:pPr>
        <w:spacing w:after="0" w:line="240" w:lineRule="auto"/>
        <w:rPr>
          <w:rFonts w:ascii="Book Antiqua" w:hAnsi="Book Antiqua"/>
        </w:rPr>
      </w:pPr>
    </w:p>
    <w:p w14:paraId="3B3713BC" w14:textId="77777777" w:rsidR="00046355" w:rsidRPr="004A02FC" w:rsidRDefault="00046355" w:rsidP="00046355">
      <w:pPr>
        <w:spacing w:after="0" w:line="240" w:lineRule="auto"/>
        <w:jc w:val="right"/>
        <w:rPr>
          <w:rFonts w:ascii="Book Antiqua" w:hAnsi="Book Antiqua"/>
          <w:b/>
          <w:bCs/>
        </w:rPr>
      </w:pPr>
      <w:r w:rsidRPr="004A02FC">
        <w:rPr>
          <w:rFonts w:ascii="Book Antiqua" w:hAnsi="Book Antiqua"/>
          <w:b/>
          <w:bCs/>
        </w:rPr>
        <w:t>Finanšu ministrijai</w:t>
      </w:r>
    </w:p>
    <w:p w14:paraId="4AFCE45E" w14:textId="77777777" w:rsidR="00046355" w:rsidRDefault="00046355" w:rsidP="00046355">
      <w:pPr>
        <w:spacing w:after="0" w:line="240" w:lineRule="auto"/>
        <w:jc w:val="right"/>
        <w:rPr>
          <w:rFonts w:ascii="Book Antiqua" w:hAnsi="Book Antiqua"/>
        </w:rPr>
      </w:pPr>
      <w:r>
        <w:rPr>
          <w:rFonts w:ascii="Book Antiqua" w:hAnsi="Book Antiqua"/>
        </w:rPr>
        <w:t>Smilšu iela 1, Rīga, LV-1919</w:t>
      </w:r>
    </w:p>
    <w:p w14:paraId="62D1D884" w14:textId="77777777" w:rsidR="00046355" w:rsidRDefault="00046355" w:rsidP="00046355">
      <w:pPr>
        <w:spacing w:after="0" w:line="240" w:lineRule="auto"/>
        <w:jc w:val="right"/>
        <w:rPr>
          <w:rFonts w:ascii="Book Antiqua" w:hAnsi="Book Antiqua"/>
        </w:rPr>
      </w:pPr>
      <w:r>
        <w:rPr>
          <w:rFonts w:ascii="Book Antiqua" w:hAnsi="Book Antiqua"/>
        </w:rPr>
        <w:t xml:space="preserve">e-pasts: </w:t>
      </w:r>
      <w:hyperlink r:id="rId7" w:history="1">
        <w:r w:rsidRPr="004766C0">
          <w:rPr>
            <w:rStyle w:val="Hyperlink"/>
            <w:rFonts w:ascii="Book Antiqua" w:hAnsi="Book Antiqua"/>
          </w:rPr>
          <w:t>pasts@fm.gov.lv</w:t>
        </w:r>
      </w:hyperlink>
      <w:r>
        <w:rPr>
          <w:rFonts w:ascii="Book Antiqua" w:hAnsi="Book Antiqua"/>
        </w:rPr>
        <w:t xml:space="preserve"> </w:t>
      </w:r>
    </w:p>
    <w:p w14:paraId="276C2F26" w14:textId="77777777" w:rsidR="00046355" w:rsidRDefault="00046355" w:rsidP="00046355">
      <w:pPr>
        <w:spacing w:after="0" w:line="240" w:lineRule="auto"/>
        <w:jc w:val="right"/>
        <w:rPr>
          <w:rFonts w:ascii="Book Antiqua" w:hAnsi="Book Antiqua"/>
        </w:rPr>
      </w:pPr>
    </w:p>
    <w:p w14:paraId="7C598D8F" w14:textId="77777777" w:rsidR="00046355" w:rsidRDefault="00046355" w:rsidP="00046355">
      <w:pPr>
        <w:spacing w:after="0" w:line="240" w:lineRule="auto"/>
        <w:jc w:val="right"/>
        <w:rPr>
          <w:rFonts w:ascii="Book Antiqua" w:hAnsi="Book Antiqua"/>
        </w:rPr>
      </w:pPr>
    </w:p>
    <w:p w14:paraId="12988F1A" w14:textId="77777777" w:rsidR="00046355" w:rsidRPr="004A02FC" w:rsidRDefault="00046355" w:rsidP="00046355">
      <w:pPr>
        <w:spacing w:after="0" w:line="240" w:lineRule="auto"/>
        <w:jc w:val="right"/>
        <w:rPr>
          <w:rFonts w:ascii="Book Antiqua" w:hAnsi="Book Antiqua"/>
          <w:b/>
          <w:bCs/>
        </w:rPr>
      </w:pPr>
      <w:r w:rsidRPr="004A02FC">
        <w:rPr>
          <w:rFonts w:ascii="Book Antiqua" w:hAnsi="Book Antiqua"/>
          <w:b/>
          <w:bCs/>
        </w:rPr>
        <w:t>Vides aizsardzības un reģionālās attīstības ministrijai</w:t>
      </w:r>
    </w:p>
    <w:p w14:paraId="01B69E82" w14:textId="77777777" w:rsidR="00046355" w:rsidRDefault="00046355" w:rsidP="00046355">
      <w:pPr>
        <w:spacing w:after="0" w:line="240" w:lineRule="auto"/>
        <w:jc w:val="right"/>
        <w:rPr>
          <w:rFonts w:ascii="Book Antiqua" w:hAnsi="Book Antiqua"/>
        </w:rPr>
      </w:pPr>
      <w:r w:rsidRPr="004A02FC">
        <w:rPr>
          <w:rFonts w:ascii="Book Antiqua" w:hAnsi="Book Antiqua"/>
        </w:rPr>
        <w:t>Peldu iela 25, Rīga, LV-1494</w:t>
      </w:r>
    </w:p>
    <w:p w14:paraId="55EB8E55" w14:textId="77777777" w:rsidR="00046355" w:rsidRDefault="00046355" w:rsidP="00046355">
      <w:pPr>
        <w:spacing w:after="0" w:line="240" w:lineRule="auto"/>
        <w:jc w:val="right"/>
        <w:rPr>
          <w:rFonts w:ascii="Book Antiqua" w:hAnsi="Book Antiqua"/>
        </w:rPr>
      </w:pPr>
      <w:r>
        <w:rPr>
          <w:rFonts w:ascii="Book Antiqua" w:hAnsi="Book Antiqua"/>
        </w:rPr>
        <w:t xml:space="preserve">e-pasts: </w:t>
      </w:r>
      <w:hyperlink r:id="rId8" w:history="1">
        <w:r w:rsidRPr="004766C0">
          <w:rPr>
            <w:rStyle w:val="Hyperlink"/>
            <w:rFonts w:ascii="Book Antiqua" w:hAnsi="Book Antiqua"/>
          </w:rPr>
          <w:t>pasts@varam.gov.lv</w:t>
        </w:r>
      </w:hyperlink>
    </w:p>
    <w:p w14:paraId="48C03A0F" w14:textId="77777777" w:rsidR="00046355" w:rsidRDefault="00046355" w:rsidP="00046355">
      <w:pPr>
        <w:spacing w:after="0" w:line="240" w:lineRule="auto"/>
        <w:jc w:val="right"/>
        <w:rPr>
          <w:rFonts w:ascii="Book Antiqua" w:hAnsi="Book Antiqua"/>
        </w:rPr>
      </w:pPr>
    </w:p>
    <w:p w14:paraId="11802080" w14:textId="77777777" w:rsidR="00046355" w:rsidRDefault="00046355" w:rsidP="00046355">
      <w:pPr>
        <w:spacing w:after="0" w:line="240" w:lineRule="auto"/>
        <w:rPr>
          <w:rFonts w:ascii="Book Antiqua" w:hAnsi="Book Antiqua"/>
        </w:rPr>
      </w:pPr>
    </w:p>
    <w:p w14:paraId="7B6B9A2D" w14:textId="77777777" w:rsidR="00046355" w:rsidRPr="00046355" w:rsidRDefault="00046355" w:rsidP="00046355">
      <w:pPr>
        <w:spacing w:after="0" w:line="240" w:lineRule="auto"/>
        <w:rPr>
          <w:rFonts w:ascii="Book Antiqua" w:hAnsi="Book Antiqua"/>
          <w:b/>
          <w:bCs/>
          <w:i/>
          <w:iCs/>
          <w:sz w:val="24"/>
          <w:szCs w:val="24"/>
        </w:rPr>
      </w:pPr>
      <w:r w:rsidRPr="00046355">
        <w:rPr>
          <w:rFonts w:ascii="Book Antiqua" w:hAnsi="Book Antiqua"/>
          <w:b/>
          <w:bCs/>
          <w:i/>
          <w:iCs/>
          <w:sz w:val="24"/>
          <w:szCs w:val="24"/>
        </w:rPr>
        <w:t>Par dabas resursu nodokļa maksājumu sadali</w:t>
      </w:r>
    </w:p>
    <w:p w14:paraId="6A069BB8" w14:textId="77777777" w:rsidR="00046355" w:rsidRPr="00046355" w:rsidRDefault="00046355" w:rsidP="00046355">
      <w:pPr>
        <w:spacing w:after="0" w:line="240" w:lineRule="auto"/>
        <w:rPr>
          <w:rFonts w:ascii="Book Antiqua" w:hAnsi="Book Antiqua"/>
          <w:sz w:val="24"/>
          <w:szCs w:val="24"/>
        </w:rPr>
      </w:pPr>
    </w:p>
    <w:p w14:paraId="1A90C6ED" w14:textId="77777777" w:rsidR="00046355" w:rsidRDefault="00046355" w:rsidP="00046355">
      <w:pPr>
        <w:spacing w:after="0" w:line="240" w:lineRule="auto"/>
        <w:ind w:firstLine="720"/>
        <w:jc w:val="both"/>
        <w:rPr>
          <w:rFonts w:ascii="Book Antiqua" w:hAnsi="Book Antiqua"/>
        </w:rPr>
      </w:pPr>
      <w:r>
        <w:rPr>
          <w:rFonts w:ascii="Book Antiqua" w:hAnsi="Book Antiqua"/>
        </w:rPr>
        <w:t>B</w:t>
      </w:r>
      <w:r w:rsidRPr="007E3CB2">
        <w:rPr>
          <w:rFonts w:ascii="Book Antiqua" w:hAnsi="Book Antiqua"/>
        </w:rPr>
        <w:t xml:space="preserve">iedrība “LATVIJAS ATKRITUMU SAIMNIECĪBAS UZŅĒMUMU ASOCIĀCIJA”, turpmāk – </w:t>
      </w:r>
      <w:r w:rsidRPr="007E3CB2">
        <w:rPr>
          <w:rFonts w:ascii="Book Antiqua" w:hAnsi="Book Antiqua"/>
          <w:b/>
          <w:bCs/>
        </w:rPr>
        <w:t>LASUA</w:t>
      </w:r>
      <w:r w:rsidRPr="007E3CB2">
        <w:rPr>
          <w:rFonts w:ascii="Book Antiqua" w:hAnsi="Book Antiqua"/>
        </w:rPr>
        <w:t>, ir sabiedriska organizācija, kuras biedri ir profesionāli uzņēmumi, kas nodarbojas ar sadzīves un bīstamo atkritumu apsaimniekošanu, savākšanu, uzglabāšanu, apstrādi, pārkraušanu, pārstrādi, apglabāšanu un rūpniecisko atkritumu izvešanu</w:t>
      </w:r>
      <w:r>
        <w:rPr>
          <w:rFonts w:ascii="Book Antiqua" w:hAnsi="Book Antiqua"/>
        </w:rPr>
        <w:t xml:space="preserve">, </w:t>
      </w:r>
      <w:r w:rsidRPr="008C25DA">
        <w:rPr>
          <w:rFonts w:ascii="Book Antiqua" w:hAnsi="Book Antiqua"/>
        </w:rPr>
        <w:t>kā arī sniedz virkni citus komunālos pakalpojumus.</w:t>
      </w:r>
      <w:r w:rsidRPr="007E3CB2">
        <w:rPr>
          <w:rFonts w:ascii="Book Antiqua" w:hAnsi="Book Antiqua"/>
        </w:rPr>
        <w:t xml:space="preserve"> LASUA misija ir pārstāvēt savu biedru ekonomiskās, sociālās un profesionālās intereses, sekmējot sociāli atbildīgu atkritumu saimniecības uzņēmumu kompleksu attīstību Latvijā.</w:t>
      </w:r>
    </w:p>
    <w:p w14:paraId="3F2C26D9" w14:textId="77777777" w:rsidR="00046355" w:rsidRDefault="00046355" w:rsidP="00046355">
      <w:pPr>
        <w:spacing w:after="0" w:line="240" w:lineRule="auto"/>
        <w:ind w:firstLine="720"/>
        <w:jc w:val="both"/>
        <w:rPr>
          <w:rFonts w:ascii="Book Antiqua" w:hAnsi="Book Antiqua"/>
        </w:rPr>
      </w:pPr>
      <w:r>
        <w:rPr>
          <w:rFonts w:ascii="Book Antiqua" w:hAnsi="Book Antiqua"/>
        </w:rPr>
        <w:t>Pārstāvot savu biedru intereses, LASUA vēlas vērst Finanšu ministrijas un Vides aizsardzības un reģionālās attīstības ministrijas uzmanību uz dabas resursu nodokļa, turpmāk  – </w:t>
      </w:r>
      <w:r w:rsidRPr="00A66457">
        <w:rPr>
          <w:rFonts w:ascii="Book Antiqua" w:hAnsi="Book Antiqua"/>
          <w:b/>
          <w:bCs/>
        </w:rPr>
        <w:t>DRN</w:t>
      </w:r>
      <w:r>
        <w:rPr>
          <w:rFonts w:ascii="Book Antiqua" w:hAnsi="Book Antiqua"/>
        </w:rPr>
        <w:t>, maksājumu sadali, aicinot to pārskatīt, ņemot vērā DRN mērķi un tā faktisko paredzēto izlietojumu.</w:t>
      </w:r>
    </w:p>
    <w:p w14:paraId="1BDB27E1" w14:textId="77777777" w:rsidR="00046355" w:rsidRDefault="00046355" w:rsidP="00046355">
      <w:pPr>
        <w:spacing w:after="0" w:line="240" w:lineRule="auto"/>
        <w:ind w:firstLine="720"/>
        <w:jc w:val="both"/>
        <w:rPr>
          <w:rFonts w:ascii="Book Antiqua" w:hAnsi="Book Antiqua"/>
        </w:rPr>
      </w:pPr>
      <w:r>
        <w:rPr>
          <w:rFonts w:ascii="Book Antiqua" w:hAnsi="Book Antiqua"/>
        </w:rPr>
        <w:t xml:space="preserve">Saskaņā ar Dabas resursu nodokļa likuma, turpmāk – </w:t>
      </w:r>
      <w:r w:rsidRPr="00A66457">
        <w:rPr>
          <w:rFonts w:ascii="Book Antiqua" w:hAnsi="Book Antiqua"/>
          <w:b/>
          <w:bCs/>
        </w:rPr>
        <w:t>Likums</w:t>
      </w:r>
      <w:r>
        <w:rPr>
          <w:rFonts w:ascii="Book Antiqua" w:hAnsi="Book Antiqua"/>
        </w:rPr>
        <w:t>, 2. pantu DRN</w:t>
      </w:r>
      <w:r w:rsidRPr="00A66457">
        <w:rPr>
          <w:rFonts w:ascii="Book Antiqua" w:hAnsi="Book Antiqua"/>
        </w:rPr>
        <w:t xml:space="preserve"> mērķis ir veicināt dabas resursu ekonomiski efektīvu izmantošanu, ierobežot vides piesārņošanu, samazināt vidi piesārņojošas produkcijas ražošanu un realizāciju, veicināt jaunu, vidi saudzējošu tehnoloģiju ieviešanu, atbalstīt tautsaimniecības ilgtspējīgu attīstību, </w:t>
      </w:r>
      <w:r w:rsidRPr="00DB35A1">
        <w:rPr>
          <w:rFonts w:ascii="Book Antiqua" w:hAnsi="Book Antiqua"/>
          <w:u w:val="single"/>
        </w:rPr>
        <w:t>kā arī finansiāli nodrošināt vides aizsardzības pasākumus</w:t>
      </w:r>
      <w:r w:rsidRPr="00A66457">
        <w:rPr>
          <w:rFonts w:ascii="Book Antiqua" w:hAnsi="Book Antiqua"/>
        </w:rPr>
        <w:t>.</w:t>
      </w:r>
    </w:p>
    <w:p w14:paraId="74307FE2" w14:textId="77777777" w:rsidR="00046355" w:rsidRDefault="00046355" w:rsidP="00046355">
      <w:pPr>
        <w:spacing w:after="0" w:line="240" w:lineRule="auto"/>
        <w:ind w:firstLine="720"/>
        <w:jc w:val="both"/>
        <w:rPr>
          <w:rFonts w:ascii="Book Antiqua" w:hAnsi="Book Antiqua"/>
        </w:rPr>
      </w:pPr>
      <w:r>
        <w:rPr>
          <w:rFonts w:ascii="Book Antiqua" w:hAnsi="Book Antiqua"/>
        </w:rPr>
        <w:t xml:space="preserve">Savukārt Likuma 28. pantā ir noteikti DRN maksājumu sadalījums starp valsts un pašvaldību budžetiem. Proti, Likuma 28. panta otrajā daļā citastarp ir noteikts, ka </w:t>
      </w:r>
      <w:r w:rsidRPr="00971AAB">
        <w:rPr>
          <w:rFonts w:ascii="Book Antiqua" w:hAnsi="Book Antiqua"/>
        </w:rPr>
        <w:t xml:space="preserve">60 procentus </w:t>
      </w:r>
      <w:r>
        <w:rPr>
          <w:rFonts w:ascii="Book Antiqua" w:hAnsi="Book Antiqua"/>
        </w:rPr>
        <w:t xml:space="preserve">no DRN maksājumiem par vides piesārņošanu ieskaita </w:t>
      </w:r>
      <w:r w:rsidRPr="00192035">
        <w:rPr>
          <w:rFonts w:ascii="Book Antiqua" w:hAnsi="Book Antiqua"/>
        </w:rPr>
        <w:t>valsts pamatbudžetā,</w:t>
      </w:r>
      <w:r>
        <w:rPr>
          <w:rFonts w:ascii="Book Antiqua" w:hAnsi="Book Antiqua"/>
        </w:rPr>
        <w:t xml:space="preserve"> </w:t>
      </w:r>
      <w:r w:rsidRPr="00971AAB">
        <w:rPr>
          <w:rFonts w:ascii="Book Antiqua" w:hAnsi="Book Antiqua"/>
        </w:rPr>
        <w:t>40</w:t>
      </w:r>
      <w:r>
        <w:rPr>
          <w:rFonts w:ascii="Book Antiqua" w:hAnsi="Book Antiqua"/>
        </w:rPr>
        <w:t> </w:t>
      </w:r>
      <w:r w:rsidRPr="00971AAB">
        <w:rPr>
          <w:rFonts w:ascii="Book Antiqua" w:hAnsi="Book Antiqua"/>
        </w:rPr>
        <w:t>procentus</w:t>
      </w:r>
      <w:r>
        <w:rPr>
          <w:rFonts w:ascii="Book Antiqua" w:hAnsi="Book Antiqua"/>
        </w:rPr>
        <w:t> </w:t>
      </w:r>
      <w:r w:rsidRPr="00971AAB">
        <w:rPr>
          <w:rFonts w:ascii="Book Antiqua" w:hAnsi="Book Antiqua"/>
        </w:rPr>
        <w:t>— tās vietējās pašvaldības pamatbudžetā, kuras teritorijā tiek veikta attiecīgā darbība.</w:t>
      </w:r>
      <w:r>
        <w:rPr>
          <w:rFonts w:ascii="Book Antiqua" w:hAnsi="Book Antiqua"/>
        </w:rPr>
        <w:t xml:space="preserve"> Minētā panta ceturtajā daļā citastarp ir noteikts, ka DRN maksājumus par atkritumu sadedzināšanu un </w:t>
      </w:r>
      <w:r w:rsidRPr="00971AAB">
        <w:rPr>
          <w:rFonts w:ascii="Book Antiqua" w:hAnsi="Book Antiqua"/>
        </w:rPr>
        <w:t>videi kaitīgām precēm, iepakojumu, vienreiz lietojamiem galda traukiem un piederumiem un transportlīdzekļiem</w:t>
      </w:r>
      <w:r>
        <w:rPr>
          <w:rFonts w:ascii="Book Antiqua" w:hAnsi="Book Antiqua"/>
        </w:rPr>
        <w:t xml:space="preserve"> 100% apmērā ieskaita </w:t>
      </w:r>
      <w:r w:rsidRPr="00192035">
        <w:rPr>
          <w:rFonts w:ascii="Book Antiqua" w:hAnsi="Book Antiqua"/>
        </w:rPr>
        <w:t>valsts pamatbudžetā. Savukārt tā paša panta ceturtās prim daļas 3. punktā paredzēts, ka 85 procentus no DRN maksājumiem par sadzīves un ražošanas atkritumu apglabāšanu ieskaita valsts pamatbudžetā</w:t>
      </w:r>
      <w:r w:rsidRPr="00971AAB">
        <w:rPr>
          <w:rFonts w:ascii="Book Antiqua" w:hAnsi="Book Antiqua"/>
        </w:rPr>
        <w:t xml:space="preserve"> un 15 procentus — tās vietējās pašvaldības pamatbudžetā, kuras teritorijā tiek veikta atkritumu apglabāšana.</w:t>
      </w:r>
      <w:r>
        <w:rPr>
          <w:rFonts w:ascii="Book Antiqua" w:hAnsi="Book Antiqua"/>
        </w:rPr>
        <w:t xml:space="preserve"> </w:t>
      </w:r>
    </w:p>
    <w:p w14:paraId="3765D078" w14:textId="77777777" w:rsidR="00046355" w:rsidRDefault="00046355" w:rsidP="00046355">
      <w:pPr>
        <w:spacing w:after="0" w:line="240" w:lineRule="auto"/>
        <w:ind w:firstLine="720"/>
        <w:jc w:val="both"/>
        <w:rPr>
          <w:rFonts w:ascii="Book Antiqua" w:hAnsi="Book Antiqua"/>
        </w:rPr>
      </w:pPr>
    </w:p>
    <w:p w14:paraId="5F80E6C0" w14:textId="77777777" w:rsidR="00046355" w:rsidRDefault="00046355" w:rsidP="00046355">
      <w:pPr>
        <w:spacing w:after="0" w:line="240" w:lineRule="auto"/>
        <w:ind w:firstLine="720"/>
        <w:jc w:val="both"/>
        <w:rPr>
          <w:rFonts w:ascii="Book Antiqua" w:hAnsi="Book Antiqua"/>
        </w:rPr>
      </w:pPr>
    </w:p>
    <w:p w14:paraId="41959C6F" w14:textId="57FB51E0" w:rsidR="00046355" w:rsidRDefault="00046355" w:rsidP="00046355">
      <w:pPr>
        <w:spacing w:after="0" w:line="240" w:lineRule="auto"/>
        <w:ind w:firstLine="720"/>
        <w:jc w:val="both"/>
        <w:rPr>
          <w:rFonts w:ascii="Book Antiqua" w:hAnsi="Book Antiqua"/>
        </w:rPr>
      </w:pPr>
      <w:r>
        <w:rPr>
          <w:rFonts w:ascii="Book Antiqua" w:hAnsi="Book Antiqua"/>
        </w:rPr>
        <w:t>No iepriekš minētajām tiesību normām izriet, ka lielākā daļa no DRN maksājumiem, kas saistīti ar atkritumu apsaimniekošanas jomu, tiek novirzīti valsts pamatbudžetā, kas savukārt tiek sadalīts (novirzīts) dažādu valstij svarīgu tautsaimniecības nozaru vajadzībām.</w:t>
      </w:r>
    </w:p>
    <w:p w14:paraId="239F22EC" w14:textId="77777777" w:rsidR="00046355" w:rsidRDefault="00046355" w:rsidP="00046355">
      <w:pPr>
        <w:spacing w:after="0" w:line="240" w:lineRule="auto"/>
        <w:ind w:firstLine="720"/>
        <w:jc w:val="both"/>
        <w:rPr>
          <w:rFonts w:ascii="Book Antiqua" w:hAnsi="Book Antiqua"/>
        </w:rPr>
      </w:pPr>
      <w:r>
        <w:rPr>
          <w:rFonts w:ascii="Book Antiqua" w:hAnsi="Book Antiqua"/>
        </w:rPr>
        <w:t>Nodokļi ar regulējošo funkciju mudina nodokļu maksātājus uz noteiktu rīcību vai noteiktā veidā to ietekmē un papildus nodrošina ieņēmumus valsts budžetā. Piemēram, atsevišķiem nodokļiem vides jomā piemīt regulējošā funkcija. Savukārt nodokļu ar fiskālo funkciju mērķis saistāms vienīgi ar līdzekļu nodrošināšanu valsts izdevumu segšanai.</w:t>
      </w:r>
      <w:r>
        <w:rPr>
          <w:rStyle w:val="FootnoteReference"/>
          <w:rFonts w:ascii="Book Antiqua" w:hAnsi="Book Antiqua"/>
        </w:rPr>
        <w:footnoteReference w:id="1"/>
      </w:r>
    </w:p>
    <w:p w14:paraId="2B0B6DFC" w14:textId="77777777" w:rsidR="00046355" w:rsidRDefault="00046355" w:rsidP="00046355">
      <w:pPr>
        <w:spacing w:after="0" w:line="240" w:lineRule="auto"/>
        <w:ind w:firstLine="720"/>
        <w:jc w:val="both"/>
        <w:rPr>
          <w:rFonts w:ascii="Book Antiqua" w:hAnsi="Book Antiqua"/>
        </w:rPr>
      </w:pPr>
      <w:r>
        <w:rPr>
          <w:rFonts w:ascii="Book Antiqua" w:hAnsi="Book Antiqua"/>
        </w:rPr>
        <w:t xml:space="preserve">DRN ir uzskatāms par vides nodokli, un </w:t>
      </w:r>
      <w:r>
        <w:rPr>
          <w:rFonts w:ascii="Book Antiqua" w:hAnsi="Book Antiqua" w:cs="Arial"/>
          <w:shd w:val="clear" w:color="auto" w:fill="FFFFFF"/>
        </w:rPr>
        <w:t>vides nodokļiem nav tādas izteiktas fiskālās funkcijas kā, piemēram, ienākuma nodokļiem</w:t>
      </w:r>
      <w:r>
        <w:rPr>
          <w:rFonts w:ascii="Book Antiqua" w:hAnsi="Book Antiqua"/>
        </w:rPr>
        <w:t>.</w:t>
      </w:r>
      <w:r>
        <w:rPr>
          <w:rStyle w:val="FootnoteReference"/>
          <w:rFonts w:ascii="Book Antiqua" w:hAnsi="Book Antiqua"/>
        </w:rPr>
        <w:footnoteReference w:id="2"/>
      </w:r>
      <w:r>
        <w:rPr>
          <w:rFonts w:ascii="Book Antiqua" w:hAnsi="Book Antiqua"/>
        </w:rPr>
        <w:t xml:space="preserve"> Lai arī pašlaik ar DRN tiek nodrošināti ienākumi valsts budžetā, kuri var tik izmantoti sabiedrības labklājības aizsardzībai, tajā skaitā arī vides stāvokļa uzlabošanas pasākumu finansēšanā, tomēr LASUA ieskatā būtu nosakāmas konkrētākas DRN izmantošanas opcijas. Proti, ņemot vērā DRN mērķi, nav šaubu, ka DRN ir ieviest ar nodomu īstenot principu “piesārņotājs maksā”, vienlaikus konkretizējot un specializējot DRN maksājumu izlietojumu – attiecīgos nodokļa maksājumus novirzot jomām, kas pilnveido un attīstīta vides aizsardzību.</w:t>
      </w:r>
    </w:p>
    <w:p w14:paraId="70872380" w14:textId="77777777" w:rsidR="00046355" w:rsidRDefault="00046355" w:rsidP="00046355">
      <w:pPr>
        <w:spacing w:after="0" w:line="240" w:lineRule="auto"/>
        <w:ind w:firstLine="720"/>
        <w:jc w:val="both"/>
        <w:rPr>
          <w:rFonts w:ascii="Book Antiqua" w:hAnsi="Book Antiqua"/>
        </w:rPr>
      </w:pPr>
      <w:r>
        <w:rPr>
          <w:rFonts w:ascii="Book Antiqua" w:hAnsi="Book Antiqua"/>
        </w:rPr>
        <w:t xml:space="preserve">Ievērojot iepriekš minēto un ņemot vērā, ka DRN ir ieviests ar mērķi nodrošināt vides aizsardzību un ar to saistīto pasākumu īstenošanu, kā rezultātā DRN nekādā veidā nav uzskatāms par fiskālo nodokli, līdz ar to, </w:t>
      </w:r>
      <w:r>
        <w:rPr>
          <w:rFonts w:ascii="Book Antiqua" w:hAnsi="Book Antiqua"/>
          <w:b/>
          <w:bCs/>
        </w:rPr>
        <w:t>lai nodrošinātu un īstenotu DRN mērķi un jēgu, būtu nepieciešams paredzēt, ka iekasētais DRN tiek novirzīts konkrētiem/speciāliem mērķiem, kas saistīti ar vides aizsardzību un mērķi veicināt vides piesārņojuma samazināšanos</w:t>
      </w:r>
      <w:r>
        <w:rPr>
          <w:rFonts w:ascii="Book Antiqua" w:hAnsi="Book Antiqua"/>
        </w:rPr>
        <w:t>. Pretējā gadījumā, veicot DRN piemērošanu, tajā pašā laikā lielāko daļu novirzot valsts pamatbudžetā, nenodalot to no fiskālajiem nodokļiem, nav iespējams izsekot un nodrošināt DRN izlietošanas pamatotību un atbilstību Dabas resursu nodokļa likuma 2. pantam.</w:t>
      </w:r>
    </w:p>
    <w:p w14:paraId="3FC90A0E" w14:textId="77777777" w:rsidR="00046355" w:rsidRDefault="00046355" w:rsidP="00046355">
      <w:pPr>
        <w:spacing w:after="0" w:line="240" w:lineRule="auto"/>
        <w:ind w:firstLine="720"/>
        <w:jc w:val="both"/>
        <w:rPr>
          <w:rFonts w:ascii="Book Antiqua" w:hAnsi="Book Antiqua"/>
        </w:rPr>
      </w:pPr>
      <w:r>
        <w:rPr>
          <w:rFonts w:ascii="Book Antiqua" w:hAnsi="Book Antiqua"/>
        </w:rPr>
        <w:t xml:space="preserve">Ņemot vērā Atkritumu apsaimniekošanas likuma, turpmāk – </w:t>
      </w:r>
      <w:r w:rsidRPr="00192035">
        <w:rPr>
          <w:rFonts w:ascii="Book Antiqua" w:hAnsi="Book Antiqua"/>
          <w:b/>
          <w:bCs/>
        </w:rPr>
        <w:t>AAL</w:t>
      </w:r>
      <w:r>
        <w:rPr>
          <w:rFonts w:ascii="Book Antiqua" w:hAnsi="Book Antiqua"/>
        </w:rPr>
        <w:t xml:space="preserve">, normas, secināms, ka vairākumu ar atkritumu apsaimniekošanu saistītos pasākumus īsteno konkrētā pašvaldība kopā ar tās izraudzīto atkritumu apsaimniekotāju. Kā piemēram, AAL 8. panta pirmajā daļā citastarp ir noteikts, ka pašvaldība pieņem lēmumus par sadzīves un ražošanas atkritumu apsaimniekošanas infrastruktūru objektu izvietošanu, organizē </w:t>
      </w:r>
      <w:r w:rsidRPr="00192035">
        <w:rPr>
          <w:rFonts w:ascii="Book Antiqua" w:hAnsi="Book Antiqua"/>
        </w:rPr>
        <w:t>atkritumu dalītu vākšanu savā administratīvajā teritorijā</w:t>
      </w:r>
      <w:r>
        <w:rPr>
          <w:rFonts w:ascii="Book Antiqua" w:hAnsi="Book Antiqua"/>
        </w:rPr>
        <w:t xml:space="preserve">, </w:t>
      </w:r>
      <w:r w:rsidRPr="00192035">
        <w:rPr>
          <w:rFonts w:ascii="Book Antiqua" w:hAnsi="Book Antiqua"/>
        </w:rPr>
        <w:t>var ieguldīt līdzekļus atkritumu apsaimniekošanas sistēmas izveidē un uzturēšanā</w:t>
      </w:r>
      <w:r>
        <w:rPr>
          <w:rFonts w:ascii="Book Antiqua" w:hAnsi="Book Antiqua"/>
        </w:rPr>
        <w:t xml:space="preserve">, </w:t>
      </w:r>
      <w:r w:rsidRPr="00192035">
        <w:rPr>
          <w:rFonts w:ascii="Book Antiqua" w:hAnsi="Book Antiqua"/>
        </w:rPr>
        <w:t>veicina iedzīvotāju aktīvu iesaisti atkritumu rašanās novēršanā un atkritumu šķirošanā</w:t>
      </w:r>
      <w:r>
        <w:rPr>
          <w:rFonts w:ascii="Book Antiqua" w:hAnsi="Book Antiqua"/>
        </w:rPr>
        <w:t xml:space="preserve">. </w:t>
      </w:r>
    </w:p>
    <w:p w14:paraId="20ADC3C9" w14:textId="77777777" w:rsidR="00046355" w:rsidRDefault="00046355" w:rsidP="00046355">
      <w:pPr>
        <w:spacing w:after="0" w:line="240" w:lineRule="auto"/>
        <w:ind w:firstLine="720"/>
        <w:jc w:val="both"/>
        <w:rPr>
          <w:rFonts w:ascii="Book Antiqua" w:hAnsi="Book Antiqua"/>
        </w:rPr>
      </w:pPr>
    </w:p>
    <w:p w14:paraId="697F8D37" w14:textId="77777777" w:rsidR="00046355" w:rsidRDefault="00046355" w:rsidP="00046355">
      <w:pPr>
        <w:spacing w:after="0" w:line="240" w:lineRule="auto"/>
        <w:ind w:firstLine="720"/>
        <w:jc w:val="both"/>
        <w:rPr>
          <w:rFonts w:ascii="Book Antiqua" w:hAnsi="Book Antiqua"/>
        </w:rPr>
      </w:pPr>
    </w:p>
    <w:p w14:paraId="4B7AA08A" w14:textId="77777777" w:rsidR="00046355" w:rsidRDefault="00046355" w:rsidP="00046355">
      <w:pPr>
        <w:spacing w:after="0" w:line="240" w:lineRule="auto"/>
        <w:ind w:firstLine="720"/>
        <w:jc w:val="both"/>
        <w:rPr>
          <w:rFonts w:ascii="Book Antiqua" w:hAnsi="Book Antiqua"/>
        </w:rPr>
      </w:pPr>
    </w:p>
    <w:p w14:paraId="086E8663" w14:textId="77777777" w:rsidR="00046355" w:rsidRDefault="00046355" w:rsidP="00046355">
      <w:pPr>
        <w:spacing w:after="0" w:line="240" w:lineRule="auto"/>
        <w:ind w:firstLine="720"/>
        <w:jc w:val="both"/>
        <w:rPr>
          <w:rFonts w:ascii="Book Antiqua" w:hAnsi="Book Antiqua"/>
        </w:rPr>
      </w:pPr>
    </w:p>
    <w:p w14:paraId="3B6084C7" w14:textId="77777777" w:rsidR="00046355" w:rsidRDefault="00046355" w:rsidP="00046355">
      <w:pPr>
        <w:spacing w:after="0" w:line="240" w:lineRule="auto"/>
        <w:ind w:firstLine="720"/>
        <w:jc w:val="both"/>
        <w:rPr>
          <w:rFonts w:ascii="Book Antiqua" w:hAnsi="Book Antiqua"/>
        </w:rPr>
      </w:pPr>
    </w:p>
    <w:p w14:paraId="1D80F9BB" w14:textId="77777777" w:rsidR="00046355" w:rsidRDefault="00046355" w:rsidP="00046355">
      <w:pPr>
        <w:spacing w:after="0" w:line="240" w:lineRule="auto"/>
        <w:ind w:firstLine="720"/>
        <w:jc w:val="both"/>
        <w:rPr>
          <w:rFonts w:ascii="Book Antiqua" w:hAnsi="Book Antiqua"/>
        </w:rPr>
      </w:pPr>
    </w:p>
    <w:p w14:paraId="327E09E1" w14:textId="77777777" w:rsidR="00046355" w:rsidRDefault="00046355" w:rsidP="00046355">
      <w:pPr>
        <w:spacing w:after="0" w:line="240" w:lineRule="auto"/>
        <w:ind w:firstLine="720"/>
        <w:jc w:val="both"/>
        <w:rPr>
          <w:rFonts w:ascii="Book Antiqua" w:hAnsi="Book Antiqua"/>
        </w:rPr>
      </w:pPr>
    </w:p>
    <w:p w14:paraId="4C6A463B" w14:textId="77777777" w:rsidR="00046355" w:rsidRDefault="00046355" w:rsidP="00046355">
      <w:pPr>
        <w:spacing w:after="0" w:line="240" w:lineRule="auto"/>
        <w:ind w:firstLine="720"/>
        <w:jc w:val="both"/>
        <w:rPr>
          <w:rFonts w:ascii="Book Antiqua" w:hAnsi="Book Antiqua"/>
        </w:rPr>
      </w:pPr>
    </w:p>
    <w:p w14:paraId="5B0CBEB4" w14:textId="77777777" w:rsidR="00046355" w:rsidRDefault="00046355" w:rsidP="00046355">
      <w:pPr>
        <w:spacing w:after="0" w:line="240" w:lineRule="auto"/>
        <w:ind w:firstLine="720"/>
        <w:jc w:val="both"/>
        <w:rPr>
          <w:rFonts w:ascii="Book Antiqua" w:hAnsi="Book Antiqua"/>
        </w:rPr>
      </w:pPr>
    </w:p>
    <w:p w14:paraId="670429D8" w14:textId="24152A84" w:rsidR="00046355" w:rsidRDefault="00046355" w:rsidP="00046355">
      <w:pPr>
        <w:spacing w:after="0" w:line="240" w:lineRule="auto"/>
        <w:ind w:firstLine="720"/>
        <w:jc w:val="both"/>
        <w:rPr>
          <w:rFonts w:ascii="Book Antiqua" w:hAnsi="Book Antiqua"/>
        </w:rPr>
      </w:pPr>
      <w:r>
        <w:rPr>
          <w:rFonts w:ascii="Book Antiqua" w:hAnsi="Book Antiqua"/>
        </w:rPr>
        <w:t>Tāpat AAL 10. panta otrajā daļā ir noteikts, ka a</w:t>
      </w:r>
      <w:r w:rsidRPr="00C021C9">
        <w:rPr>
          <w:rFonts w:ascii="Book Antiqua" w:hAnsi="Book Antiqua"/>
        </w:rPr>
        <w:t>tkritumu apsaimniekošanas reģionā ietilpstošās pašvaldības izstrādā atkritumu apsaimniekošanas reģionālo plānu</w:t>
      </w:r>
      <w:r>
        <w:rPr>
          <w:rFonts w:ascii="Book Antiqua" w:hAnsi="Book Antiqua"/>
        </w:rPr>
        <w:t xml:space="preserve">, kurā citastarp ietilpst ar vides aizsardzības mērķiem saistītu pasākumu īstenošana. </w:t>
      </w:r>
    </w:p>
    <w:p w14:paraId="0B69E63B" w14:textId="6F212E8F" w:rsidR="00046355" w:rsidRDefault="00046355" w:rsidP="00046355">
      <w:pPr>
        <w:spacing w:after="0" w:line="240" w:lineRule="auto"/>
        <w:ind w:firstLine="720"/>
        <w:jc w:val="both"/>
        <w:rPr>
          <w:rFonts w:ascii="Book Antiqua" w:hAnsi="Book Antiqua"/>
        </w:rPr>
      </w:pPr>
      <w:r>
        <w:rPr>
          <w:rFonts w:ascii="Book Antiqua" w:hAnsi="Book Antiqua"/>
        </w:rPr>
        <w:t xml:space="preserve">Tāpat arī Pašvaldības likuma 4. panta pirmās daļas 22. punktā kā viena no pašvaldības autonomajām funkcijām ir norādīts, ka pašvaldībai ir jāveicina klimata pārmaiņu ierobežošana un pielāgošanās tām. Līdz ar to, vērtējot normatīvajos aktos noteiktos pašvaldības pienākumus, secināms, ka pašvaldība ir tā publiskā persona, kurai visbiežāk nākas iesaistīties atkritumu apsaimniekošanas, tajā skaitā attiecībā uz vides aizsardzības, pasākumu realizēšanā. Protams, LASUA izprot, ka arī valsts  nosaka vides aizsardzības mērķus un uzdevumus, kā arī kontrolē šo mērķu izpildi, bet konkrētajā gadījumā, analizējot attiecīgo pasākumu kopumu, secināms, ka būtiski daļu ar vides aizsardzību saistīto pasākumu veic pašvaldības, attiecīgo pasākumu finansēšanu sedzot par pašvaldības rīcībā esošajiem finanšu līdzekļiem. Līdz ar to, vērtējot normatīvajos aktos noteiktos pašvaldības pienākumus attiecībā uz atkritumu apsaimniekošanas un vides aizsardzības jomu, kā arī DRN maksājumu izlietošanas mērķa jēgu, LASUA ieskatā, pašvaldībām būtu nepieciešams novirzīt lielāku procentuālo daļu no DRN maksājumiem, kas saistīti ar atkritumu apsaimniekošanas jomu. </w:t>
      </w:r>
    </w:p>
    <w:p w14:paraId="78B21B4E" w14:textId="77777777" w:rsidR="00046355" w:rsidRPr="000F1784" w:rsidRDefault="00046355" w:rsidP="00046355">
      <w:pPr>
        <w:shd w:val="clear" w:color="auto" w:fill="FFFFFF"/>
        <w:spacing w:after="0" w:line="240" w:lineRule="auto"/>
        <w:ind w:firstLine="720"/>
        <w:jc w:val="both"/>
        <w:rPr>
          <w:rFonts w:ascii="Arial" w:eastAsia="Times New Roman" w:hAnsi="Arial" w:cs="Arial"/>
          <w:color w:val="222222"/>
          <w:sz w:val="24"/>
          <w:szCs w:val="24"/>
        </w:rPr>
      </w:pPr>
      <w:r>
        <w:rPr>
          <w:rFonts w:ascii="Book Antiqua" w:hAnsi="Book Antiqua"/>
        </w:rPr>
        <w:t xml:space="preserve">Ņemot vērā iepriekš minēto, </w:t>
      </w:r>
      <w:r w:rsidRPr="000F1784">
        <w:rPr>
          <w:rFonts w:ascii="Book Antiqua" w:eastAsia="Times New Roman" w:hAnsi="Book Antiqua" w:cs="Arial"/>
          <w:b/>
          <w:bCs/>
          <w:color w:val="222222"/>
        </w:rPr>
        <w:t>LASUA aicina Finanšu ministriju un Vides aizsardzības un reģionālas attīstības ministriju pārskatīt pašreiz spēkā esošo DRN sadalījumu starp valsts un pašvaldības pamatbudžetiem, citastarp apsverot iespēju noteikt, ka:</w:t>
      </w:r>
    </w:p>
    <w:p w14:paraId="63CE702D" w14:textId="77777777" w:rsidR="00046355" w:rsidRPr="000F1784" w:rsidRDefault="00046355" w:rsidP="00046355">
      <w:pPr>
        <w:shd w:val="clear" w:color="auto" w:fill="FFFFFF"/>
        <w:spacing w:after="0" w:line="240" w:lineRule="auto"/>
        <w:ind w:left="284" w:hanging="284"/>
        <w:jc w:val="both"/>
        <w:rPr>
          <w:rFonts w:ascii="Arial" w:eastAsia="Times New Roman" w:hAnsi="Arial" w:cs="Arial"/>
          <w:color w:val="222222"/>
          <w:sz w:val="24"/>
          <w:szCs w:val="24"/>
        </w:rPr>
      </w:pPr>
      <w:r>
        <w:rPr>
          <w:rFonts w:ascii="Book Antiqua" w:eastAsia="Times New Roman" w:hAnsi="Book Antiqua" w:cs="Arial"/>
          <w:b/>
          <w:bCs/>
          <w:color w:val="222222"/>
        </w:rPr>
        <w:t xml:space="preserve">a) </w:t>
      </w:r>
      <w:r w:rsidRPr="000F1784">
        <w:rPr>
          <w:rFonts w:ascii="Book Antiqua" w:eastAsia="Times New Roman" w:hAnsi="Book Antiqua" w:cs="Arial"/>
          <w:b/>
          <w:bCs/>
          <w:color w:val="222222"/>
        </w:rPr>
        <w:t>DRN maksājumi par sadzīves un ražošanas atkritumu apglabāšanu tiek sadalīti šādi: 40</w:t>
      </w:r>
      <w:r>
        <w:rPr>
          <w:rFonts w:ascii="Book Antiqua" w:eastAsia="Times New Roman" w:hAnsi="Book Antiqua" w:cs="Arial"/>
          <w:b/>
          <w:bCs/>
          <w:color w:val="222222"/>
        </w:rPr>
        <w:t> </w:t>
      </w:r>
      <w:r w:rsidRPr="000F1784">
        <w:rPr>
          <w:rFonts w:ascii="Book Antiqua" w:eastAsia="Times New Roman" w:hAnsi="Book Antiqua" w:cs="Arial"/>
          <w:b/>
          <w:bCs/>
          <w:color w:val="222222"/>
        </w:rPr>
        <w:t>procenti — vietējās pašvaldības pamatbudžetā, kuras teritorijā tiek veikta atkritumu apglabāšana vai sadedzināšana, 20 procenti – pārējo attiecīgā atkritumu apsaimniekošanas reģionā ietilpstošo pašvaldību pamatbudžetā (proporcionāli iedzīvotāju skaitam), 40 procenti – valsts pamatbudžetā;</w:t>
      </w:r>
    </w:p>
    <w:p w14:paraId="01B25D78" w14:textId="77777777" w:rsidR="00046355" w:rsidRPr="000F1784" w:rsidRDefault="00046355" w:rsidP="00046355">
      <w:pPr>
        <w:shd w:val="clear" w:color="auto" w:fill="FFFFFF"/>
        <w:spacing w:after="0" w:line="240" w:lineRule="auto"/>
        <w:ind w:left="284" w:hanging="284"/>
        <w:jc w:val="both"/>
        <w:rPr>
          <w:rFonts w:ascii="Arial" w:eastAsia="Times New Roman" w:hAnsi="Arial" w:cs="Arial"/>
          <w:color w:val="222222"/>
          <w:sz w:val="24"/>
          <w:szCs w:val="24"/>
        </w:rPr>
      </w:pPr>
      <w:r>
        <w:rPr>
          <w:rFonts w:ascii="Book Antiqua" w:eastAsia="Times New Roman" w:hAnsi="Book Antiqua" w:cs="Arial"/>
          <w:b/>
          <w:bCs/>
          <w:color w:val="222222"/>
        </w:rPr>
        <w:t xml:space="preserve">b) </w:t>
      </w:r>
      <w:r w:rsidRPr="000F1784">
        <w:rPr>
          <w:rFonts w:ascii="Book Antiqua" w:eastAsia="Times New Roman" w:hAnsi="Book Antiqua" w:cs="Arial"/>
          <w:b/>
          <w:bCs/>
          <w:color w:val="222222"/>
        </w:rPr>
        <w:t>DRN maksājumi par </w:t>
      </w:r>
      <w:r w:rsidRPr="000F1784">
        <w:rPr>
          <w:rFonts w:ascii="Arial" w:eastAsia="Times New Roman" w:hAnsi="Arial" w:cs="Arial"/>
          <w:color w:val="222222"/>
          <w:sz w:val="24"/>
          <w:szCs w:val="24"/>
        </w:rPr>
        <w:t> </w:t>
      </w:r>
      <w:r w:rsidRPr="000F1784">
        <w:rPr>
          <w:rFonts w:ascii="Book Antiqua" w:eastAsia="Times New Roman" w:hAnsi="Book Antiqua" w:cs="Arial"/>
          <w:b/>
          <w:bCs/>
          <w:color w:val="222222"/>
        </w:rPr>
        <w:t>atkritumu sadedzināšanu tiek sadalīti šādi: 60 procenti — vietējās pašvaldības pamatbudžetā, kuras teritorijā tiek veikta atkritumu sadedzināšana, 40 procenti – valsts pamatbudžetā.</w:t>
      </w:r>
    </w:p>
    <w:p w14:paraId="32B88662" w14:textId="77777777" w:rsidR="00046355" w:rsidRDefault="00046355" w:rsidP="00046355">
      <w:pPr>
        <w:spacing w:after="0" w:line="240" w:lineRule="auto"/>
        <w:ind w:firstLine="720"/>
        <w:jc w:val="both"/>
        <w:rPr>
          <w:rFonts w:ascii="Book Antiqua" w:hAnsi="Book Antiqua"/>
          <w:b/>
          <w:bCs/>
        </w:rPr>
      </w:pPr>
    </w:p>
    <w:p w14:paraId="6C082382" w14:textId="77777777" w:rsidR="00046355" w:rsidRPr="00E32102" w:rsidRDefault="00046355" w:rsidP="00046355">
      <w:pPr>
        <w:spacing w:after="0" w:line="240" w:lineRule="auto"/>
        <w:jc w:val="both"/>
        <w:rPr>
          <w:rFonts w:ascii="Book Antiqua" w:hAnsi="Book Antiqua"/>
        </w:rPr>
      </w:pPr>
      <w:r w:rsidRPr="00E32102">
        <w:rPr>
          <w:rFonts w:ascii="Book Antiqua" w:hAnsi="Book Antiqua"/>
        </w:rPr>
        <w:t>Ar cieņu</w:t>
      </w:r>
    </w:p>
    <w:p w14:paraId="0F473521" w14:textId="77777777" w:rsidR="00046355" w:rsidRDefault="00046355" w:rsidP="00046355">
      <w:pPr>
        <w:spacing w:after="0" w:line="240" w:lineRule="auto"/>
        <w:jc w:val="both"/>
        <w:rPr>
          <w:rFonts w:ascii="Book Antiqua" w:hAnsi="Book Antiqua"/>
        </w:rPr>
      </w:pPr>
    </w:p>
    <w:p w14:paraId="39CDF30D" w14:textId="77777777" w:rsidR="00046355" w:rsidRPr="00E32102" w:rsidRDefault="00046355" w:rsidP="00046355">
      <w:pPr>
        <w:spacing w:after="0" w:line="240" w:lineRule="auto"/>
        <w:jc w:val="both"/>
        <w:rPr>
          <w:rFonts w:ascii="Book Antiqua" w:hAnsi="Book Antiqua"/>
        </w:rPr>
      </w:pPr>
    </w:p>
    <w:p w14:paraId="2CF21F2D" w14:textId="77777777" w:rsidR="00046355" w:rsidRPr="00E32102" w:rsidRDefault="00046355" w:rsidP="00046355">
      <w:pPr>
        <w:spacing w:after="0" w:line="240" w:lineRule="auto"/>
        <w:jc w:val="both"/>
        <w:rPr>
          <w:rFonts w:ascii="Book Antiqua" w:hAnsi="Book Antiqua"/>
        </w:rPr>
      </w:pPr>
      <w:r w:rsidRPr="00E32102">
        <w:rPr>
          <w:rFonts w:ascii="Book Antiqua" w:hAnsi="Book Antiqua"/>
        </w:rPr>
        <w:t>Izpilddirekcijas vadītājs,</w:t>
      </w:r>
    </w:p>
    <w:p w14:paraId="5FA2D8F0" w14:textId="77777777" w:rsidR="00046355" w:rsidRPr="00E32102" w:rsidRDefault="00046355" w:rsidP="00046355">
      <w:pPr>
        <w:spacing w:after="0" w:line="240" w:lineRule="auto"/>
        <w:jc w:val="both"/>
        <w:rPr>
          <w:rFonts w:ascii="Book Antiqua" w:hAnsi="Book Antiqua"/>
        </w:rPr>
      </w:pPr>
      <w:r w:rsidRPr="00E32102">
        <w:rPr>
          <w:rFonts w:ascii="Book Antiqua" w:hAnsi="Book Antiqua"/>
        </w:rPr>
        <w:t xml:space="preserve">Valdes loceklis </w:t>
      </w:r>
      <w:r w:rsidRPr="00E32102">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                                                  </w:t>
      </w:r>
      <w:r w:rsidRPr="00E32102">
        <w:rPr>
          <w:rFonts w:ascii="Book Antiqua" w:hAnsi="Book Antiqua"/>
        </w:rPr>
        <w:t>Armands Nikolajevs</w:t>
      </w:r>
    </w:p>
    <w:p w14:paraId="056955FE" w14:textId="77777777" w:rsidR="00046355" w:rsidRPr="00E32102" w:rsidRDefault="00046355" w:rsidP="00046355">
      <w:pPr>
        <w:spacing w:after="0" w:line="240" w:lineRule="auto"/>
        <w:jc w:val="both"/>
        <w:rPr>
          <w:rFonts w:ascii="Book Antiqua" w:hAnsi="Book Antiqua"/>
        </w:rPr>
      </w:pPr>
    </w:p>
    <w:p w14:paraId="3514ACD8" w14:textId="77777777" w:rsidR="00046355" w:rsidRPr="00E32102" w:rsidRDefault="00046355" w:rsidP="00046355">
      <w:pPr>
        <w:spacing w:after="0" w:line="240" w:lineRule="auto"/>
        <w:jc w:val="both"/>
        <w:rPr>
          <w:rFonts w:ascii="Book Antiqua" w:hAnsi="Book Antiqua"/>
        </w:rPr>
      </w:pPr>
    </w:p>
    <w:p w14:paraId="75379D74" w14:textId="77777777" w:rsidR="00046355" w:rsidRPr="00E32102" w:rsidRDefault="00046355" w:rsidP="00046355">
      <w:pPr>
        <w:spacing w:after="0" w:line="240" w:lineRule="auto"/>
        <w:jc w:val="center"/>
        <w:rPr>
          <w:rFonts w:ascii="Book Antiqua" w:hAnsi="Book Antiqua"/>
          <w:i/>
          <w:iCs/>
        </w:rPr>
      </w:pPr>
      <w:r w:rsidRPr="00E32102">
        <w:rPr>
          <w:rFonts w:ascii="Book Antiqua" w:hAnsi="Book Antiqua"/>
          <w:i/>
          <w:iCs/>
        </w:rPr>
        <w:t>Dokuments parakstīts ar drošu elektronisko parakstu un satur laika zīmogu</w:t>
      </w:r>
    </w:p>
    <w:p w14:paraId="78B1196B" w14:textId="77777777" w:rsidR="002678E7" w:rsidRPr="002678E7" w:rsidRDefault="002678E7" w:rsidP="00AF34A6">
      <w:pPr>
        <w:spacing w:after="0" w:line="240" w:lineRule="auto"/>
        <w:jc w:val="right"/>
      </w:pPr>
    </w:p>
    <w:sectPr w:rsidR="002678E7" w:rsidRPr="002678E7">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69854" w14:textId="77777777" w:rsidR="00003AC7" w:rsidRDefault="00003AC7" w:rsidP="00B64C6F">
      <w:pPr>
        <w:spacing w:after="0" w:line="240" w:lineRule="auto"/>
      </w:pPr>
      <w:r>
        <w:separator/>
      </w:r>
    </w:p>
  </w:endnote>
  <w:endnote w:type="continuationSeparator" w:id="0">
    <w:p w14:paraId="0DDB0CF1" w14:textId="77777777" w:rsidR="00003AC7" w:rsidRDefault="00003AC7" w:rsidP="00B64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1D235" w14:textId="77777777" w:rsidR="00B64C6F" w:rsidRDefault="00B64C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1F061" w14:textId="77777777" w:rsidR="00B64C6F" w:rsidRDefault="00B64C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05CFB" w14:textId="77777777" w:rsidR="00B64C6F" w:rsidRDefault="00B64C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53AFF" w14:textId="77777777" w:rsidR="00003AC7" w:rsidRDefault="00003AC7" w:rsidP="00B64C6F">
      <w:pPr>
        <w:spacing w:after="0" w:line="240" w:lineRule="auto"/>
      </w:pPr>
      <w:r>
        <w:separator/>
      </w:r>
    </w:p>
  </w:footnote>
  <w:footnote w:type="continuationSeparator" w:id="0">
    <w:p w14:paraId="52C4F262" w14:textId="77777777" w:rsidR="00003AC7" w:rsidRDefault="00003AC7" w:rsidP="00B64C6F">
      <w:pPr>
        <w:spacing w:after="0" w:line="240" w:lineRule="auto"/>
      </w:pPr>
      <w:r>
        <w:continuationSeparator/>
      </w:r>
    </w:p>
  </w:footnote>
  <w:footnote w:id="1">
    <w:p w14:paraId="71A053D0" w14:textId="77777777" w:rsidR="00046355" w:rsidRDefault="00046355" w:rsidP="00046355">
      <w:pPr>
        <w:pStyle w:val="FootnoteText"/>
        <w:jc w:val="both"/>
        <w:rPr>
          <w:rFonts w:ascii="Book Antiqua" w:hAnsi="Book Antiqua"/>
          <w:lang w:val="lv-LV"/>
        </w:rPr>
      </w:pPr>
      <w:r>
        <w:rPr>
          <w:rStyle w:val="FootnoteReference"/>
          <w:rFonts w:ascii="Book Antiqua" w:hAnsi="Book Antiqua"/>
          <w:lang w:val="lv-LV"/>
        </w:rPr>
        <w:footnoteRef/>
      </w:r>
      <w:r>
        <w:rPr>
          <w:rFonts w:ascii="Book Antiqua" w:hAnsi="Book Antiqua"/>
          <w:lang w:val="lv-LV"/>
        </w:rPr>
        <w:t xml:space="preserve"> Satversmes tiesas tiesneša Gunāra Kusiņa atsevišķās domas lietā Nr. 2016-14-01 “Par Solidaritātes nodokļa likuma 3., 5., 6., 7. un 9. panta atbilstību Latvijas Republikas Satversmes 91. panta pirmajam teikumam un 109. pantam”, 2017. gada 2. novembris, pieejams: https://www.satv.tiesa.gov.lv/wp-content/uploads/2016/07/2016-14-01_atseviskas_domas_Kusins.pdf</w:t>
      </w:r>
    </w:p>
  </w:footnote>
  <w:footnote w:id="2">
    <w:p w14:paraId="2EBC4953" w14:textId="77777777" w:rsidR="00046355" w:rsidRDefault="00046355" w:rsidP="00046355">
      <w:pPr>
        <w:pStyle w:val="FootnoteText"/>
        <w:jc w:val="both"/>
        <w:rPr>
          <w:lang w:val="lv-LV"/>
        </w:rPr>
      </w:pPr>
      <w:r>
        <w:rPr>
          <w:rStyle w:val="FootnoteReference"/>
          <w:rFonts w:ascii="Book Antiqua" w:hAnsi="Book Antiqua"/>
        </w:rPr>
        <w:footnoteRef/>
      </w:r>
      <w:r>
        <w:rPr>
          <w:rFonts w:ascii="Book Antiqua" w:hAnsi="Book Antiqua"/>
        </w:rPr>
        <w:t xml:space="preserve"> </w:t>
      </w:r>
      <w:r>
        <w:rPr>
          <w:rFonts w:ascii="Book Antiqua" w:hAnsi="Book Antiqua"/>
          <w:lang w:val="lv-LV"/>
        </w:rPr>
        <w:t>Latvijas Republikas Satversmes tiesas 2015. gada 25. marta spriedums lietā Nr. 2014-11-0103, pieejams: https://www.satv.tiesa.gov.lv/web/viewer.html?file=/wp-content/uploads/2016/02/2014-11-0103_Spriedums.pdf#search=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FB83F" w14:textId="77777777" w:rsidR="00B64C6F" w:rsidRDefault="00B91238">
    <w:pPr>
      <w:pStyle w:val="Header"/>
    </w:pPr>
    <w:r>
      <w:rPr>
        <w:noProof/>
      </w:rPr>
      <w:pict w14:anchorId="0CCD8E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18286" o:spid="_x0000_s1029" type="#_x0000_t75" style="position:absolute;margin-left:0;margin-top:0;width:565.9pt;height:800pt;z-index:-251657216;mso-position-horizontal:center;mso-position-horizontal-relative:margin;mso-position-vertical:center;mso-position-vertical-relative:margin" o:allowincell="f">
          <v:imagedata r:id="rId1" o:title="LASUA_veidlapa_202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E18E2" w14:textId="77777777" w:rsidR="00B64C6F" w:rsidRDefault="00B91238">
    <w:pPr>
      <w:pStyle w:val="Header"/>
    </w:pPr>
    <w:r>
      <w:rPr>
        <w:noProof/>
      </w:rPr>
      <w:pict w14:anchorId="44DA71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18287" o:spid="_x0000_s1030" type="#_x0000_t75" style="position:absolute;margin-left:0;margin-top:0;width:565.9pt;height:800pt;z-index:-251656192;mso-position-horizontal:center;mso-position-horizontal-relative:margin;mso-position-vertical:center;mso-position-vertical-relative:margin" o:allowincell="f">
          <v:imagedata r:id="rId1" o:title="LASUA_veidlapa_2020-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0CB14" w14:textId="77777777" w:rsidR="00B64C6F" w:rsidRDefault="00B91238">
    <w:pPr>
      <w:pStyle w:val="Header"/>
    </w:pPr>
    <w:r>
      <w:rPr>
        <w:noProof/>
      </w:rPr>
      <w:pict w14:anchorId="0B3E4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18285" o:spid="_x0000_s1028" type="#_x0000_t75" style="position:absolute;margin-left:0;margin-top:0;width:565.9pt;height:800pt;z-index:-251658240;mso-position-horizontal:center;mso-position-horizontal-relative:margin;mso-position-vertical:center;mso-position-vertical-relative:margin" o:allowincell="f">
          <v:imagedata r:id="rId1" o:title="LASUA_veidlapa_2020-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541DF"/>
    <w:multiLevelType w:val="hybridMultilevel"/>
    <w:tmpl w:val="98F0C38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78236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46C"/>
    <w:rsid w:val="00003AC7"/>
    <w:rsid w:val="00046355"/>
    <w:rsid w:val="002678E7"/>
    <w:rsid w:val="003F31D6"/>
    <w:rsid w:val="00406927"/>
    <w:rsid w:val="00465769"/>
    <w:rsid w:val="004B1E93"/>
    <w:rsid w:val="005364DE"/>
    <w:rsid w:val="006B4EE8"/>
    <w:rsid w:val="0077646C"/>
    <w:rsid w:val="00AF34A6"/>
    <w:rsid w:val="00B64C6F"/>
    <w:rsid w:val="00B91238"/>
    <w:rsid w:val="00CA10DC"/>
    <w:rsid w:val="00D971DD"/>
    <w:rsid w:val="00E136C9"/>
    <w:rsid w:val="00ED4080"/>
    <w:rsid w:val="00FA0C50"/>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32521"/>
  <w15:docId w15:val="{0ACD82BF-3570-416E-8FA0-7730F122D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C33D74"/>
    <w:rPr>
      <w:rFonts w:ascii="Segoe UI" w:hAnsi="Segoe UI" w:cs="Segoe UI"/>
      <w:sz w:val="18"/>
      <w:szCs w:val="18"/>
    </w:rPr>
  </w:style>
  <w:style w:type="character" w:customStyle="1" w:styleId="HeaderChar">
    <w:name w:val="Header Char"/>
    <w:basedOn w:val="DefaultParagraphFont"/>
    <w:link w:val="Header"/>
    <w:uiPriority w:val="99"/>
    <w:rsid w:val="00C33D74"/>
  </w:style>
  <w:style w:type="character" w:customStyle="1" w:styleId="FooterChar">
    <w:name w:val="Footer Char"/>
    <w:basedOn w:val="DefaultParagraphFont"/>
    <w:link w:val="Footer"/>
    <w:uiPriority w:val="99"/>
    <w:rsid w:val="00C33D74"/>
  </w:style>
  <w:style w:type="paragraph" w:customStyle="1" w:styleId="Heading">
    <w:name w:val="Heading"/>
    <w:basedOn w:val="Normal"/>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Normal"/>
    <w:pPr>
      <w:spacing w:after="140" w:line="288" w:lineRule="auto"/>
    </w:pPr>
  </w:style>
  <w:style w:type="paragraph" w:styleId="List">
    <w:name w:val="List"/>
    <w:basedOn w:val="TextBody"/>
    <w:rPr>
      <w:rFonts w:cs="Arial"/>
    </w:rPr>
  </w:style>
  <w:style w:type="paragraph" w:styleId="Caption">
    <w:name w:val="caption"/>
    <w:basedOn w:val="Normal"/>
    <w:pPr>
      <w:suppressLineNumbers/>
      <w:spacing w:before="120" w:after="120"/>
    </w:pPr>
    <w:rPr>
      <w:rFonts w:cs="Arial"/>
      <w:i/>
      <w:iCs/>
      <w:sz w:val="24"/>
      <w:szCs w:val="24"/>
    </w:rPr>
  </w:style>
  <w:style w:type="paragraph" w:customStyle="1" w:styleId="Index">
    <w:name w:val="Index"/>
    <w:basedOn w:val="Normal"/>
    <w:pPr>
      <w:suppressLineNumbers/>
    </w:pPr>
    <w:rPr>
      <w:rFonts w:cs="Arial"/>
    </w:rPr>
  </w:style>
  <w:style w:type="paragraph" w:styleId="BalloonText">
    <w:name w:val="Balloon Text"/>
    <w:basedOn w:val="Normal"/>
    <w:link w:val="BalloonTextChar"/>
    <w:uiPriority w:val="99"/>
    <w:semiHidden/>
    <w:unhideWhenUsed/>
    <w:rsid w:val="00C33D74"/>
    <w:pPr>
      <w:spacing w:after="0" w:line="240" w:lineRule="auto"/>
    </w:pPr>
    <w:rPr>
      <w:rFonts w:ascii="Segoe UI" w:hAnsi="Segoe UI" w:cs="Segoe UI"/>
      <w:sz w:val="18"/>
      <w:szCs w:val="18"/>
    </w:rPr>
  </w:style>
  <w:style w:type="paragraph" w:styleId="Header">
    <w:name w:val="header"/>
    <w:basedOn w:val="Normal"/>
    <w:link w:val="HeaderChar"/>
    <w:uiPriority w:val="99"/>
    <w:unhideWhenUsed/>
    <w:rsid w:val="00C33D74"/>
    <w:pPr>
      <w:tabs>
        <w:tab w:val="center" w:pos="4153"/>
        <w:tab w:val="right" w:pos="8306"/>
      </w:tabs>
      <w:spacing w:after="0" w:line="240" w:lineRule="auto"/>
    </w:pPr>
  </w:style>
  <w:style w:type="paragraph" w:styleId="Footer">
    <w:name w:val="footer"/>
    <w:basedOn w:val="Normal"/>
    <w:link w:val="FooterChar"/>
    <w:uiPriority w:val="99"/>
    <w:unhideWhenUsed/>
    <w:rsid w:val="00C33D74"/>
    <w:pPr>
      <w:tabs>
        <w:tab w:val="center" w:pos="4153"/>
        <w:tab w:val="right" w:pos="8306"/>
      </w:tabs>
      <w:spacing w:after="0" w:line="240" w:lineRule="auto"/>
    </w:pPr>
  </w:style>
  <w:style w:type="character" w:styleId="Hyperlink">
    <w:name w:val="Hyperlink"/>
    <w:basedOn w:val="DefaultParagraphFont"/>
    <w:uiPriority w:val="99"/>
    <w:unhideWhenUsed/>
    <w:rsid w:val="00406927"/>
    <w:rPr>
      <w:color w:val="0563C1" w:themeColor="hyperlink"/>
      <w:u w:val="single"/>
    </w:rPr>
  </w:style>
  <w:style w:type="paragraph" w:styleId="PlainText">
    <w:name w:val="Plain Text"/>
    <w:basedOn w:val="Normal"/>
    <w:link w:val="PlainTextChar"/>
    <w:uiPriority w:val="99"/>
    <w:semiHidden/>
    <w:unhideWhenUsed/>
    <w:qFormat/>
    <w:rsid w:val="00CA10DC"/>
    <w:pPr>
      <w:suppressAutoHyphens w:val="0"/>
      <w:spacing w:after="0" w:line="240" w:lineRule="auto"/>
    </w:pPr>
    <w:rPr>
      <w:rFonts w:ascii="Calibri" w:hAnsi="Calibri" w:cs="Consolas"/>
      <w:szCs w:val="21"/>
      <w:lang w:val="en-US"/>
    </w:rPr>
  </w:style>
  <w:style w:type="character" w:customStyle="1" w:styleId="PlainTextChar">
    <w:name w:val="Plain Text Char"/>
    <w:basedOn w:val="DefaultParagraphFont"/>
    <w:link w:val="PlainText"/>
    <w:uiPriority w:val="99"/>
    <w:semiHidden/>
    <w:qFormat/>
    <w:rsid w:val="00CA10DC"/>
    <w:rPr>
      <w:rFonts w:ascii="Calibri" w:hAnsi="Calibri" w:cs="Consolas"/>
      <w:szCs w:val="21"/>
      <w:lang w:val="en-US"/>
    </w:rPr>
  </w:style>
  <w:style w:type="paragraph" w:styleId="NoSpacing">
    <w:name w:val="No Spacing"/>
    <w:uiPriority w:val="1"/>
    <w:qFormat/>
    <w:rsid w:val="00CA10DC"/>
    <w:pPr>
      <w:spacing w:line="240" w:lineRule="auto"/>
    </w:pPr>
    <w:rPr>
      <w:lang w:val="en-US"/>
    </w:rPr>
  </w:style>
  <w:style w:type="paragraph" w:styleId="ListParagraph">
    <w:name w:val="List Paragraph"/>
    <w:basedOn w:val="Normal"/>
    <w:uiPriority w:val="34"/>
    <w:qFormat/>
    <w:rsid w:val="00CA10DC"/>
    <w:pPr>
      <w:suppressAutoHyphens w:val="0"/>
      <w:spacing w:after="200" w:line="276" w:lineRule="auto"/>
      <w:ind w:left="720"/>
      <w:contextualSpacing/>
    </w:pPr>
    <w:rPr>
      <w:lang w:val="en-US"/>
    </w:rPr>
  </w:style>
  <w:style w:type="paragraph" w:styleId="FootnoteText">
    <w:name w:val="footnote text"/>
    <w:basedOn w:val="Normal"/>
    <w:link w:val="FootnoteTextChar"/>
    <w:uiPriority w:val="99"/>
    <w:semiHidden/>
    <w:unhideWhenUsed/>
    <w:rsid w:val="00046355"/>
    <w:pPr>
      <w:suppressAutoHyphens w:val="0"/>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046355"/>
    <w:rPr>
      <w:sz w:val="20"/>
      <w:szCs w:val="20"/>
      <w:lang w:val="en-US"/>
    </w:rPr>
  </w:style>
  <w:style w:type="character" w:styleId="FootnoteReference">
    <w:name w:val="footnote reference"/>
    <w:basedOn w:val="DefaultParagraphFont"/>
    <w:uiPriority w:val="99"/>
    <w:semiHidden/>
    <w:unhideWhenUsed/>
    <w:rsid w:val="000463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asts@varam.gov.lv"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asts@fm.gov.lv"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4775</Words>
  <Characters>2723</Characters>
  <Application>Microsoft Office Word</Application>
  <DocSecurity>0</DocSecurity>
  <Lines>22</Lines>
  <Paragraphs>14</Paragraphs>
  <ScaleCrop>false</ScaleCrop>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Tatjana Alekse</cp:lastModifiedBy>
  <cp:revision>2</cp:revision>
  <cp:lastPrinted>2020-09-18T13:58:00Z</cp:lastPrinted>
  <dcterms:created xsi:type="dcterms:W3CDTF">2023-07-18T11:33:00Z</dcterms:created>
  <dcterms:modified xsi:type="dcterms:W3CDTF">2023-07-18T11:33:00Z</dcterms:modified>
  <dc:language>lv-LV</dc:language>
</cp:coreProperties>
</file>