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474" w:rsidRPr="00B63B37" w:rsidRDefault="00834D1C" w:rsidP="00834D1C">
      <w:r w:rsidRPr="00B63B37">
        <w:t xml:space="preserve">Uz </w:t>
      </w:r>
      <w:r w:rsidR="00476FC1" w:rsidRPr="00B63B37">
        <w:t>19.08</w:t>
      </w:r>
      <w:r w:rsidRPr="00B63B37">
        <w:t>.20</w:t>
      </w:r>
      <w:r w:rsidR="00CB40FE" w:rsidRPr="00B63B37">
        <w:t>21</w:t>
      </w:r>
      <w:r w:rsidRPr="00B63B37">
        <w:t>. VSS prot. Nr. </w:t>
      </w:r>
      <w:r w:rsidR="00476FC1" w:rsidRPr="00B63B37">
        <w:t>29</w:t>
      </w:r>
      <w:r w:rsidRPr="00B63B37">
        <w:t xml:space="preserve"> </w:t>
      </w:r>
      <w:r w:rsidR="00476FC1" w:rsidRPr="00B63B37">
        <w:t>21</w:t>
      </w:r>
      <w:r w:rsidRPr="00B63B37">
        <w:t>. § (VSS-</w:t>
      </w:r>
      <w:r w:rsidR="00755E64" w:rsidRPr="00B63B37">
        <w:t>776</w:t>
      </w:r>
      <w:r w:rsidRPr="00B63B37">
        <w:t>)</w:t>
      </w:r>
    </w:p>
    <w:p w:rsidR="00441F52" w:rsidRPr="00B63B37" w:rsidRDefault="00441F52" w:rsidP="00726E06"/>
    <w:p w:rsidR="00A66827" w:rsidRPr="00B63B37" w:rsidRDefault="00A66827" w:rsidP="00726E06"/>
    <w:p w:rsidR="00830970" w:rsidRPr="00B63B37" w:rsidRDefault="00755E64" w:rsidP="00834D1C">
      <w:pPr>
        <w:jc w:val="right"/>
        <w:rPr>
          <w:b/>
        </w:rPr>
      </w:pPr>
      <w:r w:rsidRPr="00B63B37">
        <w:rPr>
          <w:b/>
        </w:rPr>
        <w:t xml:space="preserve">Satiksmes </w:t>
      </w:r>
      <w:r w:rsidR="00834D1C" w:rsidRPr="00B63B37">
        <w:rPr>
          <w:b/>
        </w:rPr>
        <w:t>ministrijai</w:t>
      </w:r>
    </w:p>
    <w:p w:rsidR="00834D1C" w:rsidRPr="00B63B37" w:rsidRDefault="00834D1C" w:rsidP="00834D1C">
      <w:pPr>
        <w:jc w:val="right"/>
      </w:pPr>
    </w:p>
    <w:p w:rsidR="00A66827" w:rsidRPr="00B63B37" w:rsidRDefault="00A66827" w:rsidP="00834D1C">
      <w:pPr>
        <w:jc w:val="right"/>
      </w:pPr>
    </w:p>
    <w:p w:rsidR="00834D1C" w:rsidRPr="00B63B37" w:rsidRDefault="00834D1C" w:rsidP="00755E64">
      <w:pPr>
        <w:ind w:right="4896"/>
        <w:rPr>
          <w:i/>
          <w:iCs/>
        </w:rPr>
      </w:pPr>
      <w:r w:rsidRPr="00B63B37">
        <w:rPr>
          <w:i/>
          <w:iCs/>
        </w:rPr>
        <w:t xml:space="preserve">Par </w:t>
      </w:r>
      <w:r w:rsidR="00755E64" w:rsidRPr="00B63B37">
        <w:rPr>
          <w:i/>
          <w:iCs/>
        </w:rPr>
        <w:t>Ministru kabineta noteikumu projektu "Radioiekārtu atbilstības novērtēšanas, piedāvāšanas tirgū, uzstādīšanas un lietošanas noteikumi"</w:t>
      </w:r>
    </w:p>
    <w:p w:rsidR="00834D1C" w:rsidRPr="00B63B37" w:rsidRDefault="00834D1C" w:rsidP="00834D1C"/>
    <w:p w:rsidR="00834D1C" w:rsidRPr="00B63B37" w:rsidRDefault="00834D1C" w:rsidP="00834D1C"/>
    <w:p w:rsidR="00834D1C" w:rsidRPr="00B63B37" w:rsidRDefault="00834D1C" w:rsidP="00834D1C">
      <w:pPr>
        <w:ind w:firstLine="720"/>
      </w:pPr>
      <w:r w:rsidRPr="00B63B37">
        <w:t xml:space="preserve">Tieslietu ministrija ir izskatījusi </w:t>
      </w:r>
      <w:r w:rsidR="00755E64" w:rsidRPr="00B63B37">
        <w:t>Satiksmes</w:t>
      </w:r>
      <w:r w:rsidRPr="00B63B37">
        <w:t xml:space="preserve"> ministrijas sagatavoto Ministru kabineta noteikumu projektu "</w:t>
      </w:r>
      <w:r w:rsidR="00755E64" w:rsidRPr="00B63B37">
        <w:t>Radioiekārtu atbilstības novērtēšanas, piedāvāšanas tirgū, uzstādīšanas un lietošanas noteikumi</w:t>
      </w:r>
      <w:r w:rsidRPr="00B63B37">
        <w:t xml:space="preserve">" (turpmāk – projekts) un </w:t>
      </w:r>
      <w:r w:rsidR="00755E64" w:rsidRPr="00E65D50">
        <w:rPr>
          <w:b/>
          <w:bCs/>
          <w:highlight w:val="yellow"/>
        </w:rPr>
        <w:t>ne</w:t>
      </w:r>
      <w:r w:rsidRPr="00E65D50">
        <w:rPr>
          <w:b/>
          <w:bCs/>
          <w:highlight w:val="yellow"/>
        </w:rPr>
        <w:t>atbalsta tā tālāku virzību</w:t>
      </w:r>
      <w:r w:rsidRPr="00B63B37">
        <w:t>, izsakot šādus iebildumus:</w:t>
      </w:r>
    </w:p>
    <w:p w:rsidR="00834D1C" w:rsidRPr="00B63B37" w:rsidRDefault="00755E64" w:rsidP="00834D1C">
      <w:r w:rsidRPr="00B63B37">
        <w:tab/>
        <w:t>1. Projekta izdošanas tiesiskais pamats ir likuma "Par atbilstības novērtēšanu" 7. pants un Elektronisko sakaru likuma 33. panta otrā daļa. Projekta sākotnējās ietekmes novērtējuma ziņojumā (turpmāk – anotācija) norādīts, ka projekts sagatavots, jo izstrādāts likumprojekts "Elektronisko sakaru likums"</w:t>
      </w:r>
      <w:r w:rsidR="0067175A" w:rsidRPr="00B63B37">
        <w:t xml:space="preserve"> (turpmāk – Likumprojekts)</w:t>
      </w:r>
      <w:r w:rsidRPr="00B63B37">
        <w:t>, pēc kura spēkā stāšanās spēku zaudēs visi uz tā pamata izdotie Ministru kabineta noteikumi. Valsts iestāžu juridisko dienestu vadītāju 2010. gada 12. marta sanāksmes protokola Nr. 2 1. § "Par grozījumiem Ministru kabineta 2009. gada 7. aprīļa noteikumos Nr. 300 "Ministru kabineta kārtības rullis" (Ministru kabineta 2010. gada 23. februāra noteikumi Nr. 170)" 8. punktā noteiktais paredz, ka likumprojektā paredzētus noteikumu projektus izskata Valsts sekretāru sanāksmē, kad likumprojekts pieņemts 2. lasījumā, savukārt Ministru kabinetā šādus noteikumu projektus izskata, kad likumprojekts pieņemts 3. lasījumā. Likumprojekts vēl nav apstiprināts Ministru kabinetā</w:t>
      </w:r>
      <w:r w:rsidR="00D34F04" w:rsidRPr="00B63B37">
        <w:t xml:space="preserve"> un iesniegts Saeimā</w:t>
      </w:r>
      <w:r w:rsidRPr="00B63B37">
        <w:t xml:space="preserve">. Ņemot vērā minēto, lūdzam nodrošināt projekta turpmāku virzību pēc </w:t>
      </w:r>
      <w:r w:rsidR="0067175A" w:rsidRPr="00B63B37">
        <w:t>L</w:t>
      </w:r>
      <w:r w:rsidRPr="00B63B37">
        <w:t xml:space="preserve">ikumprojekta pieņemšanas Saeimā 3. lasījumā, ja projektu līdz </w:t>
      </w:r>
      <w:r w:rsidR="0067175A" w:rsidRPr="00B63B37">
        <w:t>Li</w:t>
      </w:r>
      <w:r w:rsidRPr="00B63B37">
        <w:t>kumprojekta izskatīšanai Saeimā 3. lasījumā nevar izdot</w:t>
      </w:r>
      <w:r w:rsidR="00080148" w:rsidRPr="00B63B37">
        <w:t>,</w:t>
      </w:r>
      <w:r w:rsidRPr="00B63B37">
        <w:t xml:space="preserve"> pamatojoties </w:t>
      </w:r>
      <w:r w:rsidR="00D34F04" w:rsidRPr="00B63B37">
        <w:t xml:space="preserve">tikai </w:t>
      </w:r>
      <w:r w:rsidRPr="00B63B37">
        <w:t>uz likuma "Par atbilstības novērtēšanu" 7. pant</w:t>
      </w:r>
      <w:r w:rsidR="0067175A" w:rsidRPr="00B63B37">
        <w:t>u</w:t>
      </w:r>
      <w:r w:rsidRPr="00B63B37">
        <w:t>.</w:t>
      </w:r>
    </w:p>
    <w:p w:rsidR="00EA7506" w:rsidRPr="00B63B37" w:rsidRDefault="0067175A" w:rsidP="00153AD6">
      <w:r w:rsidRPr="00B63B37">
        <w:tab/>
        <w:t>2. </w:t>
      </w:r>
      <w:r w:rsidR="00971232" w:rsidRPr="00B63B37">
        <w:t>Ministru kabineta 2009. gada 3. februāra noteikumu Nr. 108 "Normatīvo aktu projektu sagatavošanas noteikumi" (turpmāk – sagatavošanas noteikumi) 90. punkts paredz, ka Ministru kabineta noteikumu projekta nosaukumu veido iespējami īsu un atbilstošu likumā noteiktajam pilnvarojumam Ministru kabinetam un noteikumu saturam. Projekta nosaukumā ietverti vārdi "</w:t>
      </w:r>
      <w:r w:rsidR="00971232" w:rsidRPr="00E65D50">
        <w:rPr>
          <w:highlight w:val="yellow"/>
        </w:rPr>
        <w:t>radioiekārtu atbilstības novērtēšana</w:t>
      </w:r>
      <w:r w:rsidR="00971232" w:rsidRPr="00B63B37">
        <w:t xml:space="preserve">". Vēršam uzmanību, ka no likuma "Par atbilstības novērtēšanu" 7. panta un Likumprojekta 33. panta otrajā daļā ietvertā pilnvarojuma neizriet, ka Ministru kabinets ir pilnvarots noteikt radioiekārtu atbilstības novērtēšanu. Ministru kabinets ir pilnvarots noteikt radioiekārtu (konkrētā atbilstības novērtēšanas objekta) būtiskās prasības un to ievērošanas uzraudzības mehānismu, taču ne radioiekārtu atbilstības novērtēšanas kārtību. Ņemot </w:t>
      </w:r>
      <w:r w:rsidR="00971232" w:rsidRPr="00B63B37">
        <w:lastRenderedPageBreak/>
        <w:t xml:space="preserve">vērā </w:t>
      </w:r>
      <w:r w:rsidR="00971232" w:rsidRPr="00E65D50">
        <w:rPr>
          <w:highlight w:val="yellow"/>
        </w:rPr>
        <w:t>minēto, lūdzam precizēt projekta nosaukumu</w:t>
      </w:r>
      <w:r w:rsidR="00971232" w:rsidRPr="00B63B37">
        <w:t>.</w:t>
      </w:r>
    </w:p>
    <w:p w:rsidR="0067175A" w:rsidRPr="00B63B37" w:rsidRDefault="00EA7506" w:rsidP="00EA7506">
      <w:pPr>
        <w:ind w:firstLine="720"/>
      </w:pPr>
      <w:r w:rsidRPr="00B63B37">
        <w:t>3. </w:t>
      </w:r>
      <w:r w:rsidR="0067175A" w:rsidRPr="00B63B37">
        <w:t>Likuma "Par atbilstības novērtēšanu" 7. pant</w:t>
      </w:r>
      <w:r w:rsidR="00153AD6" w:rsidRPr="00B63B37">
        <w:t>a pirmā un otrā daļa</w:t>
      </w:r>
      <w:r w:rsidR="0067175A" w:rsidRPr="00B63B37">
        <w:t>, kas ir projekta izdošanas tiesiskais pamats, paredz</w:t>
      </w:r>
      <w:r w:rsidR="00153AD6" w:rsidRPr="00B63B37">
        <w:t xml:space="preserve">, ka Ministru kabinets nosaka </w:t>
      </w:r>
      <w:bookmarkStart w:id="0" w:name="_Hlk81404682"/>
      <w:bookmarkStart w:id="1" w:name="_Hlk81403958"/>
      <w:r w:rsidR="00153AD6" w:rsidRPr="00B63B37">
        <w:t xml:space="preserve">konkrētā atbilstības novērtēšanas objekta būtiskās prasības un to ievērošanas uzraudzības mehānismu </w:t>
      </w:r>
      <w:bookmarkEnd w:id="0"/>
      <w:r w:rsidR="00153AD6" w:rsidRPr="00B63B37">
        <w:t>pēc atbildīgās ministrijas priekšlikuma, un institūcijas, kuras veic tirgus uzraudzību reglamentētajā sfērā, un kārtību, kādā veicama tirgus uzraudzība</w:t>
      </w:r>
      <w:bookmarkEnd w:id="1"/>
      <w:r w:rsidR="00153AD6" w:rsidRPr="00B63B37">
        <w:t xml:space="preserve">. Savukārt Likumprojekta 33. panta otrā daļa, kas ir projekta izdošanas tiesiskais pamats, paredz, ka Ministru kabinets nosaka </w:t>
      </w:r>
      <w:bookmarkStart w:id="2" w:name="_Hlk81318004"/>
      <w:r w:rsidR="00153AD6" w:rsidRPr="00B63B37">
        <w:t>kārtību, kādā radioiekārtas tiek piedāvātas tirgū, uzstādītas un lietotas, kā arī to lietošanas uzraudzību</w:t>
      </w:r>
      <w:bookmarkEnd w:id="2"/>
      <w:r w:rsidR="00153AD6" w:rsidRPr="00B63B37">
        <w:t xml:space="preserve">. Projekta 1.1. apakšpunkts daļēji paredz, ka projekts nosaka likuma "Par atbilstības novērtēšanu" 7. pantā un Likumprojekta 33. panta otrajā daļā paredzēto, savukārt projekta izdošanas tiesiskajā pamatā </w:t>
      </w:r>
      <w:r w:rsidR="00153AD6" w:rsidRPr="00E65D50">
        <w:rPr>
          <w:highlight w:val="yellow"/>
        </w:rPr>
        <w:t>nav norādīts, uz kādas likuma normas pamata tiks noteikts projekta 1.2. un 1.3. apakšpunktā ietvertais regulējums.</w:t>
      </w:r>
      <w:r w:rsidR="00153AD6" w:rsidRPr="00B63B37">
        <w:t xml:space="preserve">  Vēršam uzmanību uz to, ka </w:t>
      </w:r>
      <w:r w:rsidR="00971232" w:rsidRPr="00B63B37">
        <w:t xml:space="preserve">sagatavošanas noteikumu </w:t>
      </w:r>
      <w:r w:rsidR="00153AD6" w:rsidRPr="00B63B37">
        <w:t>100. punkts paredz, ka noteikumu projekta pirmajā punktā secīgi raksta vārdus "noteikumi nosaka" un likumā noteikto pilnvarojumu Ministru kabinetam. Ņemot vērā minēto, lūdzam precizēt projekta 1. punktu.</w:t>
      </w:r>
    </w:p>
    <w:p w:rsidR="00EA7506" w:rsidRPr="00B63B37" w:rsidRDefault="00EA7506" w:rsidP="00153AD6">
      <w:r w:rsidRPr="00B63B37">
        <w:tab/>
      </w:r>
      <w:r w:rsidR="0074249B" w:rsidRPr="00B63B37">
        <w:t>4</w:t>
      </w:r>
      <w:r w:rsidRPr="00B63B37">
        <w:t>. </w:t>
      </w:r>
      <w:r w:rsidR="006211A6" w:rsidRPr="00B63B37">
        <w:t xml:space="preserve">Projekta 2. punkts </w:t>
      </w:r>
      <w:r w:rsidR="00D6043B" w:rsidRPr="00B63B37">
        <w:t xml:space="preserve">noteic, kādām radioiekārtām projektu nepiemēro. </w:t>
      </w:r>
      <w:r w:rsidR="00DE5364" w:rsidRPr="00B63B37">
        <w:t>P</w:t>
      </w:r>
      <w:r w:rsidR="006D7535" w:rsidRPr="00B63B37">
        <w:t xml:space="preserve">rojekta 4.1., 4.4., 4.5. un 4.6. apakšpunkts paredz, uz kādām radioiekārtām neattiecas projekta </w:t>
      </w:r>
      <w:bookmarkStart w:id="3" w:name="_Hlk81406292"/>
      <w:r w:rsidR="006D7535" w:rsidRPr="00B63B37">
        <w:t>2., 3. un 4. nodaļa, 114.5., 114.6., 114.7., 114.8. apakšpunkts un 124. punkts</w:t>
      </w:r>
      <w:bookmarkEnd w:id="3"/>
      <w:r w:rsidR="006D7535" w:rsidRPr="00B63B37">
        <w:t xml:space="preserve">. </w:t>
      </w:r>
      <w:r w:rsidR="00DE5364" w:rsidRPr="00B63B37">
        <w:t xml:space="preserve">Projekta 5. punkts paredz, ka projekta 5.1., 5.2., 5.3., 5.4. un 5.6. apakšnodaļa </w:t>
      </w:r>
      <w:r w:rsidR="00DE5364" w:rsidRPr="00E65D50">
        <w:rPr>
          <w:highlight w:val="yellow"/>
        </w:rPr>
        <w:t>neattiecas uz radioamatieru radiostacijām.</w:t>
      </w:r>
      <w:r w:rsidR="00DE5364" w:rsidRPr="00B63B37">
        <w:t xml:space="preserve"> Savukārt projekta 6. punkts paredz, ka projekta 117., 118., 121., 132. punkts, 114.1., 114.10., 122.2.–122.15. apakšpunkts </w:t>
      </w:r>
      <w:r w:rsidR="00DE5364" w:rsidRPr="00E65D50">
        <w:rPr>
          <w:highlight w:val="yellow"/>
        </w:rPr>
        <w:t>neattiecas uz radioiekārtām</w:t>
      </w:r>
      <w:r w:rsidR="00DE5364" w:rsidRPr="00B63B37">
        <w:t xml:space="preserve">, kuras paredzētas tikai skaņas un televīzijas apraides signālu uztveršanai. </w:t>
      </w:r>
      <w:r w:rsidR="00D6043B" w:rsidRPr="00B63B37">
        <w:t>No projektā ietvertā regulējuma izriet, ka projekta mērķis ir nodrošināt, ka radioiekārtas nekaitē cilvēku veselībai un videi. Līdz ar to arī radioiekārtām, kas minētas projekta 2. punktā</w:t>
      </w:r>
      <w:r w:rsidR="00DE5364" w:rsidRPr="00B63B37">
        <w:t>,</w:t>
      </w:r>
      <w:r w:rsidR="006D7535" w:rsidRPr="00B63B37">
        <w:t xml:space="preserve"> 4.1., 4.4., 4.5. un 4.6. apakšpunktā</w:t>
      </w:r>
      <w:r w:rsidR="00DE5364" w:rsidRPr="00B63B37">
        <w:t>, 5. un 6. punktā</w:t>
      </w:r>
      <w:r w:rsidR="00D6043B" w:rsidRPr="00B63B37">
        <w:t xml:space="preserve">, ir jābūt nekaitīgām cilvēku veselībai un videi. Ņemot vērā minēto, nav skaidrs, vai uz minētajām radioiekārtām nav attiecināms nekāds regulējums, vai arī uz tām </w:t>
      </w:r>
      <w:r w:rsidR="00D6043B" w:rsidRPr="00E65D50">
        <w:rPr>
          <w:highlight w:val="yellow"/>
        </w:rPr>
        <w:t>attiecināms kāds speciālais regulējums.</w:t>
      </w:r>
      <w:r w:rsidR="00D6043B" w:rsidRPr="00B63B37">
        <w:t xml:space="preserve"> Līdz ar to lūdzam papildināt anotāciju ar skaidrojumu par to, kādas prasības attiecināmas uz projekta </w:t>
      </w:r>
      <w:r w:rsidR="00D6043B" w:rsidRPr="00E65D50">
        <w:rPr>
          <w:highlight w:val="yellow"/>
        </w:rPr>
        <w:t>2. punktā</w:t>
      </w:r>
      <w:r w:rsidR="00DE5364" w:rsidRPr="00E65D50">
        <w:rPr>
          <w:highlight w:val="yellow"/>
        </w:rPr>
        <w:t>,</w:t>
      </w:r>
      <w:r w:rsidR="006D7535" w:rsidRPr="00E65D50">
        <w:rPr>
          <w:highlight w:val="yellow"/>
        </w:rPr>
        <w:t xml:space="preserve"> 4.1., 4.4., 4.5. un 4.6. apakšpunktā</w:t>
      </w:r>
      <w:r w:rsidR="00DE5364" w:rsidRPr="00E65D50">
        <w:rPr>
          <w:highlight w:val="yellow"/>
        </w:rPr>
        <w:t>, 5. un 6. punktā</w:t>
      </w:r>
      <w:r w:rsidR="00D6043B" w:rsidRPr="00E65D50">
        <w:rPr>
          <w:highlight w:val="yellow"/>
        </w:rPr>
        <w:t xml:space="preserve"> minētajām radioiekārtām,</w:t>
      </w:r>
      <w:r w:rsidR="00D6043B" w:rsidRPr="00B63B37">
        <w:t xml:space="preserve"> kā arī norādīt, kurš normatīvais akts to regulē. Ja projekt</w:t>
      </w:r>
      <w:r w:rsidR="006D7535" w:rsidRPr="00B63B37">
        <w:t>ā</w:t>
      </w:r>
      <w:r w:rsidR="00D6043B" w:rsidRPr="00B63B37">
        <w:t xml:space="preserve"> minētajām radioiekārtām nav noteiktu prasību, lūdzam skaidrot anotācij</w:t>
      </w:r>
      <w:r w:rsidR="00D6043B" w:rsidRPr="00E65D50">
        <w:rPr>
          <w:highlight w:val="yellow"/>
        </w:rPr>
        <w:t>ā, kā tiek nodrošināts, ka šīs radioiekārtas nerada kaitējumu cilvēku veselībai un videi.</w:t>
      </w:r>
    </w:p>
    <w:p w:rsidR="00D6043B" w:rsidRPr="00B63B37" w:rsidRDefault="00D6043B" w:rsidP="006D7535">
      <w:r w:rsidRPr="00B63B37">
        <w:tab/>
      </w:r>
      <w:r w:rsidR="0074249B" w:rsidRPr="00B63B37">
        <w:t>5</w:t>
      </w:r>
      <w:r w:rsidRPr="00B63B37">
        <w:t>. </w:t>
      </w:r>
      <w:r w:rsidR="006D7535" w:rsidRPr="00B63B37">
        <w:t>Projekta 3. punktā skaidroti projektā lietotie termini, kur projekta 3.12. apakšpunktā skaidrots, ka tirgus uzraudzības iestāde ir Patērētāju tiesību aizsardzības centrs. Vēršam uzmanību uz to, ka sagatavošanas noteikumu 121. punkts paredz, ka noteikumu projektā terminus skaidro, lai konkretizētu terminā izteiktā jēdziena izpratnes robežas, ja termins nav skaidrots vai lietots augstāka juridiskā spēka normatīvajā aktā. Projekta 3.12. apakšpunktā nav ietverts termina "tirgus uzraudzības iestāde" skaidrojums, bet gan atbilstoši likuma "Par atbilstības novērtēšanu" 7. panta otrajā daļā Ministru kabinetam dotajam pilnvarojumam noteikts, ka tirgus uzraudzības iestāde ir Patērētāju tiesību aizsardzības centrs. Ņemot vērā minēto, lūdzam svītrot projekta 3.12. apakšpunktu un precizēt projektu atbilstoši Ministru kabinetam dotajam pilnvarojumam, nosakot institūciju, kura veic tirgus uzraudzību.</w:t>
      </w:r>
    </w:p>
    <w:p w:rsidR="006D7535" w:rsidRPr="00B63B37" w:rsidRDefault="0074249B" w:rsidP="002F003A">
      <w:pPr>
        <w:ind w:firstLine="720"/>
        <w:rPr>
          <w:szCs w:val="24"/>
        </w:rPr>
      </w:pPr>
      <w:r w:rsidRPr="00B63B37">
        <w:t>6</w:t>
      </w:r>
      <w:r w:rsidR="006D7535" w:rsidRPr="00B63B37">
        <w:t>. </w:t>
      </w:r>
      <w:r w:rsidR="002F003A" w:rsidRPr="00B63B37">
        <w:t>Projekta 2.1. apakšnodaļa nosaka prasības radioiekārtu laišanai un piedāvāšanai tirgū. Likumprojekta 33. panta otrā daļa pilnvaro Ministru kabinetu noteikt kārtību, kādā radioiekārtas tiek piedāvātas tirgū, uzstādītas un lietotas, kā arī to lietošanas uzraudzību</w:t>
      </w:r>
      <w:bookmarkStart w:id="4" w:name="_Hlk81406070"/>
      <w:r w:rsidR="002F003A" w:rsidRPr="00B63B37">
        <w:t xml:space="preserve">. </w:t>
      </w:r>
      <w:r w:rsidR="002F003A" w:rsidRPr="00B63B37">
        <w:rPr>
          <w:szCs w:val="24"/>
        </w:rPr>
        <w:t>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2F003A" w:rsidRPr="00B63B37">
        <w:rPr>
          <w:i/>
          <w:iCs/>
          <w:szCs w:val="24"/>
        </w:rPr>
        <w:t>sk., piemēram, Satversmes tiesas 2007. gada 9. oktobra sprieduma lietā Nr. 2007-04-03 20. punktu, 2013. gada 27. jūnija sprieduma lietā Nr. 2012-22-0103 18. punktu un 2016. gada 2. marta sprieduma lietā Nr. 2015-11-03 23.3. apakšpunktu</w:t>
      </w:r>
      <w:r w:rsidR="002F003A" w:rsidRPr="00B63B37">
        <w:rPr>
          <w:szCs w:val="24"/>
        </w:rPr>
        <w:t>).</w:t>
      </w:r>
      <w:bookmarkEnd w:id="4"/>
      <w:r w:rsidR="002F003A" w:rsidRPr="00B63B37">
        <w:rPr>
          <w:szCs w:val="24"/>
        </w:rPr>
        <w:t xml:space="preserve"> Līdz ar to Ministru kabinets var noteikt radioiekārtu piedāvāšanas tirgū kārtību, nevis prasības radioiekārtu laišanai un </w:t>
      </w:r>
      <w:r w:rsidR="002F003A" w:rsidRPr="00B63B37">
        <w:rPr>
          <w:szCs w:val="24"/>
        </w:rPr>
        <w:lastRenderedPageBreak/>
        <w:t xml:space="preserve">piedāvāšanai tirgū. Ņemot vērā minēto, lūdzam svītrot projekta 2.1. apakšnodaļu vai noteikt kārtību, kādā radioiekārtas </w:t>
      </w:r>
      <w:r w:rsidR="005957BA" w:rsidRPr="00B63B37">
        <w:rPr>
          <w:szCs w:val="24"/>
        </w:rPr>
        <w:t>tiek piedāvātas tirgū.</w:t>
      </w:r>
    </w:p>
    <w:p w:rsidR="005957BA" w:rsidRPr="00B63B37" w:rsidRDefault="005957BA" w:rsidP="002F003A">
      <w:pPr>
        <w:ind w:firstLine="720"/>
        <w:rPr>
          <w:szCs w:val="24"/>
        </w:rPr>
      </w:pPr>
      <w:r w:rsidRPr="00B63B37">
        <w:rPr>
          <w:szCs w:val="24"/>
        </w:rPr>
        <w:t xml:space="preserve">Vienlaikus </w:t>
      </w:r>
      <w:bookmarkStart w:id="5" w:name="_Hlk81407059"/>
      <w:r w:rsidRPr="00B63B37">
        <w:rPr>
          <w:szCs w:val="24"/>
        </w:rPr>
        <w:t>lūdzam ņemt vērā, ka sagatavošanas noteikumu 111. punkta pēdējais teikums paredz, ka noteikumu projektā neveido nodaļas, kas satur vienu punktu.</w:t>
      </w:r>
    </w:p>
    <w:bookmarkEnd w:id="5"/>
    <w:p w:rsidR="000A0432" w:rsidRPr="00B63B37" w:rsidRDefault="0074249B" w:rsidP="002F003A">
      <w:pPr>
        <w:ind w:firstLine="720"/>
        <w:rPr>
          <w:szCs w:val="24"/>
        </w:rPr>
      </w:pPr>
      <w:r w:rsidRPr="00B63B37">
        <w:rPr>
          <w:szCs w:val="24"/>
        </w:rPr>
        <w:t>7</w:t>
      </w:r>
      <w:r w:rsidR="000A0432" w:rsidRPr="00B63B37">
        <w:rPr>
          <w:szCs w:val="24"/>
        </w:rPr>
        <w:t>. Projekta 2.2. apakšnodaļas nosaukums ir "Būtiskās prasības un nosacījums radioiekārtu atbilstībai". No likuma "Par atbilstības novērtēšanu" 7. panta pirmās daļas izriet, ka Ministru kabinets ir pilnvarots noteikt radioiekārtu būtiskās prasības, savukārt noteikt nosacījumus Ministru kabinets nav pilnvarots. Ņemot vērā minēto, lūdzam precizēt projekta 2.2. apakšnodaļas nosaukumu.</w:t>
      </w:r>
    </w:p>
    <w:p w:rsidR="000A0432" w:rsidRPr="00B63B37" w:rsidRDefault="0074249B" w:rsidP="002F003A">
      <w:pPr>
        <w:ind w:firstLine="720"/>
        <w:rPr>
          <w:szCs w:val="24"/>
        </w:rPr>
      </w:pPr>
      <w:r w:rsidRPr="00B63B37">
        <w:rPr>
          <w:szCs w:val="24"/>
        </w:rPr>
        <w:t>8</w:t>
      </w:r>
      <w:r w:rsidR="000A0432" w:rsidRPr="00B63B37">
        <w:rPr>
          <w:szCs w:val="24"/>
        </w:rPr>
        <w:t>. Lūdzam izvērtēt projekta 8.3. </w:t>
      </w:r>
      <w:r w:rsidR="000A0432" w:rsidRPr="00E65D50">
        <w:rPr>
          <w:szCs w:val="24"/>
          <w:highlight w:val="yellow"/>
        </w:rPr>
        <w:t>apakšpunktā ietvertā regulējuma nepieciešamību</w:t>
      </w:r>
      <w:r w:rsidR="000A0432" w:rsidRPr="00B63B37">
        <w:rPr>
          <w:szCs w:val="24"/>
        </w:rPr>
        <w:t xml:space="preserve">, ņemot vērā to, ka tajā ietvertais jau ir aptverts ar </w:t>
      </w:r>
      <w:r w:rsidR="000A0432" w:rsidRPr="00E65D50">
        <w:rPr>
          <w:szCs w:val="24"/>
          <w:highlight w:val="yellow"/>
        </w:rPr>
        <w:t>projekta 8.2. apakšpunktā</w:t>
      </w:r>
      <w:r w:rsidR="000A0432" w:rsidRPr="00B63B37">
        <w:rPr>
          <w:szCs w:val="24"/>
        </w:rPr>
        <w:t xml:space="preserve"> ietverto regulējumu.</w:t>
      </w:r>
    </w:p>
    <w:p w:rsidR="000A0432" w:rsidRPr="00B63B37" w:rsidRDefault="0074249B" w:rsidP="002F003A">
      <w:pPr>
        <w:ind w:firstLine="720"/>
        <w:rPr>
          <w:szCs w:val="24"/>
        </w:rPr>
      </w:pPr>
      <w:r w:rsidRPr="00B63B37">
        <w:rPr>
          <w:szCs w:val="24"/>
        </w:rPr>
        <w:t>9</w:t>
      </w:r>
      <w:r w:rsidR="000A0432" w:rsidRPr="00B63B37">
        <w:rPr>
          <w:szCs w:val="24"/>
        </w:rPr>
        <w:t>. </w:t>
      </w:r>
      <w:r w:rsidR="002E1867" w:rsidRPr="00B63B37">
        <w:rPr>
          <w:szCs w:val="24"/>
        </w:rPr>
        <w:t>Projekta 9. punkts paredz, ka radioiekārtas atbilst projekta 8. punktā minētajām būtiskajām prasībām, ja tās atbilst piemērojamo standartu vai to daļu prasībām, uz kuriem publicētas atsauces Eiropas Savienības Oficiālajā Vēstnesī un kuri attiecas uz minētajām būtiskajām prasībām. Nacionālā standartizācijas institūcija publicē savā tīmekļvietnē sarakstu ar piemērojamiem standartiem, kas adaptēti nacionālo standartu statusā. No projekta 9. punktā ietvertā regulējuma nav skaidrs, vai tā ir vēl viena prasība radioiekārtām un līdz ar to būtu iekļaujama projekta 8. punktā, vai arī tas ir kaut kas cits. Līdz ar to, ja projekta 9. punktā ir paredzēta vēl viena prasība radioiekārtām, lūdzam tajā ietverto regulējumu ietvert projekta 8. punktā. Savukārt, ja projekta 9. punktā nav paredzēta vēl viena prasība radioiekārtām, lūdzam izvērtēt šāda regulējuma atbilstību Ministru kabinetam dotajam pilnvarojumam.</w:t>
      </w:r>
    </w:p>
    <w:p w:rsidR="002E1867" w:rsidRPr="00B63B37" w:rsidRDefault="002E1867" w:rsidP="002F003A">
      <w:pPr>
        <w:ind w:firstLine="720"/>
        <w:rPr>
          <w:szCs w:val="24"/>
        </w:rPr>
      </w:pPr>
      <w:r w:rsidRPr="00B63B37">
        <w:rPr>
          <w:szCs w:val="24"/>
        </w:rPr>
        <w:t>Vienlaikus lūdzam izvērtēt projekta 9. punkt</w:t>
      </w:r>
      <w:r w:rsidR="0074249B" w:rsidRPr="00B63B37">
        <w:rPr>
          <w:szCs w:val="24"/>
        </w:rPr>
        <w:t>a pēdējā teikumā</w:t>
      </w:r>
      <w:r w:rsidRPr="00B63B37">
        <w:rPr>
          <w:szCs w:val="24"/>
        </w:rPr>
        <w:t xml:space="preserve"> ietvertā regulējuma nepieciešamību. Proti, vai minētā regulējuma mērķis ir uzdot Nacionālajai standartizācijas institūcijai publicēt piemērojamos standartus. </w:t>
      </w:r>
      <w:r w:rsidRPr="00E65D50">
        <w:rPr>
          <w:szCs w:val="24"/>
          <w:highlight w:val="yellow"/>
        </w:rPr>
        <w:t>Vēršam uzmanību uz to, ka šāda funkcija Nacionālajai standartizācijas institūcijai jau izriet no Standartizācijas likuma.</w:t>
      </w:r>
    </w:p>
    <w:p w:rsidR="002E1867" w:rsidRPr="00B63B37" w:rsidRDefault="0074249B" w:rsidP="00FC3819">
      <w:pPr>
        <w:ind w:firstLine="720"/>
        <w:rPr>
          <w:szCs w:val="24"/>
        </w:rPr>
      </w:pPr>
      <w:r w:rsidRPr="00B63B37">
        <w:rPr>
          <w:szCs w:val="24"/>
        </w:rPr>
        <w:t>10</w:t>
      </w:r>
      <w:r w:rsidR="002E1867" w:rsidRPr="00B63B37">
        <w:rPr>
          <w:szCs w:val="24"/>
        </w:rPr>
        <w:t>. </w:t>
      </w:r>
      <w:r w:rsidR="00921C69" w:rsidRPr="00E65D50">
        <w:rPr>
          <w:szCs w:val="24"/>
          <w:highlight w:val="yellow"/>
        </w:rPr>
        <w:t xml:space="preserve">Projekta 2.3. apakšnodaļa nosaka ražotāja pienākumus, projekta 2.4. apakšnodaļa nosaka pilnvarotā pārstāvja pienākumus, </w:t>
      </w:r>
      <w:r w:rsidR="003E598F" w:rsidRPr="00E65D50">
        <w:rPr>
          <w:szCs w:val="24"/>
          <w:highlight w:val="yellow"/>
        </w:rPr>
        <w:t xml:space="preserve">projekta </w:t>
      </w:r>
      <w:r w:rsidR="00921C69" w:rsidRPr="00E65D50">
        <w:rPr>
          <w:szCs w:val="24"/>
          <w:highlight w:val="yellow"/>
        </w:rPr>
        <w:t>2.5.</w:t>
      </w:r>
      <w:r w:rsidR="003E598F" w:rsidRPr="00E65D50">
        <w:rPr>
          <w:szCs w:val="24"/>
          <w:highlight w:val="yellow"/>
        </w:rPr>
        <w:t> </w:t>
      </w:r>
      <w:r w:rsidR="00921C69" w:rsidRPr="00E65D50">
        <w:rPr>
          <w:szCs w:val="24"/>
          <w:highlight w:val="yellow"/>
        </w:rPr>
        <w:t xml:space="preserve">apakšnodaļa nosaka </w:t>
      </w:r>
      <w:r w:rsidR="003E598F" w:rsidRPr="00E65D50">
        <w:rPr>
          <w:szCs w:val="24"/>
          <w:highlight w:val="yellow"/>
        </w:rPr>
        <w:t>importētāja pienākumus un projekta 2.6. apakšnodaļa</w:t>
      </w:r>
      <w:r w:rsidR="003E598F" w:rsidRPr="00B63B37">
        <w:rPr>
          <w:szCs w:val="24"/>
        </w:rPr>
        <w:t xml:space="preserve"> nosaka izplatītāja pienākumus. Ministru kabinets ir pilnvarots noteikt radioiekārtu būtiskās prasības un to ievērošanas uzraudzības mehānismu un kārtību, kādā radioiekārtas tiek piedāvātas tirgū, uzstādītas un lietotas, kā arī to lietošanas uzraudzību. </w:t>
      </w:r>
      <w:bookmarkStart w:id="6" w:name="_Hlk81404345"/>
      <w:r w:rsidR="008F7B4A" w:rsidRPr="00B63B37">
        <w:rPr>
          <w:szCs w:val="24"/>
        </w:rPr>
        <w:t>Ministru kabineta noteikumi nedrīkst ietvert tādas tiesību normas, kas bez likumdevēja pilnvarojuma veidotu jaunas tiesiskās attiecības (</w:t>
      </w:r>
      <w:r w:rsidR="008F7B4A" w:rsidRPr="00B63B37">
        <w:rPr>
          <w:i/>
          <w:iCs/>
          <w:szCs w:val="24"/>
        </w:rPr>
        <w:t>sk. Satversmes tiesas 2007. gada 9. oktobra sprieduma lietā Nr. 2007-04-03 16. punktu un 2017. gada 29. jūnija sprieduma lietā Nr. 2016-23-03 16. punktu</w:t>
      </w:r>
      <w:r w:rsidR="008F7B4A" w:rsidRPr="00B63B37">
        <w:rPr>
          <w:szCs w:val="24"/>
        </w:rPr>
        <w:t>). Tādējādi Ministru kabinets drīkst tikai konkretizēt Saeimas pieņemto likumu (</w:t>
      </w:r>
      <w:r w:rsidR="008F7B4A" w:rsidRPr="00B63B37">
        <w:rPr>
          <w:i/>
          <w:iCs/>
          <w:szCs w:val="24"/>
        </w:rPr>
        <w:t>sk. Satversmes tiesas 2017. gada 29. jūnija sprieduma lietā Nr. 2016-23-03 secinājumu daļas 16. punktu</w:t>
      </w:r>
      <w:r w:rsidR="008F7B4A" w:rsidRPr="00B63B37">
        <w:rPr>
          <w:szCs w:val="24"/>
        </w:rPr>
        <w:t xml:space="preserve">). </w:t>
      </w:r>
      <w:bookmarkEnd w:id="6"/>
      <w:r w:rsidR="003E598F" w:rsidRPr="00B63B37">
        <w:rPr>
          <w:szCs w:val="24"/>
        </w:rPr>
        <w:t>No minētājās apakšnodaļās ietvertā regulējuma nav skaidrs, vai tās atbilst Ministru kabinetam dotajam pilnvarojumam, jo paredz visdažādākos pienākumus, kas varētu būt attiecināmi gan uz būtisko prasību ievērošanas uzraudzību, gan radioiekārtu piedāvāšanu tirgū</w:t>
      </w:r>
      <w:r w:rsidR="009D38C7" w:rsidRPr="00B63B37">
        <w:rPr>
          <w:szCs w:val="24"/>
        </w:rPr>
        <w:t>, gan arī uz ko citu</w:t>
      </w:r>
      <w:r w:rsidR="003E598F" w:rsidRPr="00B63B37">
        <w:rPr>
          <w:szCs w:val="24"/>
        </w:rPr>
        <w:t>. Ņemot vērā minēto, lūdzam precizēt projektu</w:t>
      </w:r>
      <w:r w:rsidR="00195F3B" w:rsidRPr="00B63B37">
        <w:rPr>
          <w:szCs w:val="24"/>
        </w:rPr>
        <w:t>, neizdalot atsevišķi iesaistīto pušu pienākumus, bet loģiski veidot regulējumu atbilstoši Ministru kabinetam dotajam pilnvarojumam.</w:t>
      </w:r>
    </w:p>
    <w:p w:rsidR="00195F3B" w:rsidRPr="00B63B37" w:rsidRDefault="00195F3B" w:rsidP="00902EC4">
      <w:pPr>
        <w:ind w:firstLine="720"/>
        <w:rPr>
          <w:szCs w:val="24"/>
        </w:rPr>
      </w:pPr>
      <w:r w:rsidRPr="00B63B37">
        <w:rPr>
          <w:szCs w:val="24"/>
        </w:rPr>
        <w:t>1</w:t>
      </w:r>
      <w:r w:rsidR="0074249B" w:rsidRPr="00B63B37">
        <w:rPr>
          <w:szCs w:val="24"/>
        </w:rPr>
        <w:t>1</w:t>
      </w:r>
      <w:r w:rsidRPr="00B63B37">
        <w:rPr>
          <w:szCs w:val="24"/>
        </w:rPr>
        <w:t>. Projekta 11.</w:t>
      </w:r>
      <w:r w:rsidR="00364206" w:rsidRPr="00B63B37">
        <w:rPr>
          <w:szCs w:val="24"/>
        </w:rPr>
        <w:t>1</w:t>
      </w:r>
      <w:r w:rsidRPr="00B63B37">
        <w:rPr>
          <w:szCs w:val="24"/>
        </w:rPr>
        <w:t>5.</w:t>
      </w:r>
      <w:r w:rsidR="002010BB" w:rsidRPr="00B63B37">
        <w:rPr>
          <w:szCs w:val="24"/>
        </w:rPr>
        <w:t>, 14.2.</w:t>
      </w:r>
      <w:r w:rsidR="000F19F7" w:rsidRPr="00B63B37">
        <w:rPr>
          <w:szCs w:val="24"/>
        </w:rPr>
        <w:t>, 17.9.</w:t>
      </w:r>
      <w:r w:rsidR="008A78C0" w:rsidRPr="00B63B37">
        <w:rPr>
          <w:szCs w:val="24"/>
        </w:rPr>
        <w:t> un 19.5.</w:t>
      </w:r>
      <w:r w:rsidRPr="00B63B37">
        <w:rPr>
          <w:szCs w:val="24"/>
        </w:rPr>
        <w:t xml:space="preserve"> apakšpunktā paredzēts informācijas sniegšanas pienākums pēc tirgus uzraudzības iestādes vai lietošanas uzraudzības institūcijas pieprasījuma. Vienlaikus </w:t>
      </w:r>
      <w:r w:rsidR="008F723B" w:rsidRPr="00B63B37">
        <w:rPr>
          <w:szCs w:val="24"/>
        </w:rPr>
        <w:t xml:space="preserve">tiek </w:t>
      </w:r>
      <w:r w:rsidRPr="00B63B37">
        <w:rPr>
          <w:szCs w:val="24"/>
        </w:rPr>
        <w:t>paredz</w:t>
      </w:r>
      <w:r w:rsidR="008F723B" w:rsidRPr="00B63B37">
        <w:rPr>
          <w:szCs w:val="24"/>
        </w:rPr>
        <w:t>ē</w:t>
      </w:r>
      <w:r w:rsidRPr="00B63B37">
        <w:rPr>
          <w:szCs w:val="24"/>
        </w:rPr>
        <w:t>t</w:t>
      </w:r>
      <w:r w:rsidR="008F723B" w:rsidRPr="00B63B37">
        <w:rPr>
          <w:szCs w:val="24"/>
        </w:rPr>
        <w:t>s</w:t>
      </w:r>
      <w:r w:rsidRPr="00B63B37">
        <w:rPr>
          <w:szCs w:val="24"/>
        </w:rPr>
        <w:t xml:space="preserve">, ka šī informācija tiek sniegta valsts valodā vai citā tirgus uzraudzības iestādei un lietošanas uzraudzības institūcijai pieņemamā valodā. Valsts valodas likuma 10. panta otrā daļa paredz, ka valsts un pašvaldību iestādes, tiesas un tiesu sistēmai piederīgās iestādes, kā arī valsts vai pašvaldību uzņēmumi (uzņēmējsabiedrības) no personām pieņem un izskata </w:t>
      </w:r>
      <w:r w:rsidRPr="00E65D50">
        <w:rPr>
          <w:szCs w:val="24"/>
          <w:highlight w:val="yellow"/>
        </w:rPr>
        <w:t>dokumentus tikai valsts valodā</w:t>
      </w:r>
      <w:r w:rsidRPr="00B63B37">
        <w:rPr>
          <w:szCs w:val="24"/>
        </w:rPr>
        <w:t>, izņemot minētā panta trešajā un ceturtajā daļā un citos likumos noteiktos gadījumus. Valsts valodas likuma 10. panta trešā un ceturtā daļa noteic, ka dokumentus svešvalodā no personām pieņem, ja tiem pievienots Ministru kabineta noteiktajā kārtībā vai notariāli apliecināts tulkojums valsts valodā</w:t>
      </w:r>
      <w:r w:rsidR="008F7B4A" w:rsidRPr="00B63B37">
        <w:rPr>
          <w:szCs w:val="24"/>
        </w:rPr>
        <w:t>, vai v</w:t>
      </w:r>
      <w:r w:rsidRPr="00B63B37">
        <w:rPr>
          <w:szCs w:val="24"/>
        </w:rPr>
        <w:t xml:space="preserve">alsts un pašvaldību iestādes, organizācijas un uzņēmumi (uzņēmējsabiedrības) no ārvalstīm saņemtos dokumentus var pieņemt un izskatīt bez </w:t>
      </w:r>
      <w:r w:rsidRPr="00B63B37">
        <w:rPr>
          <w:szCs w:val="24"/>
        </w:rPr>
        <w:lastRenderedPageBreak/>
        <w:t>tulkojuma valsts valodā.</w:t>
      </w:r>
      <w:r w:rsidR="008F7B4A" w:rsidRPr="00B63B37">
        <w:rPr>
          <w:szCs w:val="24"/>
        </w:rPr>
        <w:t xml:space="preserve"> No minētā izriet, ka Valsts valodas likums jau paredz izņēmuma gadījumos, kuros iestādes var pieņemt dokumentus svešvalodā, un ar projektu nevar paredzēt vēl citus izņēmumus. Ņemot vērā minēto, lūdzam </w:t>
      </w:r>
      <w:r w:rsidR="008F7B4A" w:rsidRPr="00E65D50">
        <w:rPr>
          <w:szCs w:val="24"/>
          <w:highlight w:val="yellow"/>
        </w:rPr>
        <w:t>svītrot projekta 11.</w:t>
      </w:r>
      <w:r w:rsidR="00364206" w:rsidRPr="00E65D50">
        <w:rPr>
          <w:szCs w:val="24"/>
          <w:highlight w:val="yellow"/>
        </w:rPr>
        <w:t>1</w:t>
      </w:r>
      <w:r w:rsidR="008F7B4A" w:rsidRPr="00E65D50">
        <w:rPr>
          <w:szCs w:val="24"/>
          <w:highlight w:val="yellow"/>
        </w:rPr>
        <w:t>5.</w:t>
      </w:r>
      <w:r w:rsidR="002010BB" w:rsidRPr="00E65D50">
        <w:rPr>
          <w:szCs w:val="24"/>
          <w:highlight w:val="yellow"/>
        </w:rPr>
        <w:t>, 14.2.</w:t>
      </w:r>
      <w:r w:rsidR="000F19F7" w:rsidRPr="00E65D50">
        <w:rPr>
          <w:szCs w:val="24"/>
          <w:highlight w:val="yellow"/>
        </w:rPr>
        <w:t>, 17.9.</w:t>
      </w:r>
      <w:r w:rsidR="008A78C0" w:rsidRPr="00E65D50">
        <w:rPr>
          <w:szCs w:val="24"/>
          <w:highlight w:val="yellow"/>
        </w:rPr>
        <w:t xml:space="preserve"> un 19.5.</w:t>
      </w:r>
      <w:r w:rsidR="008F7B4A" w:rsidRPr="00E65D50">
        <w:rPr>
          <w:szCs w:val="24"/>
          <w:highlight w:val="yellow"/>
        </w:rPr>
        <w:t> apakšpunkta otro teikumu.</w:t>
      </w:r>
    </w:p>
    <w:p w:rsidR="008F7B4A" w:rsidRPr="00B63B37" w:rsidRDefault="008F7B4A" w:rsidP="00364206">
      <w:pPr>
        <w:ind w:firstLine="720"/>
        <w:rPr>
          <w:szCs w:val="24"/>
        </w:rPr>
      </w:pPr>
      <w:r w:rsidRPr="00B63B37">
        <w:rPr>
          <w:szCs w:val="24"/>
        </w:rPr>
        <w:t>1</w:t>
      </w:r>
      <w:r w:rsidR="00CD3490" w:rsidRPr="00B63B37">
        <w:rPr>
          <w:szCs w:val="24"/>
        </w:rPr>
        <w:t>2</w:t>
      </w:r>
      <w:r w:rsidRPr="00B63B37">
        <w:rPr>
          <w:szCs w:val="24"/>
        </w:rPr>
        <w:t>. </w:t>
      </w:r>
      <w:r w:rsidR="00364206" w:rsidRPr="00B63B37">
        <w:rPr>
          <w:szCs w:val="24"/>
        </w:rPr>
        <w:t xml:space="preserve">Projekta 14.1. apakšpunkts paredz, ka pilnvarotais pārstāvis glabā tehnisko dokumentāciju un Eiropas Savienības atbilstības deklarāciju 10 gadus pēc radioiekārtas laišanas tirgū, </w:t>
      </w:r>
      <w:bookmarkStart w:id="7" w:name="_Hlk81319795"/>
      <w:r w:rsidR="00364206" w:rsidRPr="00B63B37">
        <w:rPr>
          <w:szCs w:val="24"/>
        </w:rPr>
        <w:t xml:space="preserve">nodrošinot tās pieejamību tirgus uzraudzības iestādei vai lietošanas uzraudzības institūcijai. </w:t>
      </w:r>
      <w:bookmarkStart w:id="8" w:name="_Hlk81320128"/>
      <w:bookmarkEnd w:id="7"/>
      <w:r w:rsidR="00364206" w:rsidRPr="00B63B37">
        <w:rPr>
          <w:szCs w:val="24"/>
        </w:rPr>
        <w:t xml:space="preserve">Savukārt projekta 11.5. apakšpunkts paredz, ka ražotājs saglabā tehnisko dokumentāciju un Eiropas Savienības atbilstības deklarāciju 10 gadus pēc radioiekārtas laišanas tirgū. </w:t>
      </w:r>
      <w:bookmarkEnd w:id="8"/>
      <w:r w:rsidR="00364206" w:rsidRPr="00B63B37">
        <w:rPr>
          <w:szCs w:val="24"/>
        </w:rPr>
        <w:t xml:space="preserve">Saskaņā ar projekta 13. punktā noteikto ražotājs </w:t>
      </w:r>
      <w:r w:rsidR="001D268D" w:rsidRPr="00B63B37">
        <w:rPr>
          <w:szCs w:val="24"/>
        </w:rPr>
        <w:t xml:space="preserve">ieceļ </w:t>
      </w:r>
      <w:r w:rsidR="00364206" w:rsidRPr="00B63B37">
        <w:rPr>
          <w:szCs w:val="24"/>
        </w:rPr>
        <w:t xml:space="preserve">pilnvaroto pārstāvi. Ražotājs var </w:t>
      </w:r>
      <w:r w:rsidR="001D268D" w:rsidRPr="00B63B37">
        <w:rPr>
          <w:szCs w:val="24"/>
        </w:rPr>
        <w:t xml:space="preserve">iecelt </w:t>
      </w:r>
      <w:r w:rsidR="00364206" w:rsidRPr="00B63B37">
        <w:rPr>
          <w:szCs w:val="24"/>
        </w:rPr>
        <w:t xml:space="preserve">pilnvaroto pārstāvi veikt tos uzdevumus, kas ir pašam ražotājam, līdz ar to nav skaidra piebilde, ka pilnvarotajam pārstāvim jānodrošina projekta 14.1. apakšpunktā minēto dokumentu pieejamība tirgus uzraudzības iestādei vai lietošanas uzraudzības institūcijai. Vienlaikus norādām, ka projekta 14.2. apakšpunkts paredz, ka pilnvarotais pārstāvis </w:t>
      </w:r>
      <w:bookmarkStart w:id="9" w:name="_Hlk81320174"/>
      <w:r w:rsidR="00364206" w:rsidRPr="00B63B37">
        <w:rPr>
          <w:szCs w:val="24"/>
        </w:rPr>
        <w:t xml:space="preserve">sniedz </w:t>
      </w:r>
      <w:r w:rsidR="00040A50" w:rsidRPr="00B63B37">
        <w:rPr>
          <w:szCs w:val="24"/>
        </w:rPr>
        <w:t xml:space="preserve">visu </w:t>
      </w:r>
      <w:r w:rsidR="00364206" w:rsidRPr="00B63B37">
        <w:rPr>
          <w:szCs w:val="24"/>
        </w:rPr>
        <w:t>nepieciešamo informāciju pēc tirgus uzraudzības iestādes vai lietošanas uzraudzības institūcijas pieprasījuma</w:t>
      </w:r>
      <w:bookmarkEnd w:id="9"/>
      <w:r w:rsidR="00364206" w:rsidRPr="00B63B37">
        <w:rPr>
          <w:szCs w:val="24"/>
        </w:rPr>
        <w:t>. Līdz ar to nav saprotams, ko nozīmē</w:t>
      </w:r>
      <w:r w:rsidR="002010BB" w:rsidRPr="00B63B37">
        <w:rPr>
          <w:szCs w:val="24"/>
        </w:rPr>
        <w:t xml:space="preserve"> nodrošināt pieejamību. Ņemot vērā minēto, lūdzam </w:t>
      </w:r>
      <w:r w:rsidR="002010BB" w:rsidRPr="00E65D50">
        <w:rPr>
          <w:szCs w:val="24"/>
          <w:highlight w:val="yellow"/>
        </w:rPr>
        <w:t>svītrot projekta 14.1. apakšpunktā ietverto piebildi "</w:t>
      </w:r>
      <w:r w:rsidR="002010BB" w:rsidRPr="00E65D50">
        <w:rPr>
          <w:highlight w:val="yellow"/>
        </w:rPr>
        <w:t xml:space="preserve"> </w:t>
      </w:r>
      <w:r w:rsidR="002010BB" w:rsidRPr="00E65D50">
        <w:rPr>
          <w:szCs w:val="24"/>
          <w:highlight w:val="yellow"/>
        </w:rPr>
        <w:t>nodrošinot tās pieejamību tirgus uzraudzības iestādei vai lietošanas uzraudzības institūcijai".</w:t>
      </w:r>
    </w:p>
    <w:p w:rsidR="002010BB" w:rsidRPr="00B63B37" w:rsidRDefault="002010BB" w:rsidP="00364206">
      <w:pPr>
        <w:ind w:firstLine="720"/>
        <w:rPr>
          <w:szCs w:val="24"/>
        </w:rPr>
      </w:pPr>
      <w:r w:rsidRPr="00B63B37">
        <w:rPr>
          <w:szCs w:val="24"/>
        </w:rPr>
        <w:t>1</w:t>
      </w:r>
      <w:r w:rsidR="00CD3490" w:rsidRPr="00B63B37">
        <w:rPr>
          <w:szCs w:val="24"/>
        </w:rPr>
        <w:t>3</w:t>
      </w:r>
      <w:r w:rsidRPr="00B63B37">
        <w:rPr>
          <w:szCs w:val="24"/>
        </w:rPr>
        <w:t>. </w:t>
      </w:r>
      <w:r w:rsidR="00F708EE" w:rsidRPr="00B63B37">
        <w:rPr>
          <w:szCs w:val="24"/>
        </w:rPr>
        <w:t xml:space="preserve">Projekta 15. punkts paredz, ka projekta 10. punktā minētie pienākumi un tehniskās dokumentācijas izstrāde neietilpst pilnvarotā pārstāvja uzdevumos. Ņemot vērā to, ka projekta 13. punkts paredz ražotāja tiesības </w:t>
      </w:r>
      <w:r w:rsidR="00517E82" w:rsidRPr="00B63B37">
        <w:rPr>
          <w:szCs w:val="24"/>
        </w:rPr>
        <w:t xml:space="preserve">iecelt </w:t>
      </w:r>
      <w:r w:rsidR="00F708EE" w:rsidRPr="00B63B37">
        <w:rPr>
          <w:szCs w:val="24"/>
        </w:rPr>
        <w:t xml:space="preserve">pilnvaroto pārstāvi, secināms, ka pilnvarotā pārstāvja uzdevumos ietilps tie uzdevumi, kurus ražotājs būs pilnvarojis viņu veikt. Ja projekta 15. punktā paredzētā regulējuma mērķis ir noteikt, ka ražotājs nevar pilnvarot citu personu veikt projekta 10. punktā minētos pienākumus, tad to nepieciešams skaidri noteikt. Ņemot vērā minēto, lūdzam </w:t>
      </w:r>
      <w:r w:rsidR="00F708EE" w:rsidRPr="00E65D50">
        <w:rPr>
          <w:szCs w:val="24"/>
          <w:highlight w:val="yellow"/>
        </w:rPr>
        <w:t>precizēt projekta 15. punktu.</w:t>
      </w:r>
    </w:p>
    <w:p w:rsidR="00F708EE" w:rsidRPr="00B63B37" w:rsidRDefault="00F708EE" w:rsidP="00364206">
      <w:pPr>
        <w:ind w:firstLine="720"/>
        <w:rPr>
          <w:szCs w:val="24"/>
        </w:rPr>
      </w:pPr>
      <w:r w:rsidRPr="00B63B37">
        <w:rPr>
          <w:szCs w:val="24"/>
        </w:rPr>
        <w:t>1</w:t>
      </w:r>
      <w:r w:rsidR="00CD3490" w:rsidRPr="00B63B37">
        <w:rPr>
          <w:szCs w:val="24"/>
        </w:rPr>
        <w:t>4</w:t>
      </w:r>
      <w:r w:rsidRPr="00B63B37">
        <w:rPr>
          <w:szCs w:val="24"/>
        </w:rPr>
        <w:t>. </w:t>
      </w:r>
      <w:r w:rsidR="00040A50" w:rsidRPr="00B63B37">
        <w:rPr>
          <w:szCs w:val="24"/>
        </w:rPr>
        <w:t xml:space="preserve">Projekta 17.8. apakšpunkts paredz, ka importētāja pienākums ir 10 gadus pēc radioiekārtu laišanas tirgū glabāt radioiekārtas Eiropas Savienības atbilstības deklarācijas kopiju, lai tā būtu pieejama </w:t>
      </w:r>
      <w:bookmarkStart w:id="10" w:name="_Hlk81320291"/>
      <w:r w:rsidR="00040A50" w:rsidRPr="00B63B37">
        <w:rPr>
          <w:szCs w:val="24"/>
        </w:rPr>
        <w:t>tirgus uzraudzības iestādei un lietošanas uzraudzības institūcijai</w:t>
      </w:r>
      <w:bookmarkEnd w:id="10"/>
      <w:r w:rsidR="00040A50" w:rsidRPr="00B63B37">
        <w:rPr>
          <w:szCs w:val="24"/>
        </w:rPr>
        <w:t>. Savukārt projekta 17.9. apakšpunkts paredz pienākumu sniegt nepieciešamo informāciju pēc tirgus uzraudzības iestādes vai lietošanas uzraudzības institūcijas pieprasījuma. Proti, nav skaidrs, ko nozīmē nodrošināt projekta 17.8. apakšpunktā minētās informācijas pieejamību, ja importētājam saskaņā ar projekta 17.9. apakšpunktu ir jāsniedz visa nepieciešamā informācija pēc pieprasījuma. Ņemot vērā minēto, lūdzam svītrot projekta 17.8. apakšpunktā ietverto piebildi "lai tā būtu pieejama tirgus uzraudzības iestādei un lietošanas uzraudzības institūcijai".</w:t>
      </w:r>
    </w:p>
    <w:p w:rsidR="00591AD8" w:rsidRPr="00B63B37" w:rsidRDefault="00BA4A2D" w:rsidP="00364206">
      <w:pPr>
        <w:ind w:firstLine="720"/>
        <w:rPr>
          <w:szCs w:val="24"/>
        </w:rPr>
      </w:pPr>
      <w:r w:rsidRPr="00B63B37">
        <w:rPr>
          <w:szCs w:val="24"/>
        </w:rPr>
        <w:t>15. Sagatavošanas noteikumu 3.1. apakšpunkts paredz, ka normatīvā akta projektā neietver normas, kas ir deklaratīvas. Ņemot vērā minēto, lūdzam svītrot projekta 18. punktu, jo tā ir deklaratīva. Vēršam uzmanību, ka Ministru kabineta noteikumi ir jāievēro, jo tas ir ārējs normatīvais akts, nevis tāpēc</w:t>
      </w:r>
      <w:r w:rsidR="003528A9" w:rsidRPr="00B63B37">
        <w:rPr>
          <w:szCs w:val="24"/>
        </w:rPr>
        <w:t>,</w:t>
      </w:r>
      <w:r w:rsidRPr="00B63B37">
        <w:rPr>
          <w:szCs w:val="24"/>
        </w:rPr>
        <w:t xml:space="preserve"> ka projektā tas būs noteikts.</w:t>
      </w:r>
    </w:p>
    <w:p w:rsidR="00BA1955" w:rsidRPr="00B63B37" w:rsidRDefault="00BA1955" w:rsidP="00364206">
      <w:pPr>
        <w:ind w:firstLine="720"/>
        <w:rPr>
          <w:szCs w:val="24"/>
        </w:rPr>
      </w:pPr>
      <w:r w:rsidRPr="00B63B37">
        <w:rPr>
          <w:szCs w:val="24"/>
        </w:rPr>
        <w:t>1</w:t>
      </w:r>
      <w:r w:rsidR="00BA4A2D" w:rsidRPr="00B63B37">
        <w:rPr>
          <w:szCs w:val="24"/>
        </w:rPr>
        <w:t>6</w:t>
      </w:r>
      <w:r w:rsidRPr="00B63B37">
        <w:rPr>
          <w:szCs w:val="24"/>
        </w:rPr>
        <w:t>. </w:t>
      </w:r>
      <w:r w:rsidR="00902EC4" w:rsidRPr="00B63B37">
        <w:rPr>
          <w:szCs w:val="24"/>
        </w:rPr>
        <w:t xml:space="preserve">Projekta 21. punkts noteic, ka iesaistītā persona nodrošina projekta 20. punktā norādītās informācijas pieejamību 10 gadus pēc tam, kad tai piegādātas vai tā piegādājusi radioiekārtas. Nav saprotams, kas ir domāts ar "nodrošina informācijas pieejamību", ņemot vērā to, ka projekta 20. punkts paredz, ka nepieciešamā informācija jāsniedz pēc tirgus uzraudzības iestādes pieprasījuma. Ja mērķis ir paredzēt, ka iesaistītā persona šo informāciju glabā 10 gadus, tad </w:t>
      </w:r>
      <w:r w:rsidR="008337C0" w:rsidRPr="00B63B37">
        <w:rPr>
          <w:szCs w:val="24"/>
        </w:rPr>
        <w:t xml:space="preserve">tāds pienākums </w:t>
      </w:r>
      <w:r w:rsidR="00902EC4" w:rsidRPr="00B63B37">
        <w:rPr>
          <w:szCs w:val="24"/>
        </w:rPr>
        <w:t xml:space="preserve">iesaistītajai personai arī jānosaka. </w:t>
      </w:r>
      <w:r w:rsidR="00902EC4" w:rsidRPr="00E65D50">
        <w:rPr>
          <w:szCs w:val="24"/>
          <w:highlight w:val="yellow"/>
        </w:rPr>
        <w:t>Ņemot vērā minēto, lūdzam precizēt projekta 21. punktu</w:t>
      </w:r>
      <w:r w:rsidR="00902EC4" w:rsidRPr="00B63B37">
        <w:rPr>
          <w:szCs w:val="24"/>
        </w:rPr>
        <w:t>.</w:t>
      </w:r>
    </w:p>
    <w:p w:rsidR="00D541D3" w:rsidRPr="00B63B37" w:rsidRDefault="00902EC4" w:rsidP="00D541D3">
      <w:pPr>
        <w:ind w:firstLine="720"/>
        <w:rPr>
          <w:szCs w:val="24"/>
        </w:rPr>
      </w:pPr>
      <w:r w:rsidRPr="00B63B37">
        <w:rPr>
          <w:szCs w:val="24"/>
        </w:rPr>
        <w:t>1</w:t>
      </w:r>
      <w:r w:rsidR="00BA4A2D" w:rsidRPr="00B63B37">
        <w:rPr>
          <w:szCs w:val="24"/>
        </w:rPr>
        <w:t>7</w:t>
      </w:r>
      <w:r w:rsidRPr="00B63B37">
        <w:rPr>
          <w:szCs w:val="24"/>
        </w:rPr>
        <w:t>. Projekta 2.8.</w:t>
      </w:r>
      <w:r w:rsidR="00D541D3" w:rsidRPr="00B63B37">
        <w:rPr>
          <w:szCs w:val="24"/>
        </w:rPr>
        <w:t>, 2.9., 2.10. un 2.11.</w:t>
      </w:r>
      <w:r w:rsidRPr="00B63B37">
        <w:rPr>
          <w:szCs w:val="24"/>
        </w:rPr>
        <w:t xml:space="preserve"> apakšnodaļa paredz atbilstības novērtēšanas kārtību. Likumprojekta 33. panta pirmā daļa paredz, ka radioiekārtām piemēro būtiskās prasības, novērtē un apliecina atbilstību šīm prasībām likumā "Par atbilstības novērtēšanu" noteiktajā kārtībā. Projekts tiek izdots saskaņā ar likuma "Par atbilstības novērtēšanu" 7. pantu, kas pilnvaro Ministru kabinetu noteikt konkrētā atbilstības novērtēšanas objekta būtiskās prasības un to ievērošanas uzraudzības mehānismu pēc atbildīgās ministrijas priekšlikuma, un institūcijas, kuras veic tirgus uzraudzību reglamentētajā sfērā, un kārtību, kādā veicama tirgus uzraudzība. Proti, </w:t>
      </w:r>
      <w:r w:rsidRPr="00B63B37">
        <w:rPr>
          <w:szCs w:val="24"/>
        </w:rPr>
        <w:lastRenderedPageBreak/>
        <w:t>projekta izdošan</w:t>
      </w:r>
      <w:r w:rsidR="00D541D3" w:rsidRPr="00B63B37">
        <w:rPr>
          <w:szCs w:val="24"/>
        </w:rPr>
        <w:t>a</w:t>
      </w:r>
      <w:r w:rsidRPr="00B63B37">
        <w:rPr>
          <w:szCs w:val="24"/>
        </w:rPr>
        <w:t>s tiesiskajā pamatā nav ietverts tāds likumā "Par atbilstības novērtēšanu" Ministru kabinetam dots pilnvarojums</w:t>
      </w:r>
      <w:r w:rsidR="00C255EF" w:rsidRPr="00B63B37">
        <w:rPr>
          <w:szCs w:val="24"/>
        </w:rPr>
        <w:t>, kas ļautu</w:t>
      </w:r>
      <w:r w:rsidRPr="00B63B37">
        <w:rPr>
          <w:szCs w:val="24"/>
        </w:rPr>
        <w:t xml:space="preserve"> noteikt atbilstības novērtēšanas kārtību. Līdz ar to ir apšaubāma projekta 2.8.</w:t>
      </w:r>
      <w:r w:rsidR="00D541D3" w:rsidRPr="00B63B37">
        <w:rPr>
          <w:szCs w:val="24"/>
        </w:rPr>
        <w:t>, 2.9., 2.10. un 2.11.</w:t>
      </w:r>
      <w:r w:rsidRPr="00B63B37">
        <w:rPr>
          <w:szCs w:val="24"/>
        </w:rPr>
        <w:t> apakšnodaļas atbilstība Ministru kabinetam dotajam pilnvarojumam, kas ir norādīts kā tiesiskais pamats projekta izdošanai. Ņemot vērā minēto, lūdzam svītrot projekta 2.8.</w:t>
      </w:r>
      <w:r w:rsidR="00D541D3" w:rsidRPr="00B63B37">
        <w:rPr>
          <w:szCs w:val="24"/>
        </w:rPr>
        <w:t>, 2.9., 2.10. un 2.11.</w:t>
      </w:r>
      <w:r w:rsidRPr="00B63B37">
        <w:rPr>
          <w:szCs w:val="24"/>
        </w:rPr>
        <w:t> apakšnodaļu vai papildināt projekta izdošanas tiesisko pamatu ar tām likuma normām, kas paredz tiesības Ministru kabinetam noteikt atbilstības novērtēšanas kārtību.</w:t>
      </w:r>
    </w:p>
    <w:p w:rsidR="00A409F6" w:rsidRPr="00B63B37" w:rsidRDefault="00BA4A2D" w:rsidP="00D541D3">
      <w:pPr>
        <w:ind w:firstLine="720"/>
        <w:rPr>
          <w:szCs w:val="24"/>
        </w:rPr>
      </w:pPr>
      <w:r w:rsidRPr="00B63B37">
        <w:rPr>
          <w:szCs w:val="24"/>
        </w:rPr>
        <w:t>18. Projekta tekstā tiek lietots termins "paziņotā institūcija". Vienlaikus projekta 39. un 66. punktā lietots termins "paziņojošā institūcija". Lūdzam precizēt projekta 39. un 66. punktu, ja tajos ietverts neprecīzs termins, vai skaidrot anotācijā, ar ko atšķiras paziņotā institūcija no paziņojošās institūcijas.</w:t>
      </w:r>
    </w:p>
    <w:p w:rsidR="00BA4A2D" w:rsidRPr="00B63B37" w:rsidRDefault="00BA4A2D" w:rsidP="00D541D3">
      <w:pPr>
        <w:ind w:firstLine="720"/>
        <w:rPr>
          <w:szCs w:val="24"/>
        </w:rPr>
      </w:pPr>
      <w:r w:rsidRPr="00B63B37">
        <w:rPr>
          <w:szCs w:val="24"/>
        </w:rPr>
        <w:t xml:space="preserve">19. Projekta 59. punkts noteic, ka </w:t>
      </w:r>
      <w:r w:rsidR="00C415DD" w:rsidRPr="00B63B37">
        <w:rPr>
          <w:szCs w:val="24"/>
        </w:rPr>
        <w:t>paziņotā institūcija izvērtē visas ierosinātās izmaiņas un lemj, vai grozītā kvalitātes nodrošināšanas sistēma atbilst projekta 50. un 51. punktā minētajām prasībām un mēneša laikā par lēmumu paziņo ražotājam vai tā pilnvarotajam pārstāvim. No minētā izriet, ka paziņotās institūcijas pieņemtais lēmums tiks paziņots mēneša laikā pēc tā pieņemšanas. Vēršam uzmanību uz to, ka lēmuma pieņemšanai paredzēto termiņu noteikšanas ietvaros tiek izvērtēts šāda termiņa samērīgums, savukārt lēmuma paziņošanai termiņš noteikts nav. Vienlaikus jāuzsver, ka arī lēmuma paziņošanai ir jānotiek saprātīgā termiņā, jo lēmuma adresātam noteiktas tiesības tiek piešķirtas vai pienākumi tiek uzlikti tikai ar lēmuma paziņošanas brīdi. Uzskatām, ka viens mēnesis lēmuma paziņošanai pēc lēmuma pieņemšanas nav samērīgs, līdz ar to lūdzam noteikt saprātīgu termiņu lēmuma paziņošanai.</w:t>
      </w:r>
    </w:p>
    <w:p w:rsidR="00D541D3" w:rsidRPr="00B63B37" w:rsidRDefault="00C415DD" w:rsidP="00D541D3">
      <w:pPr>
        <w:ind w:firstLine="720"/>
        <w:rPr>
          <w:szCs w:val="24"/>
        </w:rPr>
      </w:pPr>
      <w:r w:rsidRPr="00B63B37">
        <w:rPr>
          <w:szCs w:val="24"/>
        </w:rPr>
        <w:t>20</w:t>
      </w:r>
      <w:r w:rsidR="00D541D3" w:rsidRPr="00B63B37">
        <w:rPr>
          <w:szCs w:val="24"/>
        </w:rPr>
        <w:t xml:space="preserve">. Projekta 68. punkts paredz, ka tehnisko dokumentāciju sagatavo, ietverot visus datus vai norādes par līdzekļiem, kurus ražotājs izmantojis, lai nodrošinātu radioiekārtas atbilstību projekta 8. punktā minētajām būtiskajām prasībām. Lūdzam skaidrot projekta 68. punktā ietvertā regulējuma mērķi. Ministru kabinets ir pilnvarots noteikt konkrētā atbilstības novērtēšanas objekta būtiskās prasības un to ievērošanas uzraudzības mehānismu. </w:t>
      </w:r>
      <w:r w:rsidR="00CE0849" w:rsidRPr="00B63B37">
        <w:rPr>
          <w:szCs w:val="24"/>
        </w:rPr>
        <w:t xml:space="preserve">Ņemot vērā to, ka radioiekārtu būtiskās prasības ietvertas projekta 8. punktā, varētu secināt, ka projekta 68. punktā ietvertā regulējuma mērķis ir uzraudzīt būtisko prasību ievērošanu. Vienlaikus vēršam uzmanību, ka būtisko prasību ievērošanas uzraudzība drīzāk ir process, kas tiek veikts pēc tam, kad sākotnēji jau ir konstatēts, ka </w:t>
      </w:r>
      <w:r w:rsidR="00835E9C" w:rsidRPr="00B63B37">
        <w:rPr>
          <w:szCs w:val="24"/>
        </w:rPr>
        <w:t>radioiekārta atbilst</w:t>
      </w:r>
      <w:r w:rsidR="00CE0849" w:rsidRPr="00B63B37">
        <w:rPr>
          <w:szCs w:val="24"/>
        </w:rPr>
        <w:t xml:space="preserve"> būtisk</w:t>
      </w:r>
      <w:r w:rsidR="00835E9C" w:rsidRPr="00B63B37">
        <w:rPr>
          <w:szCs w:val="24"/>
        </w:rPr>
        <w:t>ajām</w:t>
      </w:r>
      <w:r w:rsidR="00CE0849" w:rsidRPr="00B63B37">
        <w:rPr>
          <w:szCs w:val="24"/>
        </w:rPr>
        <w:t xml:space="preserve"> prasīb</w:t>
      </w:r>
      <w:r w:rsidR="00835E9C" w:rsidRPr="00B63B37">
        <w:rPr>
          <w:szCs w:val="24"/>
        </w:rPr>
        <w:t>ām</w:t>
      </w:r>
      <w:r w:rsidR="00CE0849" w:rsidRPr="00B63B37">
        <w:rPr>
          <w:szCs w:val="24"/>
        </w:rPr>
        <w:t>. Proti, būtisko prasību ievērošanas uzraudzības mērķis ir kontrolēt, vai būtiskās prasības tiek ievērotas ilgtermiņā.</w:t>
      </w:r>
    </w:p>
    <w:p w:rsidR="00CE0849" w:rsidRPr="00B63B37" w:rsidRDefault="00C415DD" w:rsidP="00D541D3">
      <w:pPr>
        <w:ind w:firstLine="720"/>
        <w:rPr>
          <w:szCs w:val="24"/>
        </w:rPr>
      </w:pPr>
      <w:r w:rsidRPr="00B63B37">
        <w:rPr>
          <w:szCs w:val="24"/>
        </w:rPr>
        <w:t>21</w:t>
      </w:r>
      <w:r w:rsidR="00CE0849" w:rsidRPr="00B63B37">
        <w:rPr>
          <w:szCs w:val="24"/>
        </w:rPr>
        <w:t xml:space="preserve">. Projekta 69. punktā norādīta informācija, kas iekļaujama tehniskajā dokumentācijā. Noteiktos dokumentos ietveramās informācijas saturs ir uzskatāms par </w:t>
      </w:r>
      <w:proofErr w:type="spellStart"/>
      <w:r w:rsidR="00CE0849" w:rsidRPr="00B63B37">
        <w:rPr>
          <w:szCs w:val="24"/>
        </w:rPr>
        <w:t>materiāltiesisku</w:t>
      </w:r>
      <w:proofErr w:type="spellEnd"/>
      <w:r w:rsidR="00CE0849" w:rsidRPr="00B63B37">
        <w:rPr>
          <w:szCs w:val="24"/>
        </w:rPr>
        <w:t xml:space="preserve"> regulējumu, kura noteikšanai ir nepieciešams skaidrs pilnvarojums likumā. Ņemot vērā minēto, lūdzam skaidrot, no kuras likuma normas izriet Ministru kabineta tiesības noteikt tehniskajā dokumentācijā ietveramās informācijas saturu.</w:t>
      </w:r>
    </w:p>
    <w:p w:rsidR="00CE0849" w:rsidRPr="00B63B37" w:rsidRDefault="00C415DD" w:rsidP="00D541D3">
      <w:pPr>
        <w:ind w:firstLine="720"/>
        <w:rPr>
          <w:szCs w:val="24"/>
        </w:rPr>
      </w:pPr>
      <w:r w:rsidRPr="00B63B37">
        <w:rPr>
          <w:szCs w:val="24"/>
        </w:rPr>
        <w:t>22</w:t>
      </w:r>
      <w:r w:rsidR="00CE0849" w:rsidRPr="00B63B37">
        <w:rPr>
          <w:szCs w:val="24"/>
        </w:rPr>
        <w:t>. </w:t>
      </w:r>
      <w:bookmarkStart w:id="11" w:name="_Hlk81405255"/>
      <w:r w:rsidR="00CE0849" w:rsidRPr="00B63B37">
        <w:rPr>
          <w:szCs w:val="24"/>
        </w:rPr>
        <w:t>Lūdzam skaidrot, no kuras likuma normas izriet Ministru kabineta tiesības noteikt projekta 2.13. apakšnodaļā ietverto marķēšanas kārtību.</w:t>
      </w:r>
      <w:bookmarkEnd w:id="11"/>
    </w:p>
    <w:p w:rsidR="00CE0849" w:rsidRPr="00B63B37" w:rsidRDefault="00970615" w:rsidP="00D541D3">
      <w:pPr>
        <w:ind w:firstLine="720"/>
        <w:rPr>
          <w:szCs w:val="24"/>
        </w:rPr>
      </w:pPr>
      <w:r w:rsidRPr="00B63B37">
        <w:rPr>
          <w:szCs w:val="24"/>
        </w:rPr>
        <w:t>2</w:t>
      </w:r>
      <w:r w:rsidR="00C415DD" w:rsidRPr="00B63B37">
        <w:rPr>
          <w:szCs w:val="24"/>
        </w:rPr>
        <w:t>3</w:t>
      </w:r>
      <w:r w:rsidR="00CE0849" w:rsidRPr="00B63B37">
        <w:rPr>
          <w:szCs w:val="24"/>
        </w:rPr>
        <w:t>. Lūdzam skaidrot, no kuras likuma normas izriet Ministru kabineta tiesības noteikt projekta 2. nodaļā "Paziņotā institūcija" ietverto regulējumu. Vienlaikus lūdzam precizēt projekta nodaļu numerāciju.</w:t>
      </w:r>
    </w:p>
    <w:p w:rsidR="003F2669" w:rsidRPr="00B63B37" w:rsidRDefault="00C415DD" w:rsidP="00D541D3">
      <w:pPr>
        <w:ind w:firstLine="720"/>
        <w:rPr>
          <w:szCs w:val="24"/>
        </w:rPr>
      </w:pPr>
      <w:r w:rsidRPr="00B63B37">
        <w:rPr>
          <w:szCs w:val="24"/>
        </w:rPr>
        <w:t>24. Projekta 79.2. apakšpunkts paredz, ka paziņotā institūcija ir pierādījusi Latvijas nacionālajai akreditācijas institūcijai tās neatkarību un interešu konflikta neesību, ja tā ir ar novērtējamo radioiekārtu projektēšanu, ražošanu, piegādi, montāžu, lietošanu vai apkopi saistītas biedrības vai nodibinājuma biedrs (loceklis).</w:t>
      </w:r>
      <w:r w:rsidR="003528A9" w:rsidRPr="00B63B37">
        <w:rPr>
          <w:szCs w:val="24"/>
        </w:rPr>
        <w:t xml:space="preserve"> </w:t>
      </w:r>
      <w:r w:rsidR="00145C80" w:rsidRPr="00B63B37">
        <w:rPr>
          <w:szCs w:val="24"/>
        </w:rPr>
        <w:t>Vēršam uzmanību, ka no Biedrību un nodibinājumu likuma izriet, ka biedri ir biedrībai, jo biedrība ir personu apvienība, savukārt nodibinājumam biedru nav, jo nodibinājums ir mantas kopums. Ņemot vērā minēto, lūdzam precizēt projekta 79.2. apakšpunktu.</w:t>
      </w:r>
    </w:p>
    <w:p w:rsidR="00145C80" w:rsidRPr="00B63B37" w:rsidRDefault="00145C80" w:rsidP="00D541D3">
      <w:pPr>
        <w:ind w:firstLine="720"/>
        <w:rPr>
          <w:szCs w:val="24"/>
        </w:rPr>
      </w:pPr>
      <w:r w:rsidRPr="00B63B37">
        <w:rPr>
          <w:szCs w:val="24"/>
        </w:rPr>
        <w:t xml:space="preserve">25. Projekta 80. punkts paredz, ka, ja paziņotā institūcija apliecina savu atbilstību kritērijiem, kas noteikti piemērojamos standartos vai to daļās, to uzskata par atbilstošu projekta 79. punktā minētajām prasībām, ciktāl piemērojamie standarti attiecas uz šīm prasībām. Savukārt no projekta 3.9. apakšpunktā ietvertā paziņotās institūcijas termina skaidrojuma izriet, ka </w:t>
      </w:r>
      <w:r w:rsidRPr="00B63B37">
        <w:rPr>
          <w:szCs w:val="24"/>
        </w:rPr>
        <w:lastRenderedPageBreak/>
        <w:t>paziņoto institūciju akreditē nacionālā akreditācijas institūcija. Ņemot vērā minēto, nav skaidrs, vai paziņoto institūciju ir nepieciešams akreditēt, vai arī tai ir jāapliecina atbilstība noteiktiem kritērijiem un akreditācija nav nepieciešama. Līdz ar to lūdzam izvērtēt projekta 80. punktā noteikto kopsakarā ar projekta 3.9. apakšpunktā noteikto un precizēt projektu.</w:t>
      </w:r>
    </w:p>
    <w:p w:rsidR="00CE0849" w:rsidRPr="00B63B37" w:rsidRDefault="00CE0849" w:rsidP="00D541D3">
      <w:pPr>
        <w:ind w:firstLine="720"/>
        <w:rPr>
          <w:szCs w:val="24"/>
        </w:rPr>
      </w:pPr>
      <w:r w:rsidRPr="00B63B37">
        <w:rPr>
          <w:szCs w:val="24"/>
        </w:rPr>
        <w:t>2</w:t>
      </w:r>
      <w:r w:rsidR="00145C80" w:rsidRPr="00B63B37">
        <w:rPr>
          <w:szCs w:val="24"/>
        </w:rPr>
        <w:t>6</w:t>
      </w:r>
      <w:r w:rsidRPr="00B63B37">
        <w:rPr>
          <w:szCs w:val="24"/>
        </w:rPr>
        <w:t>. </w:t>
      </w:r>
      <w:r w:rsidR="00A74BCC" w:rsidRPr="00B63B37">
        <w:rPr>
          <w:szCs w:val="24"/>
        </w:rPr>
        <w:t>Projekta 108. punkts paredz, ka, ja triju mēnešu laikā pēc projekta 107. punktā minētās informācijas saņemšanas neviena Eiropas Savienības dalībvalsts vai Eiropas Komisija nav iebildusi pret tirgus uzraudzības iestādes pieņemto lēmumu, to uzskata par pamatotu. Savukārt projekta 109. punkts paredz, ka, ja Eiropas Komisija pieņem lēmumu, ka projekta 95. punktā minētais lēmums ir nepamatots, tirgus uzraudzības iestāde pieņemto lēmumu atceļ. No minētajām normām nav skaidrs, kas ir uzskatāms par pamatotu vai nepamatotu lēmumu. Proti, vai lēmumā nav iekļauts lēmuma pamatojums, vai arī lēmums pēc būtības ir vai nav pamatots. Vēršam uzmanību, ka privātpersonai ir tiesības tirgus uzraudzības iestādes lēmumus apstrīdēt un pārsūdzēt, līdz ar to secinājums, ka lēmums ir pamatots, jo neviena Eiropas Savienības dalībvalsts un Eiropas Komisija nav iebildu</w:t>
      </w:r>
      <w:r w:rsidR="00970615" w:rsidRPr="00B63B37">
        <w:rPr>
          <w:szCs w:val="24"/>
        </w:rPr>
        <w:t>s</w:t>
      </w:r>
      <w:r w:rsidR="00A74BCC" w:rsidRPr="00B63B37">
        <w:rPr>
          <w:szCs w:val="24"/>
        </w:rPr>
        <w:t>i pret lēmumu, nevar būt pietiekams pamats</w:t>
      </w:r>
      <w:r w:rsidR="00970615" w:rsidRPr="00B63B37">
        <w:rPr>
          <w:szCs w:val="24"/>
        </w:rPr>
        <w:t xml:space="preserve"> atzīt</w:t>
      </w:r>
      <w:r w:rsidR="00A74BCC" w:rsidRPr="00B63B37">
        <w:rPr>
          <w:szCs w:val="24"/>
        </w:rPr>
        <w:t>, ka lēmums ir pamatots pēc būtības. Ņemot vērā minēto, lūdzam precizēt projekta 108. un 109. punktu.</w:t>
      </w:r>
    </w:p>
    <w:p w:rsidR="00A74BCC" w:rsidRPr="00B63B37" w:rsidRDefault="00A74BCC" w:rsidP="008B3754">
      <w:pPr>
        <w:ind w:firstLine="720"/>
        <w:rPr>
          <w:szCs w:val="24"/>
        </w:rPr>
      </w:pPr>
      <w:r w:rsidRPr="00B63B37">
        <w:rPr>
          <w:szCs w:val="24"/>
        </w:rPr>
        <w:t>2</w:t>
      </w:r>
      <w:r w:rsidR="00145C80" w:rsidRPr="00B63B37">
        <w:rPr>
          <w:szCs w:val="24"/>
        </w:rPr>
        <w:t>7</w:t>
      </w:r>
      <w:r w:rsidRPr="00B63B37">
        <w:rPr>
          <w:szCs w:val="24"/>
        </w:rPr>
        <w:t>. </w:t>
      </w:r>
      <w:r w:rsidR="008B3754" w:rsidRPr="00B63B37">
        <w:rPr>
          <w:szCs w:val="24"/>
        </w:rPr>
        <w:t>Projekta 5.1. apakšnodaļā noteiktas prasības radioiekārtu uzstādīšanai un lietošanai un 5.2. apakšnodaļā ietverti izņēmumi šo prasību ievērošanai. Likumprojekta 33. panta otrā daļa pilnvaro Ministru kabinetu noteikt kārtību, kādā radioiekārtas tiek piedāvātas tirgū, uzstādītas un lietotas, kā arī to lietošanas uzraudzību. 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8B3754" w:rsidRPr="00B63B37">
        <w:rPr>
          <w:i/>
          <w:iCs/>
          <w:szCs w:val="24"/>
        </w:rPr>
        <w:t>sk., piemēram, Satversmes tiesas 2007. gada 9. oktobra sprieduma lietā Nr. 2007-04-03 20. punktu, 2013. gada 27. jūnija sprieduma lietā Nr. 2012-22-0103 18. punktu un 2016. gada 2. marta sprieduma lietā Nr. 2015-11-03 23.3. apakšpunktu</w:t>
      </w:r>
      <w:r w:rsidR="008B3754" w:rsidRPr="00B63B37">
        <w:rPr>
          <w:szCs w:val="24"/>
        </w:rPr>
        <w:t xml:space="preserve">). Ministru kabinetam ir dots pilnvarojums noteikt kārtību, līdz ar to projektā nevar tikt ietverts </w:t>
      </w:r>
      <w:proofErr w:type="spellStart"/>
      <w:r w:rsidR="008B3754" w:rsidRPr="00B63B37">
        <w:rPr>
          <w:szCs w:val="24"/>
        </w:rPr>
        <w:t>materiāltiesisks</w:t>
      </w:r>
      <w:proofErr w:type="spellEnd"/>
      <w:r w:rsidR="008B3754" w:rsidRPr="00B63B37">
        <w:rPr>
          <w:szCs w:val="24"/>
        </w:rPr>
        <w:t xml:space="preserve"> regulējums radioiekārtu uzstādīšanai un lietošanai. Ņemot vērā minēto, lūdzam svītrot projekta 5.1.</w:t>
      </w:r>
      <w:r w:rsidR="004F676D" w:rsidRPr="00B63B37">
        <w:rPr>
          <w:szCs w:val="24"/>
        </w:rPr>
        <w:t> un 5.2.</w:t>
      </w:r>
      <w:r w:rsidR="008B3754" w:rsidRPr="00B63B37">
        <w:rPr>
          <w:szCs w:val="24"/>
        </w:rPr>
        <w:t> apakšnodaļu.</w:t>
      </w:r>
    </w:p>
    <w:p w:rsidR="008B3754" w:rsidRPr="00B63B37" w:rsidRDefault="008B3754" w:rsidP="008B3754">
      <w:r w:rsidRPr="00B63B37">
        <w:rPr>
          <w:szCs w:val="24"/>
        </w:rPr>
        <w:tab/>
        <w:t>2</w:t>
      </w:r>
      <w:r w:rsidR="00145C80" w:rsidRPr="00B63B37">
        <w:rPr>
          <w:szCs w:val="24"/>
        </w:rPr>
        <w:t>8</w:t>
      </w:r>
      <w:r w:rsidRPr="00B63B37">
        <w:rPr>
          <w:szCs w:val="24"/>
        </w:rPr>
        <w:t xml:space="preserve">. Projekta 115., 116., 117. un 118. punkts paredz, kādas papildu prasības papildus projekta 114. punktā noteiktajām prasībām piemērojamas projekta 4.2., 4.3., 4.4. un 4.5. apakšpunktā minētajām radioiekārtām. Projekta 4. punkts noteic radioiekārtas, uz kurām nav attiecināma projekta </w:t>
      </w:r>
      <w:r w:rsidRPr="00B63B37">
        <w:t>2., 3. un 4. nodaļa, 114.5., 114.6., 114.7., 114.8. apakšpunkts un 124. punkts. Projekta 4. punktā paredzētais projekta punktu, kas nav attiecināmi uz šīm radioiekārtām, ietverts arī projekta 116. punktā, taču nav ietverts projekta 115., 117. un 118. punktā. Lūdzam ievērot konsekvenci un projekta 115., 116., 117. un 118. punktu noformulēt līdzīgi.</w:t>
      </w:r>
    </w:p>
    <w:p w:rsidR="008B3754" w:rsidRPr="00B63B37" w:rsidRDefault="008B3754" w:rsidP="00D7744E">
      <w:r w:rsidRPr="00B63B37">
        <w:tab/>
        <w:t>2</w:t>
      </w:r>
      <w:r w:rsidR="00145C80" w:rsidRPr="00B63B37">
        <w:t>9</w:t>
      </w:r>
      <w:r w:rsidRPr="00B63B37">
        <w:t>. </w:t>
      </w:r>
      <w:r w:rsidR="00D7744E" w:rsidRPr="00B63B37">
        <w:t xml:space="preserve">Projekta 119. punkts paredz, ka projekta 114.5., 114.6., 114.7. apakšpunktu un 117. punktu nepiemēro radioiekārtām, kurām tiek izdota īstermiņa atļauja, un projekta 120. punkts paredz, ka projekta 114.5., 114.6. un 114.7. apakšpunktu nepiemēro radioiekārtām, kurām tiek izdota lietošanas atļauja ārvalstu diplomātisko un konsulāro pārstāvniecību radiosakariem. Projekta 114.5, 114.6. un 114.7. apakšpunktā ietvertās prasības </w:t>
      </w:r>
      <w:r w:rsidR="006049BC" w:rsidRPr="00B63B37">
        <w:t>ļauj pārliecināties par</w:t>
      </w:r>
      <w:r w:rsidR="00D7744E" w:rsidRPr="00B63B37">
        <w:t xml:space="preserve"> to, ka radioiekārtas ir nekaitīgas cilvēku veselībai un videi. Līdz ar to nav skaidrs, kāpēc ir noteikts šāds izņēmums uz noteiktām radioiekārtām, kuras arī tiks lietotas. Ņemot vērā minēto, lūdzam skaidrot, kā tiks pārbaudīts, ka projekta 119. un 120. punktā minētās radioiekārtas nenodara kaitējumu cilvēku veselībai un videi.</w:t>
      </w:r>
    </w:p>
    <w:p w:rsidR="00D7744E" w:rsidRPr="00B63B37" w:rsidRDefault="00145C80" w:rsidP="00D7744E">
      <w:pPr>
        <w:ind w:firstLine="720"/>
        <w:rPr>
          <w:szCs w:val="24"/>
        </w:rPr>
      </w:pPr>
      <w:r w:rsidRPr="00B63B37">
        <w:t>30</w:t>
      </w:r>
      <w:r w:rsidR="00D7744E" w:rsidRPr="00B63B37">
        <w:t xml:space="preserve">. Projekta 5.3. un 5.4. apakšnodaļa nosaka </w:t>
      </w:r>
      <w:bookmarkStart w:id="12" w:name="_Hlk81463158"/>
      <w:r w:rsidR="00D7744E" w:rsidRPr="00B63B37">
        <w:t>radioiekārtas uzstādītāja, turētāja un lietotāja pienākumus</w:t>
      </w:r>
      <w:bookmarkEnd w:id="12"/>
      <w:r w:rsidR="00D7744E" w:rsidRPr="00B63B37">
        <w:t xml:space="preserve">. Vēršam uzmanību, ka no Ministru kabinetam dotā pilnvarojuma neizriet tiesības noteikt iesaistīto personu pienākumus, bet gan noteikt kārtību, kādā radioiekārtas tiek piedāvātas tirgū, uzstādītas un lietotas. Līdz ar to lūdzam precizēt projekta 5.3. un 5.4. apakšnodaļā ietverto regulējumu atbilstoši Ministru kabinetam dotajam pilnvarojumam. Vienlaikus </w:t>
      </w:r>
      <w:r w:rsidR="00D7744E" w:rsidRPr="00B63B37">
        <w:rPr>
          <w:szCs w:val="24"/>
        </w:rPr>
        <w:t>lūdzam ņemt vērā, ka sagatavošanas noteikumu 111. punkta pēdējais teikums paredz, ka noteikumu projektā neveido nodaļas, kas satur vienu punktu.</w:t>
      </w:r>
    </w:p>
    <w:p w:rsidR="00D7744E" w:rsidRPr="00B63B37" w:rsidRDefault="00D7744E" w:rsidP="00360D4D">
      <w:r w:rsidRPr="00B63B37">
        <w:lastRenderedPageBreak/>
        <w:tab/>
      </w:r>
      <w:r w:rsidR="00145C80" w:rsidRPr="00B63B37">
        <w:t>31</w:t>
      </w:r>
      <w:r w:rsidRPr="00B63B37">
        <w:t>. Projekta 132. punkts noteic, ka, ja projekta 130.8. apakšpunktā minētās pārbaudes laikā radioiekārtas turētājs nevar uzrādīt radioiekārtas ES atbilstības deklarāciju, lietošanas uzraudzības institūcija ir tiesīga pieprasīt šādas iekārtas uzstādīšanas un darbības tūlītēju pārtraukšanu līdz neatbilstības novēršanai</w:t>
      </w:r>
      <w:r w:rsidR="00360D4D" w:rsidRPr="00B63B37">
        <w:t xml:space="preserve">. Savukārt projekta 133. punkts paredz, ka projekta </w:t>
      </w:r>
      <w:r w:rsidRPr="00B63B37">
        <w:t>132.</w:t>
      </w:r>
      <w:r w:rsidR="00360D4D" w:rsidRPr="00B63B37">
        <w:t> </w:t>
      </w:r>
      <w:r w:rsidRPr="00B63B37">
        <w:t xml:space="preserve">punkts neattiecas uz </w:t>
      </w:r>
      <w:r w:rsidR="00360D4D" w:rsidRPr="00B63B37">
        <w:t>projekta</w:t>
      </w:r>
      <w:r w:rsidRPr="00B63B37">
        <w:t xml:space="preserve"> 4.</w:t>
      </w:r>
      <w:r w:rsidR="00360D4D" w:rsidRPr="00B63B37">
        <w:t> </w:t>
      </w:r>
      <w:r w:rsidRPr="00B63B37">
        <w:t>punktā minētajām iekārtām.</w:t>
      </w:r>
      <w:r w:rsidR="00360D4D" w:rsidRPr="00B63B37">
        <w:t xml:space="preserve"> Vēršam uzmanību, ka arī projekta 4. punktā minētās radioiekārtas nedrīkst nodarīt kaitējumu cilvēku veselībai un videi, līdz ar to nav skaidrs, kāpēc noteiktu neatbilstību konstatēšanas gadījumā ir pieļaujama to turpmāka darbība. Ņemot vērā minēto, lūdzam skaidrot projekta 133. punktā ietvertā regulējuma nepieciešamību.</w:t>
      </w:r>
    </w:p>
    <w:p w:rsidR="00360D4D" w:rsidRPr="00B63B37" w:rsidRDefault="00360D4D" w:rsidP="00360D4D">
      <w:r w:rsidRPr="00B63B37">
        <w:tab/>
      </w:r>
      <w:r w:rsidR="00145C80" w:rsidRPr="00B63B37">
        <w:t>32</w:t>
      </w:r>
      <w:r w:rsidRPr="00B63B37">
        <w:t>. </w:t>
      </w:r>
      <w:r w:rsidR="0094218E" w:rsidRPr="00B63B37">
        <w:t>Projekta 6.2. apakšnodaļa nosaka objekta īpašnieka, valdītāja vai lietotāja un traucējošās iekārtas īpašnieka pienākumus. Ministru kabinets ir pilnvarots noteikt radioiekārtu lietošanas kārtību, nevis iesaistīto personu pienākumus. Līdz ar to lūdzam precizēt projekta 6.2. apakšnodaļā ietverto regulējumu atbilstoši Ministru kabinetam dotajam pilnvarojumam.</w:t>
      </w:r>
    </w:p>
    <w:p w:rsidR="00123B69" w:rsidRPr="00B63B37" w:rsidRDefault="00123B69" w:rsidP="00360D4D">
      <w:r w:rsidRPr="00B63B37">
        <w:tab/>
      </w:r>
      <w:r w:rsidR="00145C80" w:rsidRPr="00B63B37">
        <w:t>33</w:t>
      </w:r>
      <w:r w:rsidRPr="00B63B37">
        <w:t>. Lūdzam svītrot projekta 151. punktu, jo tajā ietvertais regulējums jau izriet no projekta 2.1. apakšpunktā paredzētā.</w:t>
      </w:r>
    </w:p>
    <w:p w:rsidR="00123B69" w:rsidRPr="00B63B37" w:rsidRDefault="00123B69" w:rsidP="00360D4D">
      <w:r w:rsidRPr="00B63B37">
        <w:tab/>
      </w:r>
      <w:r w:rsidR="00145C80" w:rsidRPr="00B63B37">
        <w:t>34</w:t>
      </w:r>
      <w:r w:rsidRPr="00B63B37">
        <w:t>. Projekta 152., 153. un 154. punktā ir paredzētas darbības, ko veic Aizsardzības ministrija, saņemot noteiktu informāciju no lietošanas uzraudzības institūcijas. Vēršam uzmanību, ka saskaņā ar projekta 2.1. apakšpunktā ietverto uz projekta 152., 153. un 154. punktā minētajām radioiekārtām nav attiecināms projektā ietvertais regulējums, tostarp, regulējums, kas paredz lietošanas uzraudzības institūcijas tiesības. Līdz ar to nav skaidrs, kā lietošanas uzraudzības institūcija varēs informāciju sniegt Aizsardzības ministrijai</w:t>
      </w:r>
      <w:r w:rsidR="00EE040F" w:rsidRPr="00B63B37">
        <w:t xml:space="preserve"> vai pieprasīt no tās</w:t>
      </w:r>
      <w:r w:rsidRPr="00B63B37">
        <w:t>. Ņemot vērā minēto, lūdzam izvērtēt projekta 152., 153. un 154. punktā ietverto regulējumu kontekstā ar projekta 2.1. apakšpunktā noteikto un attiecīg</w:t>
      </w:r>
      <w:r w:rsidR="00E961D2" w:rsidRPr="00B63B37">
        <w:t>i</w:t>
      </w:r>
      <w:r w:rsidRPr="00B63B37">
        <w:t xml:space="preserve"> tos precizēt.</w:t>
      </w:r>
    </w:p>
    <w:p w:rsidR="00123B69" w:rsidRPr="00B63B37" w:rsidRDefault="00123B69" w:rsidP="00360D4D">
      <w:r w:rsidRPr="00B63B37">
        <w:tab/>
      </w:r>
      <w:r w:rsidR="00EE040F" w:rsidRPr="00B63B37">
        <w:t>3</w:t>
      </w:r>
      <w:r w:rsidR="00145C80" w:rsidRPr="00B63B37">
        <w:t>5</w:t>
      </w:r>
      <w:r w:rsidRPr="00B63B37">
        <w:t>. </w:t>
      </w:r>
      <w:r w:rsidR="00E961D2" w:rsidRPr="00B63B37">
        <w:t>Projekta 155. punkts paredz, ka projekta 5.3. un 5.4. apakšnodaļu nepiemēro Ziemeļatlantijas līguma organizācijas un programmas "Partnerattiecības mieram" valstu bruņoto spēku vienībām, kuras piedalās militārajās mācībās vai operācijās Latvijas Republikas teritorijā, attiecībā uz radioiekārtām, kuras tiek lietotas uz laiku līdz vienam gadam. Projekta 5.3. un 5.4. apakšnodaļa noteic radioiekārtas uzstādītāja, turētāja un lietotāja pienākumus. Lūdzam skaidrot, kāds ir iemesls paredzēt izņēmumu attiecībā uz iesaistīto personu pienākumiem projekta 155. punktā minētajā gadījumā.</w:t>
      </w:r>
    </w:p>
    <w:p w:rsidR="00E961D2" w:rsidRPr="00B63B37" w:rsidRDefault="00E961D2" w:rsidP="00E961D2">
      <w:r w:rsidRPr="00B63B37">
        <w:tab/>
        <w:t>3</w:t>
      </w:r>
      <w:r w:rsidR="00145C80" w:rsidRPr="00B63B37">
        <w:t>6</w:t>
      </w:r>
      <w:r w:rsidRPr="00B63B37">
        <w:t>. Projekta 158. punkts paredz, ka projekta 1. pielikuma tabulas 6. punktu piemēro no 2022. gada 17. marta. Lūdzam skaidrot anotācijā, kāpēc projekta 1. pielikuma tabulas 6. punktam noteikts īpašs piemērošanas termiņš.</w:t>
      </w:r>
    </w:p>
    <w:p w:rsidR="00B10883" w:rsidRPr="00B63B37" w:rsidRDefault="00E961D2" w:rsidP="00E961D2">
      <w:r w:rsidRPr="00B63B37">
        <w:tab/>
        <w:t>3</w:t>
      </w:r>
      <w:r w:rsidR="00145C80" w:rsidRPr="00B63B37">
        <w:t>7</w:t>
      </w:r>
      <w:r w:rsidRPr="00B63B37">
        <w:t>. </w:t>
      </w:r>
      <w:r w:rsidR="00B10883" w:rsidRPr="00B63B37">
        <w:rPr>
          <w:szCs w:val="24"/>
        </w:rPr>
        <w:t>Ņemot vērā visus iepriekš izteiktos iebildumus, lūdzam attiecīgi precizēt visu projektā ietverto regulējumu.</w:t>
      </w:r>
    </w:p>
    <w:p w:rsidR="00B10883" w:rsidRPr="00B63B37" w:rsidRDefault="00225375" w:rsidP="00B10883">
      <w:pPr>
        <w:ind w:firstLine="720"/>
      </w:pPr>
      <w:r w:rsidRPr="00B63B37">
        <w:rPr>
          <w:szCs w:val="24"/>
        </w:rPr>
        <w:t>3</w:t>
      </w:r>
      <w:r w:rsidR="00145C80" w:rsidRPr="00B63B37">
        <w:rPr>
          <w:szCs w:val="24"/>
        </w:rPr>
        <w:t>8</w:t>
      </w:r>
      <w:r w:rsidR="00D541D3" w:rsidRPr="00B63B37">
        <w:rPr>
          <w:szCs w:val="24"/>
        </w:rPr>
        <w:t>. </w:t>
      </w:r>
      <w:r w:rsidR="00276771" w:rsidRPr="00B63B37">
        <w:rPr>
          <w:szCs w:val="24"/>
        </w:rPr>
        <w:t xml:space="preserve">Anotācijas kopsavilkumā norādīts, ka, stājoties spēkā Likumprojektam, zaudēs spēku Ministru kabineta noteikumi elektronisko sakaru jomā, kas izdoti saskaņā ar spēkā esošo Elektronisko sakaru likumu. Vēršam uzmanību uz to, ka </w:t>
      </w:r>
      <w:r w:rsidR="00276771" w:rsidRPr="00B63B37">
        <w:t>Ministru kabineta 2016. gada 7. jūnija noteikum</w:t>
      </w:r>
      <w:r w:rsidR="00F11BDC" w:rsidRPr="00B63B37">
        <w:t>i</w:t>
      </w:r>
      <w:r w:rsidR="00276771" w:rsidRPr="00B63B37">
        <w:t xml:space="preserve"> Nr. 360 "Radioiekārtu atbilstības novērtēšanas, piedāvāšanas tirgū, uzstādīšanas un lietošanas noteikumi" izdoti arī uz likuma "Par atbilstības novērtēšanu" 7. panta pamata, līdz ar to spēku zaudēs tikai tā minēto noteikumu daļa, kas izdota saskaņā ar Elektronisko sakaru likumu. Līdz ar to lūdzam papildināt projektu ar jaunu punktu, paredzot, ka minētie Ministru kabineta noteikumi zaudē spēku ar projekta spēkā stāšanos. Vienlaikus aicinām precizēt anotācijas kopsavilkumā norādīto.</w:t>
      </w:r>
    </w:p>
    <w:p w:rsidR="00276771" w:rsidRPr="00B63B37" w:rsidRDefault="00276771" w:rsidP="00B10883">
      <w:pPr>
        <w:ind w:firstLine="720"/>
      </w:pPr>
      <w:r w:rsidRPr="00B63B37">
        <w:t>3</w:t>
      </w:r>
      <w:r w:rsidR="00145C80" w:rsidRPr="00B63B37">
        <w:t>9</w:t>
      </w:r>
      <w:r w:rsidRPr="00B63B37">
        <w:t>. Anotācijas kopsavilkumā norādīts, ka Ministru kabineta noteikumi elektronisko sakaru jomā stājas spēkā vienlaikus ar Likumprojektu, kura spēkā stāšanās paredzēta 2021. gada 30. novembrī. Vēršam uzmanību, ka projektā nav paredzēta tā vienlaicīga spēkā stāšanās ar Likumprojektu, līdz ar to tas stāsies spēkā vispārīgajā kārtībā. Ņemot vērā to, ka Ministru kabineta noteikumi nevar stāties spēkā</w:t>
      </w:r>
      <w:r w:rsidR="00C7304A" w:rsidRPr="00B63B37">
        <w:t>,</w:t>
      </w:r>
      <w:r w:rsidRPr="00B63B37">
        <w:t xml:space="preserve"> pirms stājas spēkā attiecīgais likumprojekts, lūdzam papildināt projektu ar spēkā stāšanās noteikumu.</w:t>
      </w:r>
    </w:p>
    <w:p w:rsidR="00276771" w:rsidRPr="00B63B37" w:rsidRDefault="00145C80" w:rsidP="00B10883">
      <w:pPr>
        <w:ind w:firstLine="720"/>
        <w:rPr>
          <w:szCs w:val="24"/>
        </w:rPr>
      </w:pPr>
      <w:r w:rsidRPr="00B63B37">
        <w:t>40</w:t>
      </w:r>
      <w:r w:rsidR="00276771" w:rsidRPr="00B63B37">
        <w:t xml:space="preserve">. Anotācijas I sadaļas 2. punktā norādīts, ka, "ievērojot, ka Projektiem ir vienāds pamatojums, tie tiks iesniegti noteiktā kārtībā izskatīšanai Ministru kabineta sēdē vienotā paketē. </w:t>
      </w:r>
      <w:r w:rsidR="00276771" w:rsidRPr="00B63B37">
        <w:lastRenderedPageBreak/>
        <w:t xml:space="preserve">Projektos tiek saglabāta spēkā esošo Ministru kabineta noteikumu redakcija bez saturiskiem grozījumiem, veicot tehniskus precizējumus." Vēršam uzmanību uz to, ka Ministru kabineta noteikumu projektiem, par kuriem sagatavota anotācija, nav viens pamatojums, proti, katrs no tiem tiks izdots saskaņā ar savu </w:t>
      </w:r>
      <w:r w:rsidR="00F11BDC" w:rsidRPr="00B63B37">
        <w:t>L</w:t>
      </w:r>
      <w:r w:rsidR="00276771" w:rsidRPr="00B63B37">
        <w:t xml:space="preserve">ikumprojekta normu. </w:t>
      </w:r>
      <w:bookmarkStart w:id="13" w:name="_Hlk81465401"/>
      <w:r w:rsidR="00276771" w:rsidRPr="00B63B37">
        <w:t>Ministru kabineta 2009. gada 15. decembra instrukcijas Nr. </w:t>
      </w:r>
      <w:r w:rsidR="00E37822" w:rsidRPr="00B63B37">
        <w:t>1</w:t>
      </w:r>
      <w:r w:rsidR="00276771" w:rsidRPr="00B63B37">
        <w:t>9 "Tiesību akta projekta sākotnējās ietekmes izvērtēšanas kārtība"</w:t>
      </w:r>
      <w:bookmarkEnd w:id="13"/>
      <w:r w:rsidR="00276771" w:rsidRPr="00B63B37">
        <w:t xml:space="preserve"> </w:t>
      </w:r>
      <w:r w:rsidR="00E37822" w:rsidRPr="00B63B37">
        <w:t>11.</w:t>
      </w:r>
      <w:r w:rsidR="00E37822" w:rsidRPr="00B63B37">
        <w:rPr>
          <w:vertAlign w:val="superscript"/>
        </w:rPr>
        <w:t>1</w:t>
      </w:r>
      <w:r w:rsidR="00E37822" w:rsidRPr="00B63B37">
        <w:t xml:space="preserve"> punkts paredz, ka, ja saistībā ar projektu nepieciešams izdarīt grozījumus arī citos hierarhiski tāda paša līmeņa tiesību aktos, ministrija var sagatavot apvienoto anotāciju vairākiem tiesību aktiem (izņemot likumprojektus), ja tiem ir vienāds pamatojums. Proti, apvienoto anotāciju var sagatavot tajā gadījumā, kad konkrētās tiesību sistēmas vienotības nodrošināšanas nolūkos ir nepieciešams saskaņot regulējumu vairākos normatīvajos aktos. Piemēram, ja tiktu mainīts Patērētāju tiesību aizsardzības centra nosaukums, visi normatīvie akti, kuros būtu nepieciešams veikt grozījumus, lai mainītu nosaukumu, būtu saistītie normatīvie akti un par tiem būtu sagatavojama apvienotā anotācijā. Savukārt konkrētajā gadījumā katrs no Ministru kabineta noteikumu projektiem, par kuriem ir sagatavota anotācija, ir patstāvīgi normatīvie akti un saturiski nav saistīti. Ņemot vērā minēto, lūdzam sagatavot atsevišķu anotāciju par projektu, kā arī aizpildīt anotāciju atbilstoši </w:t>
      </w:r>
      <w:bookmarkStart w:id="14" w:name="_Hlk81469740"/>
      <w:r w:rsidR="00E37822" w:rsidRPr="00B63B37">
        <w:t xml:space="preserve">Ministru kabineta 2009. gada 15. decembra instrukcijas Nr. 19 "Tiesību akta projekta sākotnējās ietekmes izvērtēšanas kārtība" </w:t>
      </w:r>
      <w:bookmarkEnd w:id="14"/>
      <w:r w:rsidR="00E37822" w:rsidRPr="00B63B37">
        <w:t>14. punktā noteiktajam</w:t>
      </w:r>
      <w:r w:rsidR="00F11BDC" w:rsidRPr="00B63B37">
        <w:t>.</w:t>
      </w:r>
    </w:p>
    <w:p w:rsidR="00D6043B" w:rsidRPr="00B63B37" w:rsidRDefault="00145C80" w:rsidP="00E37822">
      <w:pPr>
        <w:ind w:firstLine="720"/>
      </w:pPr>
      <w:r w:rsidRPr="00B63B37">
        <w:rPr>
          <w:szCs w:val="24"/>
        </w:rPr>
        <w:t>41</w:t>
      </w:r>
      <w:r w:rsidR="00B10883" w:rsidRPr="00B63B37">
        <w:rPr>
          <w:szCs w:val="24"/>
        </w:rPr>
        <w:t>. </w:t>
      </w:r>
      <w:r w:rsidR="00B10883" w:rsidRPr="00B63B37">
        <w:t xml:space="preserve">Projekta informatīvajā atsaucē uz Eiropas Savienības direktīvu norādīts, ka projektā iekļautas tiesību normas, kas izriet no Eiropas Parlamenta un Padomes 2014. gada 16. aprīļa Direktīvas 2014/53/ES par dalībvalstu tiesību aktu saskaņošanu attiecībā uz radioiekārtu pieejamību tirgū un ar ko atceļ Direktīvu 1999/5/EK. Anotācijas V sadaļā norādīts, ka ar projektu tiek pārņemta minētā direktīva, taču anotācijas V sadaļas 1. tabulā norādīts, ka tiek pārņemts </w:t>
      </w:r>
      <w:r w:rsidR="00F11BDC" w:rsidRPr="00B63B37">
        <w:t>tikai</w:t>
      </w:r>
      <w:r w:rsidR="00B10883" w:rsidRPr="00B63B37">
        <w:t xml:space="preserve"> termins "radioiekārta". Vēršam uzmanību uz to, ka termina "radioiekārta" skaidrojums ietverts </w:t>
      </w:r>
      <w:r w:rsidR="00C7304A" w:rsidRPr="00B63B37">
        <w:t>L</w:t>
      </w:r>
      <w:r w:rsidR="00B10883" w:rsidRPr="00B63B37">
        <w:t xml:space="preserve">ikumprojekta 1. panta pirmās daļas 50. punktā. Līdz ar to termins tiek pārņemts ar </w:t>
      </w:r>
      <w:r w:rsidR="00C7304A" w:rsidRPr="00B63B37">
        <w:t>L</w:t>
      </w:r>
      <w:r w:rsidR="00B10883" w:rsidRPr="00B63B37">
        <w:t xml:space="preserve">ikumprojektu. Vienlaikus norādām, ka minētā direktīva pārņemta ar </w:t>
      </w:r>
      <w:bookmarkStart w:id="15" w:name="_Hlk81464516"/>
      <w:r w:rsidR="00B10883" w:rsidRPr="00B63B37">
        <w:t>Ministru kabineta 2016. gada 7. jūnija noteikumiem Nr. 360 "Radioiekārtu atbilstības novērtēšanas, piedāvāšanas tirgū, uzstādīšanas un lietošanas noteikumi"</w:t>
      </w:r>
      <w:bookmarkEnd w:id="15"/>
      <w:r w:rsidR="00B10883" w:rsidRPr="00B63B37">
        <w:t>. Projekts aizstās minētos Ministru kabineta noteikumus, līdz ar to secināms, ka minētā direktīva pēc būtības tiek pārņemta arī projektā, nevis tikai attiecībā uz anotācijas V sadaļā jau norādīto. Ņemot vērā to, ka, lai pārliecinātos par konkrētas direktīvas pārņemšanu, informācijai par tās pārņemšanu jābūt norādītai aktuālā normatīvā akt</w:t>
      </w:r>
      <w:r w:rsidR="00181A7F" w:rsidRPr="00B63B37">
        <w:t>a</w:t>
      </w:r>
      <w:r w:rsidR="00B10883" w:rsidRPr="00B63B37">
        <w:t>, ar ko tā ir pārņemta,</w:t>
      </w:r>
      <w:r w:rsidR="00181A7F" w:rsidRPr="00B63B37">
        <w:t xml:space="preserve"> anotācijā,</w:t>
      </w:r>
      <w:r w:rsidR="00B10883" w:rsidRPr="00B63B37">
        <w:t xml:space="preserve"> lūdzam aizpildīt anotācijas V sadaļu</w:t>
      </w:r>
      <w:r w:rsidR="00181A7F" w:rsidRPr="00B63B37">
        <w:t xml:space="preserve"> atbilstoši Ministru kabineta 2009. gada 15. decembra instrukcijas Nr. 19 "Tiesību akta projekta sākotnējās ietekmes izvērtēšanas kārtība" VI nodaļā noteiktajam.</w:t>
      </w:r>
    </w:p>
    <w:p w:rsidR="00D6043B" w:rsidRPr="00B63B37" w:rsidRDefault="00D6043B" w:rsidP="00153AD6">
      <w:r w:rsidRPr="00B63B37">
        <w:tab/>
        <w:t>Vienlaikus izsakām šādus priekšlikumus:</w:t>
      </w:r>
    </w:p>
    <w:p w:rsidR="00D6043B" w:rsidRPr="00B63B37" w:rsidRDefault="00D6043B" w:rsidP="00153AD6">
      <w:r w:rsidRPr="00B63B37">
        <w:tab/>
        <w:t xml:space="preserve">1. Projekta 3.10. apakšpunkts paredz, ka atsaukšana ir pasākums ar mērķi panākt, ka tiek atdota atpakaļ radioiekārta, kas ir pieejama galalietotājam. Lūdzam precizēt, kam tiek atdota </w:t>
      </w:r>
      <w:r w:rsidR="006D7535" w:rsidRPr="00B63B37">
        <w:t>atpakaļ radioiekārta.</w:t>
      </w:r>
    </w:p>
    <w:p w:rsidR="00834D1C" w:rsidRPr="00B63B37" w:rsidRDefault="008F7B4A" w:rsidP="009D38C7">
      <w:r w:rsidRPr="00B63B37">
        <w:tab/>
        <w:t>2. </w:t>
      </w:r>
      <w:r w:rsidR="009D38C7" w:rsidRPr="00B63B37">
        <w:t>Lūdzam aizstāt projekta 13. punktā</w:t>
      </w:r>
      <w:r w:rsidR="00C7304A" w:rsidRPr="00B63B37">
        <w:t>, 32.2. un 49.4. apakšpunktā</w:t>
      </w:r>
      <w:r w:rsidR="009D38C7" w:rsidRPr="00B63B37">
        <w:t xml:space="preserve"> vārdu "rakstisk</w:t>
      </w:r>
      <w:r w:rsidR="00BA4A2D" w:rsidRPr="00B63B37">
        <w:t>s</w:t>
      </w:r>
      <w:r w:rsidR="009D38C7" w:rsidRPr="00B63B37">
        <w:t>" ar vārdu "rakstveida".</w:t>
      </w:r>
    </w:p>
    <w:p w:rsidR="00834D1C" w:rsidRPr="00B63B37" w:rsidRDefault="00834D1C" w:rsidP="00834D1C"/>
    <w:p w:rsidR="00EF1E76" w:rsidRPr="00B63B37" w:rsidRDefault="00EF1E76" w:rsidP="00834D1C"/>
    <w:p w:rsidR="00834D1C" w:rsidRPr="00B63B37" w:rsidRDefault="00834D1C" w:rsidP="00834D1C">
      <w:r w:rsidRPr="00B63B37">
        <w:t>Valsts sekretāra vietniece</w:t>
      </w:r>
    </w:p>
    <w:p w:rsidR="00834D1C" w:rsidRPr="00B63B37" w:rsidRDefault="00834D1C" w:rsidP="00834D1C">
      <w:r w:rsidRPr="00B63B37">
        <w:t>tiesību politikas jautājumos</w:t>
      </w:r>
      <w:r w:rsidRPr="00B63B37">
        <w:tab/>
      </w:r>
      <w:r w:rsidRPr="00B63B37">
        <w:tab/>
      </w:r>
      <w:r w:rsidRPr="00B63B37">
        <w:tab/>
      </w:r>
      <w:r w:rsidRPr="00B63B37">
        <w:tab/>
      </w:r>
      <w:r w:rsidRPr="00B63B37">
        <w:tab/>
      </w:r>
      <w:r w:rsidRPr="00B63B37">
        <w:tab/>
      </w:r>
      <w:r w:rsidRPr="00B63B37">
        <w:tab/>
      </w:r>
      <w:r w:rsidRPr="00B63B37">
        <w:tab/>
        <w:t>Laila Medina</w:t>
      </w:r>
    </w:p>
    <w:p w:rsidR="00834D1C" w:rsidRPr="00B63B37" w:rsidRDefault="00834D1C" w:rsidP="00834D1C"/>
    <w:p w:rsidR="00834D1C" w:rsidRPr="00B63B37" w:rsidRDefault="00834D1C" w:rsidP="00834D1C"/>
    <w:p w:rsidR="00834D1C" w:rsidRPr="00B63B37" w:rsidRDefault="00834D1C" w:rsidP="00834D1C">
      <w:pPr>
        <w:rPr>
          <w:sz w:val="20"/>
          <w:szCs w:val="20"/>
        </w:rPr>
      </w:pPr>
      <w:r w:rsidRPr="00B63B37">
        <w:rPr>
          <w:sz w:val="20"/>
          <w:szCs w:val="20"/>
        </w:rPr>
        <w:t>Linda Upīte</w:t>
      </w:r>
    </w:p>
    <w:p w:rsidR="00834D1C" w:rsidRPr="00B63B37" w:rsidRDefault="00834D1C" w:rsidP="00834D1C">
      <w:pPr>
        <w:rPr>
          <w:sz w:val="20"/>
          <w:szCs w:val="20"/>
        </w:rPr>
      </w:pPr>
      <w:r w:rsidRPr="00B63B37">
        <w:rPr>
          <w:sz w:val="20"/>
          <w:szCs w:val="20"/>
        </w:rPr>
        <w:t>Valststiesību departamenta</w:t>
      </w:r>
    </w:p>
    <w:p w:rsidR="00834D1C" w:rsidRPr="00B63B37" w:rsidRDefault="00834D1C" w:rsidP="00834D1C">
      <w:pPr>
        <w:rPr>
          <w:sz w:val="20"/>
          <w:szCs w:val="20"/>
        </w:rPr>
      </w:pPr>
      <w:r w:rsidRPr="00B63B37">
        <w:rPr>
          <w:sz w:val="20"/>
          <w:szCs w:val="20"/>
        </w:rPr>
        <w:t>Administratīvo tiesību nodaļas juriste</w:t>
      </w:r>
    </w:p>
    <w:p w:rsidR="00834D1C" w:rsidRPr="00834D1C" w:rsidRDefault="00834D1C" w:rsidP="00834D1C">
      <w:pPr>
        <w:rPr>
          <w:sz w:val="20"/>
          <w:szCs w:val="20"/>
        </w:rPr>
      </w:pPr>
      <w:bookmarkStart w:id="16" w:name="OLE_LINK2"/>
      <w:bookmarkStart w:id="17" w:name="OLE_LINK3"/>
      <w:r w:rsidRPr="00B63B37">
        <w:rPr>
          <w:sz w:val="20"/>
          <w:szCs w:val="20"/>
        </w:rPr>
        <w:t>67046102</w:t>
      </w:r>
      <w:bookmarkEnd w:id="16"/>
      <w:bookmarkEnd w:id="17"/>
      <w:r w:rsidRPr="00B63B37">
        <w:rPr>
          <w:sz w:val="20"/>
          <w:szCs w:val="20"/>
        </w:rPr>
        <w:t xml:space="preserve">, </w:t>
      </w:r>
      <w:hyperlink r:id="rId7" w:history="1">
        <w:r w:rsidR="00703F79" w:rsidRPr="00B63B37">
          <w:rPr>
            <w:rStyle w:val="Hyperlink"/>
            <w:sz w:val="20"/>
            <w:szCs w:val="20"/>
          </w:rPr>
          <w:t>Linda.Upite@tm.gov.lv</w:t>
        </w:r>
      </w:hyperlink>
    </w:p>
    <w:sectPr w:rsidR="00834D1C" w:rsidRPr="00834D1C" w:rsidSect="00A34ACB">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7BD" w:rsidRDefault="002127BD">
      <w:r>
        <w:separator/>
      </w:r>
    </w:p>
  </w:endnote>
  <w:endnote w:type="continuationSeparator" w:id="0">
    <w:p w:rsidR="002127BD" w:rsidRDefault="002127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FC1" w:rsidRPr="00476FC1" w:rsidRDefault="00476FC1" w:rsidP="00476FC1">
    <w:pPr>
      <w:pStyle w:val="Footer"/>
      <w:rPr>
        <w:sz w:val="20"/>
        <w:szCs w:val="20"/>
      </w:rPr>
    </w:pPr>
    <w:r w:rsidRPr="00834D1C">
      <w:rPr>
        <w:sz w:val="20"/>
        <w:szCs w:val="20"/>
      </w:rPr>
      <w:t>TM</w:t>
    </w:r>
    <w:r>
      <w:rPr>
        <w:sz w:val="20"/>
        <w:szCs w:val="20"/>
      </w:rPr>
      <w:t>a</w:t>
    </w:r>
    <w:r w:rsidRPr="00834D1C">
      <w:rPr>
        <w:sz w:val="20"/>
        <w:szCs w:val="20"/>
      </w:rPr>
      <w:t>tz_</w:t>
    </w:r>
    <w:r>
      <w:rPr>
        <w:sz w:val="20"/>
        <w:szCs w:val="20"/>
      </w:rPr>
      <w:t>0</w:t>
    </w:r>
    <w:r w:rsidR="00E37822">
      <w:rPr>
        <w:sz w:val="20"/>
        <w:szCs w:val="20"/>
      </w:rPr>
      <w:t>2</w:t>
    </w:r>
    <w:r>
      <w:rPr>
        <w:sz w:val="20"/>
        <w:szCs w:val="20"/>
      </w:rPr>
      <w:t>0921</w:t>
    </w:r>
    <w:r w:rsidRPr="00834D1C">
      <w:rPr>
        <w:sz w:val="20"/>
        <w:szCs w:val="20"/>
      </w:rPr>
      <w:t>_</w:t>
    </w:r>
    <w:r>
      <w:rPr>
        <w:sz w:val="20"/>
        <w:szCs w:val="20"/>
      </w:rPr>
      <w:t>SM</w:t>
    </w:r>
    <w:r w:rsidRPr="00834D1C">
      <w:rPr>
        <w:sz w:val="20"/>
        <w:szCs w:val="20"/>
      </w:rPr>
      <w:t>_VSS</w:t>
    </w:r>
    <w:r>
      <w:rPr>
        <w:sz w:val="20"/>
        <w:szCs w:val="20"/>
      </w:rPr>
      <w:t>-776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D1C" w:rsidRPr="00834D1C" w:rsidRDefault="00834D1C">
    <w:pPr>
      <w:pStyle w:val="Footer"/>
      <w:rPr>
        <w:sz w:val="20"/>
        <w:szCs w:val="20"/>
      </w:rPr>
    </w:pPr>
    <w:r w:rsidRPr="00834D1C">
      <w:rPr>
        <w:sz w:val="20"/>
        <w:szCs w:val="20"/>
      </w:rPr>
      <w:t>TM</w:t>
    </w:r>
    <w:r>
      <w:rPr>
        <w:sz w:val="20"/>
        <w:szCs w:val="20"/>
      </w:rPr>
      <w:t>a</w:t>
    </w:r>
    <w:r w:rsidRPr="00834D1C">
      <w:rPr>
        <w:sz w:val="20"/>
        <w:szCs w:val="20"/>
      </w:rPr>
      <w:t>tz_</w:t>
    </w:r>
    <w:r w:rsidR="00755E64">
      <w:rPr>
        <w:sz w:val="20"/>
        <w:szCs w:val="20"/>
      </w:rPr>
      <w:t>0</w:t>
    </w:r>
    <w:r w:rsidR="00E37822">
      <w:rPr>
        <w:sz w:val="20"/>
        <w:szCs w:val="20"/>
      </w:rPr>
      <w:t>2</w:t>
    </w:r>
    <w:r w:rsidR="00755E64">
      <w:rPr>
        <w:sz w:val="20"/>
        <w:szCs w:val="20"/>
      </w:rPr>
      <w:t>09</w:t>
    </w:r>
    <w:r w:rsidR="00CB40FE">
      <w:rPr>
        <w:sz w:val="20"/>
        <w:szCs w:val="20"/>
      </w:rPr>
      <w:t>21</w:t>
    </w:r>
    <w:r w:rsidRPr="00834D1C">
      <w:rPr>
        <w:sz w:val="20"/>
        <w:szCs w:val="20"/>
      </w:rPr>
      <w:t>_</w:t>
    </w:r>
    <w:r w:rsidR="00755E64">
      <w:rPr>
        <w:sz w:val="20"/>
        <w:szCs w:val="20"/>
      </w:rPr>
      <w:t>SM</w:t>
    </w:r>
    <w:r w:rsidRPr="00834D1C">
      <w:rPr>
        <w:sz w:val="20"/>
        <w:szCs w:val="20"/>
      </w:rPr>
      <w:t>_VSS</w:t>
    </w:r>
    <w:r>
      <w:rPr>
        <w:sz w:val="20"/>
        <w:szCs w:val="20"/>
      </w:rPr>
      <w:t>-</w:t>
    </w:r>
    <w:r w:rsidR="00755E64">
      <w:rPr>
        <w:sz w:val="20"/>
        <w:szCs w:val="20"/>
      </w:rPr>
      <w:t>776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7BD" w:rsidRDefault="002127BD">
      <w:r>
        <w:separator/>
      </w:r>
    </w:p>
  </w:footnote>
  <w:footnote w:type="continuationSeparator" w:id="0">
    <w:p w:rsidR="002127BD" w:rsidRDefault="002127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7847357"/>
      <w:docPartObj>
        <w:docPartGallery w:val="Page Numbers (Top of Page)"/>
        <w:docPartUnique/>
      </w:docPartObj>
    </w:sdtPr>
    <w:sdtContent>
      <w:p w:rsidR="007B3740" w:rsidRDefault="00502E6A">
        <w:pPr>
          <w:pStyle w:val="Header"/>
          <w:jc w:val="center"/>
        </w:pPr>
        <w:r>
          <w:fldChar w:fldCharType="begin"/>
        </w:r>
        <w:r w:rsidR="007B3740">
          <w:instrText>PAGE   \* MERGEFORMAT</w:instrText>
        </w:r>
        <w:r>
          <w:fldChar w:fldCharType="separate"/>
        </w:r>
        <w:r w:rsidR="00E65D50">
          <w:rPr>
            <w:noProof/>
          </w:rPr>
          <w:t>5</w:t>
        </w:r>
        <w:r>
          <w:fldChar w:fldCharType="end"/>
        </w:r>
      </w:p>
    </w:sdtContent>
  </w:sdt>
  <w:p w:rsidR="006C6018" w:rsidRDefault="006C601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ACB" w:rsidRDefault="00A34ACB" w:rsidP="00A34ACB">
    <w:pPr>
      <w:pStyle w:val="Header"/>
    </w:pPr>
  </w:p>
  <w:p w:rsidR="00A34ACB" w:rsidRDefault="00E40434" w:rsidP="00A34ACB">
    <w:pPr>
      <w:pStyle w:val="Header"/>
    </w:pPr>
    <w:r>
      <w:rPr>
        <w:noProof/>
        <w:lang w:eastAsia="lv-LV"/>
      </w:rPr>
      <w:drawing>
        <wp:anchor distT="0" distB="0" distL="114300" distR="114300" simplePos="0" relativeHeight="251660800" behindDoc="1" locked="0" layoutInCell="1" allowOverlap="1">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15025" cy="1066800"/>
                  </a:xfrm>
                  <a:prstGeom prst="rect">
                    <a:avLst/>
                  </a:prstGeom>
                  <a:noFill/>
                  <a:ln>
                    <a:noFill/>
                  </a:ln>
                </pic:spPr>
              </pic:pic>
            </a:graphicData>
          </a:graphic>
        </wp:anchor>
      </w:drawing>
    </w:r>
  </w:p>
  <w:p w:rsidR="00A34ACB" w:rsidRDefault="00A34ACB" w:rsidP="00A34ACB">
    <w:pPr>
      <w:pStyle w:val="Header"/>
    </w:pPr>
  </w:p>
  <w:p w:rsidR="00A34ACB" w:rsidRDefault="00A34ACB" w:rsidP="00A34ACB">
    <w:pPr>
      <w:pStyle w:val="Header"/>
    </w:pPr>
  </w:p>
  <w:p w:rsidR="00A34ACB" w:rsidRDefault="00A34ACB" w:rsidP="00A34ACB">
    <w:pPr>
      <w:pStyle w:val="Header"/>
    </w:pPr>
  </w:p>
  <w:p w:rsidR="00A34ACB" w:rsidRDefault="00A34ACB" w:rsidP="00A34ACB">
    <w:pPr>
      <w:pStyle w:val="Header"/>
    </w:pPr>
  </w:p>
  <w:p w:rsidR="00A34ACB" w:rsidRDefault="00A34ACB" w:rsidP="00A34ACB">
    <w:pPr>
      <w:pStyle w:val="Header"/>
    </w:pPr>
  </w:p>
  <w:p w:rsidR="00A34ACB" w:rsidRDefault="00A34ACB" w:rsidP="00A34ACB">
    <w:pPr>
      <w:pStyle w:val="Header"/>
    </w:pPr>
  </w:p>
  <w:p w:rsidR="00A34ACB" w:rsidRDefault="00A34ACB" w:rsidP="00A34ACB">
    <w:pPr>
      <w:pStyle w:val="Header"/>
    </w:pPr>
  </w:p>
  <w:p w:rsidR="00A34ACB" w:rsidRDefault="00A34ACB" w:rsidP="00A34ACB">
    <w:pPr>
      <w:pStyle w:val="Header"/>
    </w:pPr>
  </w:p>
  <w:p w:rsidR="00A34ACB" w:rsidRPr="00815277" w:rsidRDefault="00502E6A" w:rsidP="00A34ACB">
    <w:pPr>
      <w:pStyle w:val="Header"/>
    </w:pPr>
    <w:r w:rsidRPr="00502E6A">
      <w:rPr>
        <w:noProof/>
        <w:lang w:val="en-US"/>
      </w:rPr>
      <w:pict>
        <v:shapetype id="_x0000_t202" coordsize="21600,21600" o:spt="202" path="m,l,21600r21600,l21600,xe">
          <v:stroke joinstyle="miter"/>
          <v:path gradientshapeok="t" o:connecttype="rect"/>
        </v:shapetype>
        <v:shape id="Text Box 43" o:spid="_x0000_s4099" type="#_x0000_t202" style="position:absolute;left:0;text-align:left;margin-left:92.25pt;margin-top:159.9pt;width:459.75pt;height:24.75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00061F11">
                  <w:rPr>
                    <w:rFonts w:eastAsia="Times New Roman"/>
                    <w:sz w:val="17"/>
                    <w:szCs w:val="17"/>
                  </w:rPr>
                  <w:t xml:space="preserve"> 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w:r>
    <w:r w:rsidRPr="00502E6A">
      <w:rPr>
        <w:noProof/>
        <w:lang w:val="en-US"/>
      </w:rPr>
      <w:pict>
        <v:group id="Group 41" o:spid="_x0000_s4097" style="position:absolute;left:0;text-align:left;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409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w:r>
  </w:p>
  <w:p w:rsidR="00AB4E8A" w:rsidRPr="00C836FF" w:rsidRDefault="00AB4E8A" w:rsidP="00AB4E8A">
    <w:pPr>
      <w:jc w:val="center"/>
      <w:rPr>
        <w:szCs w:val="24"/>
      </w:rPr>
    </w:pPr>
    <w:r w:rsidRPr="00C836FF">
      <w:rPr>
        <w:szCs w:val="24"/>
      </w:rPr>
      <w:t>Rīgā</w:t>
    </w:r>
  </w:p>
  <w:p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tblPr>
    <w:tblGrid>
      <w:gridCol w:w="1810"/>
      <w:gridCol w:w="420"/>
      <w:gridCol w:w="1890"/>
    </w:tblGrid>
    <w:tr w:rsidR="00E11DA3" w:rsidTr="00A6153E">
      <w:tc>
        <w:tcPr>
          <w:tcW w:w="1810" w:type="dxa"/>
        </w:tcPr>
        <w:p w:rsidR="00E11DA3" w:rsidRDefault="00E11DA3" w:rsidP="00E11DA3">
          <w:pPr>
            <w:pStyle w:val="Header"/>
            <w:jc w:val="center"/>
            <w:rPr>
              <w:szCs w:val="24"/>
            </w:rPr>
          </w:pPr>
          <w:r>
            <w:t>02.09.2021</w:t>
          </w:r>
        </w:p>
      </w:tc>
      <w:tc>
        <w:tcPr>
          <w:tcW w:w="420" w:type="dxa"/>
          <w:tcBorders>
            <w:bottom w:val="nil"/>
          </w:tcBorders>
        </w:tcPr>
        <w:p w:rsidR="00E11DA3" w:rsidRDefault="00E11DA3" w:rsidP="00E11DA3">
          <w:pPr>
            <w:pStyle w:val="Header"/>
            <w:rPr>
              <w:szCs w:val="24"/>
            </w:rPr>
          </w:pPr>
          <w:r>
            <w:rPr>
              <w:szCs w:val="24"/>
            </w:rPr>
            <w:t xml:space="preserve"> Nr.</w:t>
          </w:r>
        </w:p>
      </w:tc>
      <w:tc>
        <w:tcPr>
          <w:tcW w:w="1890" w:type="dxa"/>
        </w:tcPr>
        <w:p w:rsidR="00E11DA3" w:rsidRDefault="00E11DA3" w:rsidP="00E11DA3">
          <w:pPr>
            <w:pStyle w:val="Header"/>
            <w:jc w:val="center"/>
            <w:rPr>
              <w:szCs w:val="24"/>
            </w:rPr>
          </w:pPr>
          <w:r>
            <w:t>1-9.1/962</w:t>
          </w:r>
        </w:p>
      </w:tc>
    </w:tr>
  </w:tbl>
  <w:p w:rsidR="00AB4E8A" w:rsidRPr="00C836FF" w:rsidRDefault="00AB4E8A" w:rsidP="00E11DA3">
    <w:pPr>
      <w:tabs>
        <w:tab w:val="center" w:pos="4320"/>
        <w:tab w:val="right" w:pos="8640"/>
      </w:tabs>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2E1474"/>
    <w:rsid w:val="00005C88"/>
    <w:rsid w:val="00006384"/>
    <w:rsid w:val="00030349"/>
    <w:rsid w:val="00040A50"/>
    <w:rsid w:val="00061F11"/>
    <w:rsid w:val="00080148"/>
    <w:rsid w:val="00091ABD"/>
    <w:rsid w:val="000A0432"/>
    <w:rsid w:val="000E7F03"/>
    <w:rsid w:val="000F19F7"/>
    <w:rsid w:val="000F4C92"/>
    <w:rsid w:val="001146C4"/>
    <w:rsid w:val="00123B69"/>
    <w:rsid w:val="00124173"/>
    <w:rsid w:val="00145C80"/>
    <w:rsid w:val="00153AD6"/>
    <w:rsid w:val="00181A7F"/>
    <w:rsid w:val="00181C8D"/>
    <w:rsid w:val="00195F3B"/>
    <w:rsid w:val="001D268D"/>
    <w:rsid w:val="002010BB"/>
    <w:rsid w:val="002127BD"/>
    <w:rsid w:val="00225375"/>
    <w:rsid w:val="00275B9E"/>
    <w:rsid w:val="00276771"/>
    <w:rsid w:val="002B3077"/>
    <w:rsid w:val="002E1474"/>
    <w:rsid w:val="002E1867"/>
    <w:rsid w:val="002F003A"/>
    <w:rsid w:val="003125E8"/>
    <w:rsid w:val="00335032"/>
    <w:rsid w:val="003528A9"/>
    <w:rsid w:val="00360D4D"/>
    <w:rsid w:val="00364206"/>
    <w:rsid w:val="003E598F"/>
    <w:rsid w:val="003F2669"/>
    <w:rsid w:val="00441F52"/>
    <w:rsid w:val="00476FC1"/>
    <w:rsid w:val="00493308"/>
    <w:rsid w:val="004B77CE"/>
    <w:rsid w:val="004F676D"/>
    <w:rsid w:val="00502E6A"/>
    <w:rsid w:val="00517E82"/>
    <w:rsid w:val="00535564"/>
    <w:rsid w:val="00591AD8"/>
    <w:rsid w:val="005957BA"/>
    <w:rsid w:val="005C05C8"/>
    <w:rsid w:val="005E672B"/>
    <w:rsid w:val="006049BC"/>
    <w:rsid w:val="006211A6"/>
    <w:rsid w:val="00634E03"/>
    <w:rsid w:val="00663C3A"/>
    <w:rsid w:val="006670D9"/>
    <w:rsid w:val="0067175A"/>
    <w:rsid w:val="00671CAF"/>
    <w:rsid w:val="006A43AA"/>
    <w:rsid w:val="006C1639"/>
    <w:rsid w:val="006C6018"/>
    <w:rsid w:val="006D7535"/>
    <w:rsid w:val="00703F79"/>
    <w:rsid w:val="00711FE8"/>
    <w:rsid w:val="00724680"/>
    <w:rsid w:val="00726E06"/>
    <w:rsid w:val="0074249B"/>
    <w:rsid w:val="00747CCB"/>
    <w:rsid w:val="00755E64"/>
    <w:rsid w:val="007704BD"/>
    <w:rsid w:val="007B3740"/>
    <w:rsid w:val="007B3BA5"/>
    <w:rsid w:val="007B48EC"/>
    <w:rsid w:val="007E0D0E"/>
    <w:rsid w:val="007E4D1F"/>
    <w:rsid w:val="00815277"/>
    <w:rsid w:val="00816499"/>
    <w:rsid w:val="00830970"/>
    <w:rsid w:val="00833580"/>
    <w:rsid w:val="008337C0"/>
    <w:rsid w:val="00834D1C"/>
    <w:rsid w:val="00835E9C"/>
    <w:rsid w:val="0087450D"/>
    <w:rsid w:val="00876C21"/>
    <w:rsid w:val="00883533"/>
    <w:rsid w:val="008A679D"/>
    <w:rsid w:val="008A78C0"/>
    <w:rsid w:val="008B3754"/>
    <w:rsid w:val="008D1E9E"/>
    <w:rsid w:val="008E3CED"/>
    <w:rsid w:val="008F723B"/>
    <w:rsid w:val="008F7866"/>
    <w:rsid w:val="008F7B4A"/>
    <w:rsid w:val="00902EC4"/>
    <w:rsid w:val="00921C69"/>
    <w:rsid w:val="0094218E"/>
    <w:rsid w:val="00954D5A"/>
    <w:rsid w:val="0096342D"/>
    <w:rsid w:val="00970615"/>
    <w:rsid w:val="00971232"/>
    <w:rsid w:val="009D38C7"/>
    <w:rsid w:val="009D6B6A"/>
    <w:rsid w:val="00A01DEC"/>
    <w:rsid w:val="00A0403B"/>
    <w:rsid w:val="00A34ACB"/>
    <w:rsid w:val="00A409F6"/>
    <w:rsid w:val="00A66827"/>
    <w:rsid w:val="00A74BCC"/>
    <w:rsid w:val="00AA08C5"/>
    <w:rsid w:val="00AB4E8A"/>
    <w:rsid w:val="00AC270F"/>
    <w:rsid w:val="00AD008F"/>
    <w:rsid w:val="00AE555D"/>
    <w:rsid w:val="00AE5861"/>
    <w:rsid w:val="00AF10A5"/>
    <w:rsid w:val="00B10883"/>
    <w:rsid w:val="00B63B37"/>
    <w:rsid w:val="00BA1955"/>
    <w:rsid w:val="00BA4A2D"/>
    <w:rsid w:val="00BB087F"/>
    <w:rsid w:val="00C04896"/>
    <w:rsid w:val="00C105BB"/>
    <w:rsid w:val="00C255D9"/>
    <w:rsid w:val="00C255EF"/>
    <w:rsid w:val="00C415DD"/>
    <w:rsid w:val="00C47F57"/>
    <w:rsid w:val="00C61157"/>
    <w:rsid w:val="00C7304A"/>
    <w:rsid w:val="00C836FF"/>
    <w:rsid w:val="00CB3461"/>
    <w:rsid w:val="00CB40FE"/>
    <w:rsid w:val="00CD3490"/>
    <w:rsid w:val="00CE0849"/>
    <w:rsid w:val="00CF0967"/>
    <w:rsid w:val="00D21FA6"/>
    <w:rsid w:val="00D34F04"/>
    <w:rsid w:val="00D541D3"/>
    <w:rsid w:val="00D55B4B"/>
    <w:rsid w:val="00D6043B"/>
    <w:rsid w:val="00D67B45"/>
    <w:rsid w:val="00D7306F"/>
    <w:rsid w:val="00D7744E"/>
    <w:rsid w:val="00DE5364"/>
    <w:rsid w:val="00DF7177"/>
    <w:rsid w:val="00E10130"/>
    <w:rsid w:val="00E11DA3"/>
    <w:rsid w:val="00E365CE"/>
    <w:rsid w:val="00E37822"/>
    <w:rsid w:val="00E40434"/>
    <w:rsid w:val="00E44743"/>
    <w:rsid w:val="00E65D50"/>
    <w:rsid w:val="00E81AE4"/>
    <w:rsid w:val="00E961D2"/>
    <w:rsid w:val="00EA7506"/>
    <w:rsid w:val="00EC3533"/>
    <w:rsid w:val="00EE040F"/>
    <w:rsid w:val="00EF1E76"/>
    <w:rsid w:val="00F11BDC"/>
    <w:rsid w:val="00F60586"/>
    <w:rsid w:val="00F708EE"/>
    <w:rsid w:val="00F77933"/>
    <w:rsid w:val="00FC3819"/>
  </w:rsids>
  <m:mathPr>
    <m:mathFont m:val="Cambria Math"/>
    <m:brkBin m:val="before"/>
    <m:brkBinSub m:val="--"/>
    <m:smallFrac m:val="off"/>
    <m:dispDef m:val="off"/>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834D1C"/>
    <w:rPr>
      <w:color w:val="605E5C"/>
      <w:shd w:val="clear" w:color="auto" w:fill="E1DFDD"/>
    </w:rPr>
  </w:style>
  <w:style w:type="character" w:styleId="CommentReference">
    <w:name w:val="annotation reference"/>
    <w:basedOn w:val="DefaultParagraphFont"/>
    <w:uiPriority w:val="99"/>
    <w:semiHidden/>
    <w:unhideWhenUsed/>
    <w:rsid w:val="00591AD8"/>
    <w:rPr>
      <w:sz w:val="16"/>
      <w:szCs w:val="16"/>
    </w:rPr>
  </w:style>
  <w:style w:type="paragraph" w:styleId="CommentText">
    <w:name w:val="annotation text"/>
    <w:basedOn w:val="Normal"/>
    <w:link w:val="CommentTextChar"/>
    <w:uiPriority w:val="99"/>
    <w:semiHidden/>
    <w:unhideWhenUsed/>
    <w:rsid w:val="00591AD8"/>
    <w:rPr>
      <w:sz w:val="20"/>
      <w:szCs w:val="20"/>
    </w:rPr>
  </w:style>
  <w:style w:type="character" w:customStyle="1" w:styleId="CommentTextChar">
    <w:name w:val="Comment Text Char"/>
    <w:basedOn w:val="DefaultParagraphFont"/>
    <w:link w:val="CommentText"/>
    <w:uiPriority w:val="99"/>
    <w:semiHidden/>
    <w:rsid w:val="00591AD8"/>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591AD8"/>
    <w:rPr>
      <w:b/>
      <w:bCs/>
    </w:rPr>
  </w:style>
  <w:style w:type="character" w:customStyle="1" w:styleId="CommentSubjectChar">
    <w:name w:val="Comment Subject Char"/>
    <w:basedOn w:val="CommentTextChar"/>
    <w:link w:val="CommentSubject"/>
    <w:uiPriority w:val="99"/>
    <w:semiHidden/>
    <w:rsid w:val="00591AD8"/>
    <w:rPr>
      <w:rFonts w:ascii="Times New Roman" w:hAnsi="Times New Roman"/>
      <w:b/>
      <w:bCs/>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nda.Upite@t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21269</Words>
  <Characters>12124</Characters>
  <Application>Microsoft Office Word</Application>
  <DocSecurity>0</DocSecurity>
  <Lines>101</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"Radioiekārtu atbilstības novērtēšanas, piedāvāšanas tirgū, uzstādīšanas un lietošanas noteikumi"</vt:lpstr>
      <vt:lpstr>Par Ministru kabineta noteikumu projektu "Radioiekārtu atbilstības novērtēšanas, piedāvāšanas tirgū, uzstādīšanas un lietošanas noteikumi"</vt:lpstr>
    </vt:vector>
  </TitlesOfParts>
  <Company>Tieslietu Sektors</Company>
  <LinksUpToDate>false</LinksUpToDate>
  <CharactersWithSpaces>33327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"Radioiekārtu atbilstības novērtēšanas, piedāvāšanas tirgū, uzstādīšanas un lietošanas noteikumi"</dc:title>
  <dc:creator>Linda Upīte</dc:creator>
  <dc:description>67046102,
Linda.Upite@tm.gov.lv</dc:description>
  <cp:lastModifiedBy>Lietotajs</cp:lastModifiedBy>
  <cp:revision>2</cp:revision>
  <cp:lastPrinted>2015-01-09T08:13:00Z</cp:lastPrinted>
  <dcterms:created xsi:type="dcterms:W3CDTF">2021-09-06T08:26:00Z</dcterms:created>
  <dcterms:modified xsi:type="dcterms:W3CDTF">2021-09-06T08:26:00Z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