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170AA8" w14:textId="77777777" w:rsidR="009F7868" w:rsidRPr="001C753C" w:rsidRDefault="009F7868" w:rsidP="009F7868">
      <w:pPr>
        <w:rPr>
          <w:b/>
          <w:i/>
          <w:szCs w:val="24"/>
        </w:rPr>
      </w:pPr>
      <w:r w:rsidRPr="001C753C">
        <w:rPr>
          <w:sz w:val="26"/>
          <w:szCs w:val="26"/>
        </w:rPr>
        <w:t>Budžeta un finanšu (nodokļu) komisija</w:t>
      </w:r>
      <w:r w:rsidRPr="001C753C">
        <w:rPr>
          <w:sz w:val="26"/>
          <w:szCs w:val="26"/>
        </w:rPr>
        <w:tab/>
      </w:r>
    </w:p>
    <w:p w14:paraId="0A009A90" w14:textId="77777777" w:rsidR="009F7868" w:rsidRPr="001C753C" w:rsidRDefault="009F7868" w:rsidP="009F7868">
      <w:pPr>
        <w:jc w:val="right"/>
        <w:rPr>
          <w:sz w:val="26"/>
          <w:szCs w:val="26"/>
        </w:rPr>
      </w:pPr>
      <w:r w:rsidRPr="001C753C">
        <w:rPr>
          <w:sz w:val="26"/>
          <w:szCs w:val="26"/>
        </w:rPr>
        <w:t>Likumprojekts (steidzams) otrajam lasījumam</w:t>
      </w:r>
    </w:p>
    <w:p w14:paraId="54363D62" w14:textId="77777777" w:rsidR="009F7868" w:rsidRPr="001C753C" w:rsidRDefault="009F7868" w:rsidP="009F7868">
      <w:pPr>
        <w:pStyle w:val="naisvisr"/>
        <w:spacing w:before="0" w:beforeAutospacing="0" w:after="0" w:afterAutospacing="0"/>
        <w:jc w:val="center"/>
        <w:rPr>
          <w:b/>
          <w:sz w:val="26"/>
          <w:szCs w:val="26"/>
        </w:rPr>
      </w:pPr>
    </w:p>
    <w:p w14:paraId="36A5AF64" w14:textId="77777777" w:rsidR="009F7868" w:rsidRPr="001C753C" w:rsidRDefault="009F7868" w:rsidP="009F7868">
      <w:pPr>
        <w:pStyle w:val="paragraphheader"/>
        <w:spacing w:before="0" w:after="0"/>
        <w:contextualSpacing w:val="0"/>
        <w:jc w:val="center"/>
        <w:rPr>
          <w:b/>
          <w:color w:val="auto"/>
        </w:rPr>
      </w:pPr>
      <w:r w:rsidRPr="001C753C">
        <w:rPr>
          <w:b/>
          <w:color w:val="auto"/>
        </w:rPr>
        <w:t>Grozījumi Valsts fondēto pensiju likumā</w:t>
      </w:r>
    </w:p>
    <w:p w14:paraId="39FBE93A" w14:textId="1095697F" w:rsidR="009F7868" w:rsidRPr="001C753C" w:rsidRDefault="009F7868" w:rsidP="009F7868">
      <w:pPr>
        <w:jc w:val="center"/>
        <w:rPr>
          <w:rStyle w:val="Emphasis"/>
          <w:b/>
          <w:sz w:val="26"/>
          <w:szCs w:val="26"/>
        </w:rPr>
      </w:pPr>
      <w:r w:rsidRPr="001C753C">
        <w:rPr>
          <w:rStyle w:val="Emphasis"/>
          <w:b/>
          <w:sz w:val="26"/>
          <w:szCs w:val="26"/>
        </w:rPr>
        <w:t>(Nr.747/Lp14)</w:t>
      </w:r>
    </w:p>
    <w:p w14:paraId="102F3648" w14:textId="77777777" w:rsidR="009F7868" w:rsidRPr="001C753C" w:rsidRDefault="009F7868" w:rsidP="009F7868">
      <w:pPr>
        <w:jc w:val="center"/>
        <w:rPr>
          <w:rStyle w:val="Emphasis"/>
          <w:b/>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01"/>
        <w:gridCol w:w="3554"/>
        <w:gridCol w:w="566"/>
        <w:gridCol w:w="3526"/>
        <w:gridCol w:w="1397"/>
        <w:gridCol w:w="1404"/>
      </w:tblGrid>
      <w:tr w:rsidR="001C753C" w:rsidRPr="001C753C" w14:paraId="72CA5096" w14:textId="77777777" w:rsidTr="00BF76CA">
        <w:tc>
          <w:tcPr>
            <w:tcW w:w="3501" w:type="dxa"/>
            <w:shd w:val="clear" w:color="auto" w:fill="auto"/>
            <w:vAlign w:val="center"/>
          </w:tcPr>
          <w:p w14:paraId="7E422452" w14:textId="77777777" w:rsidR="009F7868" w:rsidRPr="001C753C" w:rsidRDefault="009F7868" w:rsidP="00BF76CA">
            <w:pPr>
              <w:jc w:val="center"/>
              <w:rPr>
                <w:b/>
                <w:bCs/>
                <w:iCs/>
                <w:szCs w:val="24"/>
              </w:rPr>
            </w:pPr>
            <w:r w:rsidRPr="001C753C">
              <w:rPr>
                <w:b/>
                <w:bCs/>
                <w:iCs/>
                <w:szCs w:val="24"/>
              </w:rPr>
              <w:t>Spēkā esošā redakcija</w:t>
            </w:r>
          </w:p>
        </w:tc>
        <w:tc>
          <w:tcPr>
            <w:tcW w:w="3554" w:type="dxa"/>
            <w:shd w:val="clear" w:color="auto" w:fill="auto"/>
            <w:vAlign w:val="center"/>
          </w:tcPr>
          <w:p w14:paraId="4A785885" w14:textId="77777777" w:rsidR="009F7868" w:rsidRPr="001C753C" w:rsidRDefault="009F7868" w:rsidP="00BF76CA">
            <w:pPr>
              <w:jc w:val="center"/>
              <w:rPr>
                <w:b/>
                <w:szCs w:val="24"/>
              </w:rPr>
            </w:pPr>
            <w:r w:rsidRPr="001C753C">
              <w:rPr>
                <w:b/>
                <w:szCs w:val="24"/>
              </w:rPr>
              <w:t>Pirmā lasījuma redakcija</w:t>
            </w:r>
          </w:p>
        </w:tc>
        <w:tc>
          <w:tcPr>
            <w:tcW w:w="566" w:type="dxa"/>
            <w:vAlign w:val="center"/>
          </w:tcPr>
          <w:p w14:paraId="05E8D48A" w14:textId="77777777" w:rsidR="009F7868" w:rsidRPr="001C753C" w:rsidRDefault="009F7868" w:rsidP="00BF76CA">
            <w:pPr>
              <w:jc w:val="center"/>
              <w:rPr>
                <w:b/>
                <w:szCs w:val="24"/>
              </w:rPr>
            </w:pPr>
            <w:r w:rsidRPr="001C753C">
              <w:rPr>
                <w:b/>
                <w:szCs w:val="24"/>
              </w:rPr>
              <w:t>Nr.</w:t>
            </w:r>
          </w:p>
        </w:tc>
        <w:tc>
          <w:tcPr>
            <w:tcW w:w="3526" w:type="dxa"/>
            <w:vAlign w:val="center"/>
          </w:tcPr>
          <w:p w14:paraId="502E6D07" w14:textId="77777777" w:rsidR="009F7868" w:rsidRPr="001C753C" w:rsidRDefault="009F7868" w:rsidP="00BF76CA">
            <w:pPr>
              <w:jc w:val="center"/>
              <w:rPr>
                <w:b/>
                <w:szCs w:val="24"/>
              </w:rPr>
            </w:pPr>
            <w:r w:rsidRPr="001C753C">
              <w:rPr>
                <w:b/>
                <w:szCs w:val="24"/>
              </w:rPr>
              <w:t>Priekšlikumi</w:t>
            </w:r>
          </w:p>
          <w:p w14:paraId="2019768B" w14:textId="4043F8AB" w:rsidR="009F7868" w:rsidRPr="001C753C" w:rsidRDefault="009F7868" w:rsidP="00BF76CA">
            <w:pPr>
              <w:jc w:val="center"/>
              <w:rPr>
                <w:b/>
                <w:szCs w:val="24"/>
              </w:rPr>
            </w:pPr>
            <w:r w:rsidRPr="001C753C">
              <w:rPr>
                <w:b/>
                <w:szCs w:val="24"/>
              </w:rPr>
              <w:t>(</w:t>
            </w:r>
            <w:r w:rsidR="00502306">
              <w:rPr>
                <w:b/>
                <w:szCs w:val="24"/>
              </w:rPr>
              <w:t>4</w:t>
            </w:r>
            <w:r w:rsidRPr="001C753C">
              <w:rPr>
                <w:b/>
                <w:szCs w:val="24"/>
              </w:rPr>
              <w:t>)</w:t>
            </w:r>
          </w:p>
        </w:tc>
        <w:tc>
          <w:tcPr>
            <w:tcW w:w="1397" w:type="dxa"/>
            <w:vAlign w:val="center"/>
          </w:tcPr>
          <w:p w14:paraId="0BE5738A" w14:textId="77777777" w:rsidR="009F7868" w:rsidRPr="001C753C" w:rsidRDefault="009F7868" w:rsidP="00BF76CA">
            <w:pPr>
              <w:jc w:val="center"/>
              <w:rPr>
                <w:b/>
                <w:szCs w:val="24"/>
              </w:rPr>
            </w:pPr>
            <w:r w:rsidRPr="001C753C">
              <w:rPr>
                <w:b/>
                <w:szCs w:val="24"/>
              </w:rPr>
              <w:t>Ministru kabineta atzinums</w:t>
            </w:r>
          </w:p>
        </w:tc>
        <w:tc>
          <w:tcPr>
            <w:tcW w:w="1404" w:type="dxa"/>
            <w:vAlign w:val="center"/>
          </w:tcPr>
          <w:p w14:paraId="7C8E1BB8" w14:textId="77777777" w:rsidR="009F7868" w:rsidRPr="001C753C" w:rsidRDefault="009F7868" w:rsidP="00BF76CA">
            <w:pPr>
              <w:jc w:val="center"/>
              <w:rPr>
                <w:b/>
                <w:szCs w:val="24"/>
              </w:rPr>
            </w:pPr>
            <w:r w:rsidRPr="001C753C">
              <w:rPr>
                <w:b/>
                <w:szCs w:val="24"/>
              </w:rPr>
              <w:t>Komisijas atzinums</w:t>
            </w:r>
          </w:p>
        </w:tc>
      </w:tr>
      <w:tr w:rsidR="001C753C" w:rsidRPr="001C753C" w14:paraId="065DB66B" w14:textId="77777777" w:rsidTr="00A90188">
        <w:tc>
          <w:tcPr>
            <w:tcW w:w="3501" w:type="dxa"/>
            <w:shd w:val="clear" w:color="auto" w:fill="auto"/>
            <w:vAlign w:val="center"/>
          </w:tcPr>
          <w:p w14:paraId="56827650" w14:textId="77777777" w:rsidR="009F7868" w:rsidRPr="001C753C" w:rsidRDefault="009F7868" w:rsidP="00BF76CA">
            <w:pPr>
              <w:jc w:val="center"/>
              <w:rPr>
                <w:b/>
                <w:bCs/>
                <w:iCs/>
                <w:szCs w:val="24"/>
              </w:rPr>
            </w:pPr>
          </w:p>
        </w:tc>
        <w:tc>
          <w:tcPr>
            <w:tcW w:w="3554" w:type="dxa"/>
            <w:shd w:val="clear" w:color="auto" w:fill="auto"/>
          </w:tcPr>
          <w:p w14:paraId="6601C396" w14:textId="33C11827" w:rsidR="009F7868" w:rsidRPr="001C753C" w:rsidRDefault="009F7868" w:rsidP="00B64625">
            <w:pPr>
              <w:pStyle w:val="paragraph"/>
              <w:ind w:firstLine="567"/>
              <w:contextualSpacing w:val="0"/>
              <w:rPr>
                <w:color w:val="auto"/>
                <w:sz w:val="22"/>
                <w:szCs w:val="22"/>
              </w:rPr>
            </w:pPr>
            <w:r w:rsidRPr="001C753C">
              <w:rPr>
                <w:color w:val="auto"/>
                <w:sz w:val="22"/>
                <w:szCs w:val="22"/>
              </w:rPr>
              <w:t>Izdarīt Valsts fondēto pensiju likumā (Latvijas Republikas Saeimas un Ministru Kabineta Ziņotājs, 2000, 7. nr.; 2002, 24. nr.; 2004, 2., 9. nr.; 2005, 12. nr.; 2006, 21. nr.; 2007, 12. nr.; 2008, 21. nr.; 2009, 1., 10., 14. nr.; Latvijas Vēstnesis, 2010, 206. nr.; 2012, 189. nr.; 2013, 142., 187. nr.; 2014, 75. nr.; 2016, 31. nr.; 2017, 242. nr.; 2018, 210. nr.; 2020, 67.A, 240.A nr.; 2021, 22., 193. nr.; 2022, 207. nr.) šādus grozījumus:</w:t>
            </w:r>
          </w:p>
        </w:tc>
        <w:tc>
          <w:tcPr>
            <w:tcW w:w="566" w:type="dxa"/>
          </w:tcPr>
          <w:p w14:paraId="6CB93A3D" w14:textId="5F28E39B" w:rsidR="009F7868" w:rsidRPr="00212B52" w:rsidRDefault="00212B52" w:rsidP="00212B52">
            <w:pPr>
              <w:jc w:val="center"/>
              <w:rPr>
                <w:b/>
                <w:sz w:val="22"/>
              </w:rPr>
            </w:pPr>
            <w:r w:rsidRPr="00212B52">
              <w:rPr>
                <w:b/>
                <w:sz w:val="22"/>
              </w:rPr>
              <w:t>1</w:t>
            </w:r>
          </w:p>
        </w:tc>
        <w:tc>
          <w:tcPr>
            <w:tcW w:w="3526" w:type="dxa"/>
            <w:vAlign w:val="center"/>
          </w:tcPr>
          <w:p w14:paraId="0922FB40" w14:textId="77777777" w:rsidR="00B64625" w:rsidRPr="00B64625" w:rsidRDefault="00B64625" w:rsidP="00B64625">
            <w:pPr>
              <w:ind w:firstLine="567"/>
              <w:jc w:val="both"/>
              <w:rPr>
                <w:rFonts w:eastAsia="Times New Roman"/>
                <w:i/>
                <w:iCs/>
                <w:sz w:val="22"/>
                <w:lang w:eastAsia="lv-LV"/>
              </w:rPr>
            </w:pPr>
            <w:r w:rsidRPr="00B64625">
              <w:rPr>
                <w:rFonts w:eastAsia="Times New Roman"/>
                <w:i/>
                <w:iCs/>
                <w:sz w:val="22"/>
                <w:lang w:eastAsia="lv-LV"/>
              </w:rPr>
              <w:t>Saeimas Juridiskais birojs, izskatījis pirmajā lasījumā pieņemto likumprojektu “</w:t>
            </w:r>
            <w:r w:rsidRPr="00B64625">
              <w:rPr>
                <w:bCs/>
                <w:i/>
                <w:iCs/>
                <w:sz w:val="22"/>
              </w:rPr>
              <w:t xml:space="preserve">Grozījumi Valsts fondēto pensiju likumā” </w:t>
            </w:r>
            <w:r w:rsidRPr="00B64625">
              <w:rPr>
                <w:rFonts w:eastAsia="Times New Roman"/>
                <w:i/>
                <w:iCs/>
                <w:sz w:val="22"/>
                <w:lang w:eastAsia="lv-LV"/>
              </w:rPr>
              <w:t>(Nr. 747/Lp14) (turpmāk — likumprojekts), izsaka otrajam lasījumam šādus priekšlikumus un apsvērumus:</w:t>
            </w:r>
          </w:p>
          <w:p w14:paraId="08456C40" w14:textId="16F6CB8D" w:rsidR="00B64625" w:rsidRPr="00B64625" w:rsidRDefault="00B64625" w:rsidP="00B64625">
            <w:pPr>
              <w:ind w:firstLine="567"/>
              <w:jc w:val="both"/>
              <w:rPr>
                <w:rFonts w:eastAsia="Times New Roman"/>
                <w:i/>
                <w:iCs/>
                <w:sz w:val="22"/>
                <w:lang w:eastAsia="lv-LV"/>
              </w:rPr>
            </w:pPr>
            <w:r w:rsidRPr="00B64625">
              <w:rPr>
                <w:rFonts w:eastAsia="Times New Roman"/>
                <w:i/>
                <w:iCs/>
                <w:sz w:val="22"/>
                <w:lang w:eastAsia="lv-LV"/>
              </w:rPr>
              <w:t>1. Likumprojekta 2. pants (likuma pārejas noteikumu 40. punkts) paredz, ka laikposmā no 2025. gada 1. janvāra līdz 2028. gada 31. decembrim iemaksu likme fondēto pensiju shēmā ir pieci procenti līdzšinējo sešu procentu vietā no iemaksu objekta, kas noteikts likumā “Par valsts sociālo apdrošināšanu”. Likumprojektam pievienotajā anotācijā (turpmāk — anotācija) (</w:t>
            </w:r>
            <w:r w:rsidRPr="00B64625">
              <w:rPr>
                <w:i/>
                <w:iCs/>
                <w:sz w:val="22"/>
              </w:rPr>
              <w:t xml:space="preserve">1. sadaļas 1.2. punkts “Mērķis”) vispārīgā veidā norādīts, ka likumprojekta “mērķis ir kompensēt darbaspēka </w:t>
            </w:r>
            <w:r w:rsidRPr="00B64625">
              <w:rPr>
                <w:i/>
                <w:iCs/>
                <w:sz w:val="22"/>
              </w:rPr>
              <w:lastRenderedPageBreak/>
              <w:t xml:space="preserve">nodokļu izmaiņu radīto samazinājumu valsts un pašvaldību budžeta ieņēmumos”. Savukārt saskaņā ar anotācijā (1. sadaļas 1.3. punkts “Risinājuma apraksts”) izklāstīto iemaksu likmes viena procenta pārnese no </w:t>
            </w:r>
            <w:r w:rsidRPr="00B64625">
              <w:rPr>
                <w:rFonts w:eastAsia="Times New Roman"/>
                <w:i/>
                <w:iCs/>
                <w:sz w:val="22"/>
                <w:lang w:eastAsia="lv-LV"/>
              </w:rPr>
              <w:t>valsts fondēto pensiju shēmas</w:t>
            </w:r>
            <w:r w:rsidRPr="00B64625">
              <w:rPr>
                <w:i/>
                <w:iCs/>
                <w:sz w:val="22"/>
              </w:rPr>
              <w:t xml:space="preserve"> (turpmāk — VFPS) uz valsts nefondēto pensiju shēmu (pensiju 1. līmeni) “ļaus īstenot darbaspēka nodokļu samazinājumu un, iespējams, sekmēs nākotnes vecuma pensiju apmēru kopumā”. Ierosinām Labklājības ministrijai kā likumprojekta sagatavotājai vai Finanšu ministrijai sniegt </w:t>
            </w:r>
            <w:bookmarkStart w:id="0" w:name="_Hlk181104711"/>
            <w:r w:rsidRPr="00B64625">
              <w:rPr>
                <w:i/>
                <w:iCs/>
                <w:sz w:val="22"/>
              </w:rPr>
              <w:t xml:space="preserve">Budžeta un finanšu (nodokļu) komisijas sēdē </w:t>
            </w:r>
            <w:bookmarkEnd w:id="0"/>
            <w:r w:rsidRPr="00B64625">
              <w:rPr>
                <w:i/>
                <w:iCs/>
                <w:sz w:val="22"/>
              </w:rPr>
              <w:t>izvērstāku skaidrojumu un, iespējams, papildu datus, lai Budžeta un finanšu (nodokļu) komisijas un likumdevēja rīcībā būtu pietiekama informācija likumprojektā paredzēto grozījumu izvērtēšanai.</w:t>
            </w:r>
          </w:p>
          <w:p w14:paraId="16C2E4FE" w14:textId="7BA22873" w:rsidR="00B64625" w:rsidRPr="00B64625" w:rsidRDefault="00B64625" w:rsidP="00B64625">
            <w:pPr>
              <w:ind w:firstLine="567"/>
              <w:jc w:val="both"/>
              <w:rPr>
                <w:rFonts w:eastAsia="Times New Roman"/>
                <w:i/>
                <w:iCs/>
                <w:sz w:val="22"/>
                <w:lang w:eastAsia="lv-LV"/>
              </w:rPr>
            </w:pPr>
            <w:r w:rsidRPr="00B64625">
              <w:rPr>
                <w:i/>
                <w:iCs/>
                <w:sz w:val="22"/>
              </w:rPr>
              <w:t xml:space="preserve">2. Valsts fondēto pensiju likuma 2. panta pirmā daļa noteic, ka “valsts fondētā pensija ir valsts vecuma pensijas daļa, kuru veido uzkrātais fondētās pensijas kapitāls”. Likumprojektam pievienotajā anotācijā (1. sadaļa 1.3. punktā “Problēmas apraksts”) ir norādīts: “Tā kā </w:t>
            </w:r>
            <w:r w:rsidRPr="00B64625">
              <w:rPr>
                <w:rFonts w:eastAsia="Times New Roman"/>
                <w:i/>
                <w:iCs/>
                <w:sz w:val="22"/>
                <w:lang w:eastAsia="lv-LV"/>
              </w:rPr>
              <w:t xml:space="preserve">ieviešot VFPS, </w:t>
            </w:r>
            <w:r w:rsidRPr="00B64625">
              <w:rPr>
                <w:rFonts w:eastAsia="Times New Roman"/>
                <w:i/>
                <w:iCs/>
                <w:sz w:val="22"/>
                <w:lang w:eastAsia="lv-LV"/>
              </w:rPr>
              <w:lastRenderedPageBreak/>
              <w:t xml:space="preserve">iemaksu likme VFPS tika pārdalīta no pensiju 1. līmeņa likmes, to attiecīgi samazinot nevis ieviešot papildus likmi, tad fondētā pensijas daļa ir nozīmīga vecuma pensijas apmērā.“ </w:t>
            </w:r>
            <w:bookmarkStart w:id="1" w:name="_Hlk181105471"/>
            <w:r w:rsidRPr="00B64625">
              <w:rPr>
                <w:i/>
                <w:iCs/>
                <w:sz w:val="22"/>
              </w:rPr>
              <w:t>Vēršam uzmanību uz to, ka, izskatot lietas saistībā ar pensiju jautājumus regulējošo normatīvo aktu atbilstību Latvijas Republikas Satversmes 105. un 109. pantam, Satversmes tiesa, citastarp ir secinājusi, ka “likumdevējam ir pienākums nodrošināt pensiju sistēmas ilgtspēju, garantējot, ka tiesības uz sociālo nodrošinājumu būs īstenojamas arī nākamajās paaudzēs (sk. Satversmes tiesas 2009. gada 26. novembra sprieduma lietā Nr.2009</w:t>
            </w:r>
            <w:r w:rsidRPr="00B64625">
              <w:rPr>
                <w:i/>
                <w:iCs/>
                <w:sz w:val="22"/>
              </w:rPr>
              <w:noBreakHyphen/>
              <w:t>08</w:t>
            </w:r>
            <w:r w:rsidRPr="00B64625">
              <w:rPr>
                <w:i/>
                <w:iCs/>
                <w:sz w:val="22"/>
              </w:rPr>
              <w:noBreakHyphen/>
              <w:t>01 22.3. punktu, 2013. gada 13. februāra sprieduma lietā Nr.2012</w:t>
            </w:r>
            <w:r w:rsidRPr="00B64625">
              <w:rPr>
                <w:i/>
                <w:iCs/>
                <w:sz w:val="22"/>
              </w:rPr>
              <w:noBreakHyphen/>
              <w:t>12</w:t>
            </w:r>
            <w:r w:rsidRPr="00B64625">
              <w:rPr>
                <w:i/>
                <w:iCs/>
                <w:sz w:val="22"/>
              </w:rPr>
              <w:noBreakHyphen/>
              <w:t>01 14.2.3. punktu, 2016. gada 21. aprīļa sprieduma lietā Nr. 2015</w:t>
            </w:r>
            <w:r w:rsidRPr="00B64625">
              <w:rPr>
                <w:i/>
                <w:iCs/>
                <w:sz w:val="22"/>
              </w:rPr>
              <w:noBreakHyphen/>
              <w:t>21</w:t>
            </w:r>
            <w:r w:rsidRPr="00B64625">
              <w:rPr>
                <w:i/>
                <w:iCs/>
                <w:sz w:val="22"/>
              </w:rPr>
              <w:noBreakHyphen/>
              <w:t>01). Turklāt likumprojekta anotācijā (8. sadaļas 8.1.8. punktā) norādīts, ka “</w:t>
            </w:r>
            <w:r w:rsidRPr="00B64625">
              <w:rPr>
                <w:rFonts w:eastAsia="Times New Roman"/>
                <w:i/>
                <w:iCs/>
                <w:sz w:val="22"/>
                <w:lang w:eastAsia="lv-LV"/>
              </w:rPr>
              <w:t xml:space="preserve">Likumprojektam ir tieša ietekme uz nākotnes pensionāru augstākas dzīves kvalitātes un ienākumu līmeņa nodrošināšanu pensionējoties”. </w:t>
            </w:r>
            <w:r w:rsidRPr="00B64625">
              <w:rPr>
                <w:i/>
                <w:iCs/>
                <w:sz w:val="22"/>
              </w:rPr>
              <w:t xml:space="preserve">Ievērojot izklāstīto, Juridiskais birojs  ierosina Budžeta un finanšu (nodokļu) komisijas sēdē uzklausīt Labklājības ministrijas </w:t>
            </w:r>
            <w:r w:rsidRPr="00B64625">
              <w:rPr>
                <w:i/>
                <w:iCs/>
                <w:sz w:val="22"/>
              </w:rPr>
              <w:lastRenderedPageBreak/>
              <w:t xml:space="preserve">skaidrojumu par to, kā likumprojektā paredzētie grozījumi varētu ietekmēt pensiju sistēmas ilgtspēju, tostarp, fondēto pensiju kapitāla apmēru tām personām, kurām pensionēšanās laiks iestātos laikposmā no </w:t>
            </w:r>
            <w:r w:rsidRPr="00B64625">
              <w:rPr>
                <w:rFonts w:eastAsia="Times New Roman"/>
                <w:i/>
                <w:iCs/>
                <w:sz w:val="22"/>
                <w:lang w:eastAsia="lv-LV"/>
              </w:rPr>
              <w:t>2025. gada 1. janvāra līdz 2028. gada 31. decembrim, proti periodā, kad VFPS iemaksu likme paredzēta piecu procentu apmērā.</w:t>
            </w:r>
            <w:bookmarkEnd w:id="1"/>
          </w:p>
          <w:p w14:paraId="18FC33D1" w14:textId="2B26694B" w:rsidR="009F7868" w:rsidRPr="00B64625" w:rsidRDefault="00B64625" w:rsidP="00B64625">
            <w:pPr>
              <w:ind w:firstLine="567"/>
              <w:jc w:val="both"/>
              <w:rPr>
                <w:rFonts w:eastAsia="Times New Roman"/>
                <w:i/>
                <w:iCs/>
                <w:sz w:val="22"/>
                <w:lang w:eastAsia="lv-LV"/>
              </w:rPr>
            </w:pPr>
            <w:r w:rsidRPr="00B64625">
              <w:rPr>
                <w:rFonts w:eastAsia="Times New Roman"/>
                <w:i/>
                <w:iCs/>
                <w:sz w:val="22"/>
                <w:lang w:eastAsia="lv-LV"/>
              </w:rPr>
              <w:t>3. No Valsts fondēto pensiju likuma 11.</w:t>
            </w:r>
            <w:r w:rsidRPr="00B64625">
              <w:rPr>
                <w:rFonts w:eastAsia="Times New Roman"/>
                <w:i/>
                <w:iCs/>
                <w:sz w:val="22"/>
                <w:vertAlign w:val="superscript"/>
                <w:lang w:eastAsia="lv-LV"/>
              </w:rPr>
              <w:t>1</w:t>
            </w:r>
            <w:r w:rsidRPr="00B64625">
              <w:rPr>
                <w:rFonts w:eastAsia="Times New Roman"/>
                <w:i/>
                <w:iCs/>
                <w:sz w:val="22"/>
                <w:lang w:eastAsia="lv-LV"/>
              </w:rPr>
              <w:t> panta izriet, ka fondēto pensiju shēmas līdzekļu pārvaldītājs, veicot ieguldījumus finanšu instrumentos, fondēto pensiju shēmas dalībniekam negarantē ienesīgumu. Fondēto pensiju kapitāla apmēru ietekmē situācija finanšu tirgos, un uzkrātā kapitāla vērtība var kristies. Savukārt anotācijā (</w:t>
            </w:r>
            <w:r w:rsidRPr="00B64625">
              <w:rPr>
                <w:i/>
                <w:iCs/>
                <w:sz w:val="22"/>
              </w:rPr>
              <w:t>1. sadaļas 1.3. punkts</w:t>
            </w:r>
            <w:r w:rsidRPr="00B64625">
              <w:rPr>
                <w:rFonts w:eastAsia="Times New Roman"/>
                <w:i/>
                <w:iCs/>
                <w:sz w:val="22"/>
                <w:lang w:eastAsia="lv-LV"/>
              </w:rPr>
              <w:t> “Problēmas apraksts”) norādīts, ka pensijas kapitāls 1. līmenī nekad netiek samazināts, ievērojot likumā “Par valsts pensijām” noteikto attiecībā uz apdrošināšanas iemaksu algas indeksu. Anotācijā (</w:t>
            </w:r>
            <w:r w:rsidRPr="00B64625">
              <w:rPr>
                <w:i/>
                <w:iCs/>
                <w:sz w:val="22"/>
              </w:rPr>
              <w:t xml:space="preserve">1. sadaļas 1.3. punkts “Problēmas apraksts”) apkopotā veidā norādīti dati par personām, kas 2023. gadā pārtrauca dalību pensiju 2. līmenī sakarā ar valsts vecuma pensijas pieprasīšanu. Šo personu </w:t>
            </w:r>
            <w:r w:rsidRPr="00B64625">
              <w:rPr>
                <w:rFonts w:eastAsia="Times New Roman"/>
                <w:i/>
                <w:iCs/>
                <w:sz w:val="22"/>
                <w:lang w:eastAsia="lv-LV"/>
              </w:rPr>
              <w:t xml:space="preserve">pensijas kapitāls </w:t>
            </w:r>
            <w:r w:rsidRPr="00B64625">
              <w:rPr>
                <w:i/>
                <w:iCs/>
                <w:sz w:val="22"/>
              </w:rPr>
              <w:lastRenderedPageBreak/>
              <w:t xml:space="preserve">17,3 gados </w:t>
            </w:r>
            <w:r w:rsidRPr="00B64625">
              <w:rPr>
                <w:rFonts w:eastAsia="Times New Roman"/>
                <w:i/>
                <w:iCs/>
                <w:sz w:val="22"/>
                <w:lang w:eastAsia="lv-LV"/>
              </w:rPr>
              <w:t xml:space="preserve">(vidējais dalības ilgums VFPS) palielinājies tikai par 4 procentiem. Anotācijā nav norādīts, vai šo datu sagatavošanas laikā ir ņemta vērā atšķirīgā iemaksu likme minētajā laika posmā, kā arī </w:t>
            </w:r>
            <w:r w:rsidRPr="00B64625">
              <w:rPr>
                <w:i/>
                <w:iCs/>
                <w:sz w:val="22"/>
              </w:rPr>
              <w:t xml:space="preserve">Valsts fondēto pensiju </w:t>
            </w:r>
            <w:r w:rsidRPr="00B64625">
              <w:rPr>
                <w:rFonts w:eastAsia="Times New Roman"/>
                <w:i/>
                <w:iCs/>
                <w:sz w:val="22"/>
                <w:lang w:eastAsia="lv-LV"/>
              </w:rPr>
              <w:t>likumā izdarītie grozījumi ieguldīšanas nosacījumos. Lūdzam Labklājības ministriju sniegt Budžeta un finanšu (nodokļu) komisijas sēdē informāciju par to, vai likumprojekts neietekmēs Valsts sociālās apdrošināšanas aģentūras noslēgtos līgumus ar fondēto pensiju shēmas līdzekļu pārvaldītājiem.</w:t>
            </w:r>
          </w:p>
        </w:tc>
        <w:tc>
          <w:tcPr>
            <w:tcW w:w="1397" w:type="dxa"/>
          </w:tcPr>
          <w:p w14:paraId="1E5CA3EE" w14:textId="59C51F7A" w:rsidR="009F7868" w:rsidRPr="001C753C" w:rsidRDefault="00FC69A5" w:rsidP="00A90188">
            <w:pPr>
              <w:jc w:val="center"/>
              <w:rPr>
                <w:b/>
                <w:szCs w:val="24"/>
              </w:rPr>
            </w:pPr>
            <w:r>
              <w:rPr>
                <w:b/>
                <w:szCs w:val="24"/>
              </w:rPr>
              <w:lastRenderedPageBreak/>
              <w:t>Atbalstīt</w:t>
            </w:r>
          </w:p>
        </w:tc>
        <w:tc>
          <w:tcPr>
            <w:tcW w:w="1404" w:type="dxa"/>
            <w:vAlign w:val="center"/>
          </w:tcPr>
          <w:p w14:paraId="6309B47B" w14:textId="77777777" w:rsidR="009F7868" w:rsidRPr="001C753C" w:rsidRDefault="009F7868" w:rsidP="00BF76CA">
            <w:pPr>
              <w:jc w:val="center"/>
              <w:rPr>
                <w:b/>
                <w:szCs w:val="24"/>
              </w:rPr>
            </w:pPr>
          </w:p>
        </w:tc>
      </w:tr>
      <w:tr w:rsidR="001C753C" w:rsidRPr="001C753C" w14:paraId="09E290DD" w14:textId="77777777" w:rsidTr="00A90188">
        <w:tc>
          <w:tcPr>
            <w:tcW w:w="3501" w:type="dxa"/>
            <w:shd w:val="clear" w:color="auto" w:fill="auto"/>
          </w:tcPr>
          <w:p w14:paraId="4FAF4631" w14:textId="0180AD2A" w:rsidR="009F7868" w:rsidRPr="001C753C" w:rsidRDefault="009F7868" w:rsidP="009F7868">
            <w:pPr>
              <w:pStyle w:val="tv213"/>
              <w:spacing w:before="0" w:beforeAutospacing="0" w:after="0" w:afterAutospacing="0"/>
              <w:ind w:firstLine="567"/>
              <w:jc w:val="both"/>
              <w:rPr>
                <w:sz w:val="22"/>
                <w:szCs w:val="22"/>
              </w:rPr>
            </w:pPr>
            <w:r w:rsidRPr="001C753C">
              <w:rPr>
                <w:b/>
                <w:bCs/>
                <w:sz w:val="22"/>
                <w:szCs w:val="22"/>
              </w:rPr>
              <w:lastRenderedPageBreak/>
              <w:t>4.pants. Iemaksas fondēto pensiju shēmā</w:t>
            </w:r>
          </w:p>
          <w:p w14:paraId="300889A7" w14:textId="28C5D093" w:rsidR="009F7868" w:rsidRPr="001C753C" w:rsidRDefault="009F7868" w:rsidP="009F7868">
            <w:pPr>
              <w:pStyle w:val="tv213"/>
              <w:spacing w:before="0" w:beforeAutospacing="0" w:after="0" w:afterAutospacing="0"/>
              <w:ind w:firstLine="567"/>
              <w:jc w:val="both"/>
              <w:rPr>
                <w:sz w:val="22"/>
                <w:szCs w:val="22"/>
              </w:rPr>
            </w:pPr>
            <w:r w:rsidRPr="001C753C">
              <w:rPr>
                <w:sz w:val="22"/>
                <w:szCs w:val="22"/>
              </w:rPr>
              <w:t>(2) Iemaksu likme fondēto pensiju shēmā ir seši procenti no iemaksu objekta, kas noteikts likumā "Par valsts sociālo apdrošināšanu" un Solidaritātes nodokļa likumā.</w:t>
            </w:r>
          </w:p>
        </w:tc>
        <w:tc>
          <w:tcPr>
            <w:tcW w:w="3554" w:type="dxa"/>
            <w:shd w:val="clear" w:color="auto" w:fill="auto"/>
          </w:tcPr>
          <w:p w14:paraId="51E71ECE" w14:textId="11C8570E" w:rsidR="009F7868" w:rsidRPr="001C753C" w:rsidRDefault="009F7868" w:rsidP="009F7868">
            <w:pPr>
              <w:pStyle w:val="paragraph"/>
              <w:ind w:firstLine="567"/>
              <w:contextualSpacing w:val="0"/>
              <w:rPr>
                <w:color w:val="auto"/>
                <w:sz w:val="22"/>
                <w:szCs w:val="22"/>
              </w:rPr>
            </w:pPr>
            <w:r w:rsidRPr="001C753C">
              <w:rPr>
                <w:color w:val="auto"/>
                <w:sz w:val="22"/>
                <w:szCs w:val="22"/>
              </w:rPr>
              <w:t>1. Izslēgt 4. panta otrajā daļā vārdus "un Solidaritātes nodokļa likumā".</w:t>
            </w:r>
          </w:p>
        </w:tc>
        <w:tc>
          <w:tcPr>
            <w:tcW w:w="566" w:type="dxa"/>
          </w:tcPr>
          <w:p w14:paraId="2A9594B6" w14:textId="49CB0596" w:rsidR="009F7868" w:rsidRPr="00212B52" w:rsidRDefault="00502306" w:rsidP="00212B52">
            <w:pPr>
              <w:jc w:val="center"/>
              <w:rPr>
                <w:b/>
                <w:sz w:val="22"/>
              </w:rPr>
            </w:pPr>
            <w:r>
              <w:rPr>
                <w:b/>
                <w:sz w:val="22"/>
              </w:rPr>
              <w:t>2</w:t>
            </w:r>
          </w:p>
        </w:tc>
        <w:tc>
          <w:tcPr>
            <w:tcW w:w="3526" w:type="dxa"/>
          </w:tcPr>
          <w:p w14:paraId="3262EA53" w14:textId="77777777" w:rsidR="009F7868" w:rsidRDefault="00B64625" w:rsidP="00B64625">
            <w:pPr>
              <w:ind w:firstLine="567"/>
              <w:jc w:val="both"/>
              <w:rPr>
                <w:b/>
                <w:bCs/>
                <w:sz w:val="22"/>
                <w:u w:val="single"/>
              </w:rPr>
            </w:pPr>
            <w:r w:rsidRPr="00B64625">
              <w:rPr>
                <w:b/>
                <w:bCs/>
                <w:sz w:val="22"/>
                <w:u w:val="single"/>
              </w:rPr>
              <w:t>Frakcija “APVIENOTAIS SARAKSTS – Latvijas Zaļā partija, Latvijas Reģionu Apvienība, Liepājas partija”</w:t>
            </w:r>
          </w:p>
          <w:p w14:paraId="2AC29C3B" w14:textId="77777777" w:rsidR="00B64625" w:rsidRPr="008B1B2A" w:rsidRDefault="00B64625" w:rsidP="00B64625">
            <w:pPr>
              <w:ind w:firstLine="567"/>
              <w:jc w:val="both"/>
              <w:rPr>
                <w:sz w:val="22"/>
              </w:rPr>
            </w:pPr>
            <w:r w:rsidRPr="008B1B2A">
              <w:rPr>
                <w:sz w:val="22"/>
              </w:rPr>
              <w:t xml:space="preserve">Izteikt likumprojekta 4.panta otro daļu šādā redakcijā: </w:t>
            </w:r>
          </w:p>
          <w:p w14:paraId="4776D5B8" w14:textId="36762B4C" w:rsidR="00B64625" w:rsidRPr="00B64625" w:rsidRDefault="00B64625" w:rsidP="00B64625">
            <w:pPr>
              <w:ind w:firstLine="567"/>
              <w:jc w:val="both"/>
              <w:rPr>
                <w:sz w:val="22"/>
              </w:rPr>
            </w:pPr>
            <w:r w:rsidRPr="008B1B2A">
              <w:rPr>
                <w:sz w:val="22"/>
              </w:rPr>
              <w:t>“(2) Iemaksu likme fondēto pensiju shēmā ir seši procenti no iemaksu objekta, kas noteikts likumā "Par valsts sociālo apdrošināšanu".</w:t>
            </w:r>
          </w:p>
        </w:tc>
        <w:tc>
          <w:tcPr>
            <w:tcW w:w="1397" w:type="dxa"/>
          </w:tcPr>
          <w:p w14:paraId="34F1D840" w14:textId="211B4C7B" w:rsidR="009F7868" w:rsidRPr="001C753C" w:rsidRDefault="00FC69A5" w:rsidP="00A90188">
            <w:pPr>
              <w:jc w:val="center"/>
              <w:rPr>
                <w:b/>
                <w:szCs w:val="24"/>
              </w:rPr>
            </w:pPr>
            <w:r>
              <w:rPr>
                <w:b/>
                <w:szCs w:val="24"/>
              </w:rPr>
              <w:t>Neatbalstīt</w:t>
            </w:r>
          </w:p>
        </w:tc>
        <w:tc>
          <w:tcPr>
            <w:tcW w:w="1404" w:type="dxa"/>
            <w:vAlign w:val="center"/>
          </w:tcPr>
          <w:p w14:paraId="3D01D203" w14:textId="77777777" w:rsidR="009F7868" w:rsidRPr="001C753C" w:rsidRDefault="009F7868" w:rsidP="00BF76CA">
            <w:pPr>
              <w:jc w:val="center"/>
              <w:rPr>
                <w:b/>
                <w:szCs w:val="24"/>
              </w:rPr>
            </w:pPr>
          </w:p>
        </w:tc>
      </w:tr>
      <w:tr w:rsidR="001C753C" w:rsidRPr="001C753C" w14:paraId="6A3DCA7A" w14:textId="77777777" w:rsidTr="00212B52">
        <w:tc>
          <w:tcPr>
            <w:tcW w:w="3501" w:type="dxa"/>
            <w:shd w:val="clear" w:color="auto" w:fill="auto"/>
          </w:tcPr>
          <w:p w14:paraId="53DC249B" w14:textId="0F18E604" w:rsidR="009F7868" w:rsidRPr="001C753C" w:rsidRDefault="009F7868" w:rsidP="00BF76CA">
            <w:pPr>
              <w:ind w:firstLine="567"/>
              <w:jc w:val="both"/>
              <w:rPr>
                <w:b/>
                <w:bCs/>
                <w:iCs/>
                <w:sz w:val="22"/>
              </w:rPr>
            </w:pPr>
            <w:r w:rsidRPr="001C753C">
              <w:rPr>
                <w:b/>
                <w:bCs/>
                <w:iCs/>
                <w:sz w:val="22"/>
              </w:rPr>
              <w:t>Pārejas noteikumi</w:t>
            </w:r>
          </w:p>
        </w:tc>
        <w:tc>
          <w:tcPr>
            <w:tcW w:w="3554" w:type="dxa"/>
            <w:shd w:val="clear" w:color="auto" w:fill="auto"/>
          </w:tcPr>
          <w:p w14:paraId="569A376C" w14:textId="77777777" w:rsidR="009F7868" w:rsidRPr="001C753C" w:rsidRDefault="009F7868" w:rsidP="00591BDE">
            <w:pPr>
              <w:pStyle w:val="paragraph"/>
              <w:ind w:firstLine="567"/>
              <w:contextualSpacing w:val="0"/>
              <w:rPr>
                <w:color w:val="auto"/>
                <w:sz w:val="22"/>
                <w:szCs w:val="22"/>
              </w:rPr>
            </w:pPr>
            <w:r w:rsidRPr="001C753C">
              <w:rPr>
                <w:color w:val="auto"/>
                <w:sz w:val="22"/>
                <w:szCs w:val="22"/>
              </w:rPr>
              <w:t>2. Papildināt pārejas noteikumus ar 40. punktu šādā redakcijā:</w:t>
            </w:r>
          </w:p>
          <w:p w14:paraId="1088BDD4" w14:textId="4DC0611E" w:rsidR="009F7868" w:rsidRPr="001C753C" w:rsidRDefault="009F7868" w:rsidP="00591BDE">
            <w:pPr>
              <w:ind w:firstLine="567"/>
              <w:jc w:val="both"/>
              <w:rPr>
                <w:sz w:val="22"/>
              </w:rPr>
            </w:pPr>
            <w:r w:rsidRPr="001C753C">
              <w:rPr>
                <w:sz w:val="22"/>
              </w:rPr>
              <w:t xml:space="preserve">"40. Laikposmā no 2025. gada 1. janvāra līdz 2028. gada 31. decembrim šā likuma 4. panta otrajā daļā noteiktā iemaksu likme fondēto pensiju shēmā ir pieci procenti no </w:t>
            </w:r>
            <w:r w:rsidRPr="001C753C">
              <w:rPr>
                <w:sz w:val="22"/>
              </w:rPr>
              <w:lastRenderedPageBreak/>
              <w:t>iemaksu objekta, kas noteikts likumā "Par valsts sociālo apdrošināšanu"."</w:t>
            </w:r>
          </w:p>
        </w:tc>
        <w:tc>
          <w:tcPr>
            <w:tcW w:w="566" w:type="dxa"/>
          </w:tcPr>
          <w:p w14:paraId="52DDA944" w14:textId="77777777" w:rsidR="009F7868" w:rsidRDefault="00502306" w:rsidP="00212B52">
            <w:pPr>
              <w:jc w:val="center"/>
              <w:rPr>
                <w:b/>
                <w:sz w:val="22"/>
              </w:rPr>
            </w:pPr>
            <w:r>
              <w:rPr>
                <w:b/>
                <w:sz w:val="22"/>
              </w:rPr>
              <w:lastRenderedPageBreak/>
              <w:t>3</w:t>
            </w:r>
          </w:p>
          <w:p w14:paraId="2ADF1844" w14:textId="77777777" w:rsidR="00502306" w:rsidRDefault="00502306" w:rsidP="00212B52">
            <w:pPr>
              <w:jc w:val="center"/>
              <w:rPr>
                <w:b/>
                <w:sz w:val="22"/>
              </w:rPr>
            </w:pPr>
          </w:p>
          <w:p w14:paraId="1F7A32BD" w14:textId="77777777" w:rsidR="00502306" w:rsidRDefault="00502306" w:rsidP="00212B52">
            <w:pPr>
              <w:jc w:val="center"/>
              <w:rPr>
                <w:b/>
                <w:sz w:val="22"/>
              </w:rPr>
            </w:pPr>
          </w:p>
          <w:p w14:paraId="4BAA2108" w14:textId="77777777" w:rsidR="00502306" w:rsidRDefault="00502306" w:rsidP="00212B52">
            <w:pPr>
              <w:jc w:val="center"/>
              <w:rPr>
                <w:b/>
                <w:sz w:val="22"/>
              </w:rPr>
            </w:pPr>
          </w:p>
          <w:p w14:paraId="2A01F346" w14:textId="77777777" w:rsidR="00502306" w:rsidRDefault="00502306" w:rsidP="00212B52">
            <w:pPr>
              <w:jc w:val="center"/>
              <w:rPr>
                <w:b/>
                <w:sz w:val="22"/>
              </w:rPr>
            </w:pPr>
          </w:p>
          <w:p w14:paraId="1D31EAE1" w14:textId="77777777" w:rsidR="00502306" w:rsidRDefault="00502306" w:rsidP="00212B52">
            <w:pPr>
              <w:jc w:val="center"/>
              <w:rPr>
                <w:b/>
                <w:sz w:val="22"/>
              </w:rPr>
            </w:pPr>
          </w:p>
          <w:p w14:paraId="3A6D8CA9" w14:textId="77777777" w:rsidR="00502306" w:rsidRDefault="00502306" w:rsidP="00212B52">
            <w:pPr>
              <w:jc w:val="center"/>
              <w:rPr>
                <w:b/>
                <w:sz w:val="22"/>
              </w:rPr>
            </w:pPr>
          </w:p>
          <w:p w14:paraId="58D59F63" w14:textId="77777777" w:rsidR="00502306" w:rsidRDefault="00502306" w:rsidP="00212B52">
            <w:pPr>
              <w:jc w:val="center"/>
              <w:rPr>
                <w:b/>
                <w:sz w:val="22"/>
              </w:rPr>
            </w:pPr>
          </w:p>
          <w:p w14:paraId="2A115AD3" w14:textId="77777777" w:rsidR="00502306" w:rsidRDefault="00502306" w:rsidP="00212B52">
            <w:pPr>
              <w:jc w:val="center"/>
              <w:rPr>
                <w:b/>
                <w:sz w:val="22"/>
              </w:rPr>
            </w:pPr>
          </w:p>
          <w:p w14:paraId="0F432B4E" w14:textId="77777777" w:rsidR="00502306" w:rsidRDefault="00502306" w:rsidP="00212B52">
            <w:pPr>
              <w:jc w:val="center"/>
              <w:rPr>
                <w:b/>
                <w:sz w:val="22"/>
              </w:rPr>
            </w:pPr>
          </w:p>
          <w:p w14:paraId="3A0A6DAA" w14:textId="77777777" w:rsidR="00502306" w:rsidRDefault="00502306" w:rsidP="00212B52">
            <w:pPr>
              <w:jc w:val="center"/>
              <w:rPr>
                <w:b/>
                <w:sz w:val="22"/>
              </w:rPr>
            </w:pPr>
          </w:p>
          <w:p w14:paraId="68E7241D" w14:textId="3D1DEE19" w:rsidR="00502306" w:rsidRPr="00212B52" w:rsidRDefault="00502306" w:rsidP="00212B52">
            <w:pPr>
              <w:jc w:val="center"/>
              <w:rPr>
                <w:b/>
                <w:sz w:val="22"/>
              </w:rPr>
            </w:pPr>
            <w:r>
              <w:rPr>
                <w:b/>
                <w:sz w:val="22"/>
              </w:rPr>
              <w:t>4</w:t>
            </w:r>
          </w:p>
        </w:tc>
        <w:tc>
          <w:tcPr>
            <w:tcW w:w="3526" w:type="dxa"/>
          </w:tcPr>
          <w:p w14:paraId="5601A6DE" w14:textId="77777777" w:rsidR="009F7868" w:rsidRDefault="00591BDE" w:rsidP="00591BDE">
            <w:pPr>
              <w:ind w:firstLine="567"/>
              <w:jc w:val="both"/>
              <w:rPr>
                <w:b/>
                <w:sz w:val="22"/>
                <w:u w:val="single"/>
              </w:rPr>
            </w:pPr>
            <w:r w:rsidRPr="00591BDE">
              <w:rPr>
                <w:b/>
                <w:sz w:val="22"/>
                <w:u w:val="single"/>
              </w:rPr>
              <w:lastRenderedPageBreak/>
              <w:t>Deputāte V.Pleškāne</w:t>
            </w:r>
          </w:p>
          <w:p w14:paraId="640FE2B1" w14:textId="77777777" w:rsidR="00591BDE" w:rsidRPr="002602F8" w:rsidRDefault="00591BDE" w:rsidP="00591BDE">
            <w:pPr>
              <w:ind w:firstLine="567"/>
              <w:jc w:val="both"/>
              <w:rPr>
                <w:color w:val="000000" w:themeColor="text1"/>
              </w:rPr>
            </w:pPr>
            <w:r w:rsidRPr="002602F8">
              <w:rPr>
                <w:rStyle w:val="lmpnum"/>
                <w:color w:val="000000" w:themeColor="text1"/>
                <w:sz w:val="22"/>
              </w:rPr>
              <w:t>Izslēgt likumprojekta  2. punktu “</w:t>
            </w:r>
            <w:r w:rsidRPr="002602F8">
              <w:rPr>
                <w:rStyle w:val="lmpnum"/>
                <w:i/>
                <w:iCs/>
                <w:color w:val="000000" w:themeColor="text1"/>
                <w:sz w:val="22"/>
              </w:rPr>
              <w:t xml:space="preserve">40. Laikposmā no 2025. gada 1. janvāra līdz 2028. gada 31. decembrim šā likuma 4. panta otrajā daļā noteiktā iemaksu likme fondēto pensiju shēmā ir pieci procenti no </w:t>
            </w:r>
            <w:r w:rsidRPr="002602F8">
              <w:rPr>
                <w:rStyle w:val="lmpnum"/>
                <w:i/>
                <w:iCs/>
                <w:color w:val="000000" w:themeColor="text1"/>
                <w:sz w:val="22"/>
              </w:rPr>
              <w:lastRenderedPageBreak/>
              <w:t>iemaksu objekta, kas noteikts likumā "Par valsts sociālo apdrošināšanu"</w:t>
            </w:r>
            <w:r w:rsidRPr="002602F8">
              <w:rPr>
                <w:rStyle w:val="lmpnum"/>
                <w:color w:val="000000" w:themeColor="text1"/>
                <w:sz w:val="22"/>
              </w:rPr>
              <w:t>."</w:t>
            </w:r>
          </w:p>
          <w:p w14:paraId="4DFACC2B" w14:textId="77777777" w:rsidR="00B64625" w:rsidRDefault="00B64625" w:rsidP="00B64625">
            <w:pPr>
              <w:ind w:firstLine="567"/>
              <w:jc w:val="both"/>
              <w:rPr>
                <w:b/>
                <w:bCs/>
                <w:sz w:val="22"/>
                <w:u w:val="single"/>
              </w:rPr>
            </w:pPr>
          </w:p>
          <w:p w14:paraId="1DA705CF" w14:textId="2B96A9BF" w:rsidR="00B64625" w:rsidRDefault="00B64625" w:rsidP="00B64625">
            <w:pPr>
              <w:ind w:firstLine="567"/>
              <w:jc w:val="both"/>
              <w:rPr>
                <w:b/>
                <w:bCs/>
                <w:sz w:val="22"/>
                <w:u w:val="single"/>
              </w:rPr>
            </w:pPr>
            <w:r w:rsidRPr="00B64625">
              <w:rPr>
                <w:b/>
                <w:bCs/>
                <w:sz w:val="22"/>
                <w:u w:val="single"/>
              </w:rPr>
              <w:t>Frakcija “APVIENOTAIS SARAKSTS – Latvijas Zaļā partija, Latvijas Reģionu Apvienība, Liepājas partija”</w:t>
            </w:r>
          </w:p>
          <w:p w14:paraId="06614BEC" w14:textId="2427A58B" w:rsidR="00591BDE" w:rsidRPr="00B64625" w:rsidRDefault="00B64625" w:rsidP="00591BDE">
            <w:pPr>
              <w:ind w:firstLine="567"/>
              <w:jc w:val="both"/>
              <w:rPr>
                <w:bCs/>
                <w:sz w:val="22"/>
              </w:rPr>
            </w:pPr>
            <w:r w:rsidRPr="008B1B2A">
              <w:rPr>
                <w:bCs/>
                <w:sz w:val="22"/>
              </w:rPr>
              <w:t>Izslēgt likumprojekta pārejas noteikumu 40. punktu.</w:t>
            </w:r>
          </w:p>
        </w:tc>
        <w:tc>
          <w:tcPr>
            <w:tcW w:w="1397" w:type="dxa"/>
            <w:vAlign w:val="center"/>
          </w:tcPr>
          <w:p w14:paraId="0AAB97C2" w14:textId="77777777" w:rsidR="009F7868" w:rsidRDefault="00FC69A5" w:rsidP="00BF76CA">
            <w:pPr>
              <w:jc w:val="center"/>
              <w:rPr>
                <w:b/>
                <w:szCs w:val="24"/>
              </w:rPr>
            </w:pPr>
            <w:r>
              <w:rPr>
                <w:b/>
                <w:szCs w:val="24"/>
              </w:rPr>
              <w:lastRenderedPageBreak/>
              <w:t>Neatbalstīt</w:t>
            </w:r>
          </w:p>
          <w:p w14:paraId="6463473A" w14:textId="77777777" w:rsidR="00FC69A5" w:rsidRDefault="00FC69A5" w:rsidP="00BF76CA">
            <w:pPr>
              <w:jc w:val="center"/>
              <w:rPr>
                <w:b/>
                <w:szCs w:val="24"/>
              </w:rPr>
            </w:pPr>
          </w:p>
          <w:p w14:paraId="3B4418A9" w14:textId="77777777" w:rsidR="00FC69A5" w:rsidRDefault="00FC69A5" w:rsidP="00BF76CA">
            <w:pPr>
              <w:jc w:val="center"/>
              <w:rPr>
                <w:b/>
                <w:szCs w:val="24"/>
              </w:rPr>
            </w:pPr>
          </w:p>
          <w:p w14:paraId="59833873" w14:textId="77777777" w:rsidR="00FC69A5" w:rsidRDefault="00FC69A5" w:rsidP="00BF76CA">
            <w:pPr>
              <w:jc w:val="center"/>
              <w:rPr>
                <w:b/>
                <w:szCs w:val="24"/>
              </w:rPr>
            </w:pPr>
          </w:p>
          <w:p w14:paraId="5E720258" w14:textId="77777777" w:rsidR="00FC69A5" w:rsidRDefault="00FC69A5" w:rsidP="00BF76CA">
            <w:pPr>
              <w:jc w:val="center"/>
              <w:rPr>
                <w:b/>
                <w:szCs w:val="24"/>
              </w:rPr>
            </w:pPr>
          </w:p>
          <w:p w14:paraId="219E71C1" w14:textId="77777777" w:rsidR="00FC69A5" w:rsidRDefault="00FC69A5" w:rsidP="00BF76CA">
            <w:pPr>
              <w:jc w:val="center"/>
              <w:rPr>
                <w:b/>
                <w:szCs w:val="24"/>
              </w:rPr>
            </w:pPr>
          </w:p>
          <w:p w14:paraId="55E6608F" w14:textId="77777777" w:rsidR="00FC69A5" w:rsidRDefault="00FC69A5" w:rsidP="00BF76CA">
            <w:pPr>
              <w:jc w:val="center"/>
              <w:rPr>
                <w:b/>
                <w:szCs w:val="24"/>
              </w:rPr>
            </w:pPr>
          </w:p>
          <w:p w14:paraId="36236873" w14:textId="77777777" w:rsidR="00FC69A5" w:rsidRDefault="00FC69A5" w:rsidP="00BF76CA">
            <w:pPr>
              <w:jc w:val="center"/>
              <w:rPr>
                <w:b/>
                <w:szCs w:val="24"/>
              </w:rPr>
            </w:pPr>
          </w:p>
          <w:p w14:paraId="2826F1B3" w14:textId="77777777" w:rsidR="00FC69A5" w:rsidRDefault="00FC69A5" w:rsidP="00BF76CA">
            <w:pPr>
              <w:jc w:val="center"/>
              <w:rPr>
                <w:b/>
                <w:szCs w:val="24"/>
              </w:rPr>
            </w:pPr>
          </w:p>
          <w:p w14:paraId="6D24DEEB" w14:textId="77777777" w:rsidR="00FC69A5" w:rsidRDefault="00FC69A5" w:rsidP="00BF76CA">
            <w:pPr>
              <w:jc w:val="center"/>
              <w:rPr>
                <w:b/>
                <w:szCs w:val="24"/>
              </w:rPr>
            </w:pPr>
          </w:p>
          <w:p w14:paraId="5DAA58FA" w14:textId="6DFE1523" w:rsidR="00FC69A5" w:rsidRPr="001C753C" w:rsidRDefault="00FC69A5" w:rsidP="00BF76CA">
            <w:pPr>
              <w:jc w:val="center"/>
              <w:rPr>
                <w:b/>
                <w:szCs w:val="24"/>
              </w:rPr>
            </w:pPr>
            <w:r>
              <w:rPr>
                <w:b/>
                <w:szCs w:val="24"/>
              </w:rPr>
              <w:t>Neatbalstīt</w:t>
            </w:r>
          </w:p>
        </w:tc>
        <w:tc>
          <w:tcPr>
            <w:tcW w:w="1404" w:type="dxa"/>
            <w:vAlign w:val="center"/>
          </w:tcPr>
          <w:p w14:paraId="6B244A28" w14:textId="77777777" w:rsidR="009F7868" w:rsidRPr="001C753C" w:rsidRDefault="009F7868" w:rsidP="00BF76CA">
            <w:pPr>
              <w:jc w:val="center"/>
              <w:rPr>
                <w:b/>
                <w:szCs w:val="24"/>
              </w:rPr>
            </w:pPr>
          </w:p>
        </w:tc>
      </w:tr>
      <w:tr w:rsidR="009F7868" w:rsidRPr="001C753C" w14:paraId="045782FB" w14:textId="77777777" w:rsidTr="00212B52">
        <w:tc>
          <w:tcPr>
            <w:tcW w:w="3501" w:type="dxa"/>
            <w:shd w:val="clear" w:color="auto" w:fill="auto"/>
            <w:vAlign w:val="center"/>
          </w:tcPr>
          <w:p w14:paraId="5F8DA487" w14:textId="77777777" w:rsidR="009F7868" w:rsidRPr="001C753C" w:rsidRDefault="009F7868" w:rsidP="00BF76CA">
            <w:pPr>
              <w:ind w:firstLine="567"/>
              <w:jc w:val="both"/>
              <w:rPr>
                <w:b/>
                <w:bCs/>
                <w:iCs/>
                <w:sz w:val="22"/>
              </w:rPr>
            </w:pPr>
          </w:p>
        </w:tc>
        <w:tc>
          <w:tcPr>
            <w:tcW w:w="3554" w:type="dxa"/>
            <w:shd w:val="clear" w:color="auto" w:fill="auto"/>
            <w:vAlign w:val="center"/>
          </w:tcPr>
          <w:p w14:paraId="57EDB2B2" w14:textId="2B032C24" w:rsidR="009F7868" w:rsidRPr="001C753C" w:rsidRDefault="009F7868" w:rsidP="009F7868">
            <w:pPr>
              <w:pStyle w:val="paragraph"/>
              <w:ind w:firstLine="567"/>
              <w:contextualSpacing w:val="0"/>
              <w:rPr>
                <w:color w:val="auto"/>
                <w:sz w:val="22"/>
                <w:szCs w:val="22"/>
              </w:rPr>
            </w:pPr>
            <w:r w:rsidRPr="001C753C">
              <w:rPr>
                <w:color w:val="auto"/>
                <w:sz w:val="22"/>
                <w:szCs w:val="22"/>
              </w:rPr>
              <w:t>Likums stājas spēkā 2025. gada 1. janvārī.</w:t>
            </w:r>
          </w:p>
        </w:tc>
        <w:tc>
          <w:tcPr>
            <w:tcW w:w="566" w:type="dxa"/>
          </w:tcPr>
          <w:p w14:paraId="54ED46D5" w14:textId="77777777" w:rsidR="009F7868" w:rsidRPr="00212B52" w:rsidRDefault="009F7868" w:rsidP="00212B52">
            <w:pPr>
              <w:jc w:val="center"/>
              <w:rPr>
                <w:b/>
                <w:sz w:val="22"/>
              </w:rPr>
            </w:pPr>
          </w:p>
        </w:tc>
        <w:tc>
          <w:tcPr>
            <w:tcW w:w="3526" w:type="dxa"/>
            <w:vAlign w:val="center"/>
          </w:tcPr>
          <w:p w14:paraId="2DC32FFF" w14:textId="77777777" w:rsidR="009F7868" w:rsidRPr="001C753C" w:rsidRDefault="009F7868" w:rsidP="00BF76CA">
            <w:pPr>
              <w:jc w:val="center"/>
              <w:rPr>
                <w:b/>
                <w:szCs w:val="24"/>
              </w:rPr>
            </w:pPr>
          </w:p>
        </w:tc>
        <w:tc>
          <w:tcPr>
            <w:tcW w:w="1397" w:type="dxa"/>
            <w:vAlign w:val="center"/>
          </w:tcPr>
          <w:p w14:paraId="34152294" w14:textId="77777777" w:rsidR="009F7868" w:rsidRPr="001C753C" w:rsidRDefault="009F7868" w:rsidP="00BF76CA">
            <w:pPr>
              <w:jc w:val="center"/>
              <w:rPr>
                <w:b/>
                <w:szCs w:val="24"/>
              </w:rPr>
            </w:pPr>
          </w:p>
        </w:tc>
        <w:tc>
          <w:tcPr>
            <w:tcW w:w="1404" w:type="dxa"/>
            <w:vAlign w:val="center"/>
          </w:tcPr>
          <w:p w14:paraId="29DC528C" w14:textId="77777777" w:rsidR="009F7868" w:rsidRPr="001C753C" w:rsidRDefault="009F7868" w:rsidP="00BF76CA">
            <w:pPr>
              <w:jc w:val="center"/>
              <w:rPr>
                <w:b/>
                <w:szCs w:val="24"/>
              </w:rPr>
            </w:pPr>
          </w:p>
        </w:tc>
      </w:tr>
    </w:tbl>
    <w:p w14:paraId="2C487A8D" w14:textId="77777777" w:rsidR="009F7868" w:rsidRPr="001C753C" w:rsidRDefault="009F7868" w:rsidP="009F7868"/>
    <w:p w14:paraId="688C8F9E" w14:textId="77777777" w:rsidR="006250ED" w:rsidRPr="001C753C" w:rsidRDefault="006250ED"/>
    <w:sectPr w:rsidR="006250ED" w:rsidRPr="001C753C" w:rsidSect="0020425B">
      <w:footerReference w:type="default" r:id="rId7"/>
      <w:pgSz w:w="16838" w:h="11906" w:orient="landscape"/>
      <w:pgMar w:top="1560" w:right="1440" w:bottom="1797"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400DE2" w14:textId="77777777" w:rsidR="00487037" w:rsidRDefault="001C753C">
      <w:r>
        <w:separator/>
      </w:r>
    </w:p>
  </w:endnote>
  <w:endnote w:type="continuationSeparator" w:id="0">
    <w:p w14:paraId="055B7D16" w14:textId="77777777" w:rsidR="00487037" w:rsidRDefault="001C75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90515156"/>
      <w:docPartObj>
        <w:docPartGallery w:val="Page Numbers (Bottom of Page)"/>
        <w:docPartUnique/>
      </w:docPartObj>
    </w:sdtPr>
    <w:sdtEndPr>
      <w:rPr>
        <w:noProof/>
      </w:rPr>
    </w:sdtEndPr>
    <w:sdtContent>
      <w:p w14:paraId="739242DE" w14:textId="77777777" w:rsidR="00A90188" w:rsidRDefault="009F786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D1C4212" w14:textId="77777777" w:rsidR="00A90188" w:rsidRDefault="00A901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111DA7" w14:textId="77777777" w:rsidR="00487037" w:rsidRDefault="001C753C">
      <w:r>
        <w:separator/>
      </w:r>
    </w:p>
  </w:footnote>
  <w:footnote w:type="continuationSeparator" w:id="0">
    <w:p w14:paraId="727860A1" w14:textId="77777777" w:rsidR="00487037" w:rsidRDefault="001C75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868"/>
    <w:rsid w:val="001C753C"/>
    <w:rsid w:val="00212B52"/>
    <w:rsid w:val="00487037"/>
    <w:rsid w:val="00502306"/>
    <w:rsid w:val="00591BDE"/>
    <w:rsid w:val="006250ED"/>
    <w:rsid w:val="009F7868"/>
    <w:rsid w:val="00A90188"/>
    <w:rsid w:val="00B64625"/>
    <w:rsid w:val="00C1246D"/>
    <w:rsid w:val="00FC69A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08402"/>
  <w15:chartTrackingRefBased/>
  <w15:docId w15:val="{800ACA6D-6DF6-426E-9878-237D35AA9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868"/>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9F7868"/>
    <w:rPr>
      <w:i/>
      <w:iCs/>
    </w:rPr>
  </w:style>
  <w:style w:type="paragraph" w:customStyle="1" w:styleId="naisvisr">
    <w:name w:val="naisvisr"/>
    <w:basedOn w:val="Normal"/>
    <w:rsid w:val="009F7868"/>
    <w:pPr>
      <w:spacing w:before="100" w:beforeAutospacing="1" w:after="100" w:afterAutospacing="1"/>
    </w:pPr>
    <w:rPr>
      <w:rFonts w:eastAsia="Times New Roman"/>
      <w:szCs w:val="24"/>
      <w:lang w:eastAsia="lv-LV"/>
    </w:rPr>
  </w:style>
  <w:style w:type="paragraph" w:customStyle="1" w:styleId="paragraphheader">
    <w:name w:val="paragraph_header"/>
    <w:basedOn w:val="Normal"/>
    <w:next w:val="Normal"/>
    <w:rsid w:val="009F7868"/>
    <w:pPr>
      <w:spacing w:before="280" w:after="280"/>
      <w:contextualSpacing/>
      <w:jc w:val="both"/>
    </w:pPr>
    <w:rPr>
      <w:rFonts w:eastAsia="Times New Roman"/>
      <w:color w:val="333333"/>
      <w:sz w:val="28"/>
      <w:szCs w:val="20"/>
      <w:lang w:eastAsia="lv-LV"/>
    </w:rPr>
  </w:style>
  <w:style w:type="paragraph" w:customStyle="1" w:styleId="paragraph">
    <w:name w:val="paragraph"/>
    <w:basedOn w:val="Normal"/>
    <w:next w:val="Normal"/>
    <w:rsid w:val="009F7868"/>
    <w:pPr>
      <w:ind w:firstLine="705"/>
      <w:contextualSpacing/>
      <w:jc w:val="both"/>
    </w:pPr>
    <w:rPr>
      <w:rFonts w:eastAsia="Times New Roman"/>
      <w:color w:val="333333"/>
      <w:sz w:val="28"/>
      <w:szCs w:val="20"/>
      <w:lang w:eastAsia="lv-LV"/>
    </w:rPr>
  </w:style>
  <w:style w:type="paragraph" w:customStyle="1" w:styleId="tv213">
    <w:name w:val="tv213"/>
    <w:basedOn w:val="Normal"/>
    <w:rsid w:val="009F7868"/>
    <w:pPr>
      <w:spacing w:before="100" w:beforeAutospacing="1" w:after="100" w:afterAutospacing="1"/>
    </w:pPr>
    <w:rPr>
      <w:rFonts w:eastAsia="Times New Roman"/>
      <w:szCs w:val="24"/>
      <w:lang w:eastAsia="lv-LV"/>
    </w:rPr>
  </w:style>
  <w:style w:type="paragraph" w:styleId="Footer">
    <w:name w:val="footer"/>
    <w:basedOn w:val="Normal"/>
    <w:link w:val="FooterChar"/>
    <w:uiPriority w:val="99"/>
    <w:unhideWhenUsed/>
    <w:rsid w:val="009F7868"/>
    <w:pPr>
      <w:tabs>
        <w:tab w:val="center" w:pos="4153"/>
        <w:tab w:val="right" w:pos="8306"/>
      </w:tabs>
    </w:pPr>
  </w:style>
  <w:style w:type="character" w:customStyle="1" w:styleId="FooterChar">
    <w:name w:val="Footer Char"/>
    <w:basedOn w:val="DefaultParagraphFont"/>
    <w:link w:val="Footer"/>
    <w:uiPriority w:val="99"/>
    <w:rsid w:val="009F7868"/>
    <w:rPr>
      <w:rFonts w:eastAsia="Calibri" w:cs="Times New Roman"/>
    </w:rPr>
  </w:style>
  <w:style w:type="character" w:styleId="Hyperlink">
    <w:name w:val="Hyperlink"/>
    <w:basedOn w:val="DefaultParagraphFont"/>
    <w:uiPriority w:val="99"/>
    <w:semiHidden/>
    <w:unhideWhenUsed/>
    <w:rsid w:val="009F7868"/>
    <w:rPr>
      <w:color w:val="0000FF"/>
      <w:u w:val="single"/>
    </w:rPr>
  </w:style>
  <w:style w:type="character" w:customStyle="1" w:styleId="lmpnum">
    <w:name w:val="lmpnum"/>
    <w:basedOn w:val="DefaultParagraphFont"/>
    <w:rsid w:val="00591BDE"/>
  </w:style>
  <w:style w:type="paragraph" w:styleId="BalloonText">
    <w:name w:val="Balloon Text"/>
    <w:basedOn w:val="Normal"/>
    <w:link w:val="BalloonTextChar"/>
    <w:uiPriority w:val="99"/>
    <w:semiHidden/>
    <w:unhideWhenUsed/>
    <w:rsid w:val="00FC69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69A5"/>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1863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885B54-6B9F-42CE-A0EB-2F3A406382DA}">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11</TotalTime>
  <Pages>6</Pages>
  <Words>4209</Words>
  <Characters>2400</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Vizma Casno</dc:creator>
  <cp:keywords/>
  <dc:description/>
  <cp:lastModifiedBy>BMN</cp:lastModifiedBy>
  <cp:revision>4</cp:revision>
  <cp:lastPrinted>2024-11-05T11:49:00Z</cp:lastPrinted>
  <dcterms:created xsi:type="dcterms:W3CDTF">2024-11-04T07:32:00Z</dcterms:created>
  <dcterms:modified xsi:type="dcterms:W3CDTF">2024-11-05T15:39:00Z</dcterms:modified>
</cp:coreProperties>
</file>