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23-TA-2135: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Eksportā ielā 6, Rīgā,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valsts nekustamā īpašuma sastāvā esošās administratīvās ēkas telpas 1021,3 m</w:t>
            </w:r>
            <w:r w:rsidR="00000000" w:rsidRPr="00000000" w:rsidDel="00000000">
              <w:rPr>
                <w:vertAlign w:val="superscript"/>
                <w:rtl w:val="0"/>
              </w:rPr>
              <w:t xml:space="preserve">2</w:t>
            </w:r>
            <w:r w:rsidR="00000000" w:rsidRPr="00000000" w:rsidDel="00000000">
              <w:rPr>
                <w:rtl w:val="0"/>
              </w:rPr>
              <w:t xml:space="preserve"> platībā iznomātas fiziskām un juridiskām personām. No rīkojuma projekta anotācijas secināms, ka starp valsts akciju sabiedrību “Valsts nekustamie īpašumi” un privātpersonām noslēgti 12 telpu nomas līgumi un viens telpu patapinājuma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ietvertas atsauces uz Civillikuma 2126., 2168. un 2174. pantu, kuru noteikumi regulē attiecības starp iznomātāju un nomnieku nekustamā īpašuma atsavināšanas gadījumā, un norādīts, ka pēc nekustamā īpašuma atsavināšanas nomas līgumi jaunajam ieguvējam nebūs saistoši. No minētā noprotams, ka nomas līgumi būs spēkā līdz īpašuma tiesības uz nekustamo īpašumu nostiprinās jaunais ieguvējs. Tomēr nav skaidrots, kad un kā par nomas tiesisko attiecību izbeigšanu tiks paziņots nomniekiem. Nomas līgumu 11.2. punkts paredz iznomātāja tiesības jebkādu iemeslu dēj vienpusēji atkāpties no līguma, neatlīdzinot nomnieka zaudējumus, kas saistīti ar līguma pirmstermiņa izbeigšanu, par to rakstiski paziņojot nomniekam trīs mēnešus iepriekš. Rīkojuma projekta anotācijā nav norādīts, vai nomas līgumi tiks izbeigti saskaņā ar minēto līguma punktu, vai citā kārtībā, ņemot vērā Civillikuma 2126., 2168. un 2174. panta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vispār nav skaidrota plānotā rīcība saistībā ar patapinājuma līgumu un tā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anotāciju ar informāciju par nomas līgumu un patapinājuma līguma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rīkojuma projekts par pārdošanu ir Ministru kabineta konceptuāls lēmums. Šobrīd nav iespējams pateikt, kad tieši tiks pārdots nekustamais īpašums, jo  atsavināšanas procedūra ir samērā ilgstošs process, kas var ilgt gadu vai ilgāk.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telpu nomas līgumi tiks turpināti līdz attiecīgā  līgumā noteiktajam termiņam, bet ne ilgāk kā līdz nekustamā īpašuma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nomnieki saskaņā ar līgumos paredzētajiem nosacījumiem, tiks brīdināti, ka valsts nekustamais īpašums tiek atsavināts un nomas attiecības ar VNĪ netiks turpinātas. Atbilstoši noslēgto nomas līgumu nosacījumiem, nomniekiem nav atlīdzināmu ieguldījumu valsts nekustamajā īpašumā, līdz ar to esošie nomnieki un jaunais valsts nekustamā īpašuma ieguvējs varēs izlemt par nomas attiecību turpināšanu.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anotācija ir papildinātā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"Noslēgtie telpu nomas līgumi tiks turpināti līdz attiecīgā  līgumā noteiktajam termiņam un ne ilgāk kā līdz nekustamā īpašuma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nomnieki saskaņā ar līgumos paredzētajiem nosacījumiem, tiks brīdināti, ka valsts nekustamais īpašums tiek atsavināts un nomas attiecības ar VNĪ netiks turpinātas. Atbilstoši noslēgto nomas līgumu nosacījumiem, nomniekiem nav atlīdzināmu ieguldījumu valsts nekustamajā īpašumā, līdz ar to esošie nomnieki un jaunais valsts nekustamā īpašuma ieguvējs varēs izlemt par nomas attiecību turpināšanu".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patapinājuma līgumu, anotācija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patapinājuma līgumu ar SIA Telpa bērnam, līguma 2.2. apakšpunkts paredz, ka telpas tiek nodotas  bezatlīdzības lietošanā ar līguma abpusējas parakstīšanas dienu līdz dienai, kamēr patapinājuma ņēmējam ir spēkā sociālā uzņēmuma statuss, bet ne ilgāk par trim gadiem un ne ilgāk kā līdz Īpašuma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rīkojuma projekts paredz, ievērojot Publiskas personas mantas atsavināšanas likumā (turpmāk – Atsavināšanas likums) ietverto tiesisko regulējumu, atļaut valsts akciju sabiedrībai “Valsts nekustamie īpašumi” (turpmāk – VNĪ) pārdot izsolē valstij piederošās 40409/53679  domājamās daļas no nekustamā īpašuma Eksporta ielā 6,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nekustamā īpašuma valsts kadastra informācijas sistēmas (turpmāk – NĪVKIS) datiem minētais nekustamais īpašums sastāv no dzīvokļu īpašumos nesadalītās daļas: 40409/53679 domājamās daļas no zemes vienības un 40409/53679 domājamās daļas no būves – administratīvās ēkas.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1067. panta pirmā daļa noteic, ka īpašuma tiesība, kas pieder uz vienu un to pašu nedalītu lietu vairākām personām nevis reālās, bet tikai domājamās daļās, tā ka sadalīts vienīgi tiesību saturs, ir kopīpašuma tiesība.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ir skaidrots, kādēļ minētais nekustamais īpašums ir patstāvīgs īpašuma objekts un nekustamā īpašuma Eksporta ielā 6, Rīgā, dzīvokļu īpašumu īpašniekiem nav pirmpirkuma tiesības dzīvokļu īpašumos nesadalītā īpašuma daļas atsavināšanas gadījumā. Tomēr, tā kā valstij pieder domājamās daļas no minētā nekustamā īpašuma, pirmšķietami varētu secināt, ka domājamās daļas no dzīvokļos nesadalītā īpašuma varētu piederēt arī citām personām, kurām līdz ar to ir pirmpirkuma tiesības (Civillikuma 1073. pants). Proti, no rīkojuma projekta anotācijas nav pilnīgi skaidri saprotams, vai pārējās domājamās daļas, kuras nav valsts īpašumā, no zemes vienības un būves ir tikai dzīvokļu īpašumos sadalītā nekustamā īpašuma daļa, vai arī ir vēl kāds īpašnieks, kuram pieder domājamās daļas no dzīvokļu īpašumos nesadalītās nekustamā īpašuma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precīzi norādot informāciju par dzīvokļu īpašumos nesadalītās nekustamā īpašuma daļas īpašniekiem, kuri būtu atzīstami par kopīpašniekiem Civillikuma 1067. panta izpratnē. Gadījumā, ja valsts ir vienīgais īpašnieks dzīvokļu īpašumos nesadalītā nekustamā īpašuma daļai, tad lūgums to skaidri norādīt rīkojuma projekta anotācijā, skaidrojot situāciju ar pārējām 13270/53679 domājamām daļām no zemes vienības un 13270/53679 domājamām daļām no būves – administratīvās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pievienotā Nekustamā īpašuma valsts kadastra informācijas sistēmas izdruka apliecina, ka nekustamā īpašuma Eksporta ielā 6, Rīgā,  dzīvokļu īpašumos nesadalītās daļas, 40409/53679 domājamo daļu apmērā, vienīgais īpašnieks ir valsts Finanšu ministrijas personā.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rīkojuma projekta pamatojošiem dokumentiem ir pievienotas izdrukas par nekustamā īpašuma Eksporta ielā 6, Rīgā, dzīvokļu īpašumos sadalītās daļas, proti, dzīvokļu īpašumu  Nr.13, Nr.15, Nr.17, Nr.19, Nr.20, Nr.21, Nr.22, Nr.23, Nr.24, Nr.27 atsevišķu piederību, kā arī anotācijā ir norādīts, ka minētajiem dzīvokļu īpašumiem zemesgrāmatā atvērti jauni atsevišķu īpašumu nodalījumi.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pamata anotācijā iekļaut informāciju par dzīvokļu īpašumu īpašniekiem un to piederību, jo minētā informācija neattiecas uz konkrēto rīkojuma projektu, kā arī informācijas iegūšana no  zemesgrāmatas ir maksas pakalpojums, šāda informācija satur arī fizisku personu datus, kuru apstrādei nepieciešams tiesisks pamatojums, anotācijas papildināšana ar minēto informāciju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skaidrībai, anotācija papildināta ar teikumu: "Nekustamā īpašuma Eksporta ielā 6, Rīgā,  dzīvokļu īpašumos nesadalītā daļas, 40409/53679 domājamo daļu apmērā, vienīgais īpašnieks ir valsts Finanšu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23-TA-2135</w:t>
    </w:r>
    <w:r>
      <w:br/>
    </w:r>
    <w:r w:rsidR="00000000" w:rsidRPr="00000000" w:rsidDel="00000000">
      <w:rPr>
        <w:rtl w:val="0"/>
      </w:rPr>
      <w:t xml:space="preserve">01.11.2023. 13.42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23-TA-2135</w:t>
    </w:r>
    <w:r>
      <w:br/>
    </w:r>
    <w:r w:rsidR="00000000" w:rsidRPr="00000000" w:rsidDel="00000000">
      <w:rPr>
        <w:rtl w:val="0"/>
      </w:rPr>
      <w:t xml:space="preserve">01.11.2023. 13.42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Izziņa_23-TA-2135.docx</dc:title>
</cp:coreProperties>
</file>

<file path=docProps/custom.xml><?xml version="1.0" encoding="utf-8"?>
<Properties xmlns="http://schemas.openxmlformats.org/officeDocument/2006/custom-properties" xmlns:vt="http://schemas.openxmlformats.org/officeDocument/2006/docPropsVTypes"/>
</file>