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finansējuma saņēmējiem un sadarbības partneriem projekta aktivitāšu īstenošanai un vadīšanai nepieciešamās informācijas un komunikācijas tehnoloģiju aparatūras un iekārtu iegādes vai nomas, kā arī biroja aprīkojuma izmaksas, tajā skaitā IKT aparatūras, iekārtu un programmatūras licenču iegādi vai nomu uz projekta īstenošanas laiku, nepārsniedzot trīs procentus no projekta kopējām attiecināmajām izmaksām, kas izmantojamas projektā paredzēto darbību veikšanai, ko veic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esošājā redakcijā 32.11. punkts attiecās uz IKT aparatūru, iekārtām un biroja aprīkojumu, bet </w:t>
            </w:r>
            <w:r w:rsidR="00000000" w:rsidRPr="00000000" w:rsidDel="00000000">
              <w:rPr>
                <w:b w:val="1"/>
                <w:rtl w:val="0"/>
              </w:rPr>
              <w:t xml:space="preserve">neietvēra programmatūras licences</w:t>
            </w:r>
            <w:r w:rsidR="00000000" w:rsidRPr="00000000" w:rsidDel="00000000">
              <w:rPr>
                <w:rtl w:val="0"/>
              </w:rPr>
              <w:t xml:space="preserve">, kas bija skaidri attiecināmas kā atsevišķa izdevumu kategorija saskaņā ar 32.2.5. punktu – </w:t>
            </w:r>
            <w:r w:rsidR="00000000" w:rsidRPr="00000000" w:rsidDel="00000000">
              <w:rPr>
                <w:i w:val="1"/>
                <w:rtl w:val="0"/>
              </w:rPr>
              <w:t xml:space="preserve">"programmatūras sistēmas licenču iegādes izmaksas"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grozījumu jaunā redakcija nosaka, ka: "tajā skaitā IKT aparatūras, iekārtu un programmatūras licenču iegādi vai nomu uz projekta īstenošanas laiku" ietveramie izdevumi nedrīkst pārsniegt 3% no projekta kopējām attiecināmajām izmaksām. Tas faktiski paplašina ierobežojuma piemērošanas tvērumu un rada būtisku ierobežojumu arī tām programmatūras licencēm, kas iepriekš tika uzskatītas par atsevišķu, normatīvi pamatotu izdevumu kategoriju (saskaņā ar 32.2.5.).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32.11. punkta jaunā redakcija vienkārši lieto terminu “programmatūras licences”, bez skaidrojuma, kādas tieši ir domātas – vai tās ir tikai lietotāju (end-user) programmas kā biroja programmatūra, vai arī plašāki sistēmiski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terminoloģiska nenoteiktība rada riskus, ka tiek vienādojamas būtiski atšķirīgas licenču kategorijas, līdz ar to attiecināmība pēc būtības tiek sašaurināta un padarīta neskaidra.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tiek ieviesti ANM projektu īstenošanas termiņa beigās, un daudzi projekti jau ir veikuši licenču iegādes, vadoties pēc spēkā esošās 32.2.5. punktā noteiktās attiecināmības, t.sk. Valsts kases projektā ievērojama daļa finansējuma ir novirzīta licenču iegādei vai nomai uz projekta īstenošanas laiku. Grozījumi, kas ierobežo šo licenču attiecināmību ar 3% slieksni, rada reālu risku, ka iepriekš saskaņotas un pamatotas izmaksas tiks atzītas par neatbilstošām tikai tāpēc, ka tiek mainīta normatīvo aktu interpretācija.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mērķis ir paplašināt attiecināmās izmaksas, tostarp arī uz programmatūras licencēm (kas iepriekš daļēji netika attiecinātas), tad: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nepieciešams skaidri norādīt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un neformulēt punktu kā ierobežojošāku, iekļaujot licences 3%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mērķis ir ierobežot noteiktas programmatūras licences (piemēram, tikai ofisa lietojuma vai vienkāršas IKT funkcijas nodrošinošas), tas jānoformulē konkrētāk, izmantojot precizējošus jēdzienus, piemēram: “standarta biroja programmatūras licences (MS Office, antivīrusi u. tml.)”, nevis vispārinājumu “programmatūras licences”, kas attiecināms arī uz kritiskiem sistēmiskiem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Nemainīt 32.11. punktu tādā redakcijā, kas faktiski ierobežo licenču izmaksu attiecināmību, kas līdz šim tika plānota, saskaņota un pamatota atbilstoši 32.2.5.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arī — precizēt redakciju, skaidri nodalot: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ierobežojumu piemērojamību tikai attiecībā uz lietošanai paredzēto aparatūru un vienkāršu programmatūru,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saglabājot programmatūras sistēmu licenču attiecināmību ārpus šī ierobežojuma.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finansējuma saņēmējiem un sadarbības partneriem projekta vadīšanai un īstenošanai nepieciešamās informācijas un komunikācijas tehnoloģiju aparatūras un iekārtu iegādes vai nomas, kā arī biroja aprīkojuma izmaksas, tajā skaitā tam paredzētās standarta biroja programmatūras licenču iegādi vai nomu projekta vadībā un īstenošanā iesaistītā personāla IKT  iekārtām uz projekta īstenošanas laiku, nepārsniedzot trīs procentus no projekta kopējām attiecināmajām izmaksām, kas izmantojamas projektā paredzēto darbību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(Latvijas Vēstnesis, 2022, 136. nr.; 2024, 52., 248.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arī MK noteikumu 32.2.11. apakšpunktu, papildinot ar šādiem attaisnotajiem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mākoņdatošanas pakalpojumiem migrējamo informācijas sistēmu migrācijas un ar tām saistītās infrastruktūras migrācijas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pielāgošana informācijas un komunikācijas tehnoloģiju ārpakalpojumu izmantošanai, tai skaitā informācijas sistēmas konfigurēšanas izmaksas un izmaksas, kas saistītas ar informācijas sistēmas darbināšanai izmantojamo ārpakalpojumu specificēšanu, konfigurēšanu un pielāgošanu, kā arī uz mākoņdatošanas pakalpojumiem migrējamo informācijas sistēmu migrācijas un ar tām saistītās infrastruktūras migrācijas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skaidrojot Eiropas Parlamenta un Padomes 2024. gada 23. septembra Regulas (ES, Euratom) 2024/2509 par finanšu noteikumiem, ko piemēro Savienības vispārējam budžetam (pārstrādāta redakcija), 138. pantā ietverto prasību ieviešanu, ja ar noteikumu projektu tiek ieviestas minētās regulas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precizē Eiropas Savienības Atveseļošanas un noturības mehānisma plāna 2. komponentes "Digitālā transformācija" 2.1. reformu un investīciju virziena "Valsts pārvaldes, tai skaitā pašvaldību, digitālā transformācija" īstenošanas noteikumus, papildinot ar tehniskiem precizējumiem un precizēto projektu finansējuma apjomu atbilstoši Digitālās modernizācijas tematiskās komitejas 2025.gada 25.marta sēdes lēmumiem. Ja līdz ar izmaiņām kādā no projekta tvērumiem mainās arī ietekme uz Latvijas Republikas starptautiskajām saistībām, tas atbilstīgi tiks attēlots grozījumos Ministru kabineta rīkojumā par projekta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ierosinātajiem grozījumiem 4.pielikumā, projektu īstenotājiem sagatavot izmaiņas projektu pasēs līdz 2025.gada 30.septembrim un nodrošināt nepieciešamo izmaiņu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ar protokollēmumu var dot uzdevumu tikai valsts pārvaldes iestādēm. Ņemot vērā, ka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precizētais 4. pielikums kā projektu īstenotājus paredz arī privātpersonas un atvasinātas publiskas personas, lūdzam atbilstoši precizēt Ministru kabineta sēdes protokollēmuma projekta 1. punkta redakciju, piemēram, nosakot pienākumu konkrētu nozaru ministrijām (nozaru ministriem) noteiktā termiņā iesniegt Valsts kancelejā apstiprināšanai Ministru kabinetā projektu īstenotāju sagatavotos grozījumus Ministru kabineta rīkojumos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ierosinātajiem grozījumiem 4.pielikumā, nozaru ministrijām līdz 2025.gada 30.septembrim iesniegt Valsts kancelejā apstiprināšanai Ministru kabinetā projektu īstenotāju sagatavotos grozījumus Ministru kabineta rīkojumus par projekta īstenošanu: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sagatavot informatīvo ziņojumu par projektu īstenošanas progresu 2025.gada 4.ceturksnī.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uzdevumu attiecīgajam ministram noteiktā termiņā informatīvo ziņojumu iesniegt Ministru kabinetā, tādējādi nodrošinot konkrētā uzdevuma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sagatavot un iesniegt Valsts kancelejā apstiprināšanai Ministru kabinetā informatīvo ziņojumu par projektu īstenošanas progresu 2025.gada 4.ceturksnī.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Eiropas Parlamenta un Padomes 2024. gada 23. septembra Regulas (ES, Euratom) 2024/2509 par finanšu noteikumiem, ko piemēro Savienības vispārējam budžetam (pārstrādāta redakcija), 138. pantā noteiktajiem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skaitli "15.4.", novēršot tehnisku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Eiropas Parlamenta un Padomes 2024. gada 23. septembra Regulas (ES, Euratom) 2024/2509 par finanšu noteikumiem, ko piemēro Savienības vispārējam budžetam (pārstrādāta redakcija), 138. pantā noteiktajiem izslēgšanas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136. pantā noteiktajiem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noteikumu Nr. 435 15.4. apakšpunktā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w:t>
            </w:r>
            <w:r w:rsidR="00000000" w:rsidRPr="00000000" w:rsidDel="00000000">
              <w:rPr>
                <w:u w:val="single"/>
                <w:rtl w:val="0"/>
              </w:rPr>
              <w:t xml:space="preserve">Eiropas Parlamenta un Padomes 2024. gada 23. septembra Regulas (ES, Euratom) 2024/2509 par finanšu noteikumiem, ko piemēro Savienības vispārējam budžetam (pārstrādāta redakcija)</w:t>
            </w:r>
            <w:r w:rsidR="00000000" w:rsidRPr="00000000" w:rsidDel="00000000">
              <w:rPr>
                <w:rtl w:val="0"/>
              </w:rPr>
              <w:t xml:space="preserve">, </w:t>
            </w:r>
            <w:r w:rsidR="00000000" w:rsidRPr="00000000" w:rsidDel="00000000">
              <w:rPr>
                <w:u w:val="single"/>
                <w:rtl w:val="0"/>
              </w:rPr>
              <w:t xml:space="preserve">138. pantā</w:t>
            </w:r>
            <w:r w:rsidR="00000000" w:rsidRPr="00000000" w:rsidDel="00000000">
              <w:rPr>
                <w:rtl w:val="0"/>
              </w:rPr>
              <w:t xml:space="preserve"> noteiktajiem izslēgšanas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mēneša laikā pēc projekta iesnieguma saņemšanas novērtē projekta iesnieguma atbilstību šo noteikumu prasībām, rīkojumam par projektu īstenošanu un projekta ietvaros īstenojamo informācijas un komunikācijas tehnoloģiju risinājumu attīstības aktivitāšu aprakstam, kā arī novērtē finansējuma saņēmēja atbilstību Eiropas Parlamenta un Padomes 2024. gada 23. septembra Regulas (ES, Euratom) 2024/2509 par finanšu noteikumiem, ko piemēro Savienības vispārējam budžetam (pārstrādāta redakcija), 138. pantā noteiktajiem izslēgšanas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32.2.15. “informācijas un komunikācijas tehnoloģiju risinājumu noturības un kiberdrošības uzlabojumu izmaksas, tajā skaitā, kiberdrošības programmatūras iegādes, pielāgojumu izstrādes, uzstādīšanas un nomas izmaksas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kibedrošību saistītie pasākumi tiek īstenoti Kohēzijas programmas 2021.-2027. gadam 1.4.1.4. pasākuma "Vienotā kiberdrošības infrastruktūra" un nākotnē tiks īstenoti arī 1.3.1.3. pasākuma "IKT risinājumu un pakalpojumu kiberdrošības paaugstināšana" ietvaros, lūdzam papildināt anotāciju ar informāciju attiecībā uz demarkāciju un dubultfinansējuma nepieļaušanu ar augstākminētajiem pasākumiem. Turklāt lūdzam norādīt, kuras iestādes to nodrošinās.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1.6. "Cita informācija" ar informāciju par demarkāciju.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32.2.15. “informācijas un komunikācijas tehnoloģiju risinājumu noturības un kiberdrošības uzlabojumu izmaksas, tajā skaitā, kiberdrošības programmatūras iegādes, pielāgojumu izstrādes, uzstādīšanas un nomas izmaksas projekta īstenošanas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32.6.1. Ieviešamo IKT risinājumu administratoru un lietotāju apmācību, ar projekta darbībām tieši saistīto informatīvo, publicitātes un vizuālās identitātes pasākumu izmaksas, nepārsniedzot trīs procentus no projekta kopējām attiecināmajām izmaksām. Projektā, kurā tiek nodrošināts atbalsts atvērtās zinātnes ieviešanai praksē, izmaksu apjoms nepārsniedz sešus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jaunā redakcijā izteikts noteikumu 32.6.1.apakšpunkts, papildinot ar izņēmumu projektam, kurā tiek nodrošināts atbalsts atvērtās zinātnes ieviešanai praksē, paredzot izmaksu ierobežojumus sešus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minēts, ka ņemot vērā projekta “Atbalsts atvērtās zinātnes ieviešanai praksē, kā arī izveidoti risinājumi zinātnes datu koplietošanai un dalībai ES atvērtajā zinātnes mākonī” specifiku un tvērumu, īstenojot datu kuratoru mācību programmas, rodas neatbilstība 32.6.1. punktā noteiktajam maksimālajam izmaksu ierobežojumam 3%, un papildinājums 32.6.1. apakšpunktā ļaus pilnvērtīgi sasniegt projekta “Atbalsts atvērtās zinātnes ieviešanai praksē, kā arī izveidoti risinājumi zinātnes datu koplietošanai un dalībai ES atvērtajā zinātnes mākonī" mērķi datu kuratoru tīkla izveidei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anotācijā pamatot izmaksu ierobežojuma palielinājumu konkrētajam projektam un skaidrot, vai veikta visu projektu īstenotāju aptauja, apzinot to vajadzības un nepieciešamību šādu nosacījumu  attiecināt arī uz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32.6.1. Ieviešamo IKT risinājumu administratoru un lietotāju apmācību, ar projekta darbībām tieši saistīto informatīvo, publicitātes un vizuālās identitātes pasākumu izmaksas, nepārsniedzot trīs procentus no projekta kopējām attiecināmajām izmaksām. Projektā, kurā tiek nodrošināts atbalsts atvērtās zinātnes ieviešanai praksē, izmaksu apjoms nepārsniedz sešus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 kā arī personāla atlases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skaidrojumu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32.8. apakšpunkta papildināšanai ar personāla atlases izdevumiem, vēršam uzmanību, ka ārpakalpojuma piesaistes izmaksas, lai atlasītu nepieciešamo projekta vadības un īstenošanas personālu, nav uzskatāmas par </w:t>
            </w:r>
            <w:r w:rsidR="00000000" w:rsidRPr="00000000" w:rsidDel="00000000">
              <w:rPr>
                <w:u w:val="single"/>
                <w:rtl w:val="0"/>
              </w:rPr>
              <w:t xml:space="preserve">projekta vadības un īstenošanas personāla </w:t>
            </w:r>
            <w:r w:rsidR="00000000" w:rsidRPr="00000000" w:rsidDel="00000000">
              <w:rPr>
                <w:b w:val="1"/>
                <w:u w:val="single"/>
                <w:rtl w:val="0"/>
              </w:rPr>
              <w:t xml:space="preserve">atlīdzības izmaksām</w:t>
            </w:r>
            <w:r w:rsidR="00000000" w:rsidRPr="00000000" w:rsidDel="00000000">
              <w:rPr>
                <w:rtl w:val="0"/>
              </w:rPr>
              <w:t xml:space="preserve">. Ievērojot minēto, lūdzam svītrot noteikumu Nr. 435 32.8. apakšpunkta plānotajā redakcijā vārdus "kā arī personāla atlases izdevumi", tos paredzot kā atsevišķu izmaksu pozīciju vai iekļaujot citā esošā, atbilstošā izmaksu pozīcijā.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 kā arī personāla atlases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plānotajiem grozījumiem noteikumu Nr. 435 32.8. apakšpunktā, kuru paredzēts papildināt ar vārdiem "kā arī personāla atlases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ar 6.punktu, skaidrojot piebildes "kā arī personāla atlases izdevumi" iekļaušanas pamatojumu.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atlīdzības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apraksti, uzņēmuma līgumu darba uzdevumi, vienošanās vai rīkojumi par visu amata pienākumu vai papildu pienākumu veikšanu, un papildu pienākumu veikšanas gadījumā – arī šo pienākumu izpildei veltītā darba laika uzskaite.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rīkojumā par projekta īstenošanu var saskaņot izņēmumus no 33.1 un 33.2. punktos noteiktā ierobežojuma, ja projekta īstenošanas laikā ir izveidojies ietaupījums un netiek ietekmēta projekta mērķu sasniegšana pilnā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kabineta rīkojumā par projekta īstenošanu var noteikt izņēmumus no 33.1 un 33.2. punktos noteiktā ierobežojuma, ja projekta īstenošanas laikā ir izveidojies ietaupījums un netiek ietekmēta projekta mērķu sasniegšana pilnā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rīkojumā par projekta īstenošanu var saskaņot izņēmumus no 33.1 un 33.2. punktos noteiktā ierobežojuma, ja projekta īstenošanas laikā ir izveidojies ietaupījums un netiek ietekmēta projekta mērķu sasniegšana pilnā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noteikumi tiek papildināti ar jaunu 33.</w:t>
            </w:r>
            <w:r w:rsidR="00000000" w:rsidRPr="00000000" w:rsidDel="00000000">
              <w:rPr>
                <w:vertAlign w:val="superscript"/>
                <w:rtl w:val="0"/>
              </w:rPr>
              <w:t xml:space="preserve">1</w:t>
            </w:r>
            <w:r w:rsidR="00000000" w:rsidRPr="00000000" w:rsidDel="00000000">
              <w:rPr>
                <w:rtl w:val="0"/>
              </w:rPr>
              <w:t xml:space="preserve"> punktu – “33.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minētā punkta redakciju, jo no šobrīd iekļautās punkta redakcijas nosacījums var būt interpretējams un attiecināms arī uz projekta noslēguma fāzi, kas var radīt papildu slogu finansējuma saņēmējiem pie projekta noslēguma sniegt Ministru kabinetam uz saskaņošanu 33.1. un 33.2. punktos noteikto ierobežojumu izmaiņas. Atbilstoši 2014-2020 perioda projektu īstenošanas praksei noslēguma budžeta kopsavilkumā izmaksu pozīcijas absolūtos skaitļos nesamazina gadījumā, ja projekta īstenošanas laikā radies ietaupījums, bet projekta mērķi un rādītāji tiek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projekta īstenošanas laikā ir izveidojies ietaupījums un netiek ietekmēta projekta mērķu sasniegšana pilnā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rīkojumā par projekta īstenošanu var saskaņot izņēmumus no 33.1 un 33.2. punktos noteiktā ierobežojuma, ja projekta īstenošanas laikā ir izveidojies ietaupījums un netiek ietekmēta projekta mērķu sasniegšana pilnā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normas saturu tās piemērotājam, lūdzam, ievērojot anotācijas 1.3. sadaļā sniegto informāciju un noteikumos Nr. 435 lietoto terminoloģiju, papildināt noteikumu Nr. 435 plānoto 33.</w:t>
            </w:r>
            <w:r w:rsidR="00000000" w:rsidRPr="00000000" w:rsidDel="00000000">
              <w:rPr>
                <w:vertAlign w:val="superscript"/>
                <w:rtl w:val="0"/>
              </w:rPr>
              <w:t xml:space="preserve">1</w:t>
            </w:r>
            <w:r w:rsidR="00000000" w:rsidRPr="00000000" w:rsidDel="00000000">
              <w:rPr>
                <w:rtl w:val="0"/>
              </w:rPr>
              <w:t xml:space="preserve"> punktu aiz vārdiem "Ministru kabinets" ar vārdiem "rīkojumā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w:t>
            </w:r>
            <w:r w:rsidR="00000000" w:rsidRPr="00000000" w:rsidDel="00000000">
              <w:rPr>
                <w:u w:val="single"/>
                <w:rtl w:val="0"/>
              </w:rPr>
              <w:t xml:space="preserve">rīkojumā par projekta īstenošanu</w:t>
            </w:r>
            <w:r w:rsidR="00000000" w:rsidRPr="00000000" w:rsidDel="00000000">
              <w:rPr>
                <w:rtl w:val="0"/>
              </w:rPr>
              <w:t xml:space="preserve"> var saskaņot izņēmumus no 33.1 un 33.2. punktos noteiktā ierobežojuma, ja sekmīgas īstenošanas rezultātā ir izveidojies ietaupījums un netiek ietekmēta projekta mērķu sasniegšana pilnā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Ministru kabinets rīkojumā par projekta īstenošanu var saskaņot izņēmumus no 33.1 un 33.2. punktos noteiktā ierobežojuma, ja projekta īstenošanas laikā ir izveidojies ietaupījums un netiek ietekmēta projekta mērķu sasniegšana pilnā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Saskaitot kopā noteikumu projekta 4.pielikumā investīcijai 2.1.2.1.i  norādītās summas, kopsumma veidojas 68 707 919 euro apmērā, savukārt noteikumu projekta 1. punktā investīcijai 2.1.2.1.i. pieejamais finansējums norādīts 68 707 920 euro apmērā, veidojot 1 euro atšķirību, attiecīgi aicinām izvērtēt, vai ir nepieciešams veikt precizējumus 4.pielikumā vai noteikumu projekta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4.pielikums, noapaļojot AF finansējuma apjomu līdz </w:t>
            </w:r>
            <w:r w:rsidR="00000000" w:rsidRPr="00000000" w:rsidDel="00000000">
              <w:rPr>
                <w:i w:val="1"/>
                <w:rtl w:val="0"/>
              </w:rPr>
              <w:t xml:space="preserve">euro</w:t>
            </w:r>
            <w:r w:rsidR="00000000" w:rsidRPr="00000000" w:rsidDel="00000000">
              <w:rPr>
                <w:rtl w:val="0"/>
              </w:rPr>
              <w:t xml:space="preserve"> tiem projektiem, kuriem tiek pārstrukturēts finansējums un tiks virzīti grozījumi projekta pasēs, lai izvairītos no</w:t>
            </w:r>
            <w:r w:rsidR="00000000" w:rsidRPr="00000000" w:rsidDel="00000000">
              <w:rPr>
                <w:i w:val="1"/>
                <w:rtl w:val="0"/>
              </w:rPr>
              <w:t xml:space="preserve"> eirocentu</w:t>
            </w:r>
            <w:r w:rsidR="00000000" w:rsidRPr="00000000" w:rsidDel="00000000">
              <w:rPr>
                <w:rtl w:val="0"/>
              </w:rPr>
              <w:t xml:space="preserve"> norādīšanas Ministru kabineta rīkojumos par projekta pasu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25-TA-1079</w:t>
    </w:r>
    <w:r>
      <w:br/>
    </w:r>
    <w:r w:rsidR="00000000" w:rsidRPr="00000000" w:rsidDel="00000000">
      <w:rPr>
        <w:rtl w:val="0"/>
      </w:rPr>
      <w:t xml:space="preserve">14.06.2025. 10.25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25-TA-1079</w:t>
    </w:r>
    <w:r>
      <w:br/>
    </w:r>
    <w:r w:rsidR="00000000" w:rsidRPr="00000000" w:rsidDel="00000000">
      <w:rPr>
        <w:rtl w:val="0"/>
      </w:rPr>
      <w:t xml:space="preserve">14.06.2025. 10.25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Izziņa_25-TA-1079.docx</dc:title>
</cp:coreProperties>
</file>

<file path=docProps/custom.xml><?xml version="1.0" encoding="utf-8"?>
<Properties xmlns="http://schemas.openxmlformats.org/officeDocument/2006/custom-properties" xmlns:vt="http://schemas.openxmlformats.org/officeDocument/2006/docPropsVTypes"/>
</file>