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23-TA-3274: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3. februāra noteikumos Nr. 59 "Valsts un Eiropas Savienības atbalsta piešķiršanas kārtība investīciju veicināšanai lauksaimniecībā"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(08.12.2023.)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3. februāra noteikumos Nr. 59 "Valsts un Eiropas Savienības atbalsta piešķiršanas kārtība investīciju veicināšanai lauksaimniecībā"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 “Fintech Latvija Asociācija” (turpmāk – Asociācija) ir iepazinusies ar Ministru kabineta 2015.gada 3.februāra noteikumu Nr.59 “Valsts un Eiropas Savienības atbalsta piešķiršanas kārtība investīciju veicināšanai lauksaimniecībā” (turpmāk – Noteikumi) un ar Zemkopības ministrijas izstrādāto noteikumu projektu “Grozījumi Ministru kabineta 2015.gada 3.februāra noteikumos Nr.59 “Valsts un Eiropas Savienības atbalsta piešķiršanas kārtība investīciju veicināšanai lauksaimniecībā”” (turpmāk – Noteikumu projekts) un publiskās apspriešanas ietvaros sniedz savus priekšlikumus par Noteikumu 15.1 1.punktā noteikto nosacījumu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15.1 1.punktā ir noteikts, ka pretendents, kas nodarbojas ar primāro lauksaimniecības produktu ražošanu (turpmāk – Komersants), var saņemt atbalstu aizdevumiem, ko izsniedzis aizdevējs, kas atbilst vismaz vienam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 ir Latvijas Bankas vai Patērētāju tiesību aizsardzības centra atļauja (licence) kreditēšanas vai parāda atgūšanas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iekļauts Latvijas Bankas tīmekļvietnē publicētajā tirgus dalībnieku kredītiestāžu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iekļauts Patērētāju tiesību aizsardzības centra tīmekļvietnē publicētajā parādu atgūšanas pakalpojuma sniedzēju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uzskatāms par saistītu uzņēmumu ar 1. vai 2.punktā minētajiem aizdevējiem;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emitents, kura galvenā darbības joma ir kreditēšana.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 ir saņēmusi informāciju no kreditēšanas tirgus dalībniekiem, ka Noteikumu 15.1 1.1.apakšpunkts esošajā redakcijā neatbilst esošajai tirgus situācijai un nav efektīvs Noteikumu mērķa - veicināt racionālas un efektīvas lauksaimnieciskās ražošanas attīstību, samazinot produkcijas ražošanas izmaksas un ieviešot modernas ražošanas tehnoloģijas – sasniegšanā, jo minētais apakšpunkts izslēdz no dalības atbalsta programmā kvalificētus tirgus dalībniekus, kuri arī piedāvā aizdevumus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Paskaidrojam, ka kreditēšanas tirgus  ir ievērojami plašāks par to segmentu, kas uzskaitīts Noteikumu 15.1 1.punktā. Kreditētāju tirgū ietilpst arī kolektīvās finansēšanas pakalpojumu sniedzēji un citi profesionālie kreditēšanas pakalpojumu sniedzēji, kas piešķir aizdevumus maziem un vidējiem uzņēmumiem.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Iemesli, kāpēc Komersanti izvēlas minētos pakalpojumu sniedzējus, ir dažādi, piemēram, izdevīgāki aizdevuma atmaksas nosacījumi, aizdevuma devēja riska apetīte saistībā ar reģionālo kreditēšanu. Tomēr, izvēloties tādu pakalpojumu sniedzēju, kas neatbilst Noteikumu 15.1 1.punktā noteiktajiem nosacījumiem, Komersants nevar saņemt Noteikumu 13.punktā paredzēto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Piemēram, Komersants nevar saņemt Noteikumu 13.punktā noteikto atbalstu, ja aizdevumu izsniedza profesionālais kreditēšanas pakalpojumu sniedzējs, kuram nav izsniegta Patērētāju tiesību aizsardzības centra speciālā atļauja (licence) kreditēšanas pakalpojumu sniegšanai. Paskaidrojam, ka minētā licence tiek piešķirta Ministru kabineta 2011. gada 29. marta noteikumu Nr. 245 "Noteikumi par speciālo atļauju (licenci) patērētāju kreditēšanas pakalpojumu sniegšanai" noteiktajā kārtībā un ir attiecināma tikai uz patērētāju kreditēšanas pakalpojumu sniegšanu. Tiem kreditēšanas pakalpojumu sniedzējiem, kas piešķir aizdevumus maziem un vidējiem uzņēmumiem, bet neveic patērētāju kreditēšanu, nav pienākuma saņemt Patērētāju tiesību aizsardzības centra speciālo atļauju (licenci) kreditēšanas pakalpojumu 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Noteikumi paredz, ka atbalstam var pieteikties ne tikai kapitālsabiedrības, bet arī individuālie komersanti, kas atbilstoši Komerclikuma 74.pantam ir fiziskas personas, kuras kā komersants ierakstītas komercreģistrā. Neskatoties uz to, ka atbalstu var saņemt fiziskas personas, Patērētāju tiesību aizsardzības likuma izpratnē individuālie komersanti saimnieciskās darbības veikšanas ietvaros nav uzskatāmi par patērētājiem, jo patērētāju tiesību aizsardzību bauda tikai tādas fiziskās personas, kas darījumu veikušas nolūkos, kas nav saistīti ar tās saimniecisko vai profesionālo darbību jeb ir ārpus tās amata, nodarbošanās vai profesijas. (Administratīvās rajona tiesas Rīgas tiesu nams 2013.gada 8.novembra sprieduma lietā Nr.A420550412 10.punkts). Līdz ar to secināms, ka patērētājs nevar pieteikties Noteikumu 13.punktā noteiktajam atbalstam, tādējādi speciālais regulējums, kas ir saistošs licencētam patērētāju kreditēšanas sniedzējam attiecībā uz patērētāju kreditēšanas pakalpojumu sniegšanu uz Komersantiem nav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Ievērojot minēto, secināms, ka neatkarīgi no tā vai kreditēšanas pakalpojumu sniedzējs ir vai nav licencēts, licencētais patērētāju kreditēšanas pakalpojumu sniedzējs vai cits profesionālais kreditēšanas pakalpojumu sniedzējs tiesiskajās attiecībās ar Komersantu ietilpst vienā tiesiskā regulējuma ietvarā. Izņemot Noteikumu 15.1 1.1.apakšpunktā noteiktais ierobežojums, kas nelicencēto kreditēšanas pakalpojuma sniedzēju nostāda neizdevīgākos konkurences apstākļos tikai tāpēc, ka tas nesniedz patērētāju kreditēšanas pakalpojumu, vai arī nav kredītiestāde, t.i., darbības finansēšanai nepiesaista iedzīvotāju noguldījumus.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Turklāt kreditēšanas nozarē ir parādījušies jauni tirgus dalībnieki – kolektīvās finansēšanas pakalpojumu sniedzēji, kuri darbojas saskaņā ar Eiropas Parlamenta un Padomes Regulu (ES) 2020/1503 (2020. gada 7. oktobris) par Eiropas kolektīvās finansēšanas pakalpojumu sniedzējiem uzņēmējdarbībai un Latvijas Republikas Kolektīvās finansēšanas pakalpojumu likumu. Šiem tirgus dalībniekiem licenci piešķir Latvijas banka, kura tos arī uzrauga. Kolektīvās finansēšanas pakalpojumu sniedzēji papildus platformu darbībai nodarbojas arī ar kreditēšanas pakalpojumiem MVU segmentā, tādejādi nodrošinot adekvātu alternatīvas kreditēšanās iespēju tiem tirgus dalībniekiem, kuri dažādu iemeslu dēļ neatbilst kredītiestāžu riska vai specializēšanās profilam. Tas ir jauns finanšu pakalpojums tirgū un ir lielisks alternatīvs risinājums aizdevuma saņemšanai gadījumos, kad Komersants nevar saņemt kreditēšanas pakalpojumu no citiem kreditēšanas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 iepriekš minētā ir secināms, ka Noteikumu 15.1 1.punkts un 15.1 1.1.apakšpunkts esošajā redakcijā izslēdz lielu pakalpojumu sniedzēju daļu, kas var veicināt konkurenci kreditēšanas tirgū. Vēršam uzmanību, ka Finanšu sektora attīstības padome Ministru prezidentes vadībā jau 2023.gada 25.maijā konstatēja būtiskus kreditēšanu kavējošos faktorus Latvijā, kuru rezultātā jau ilgstošu laiku investīciju līmenis tautsaimniecībā ir nepietiekams, un noteica uzdevumus to novēršanā.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2024.gada 6.februārī Finanšu sektora attīstības padome izvērtēja progresu saistībā ar 2023.gada 25.maijā dotajiem uzdevumiem kreditēšanas kavējošo faktoru novēršanā. Novērtējuma ietvaros tika uzsvērts, ka ir nepieciešams turpināt īstenot pasākumus kreditēšanu kavējošo faktoru novēršanā, tostarp, stiprināt “Altum” kapacitāti uzņēmējdarbības finansēšanā, paplašinot to aizdevēju loku. Šajā sakarā Asociācija uzskata, ka ir svarīgi līdzvērtīgi izvērtēt arī Noteikumos noteikto aizdevēju loku, lai veicinātu konkurenci kreditēšanas tirgū. Konkurences veicināšanas rezultātā var tikt nodrošināti Komersantiem kvalitatīvāki pakalpojumi, t.sk. izdevīgāki atmaksas nosacījumi vai citi noteikumi. Piemēram, Asociācijas rīcībā ir informācija, ka profesionālo kreditēšanas pakalpojumu sniedzēji izsniedz aizdevumus arī bez nodrošinājumu vai garantiju pieprasīšanas.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Ievērojot minēto un to, ka Noteikumu projekts neparedz grozīt Noteikumu 15.1 1.punktu un 1.1.apakšpunktu, Asociācija aicina Zemkopības ministriju Noteikumu projekta izstrādes procesā pārskatīt Noteikumu 15.1 1.punku un 1.1.apakšpunktā noteikto nosacījumu, lai veicinātu gan Noteikumu mērķa sasniegšanu, gan konkurenci kreditēšanas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Asociācija aicina Lauku atbalsta dienestu sniegt viedokli par Asociācijas priekšlikumu un Zemkopības ministriju papildināt Noteikumu projektu ar 16.1 punktu un 16.2 punktu, izsakot tos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Izteikt 15.1 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“aizdevumiem, ko izsniedzis aizdevējs, kas ir profesionāls kreditēšanas pakalpojumu sniedzējs vai kas atbilst vismaz vienam no šiem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Izteikt 15.1 1.1.apakšpunktu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1.1. tam ir Latvijas Bankas izsniegta atļauja (licence) kreditēšanas vai kolektīvās finansēšanas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izvērtējusi biedrības “Fintech Latvija Asociācija” ierosinājumu piešķirt atbalstu kredītprocentu daļējai dzēšanai  pretendentiem par  aizdevumu, ko ir sniedzis aizdevējs, kas ir profesionāls kreditēšanas pakalpojumu sniedzējs, kam ir Latvijas Bankas izsniegta atļauja (licence) kreditēšanas vai kolektīvās finansēšanas pakalpojumu sniegšanai un ir papildinājusi Noteikumu Nr. 59 projektu ar iespēju saņemt atbalstu kredītprocentu daļējai dzēšanai par tādiem aizdevumiem, ko sniedz kolektīvās finansēšanas pakalpojumu sniedzēji, kam ir Latvijas Bankas izsniegta atļauja (licence).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atbilstoši Vadlīnijām tiesību akta projekta sākotnējās ietekmes novērtēšanai un novērtējuma ziņojuma sagatavošanai vienotajā TAP portālā šajā sadaļā ietvert aprakstu par noteikumu projektā ietverto normu ietekmi uz administratīvā sloga 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2.2.3.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mazināt administratīvo slogu atbalsta pretendentiem, lūdzu atbilstoši Vadlīnijām tiesību akta projekta sākotnējās ietekmes novērtēšanai un novērtējuma ziņojuma sagatavošanai vienotajā TAP portālā veikt administratīvo izmaksu monetāro novērtējumu. Aprēķinu veikšanai lūdzu izmantot paplašināto standarta izmaksu modeli. Metodiskie materiāli pieejami šeit: Administratīvā sloga mazināšana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Aizpildīti anotācijas 2.3.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un 6.1.apakšpunktā norādīts, ka noteikumu projekta īstenošanai intervences LA4.1.6 "Atbalsts subsīdijas veidā procentu likmes daļējai dzēšanai" ietvaros pieejams finansējums 13 625 000 </w:t>
            </w:r>
            <w:r w:rsidR="00000000" w:rsidRPr="00000000" w:rsidDel="00000000">
              <w:rPr>
                <w:i w:val="1"/>
                <w:rtl w:val="0"/>
              </w:rPr>
              <w:t xml:space="preserve">euro </w:t>
            </w:r>
            <w:r w:rsidR="00000000" w:rsidRPr="00000000" w:rsidDel="00000000">
              <w:rPr>
                <w:rtl w:val="0"/>
              </w:rPr>
              <w:t xml:space="preserve">apmērā, kas ir 100% valsts finansējums. Lūdzam papildināt sniegto informāciju ar skaidrojumu, norādot Ministru kabineta lēmumu, ar kuru šāds finansējums ir piešķirts.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6. punkts ar informāciju, norādot Ministru kabineta lēmumu, ar kuru šāds finansējums ir piešķirts.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un 6.1.apakšpunktā precizēt informāciju par Zemkopības ministrijas budžeta apakšprogrammā 21.01.00 "Valsts atbalsts lauksaimniecībai un lauku attīstībai" plānoto finansējumu, norādot 2024.gadam plānotā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3.sadaļas 6.punktā un 6.1.apakšpunktā.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mazināt administratīvo slogu Lauku atbalsta dienestam, lūdzu šajā sadaļā iekļaut administratīvo izmaksu aprēķinu, atspoguļojot plānoto samazinājumu.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anotācijas sadaļa 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Eiropas Savienības atbalsta piešķiršanas kārtība investīciju veicināšanai lauksaimniecībā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- 20.03.2024.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1)Ņemot vērā esošo situāciju ES lauksaimniecībā, aicinām ZM uzsākt diskusijas ES līmenī par valstu individuālo de minimis griestu celšanu valstu un saimniecību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2)Lūdzam ZM skaidrot kāds finansējuma apjoms ir plānot daļējai kredītprocentu dzēšanai 2025., 2026. un 2027.gadā;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3)Aicinām ZM meklēt iespēja un noteikt, ka daļējai kredītprocentu dzēšanai var pieteikt arī to zemes daļu, kas ir zem meliorācijas grāvjiem, ceļiem un ir saistīta ar šo īpašumu apsaimniekošanai nepieciešamo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4)Aicinām ZM paredzēt iespēju kredītprocentu dzēšanai var pieteikt arī to zemes daļu, kas augu sekas nodrošināšanai īslaicīgi ir nodota kādam citam lauksaimniekam;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5)Aicinām kredītprocentu atbalstu paredzēt arī par to zemi, kas ir iegādāta no Altum reversās nomas un arī tajos gadījumos, kad saimniecība izpērk savulaik Altum pārdotu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6)Lūdzam skaidrot šo punktu: “Šo noteikumu 13. punktā minēto atbalstu nepiešķir: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lauksaimniecības traktortehnikas (tai skaitā kombainu, pašgājēju augu smalcinātāju, smidzinātāju), tās piekabju un puspiekabju, tādu lauksaimniecībā izmantojamo tehnoloģisko agregātu iegādei, kuru darbināšanai tiek izmantota traktortehnika, kā arī mobilo kalšu iegādei, ja tai ir izmantoti atbalsta līdzekļi lauku attīstībai no Eiropas Lauksaimniecības fonda lauku attīstībai (ELFLA);”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De minimis</w:t>
            </w:r>
            <w:r w:rsidR="00000000" w:rsidRPr="00000000" w:rsidDel="00000000">
              <w:rPr>
                <w:rtl w:val="0"/>
              </w:rPr>
              <w:t xml:space="preserve"> ir atbalsts, kas netiek uzskatīts par konkurenci kropļojošu, un to drīkst izmaksāt pēc vienkāršotiem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w:t>
            </w:r>
            <w:r w:rsidR="00000000" w:rsidRPr="00000000" w:rsidDel="00000000">
              <w:rPr>
                <w:i w:val="1"/>
                <w:rtl w:val="0"/>
              </w:rPr>
              <w:t xml:space="preserve">de minimis </w:t>
            </w:r>
            <w:r w:rsidR="00000000" w:rsidRPr="00000000" w:rsidDel="00000000">
              <w:rPr>
                <w:rtl w:val="0"/>
              </w:rPr>
              <w:t xml:space="preserve">atbalstu tiek īstenotas arī tādas programmas, kuru ieviešana nav iespējama saskaņā ar ES atbalsta regulām vai pamatnostādnēm, jo tāda veida atbalsts ES atbalsta regulās vai pamatnostādnēs netiek paredzēts - kredītprocentu daļējai dzēšanai zemes un dzīvnieku iegādei, kā arī apgrozāmajiem līdzekļiem. Minētie atbalsta veidi ir tie, kuriem nav iespējams piemērot citus ES valsts atbalsta regulējumus. Ņemot vērā, ka Latvijai paredzētais atbalsta slieksnis trīs fiskālo gadu periodā nedrīkst pārsniegt 20 224 450 </w:t>
            </w:r>
            <w:r w:rsidR="00000000" w:rsidRPr="00000000" w:rsidDel="00000000">
              <w:rPr>
                <w:i w:val="1"/>
                <w:rtl w:val="0"/>
              </w:rPr>
              <w:t xml:space="preserve">euro</w:t>
            </w:r>
            <w:r w:rsidR="00000000" w:rsidRPr="00000000" w:rsidDel="00000000">
              <w:rPr>
                <w:rtl w:val="0"/>
              </w:rPr>
              <w:t xml:space="preserve">, kas šī brīža apstākļos ir nepietiekams, zemkopības ministrs ir vērsies pie Eiropas Komisijas ar ierosinājumu pārskatīt lauksaimniecības </w:t>
            </w:r>
            <w:r w:rsidR="00000000" w:rsidRPr="00000000" w:rsidDel="00000000">
              <w:rPr>
                <w:i w:val="1"/>
                <w:rtl w:val="0"/>
              </w:rPr>
              <w:t xml:space="preserve">de minimis</w:t>
            </w:r>
            <w:r w:rsidR="00000000" w:rsidRPr="00000000" w:rsidDel="00000000">
              <w:rPr>
                <w:rtl w:val="0"/>
              </w:rPr>
              <w:t xml:space="preserve"> regulas griestus vienam vienotam uzņēmumam un dalībvalstij trīs fiskālo gadu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protokollēmums papildināts ar punktu, ka Zemkopības ministrijas jautājums par papildus nepieciešamo finansējumu pasākuma īstenošanai 2025.gadam un turpmākajiem gadiem, tiks skatīts likumprojekta „Par valsts budžetu 2025. gadam” un likumprojekta “Par vidēja termiņa budžeta ietvaru 2025., 2026. un 2027. gadam” sagatavošanas procesa ietvaros, kopā ar visu ministriju un citu centrālo valsts iestāžu iesniegtajiem pieteikumiem prioritārajiem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noteikto </w:t>
            </w:r>
            <w:r w:rsidR="00000000" w:rsidRPr="00000000" w:rsidDel="00000000">
              <w:rPr>
                <w:i w:val="1"/>
                <w:rtl w:val="0"/>
              </w:rPr>
              <w:t xml:space="preserve">de minimis</w:t>
            </w:r>
            <w:r w:rsidR="00000000" w:rsidRPr="00000000" w:rsidDel="00000000">
              <w:rPr>
                <w:rtl w:val="0"/>
              </w:rPr>
              <w:t xml:space="preserve"> ierobežotā finansējuma apmēru, Zemkopības ministrija neplāno paplašināt Ministru kabineta noteikumu projektu ar jauniem nosacījumiem, kas saistīti ar lauksaimniecībā izmantojamās </w:t>
            </w:r>
            <w:r w:rsidR="00000000" w:rsidRPr="00000000" w:rsidDel="00000000">
              <w:rPr>
                <w:rtl w:val="0"/>
              </w:rPr>
              <w:t xml:space="preserve">zemes iegādi.</w:t>
            </w:r>
            <w:r w:rsidR="00000000" w:rsidRPr="00000000" w:rsidDel="00000000">
              <w:rPr>
                <w:rtl w:val="0"/>
              </w:rPr>
              <w:t xml:space="preserve">Zemkopības ministrija informē, ka Ministru kabineta noteikumu projekts neaizliedz iegādāties lauksaimniecībā izmantojamo zemi no Altum reversās nomas.</w:t>
            </w:r>
            <w:r w:rsidR="00000000" w:rsidRPr="00000000" w:rsidDel="00000000">
              <w:rPr>
                <w:rtl w:val="0"/>
              </w:rPr>
              <w:t xml:space="preserve">Ņemot vērā ierobežotā finansējuma apmēru Zemkopības ministrija izstrādājusi atbalsta programmu atbalstam kredītprocentu daļējai dzēšanai tikai tādiem aizdevumiem, kas iegādāti par kredītiestādēs ņemtiem aizdevumiem lauksaimniecības traktortehnikas (tai skaitā kombainu, pašgājēju augu smalcinātāju, smidzinātāju), tās piekabju un puspiekabju, tādu lauksaimniecībā izmantojamo tehnoloģisko agregātu iegādei, kuru darbināšanai tiek izmantota traktortehnika, kā arī mobilo kalšu iegādei, jo ja ir izmantoti atbalsta līdzekļi lauku attīstībai no Eiropas Lauksaimniecības fonda lauku attīstībai (ELFLA) atbalsts kredītprocentu daļējai dzēšanai vairs netiek paredzēts, kā arī ir jāievēro atbalsta kumulācijas nosacījumi un nav pieļaujams noteiktās atbalsta intensitātes pārsniegums.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Eiropas Savienības atbalsta piešķiršanas kārtība investīciju veicināšanai lauksaimniecībā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šo noteikumu </w:t>
            </w:r>
            <w:r w:rsidR="00000000" w:rsidRPr="00000000" w:rsidDel="00000000">
              <w:rPr>
                <w:rtl w:val="0"/>
              </w:rPr>
              <w:t xml:space="preserve">23.2.</w:t>
            </w:r>
            <w:r w:rsidR="00000000" w:rsidRPr="00000000" w:rsidDel="00000000">
              <w:rPr>
                <w:rtl w:val="0"/>
              </w:rPr>
              <w:t xml:space="preserve"> apakšpunktā un </w:t>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34.</w:t>
            </w:r>
            <w:r w:rsidR="00000000" w:rsidRPr="00000000" w:rsidDel="00000000">
              <w:rPr>
                <w:vertAlign w:val="superscript"/>
                <w:rtl w:val="0"/>
              </w:rPr>
              <w:t xml:space="preserve">3</w:t>
            </w:r>
            <w:r w:rsidR="00000000" w:rsidRPr="00000000" w:rsidDel="00000000">
              <w:rPr>
                <w:rtl w:val="0"/>
              </w:rPr>
              <w:t xml:space="preserve"> un </w:t>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 punktā minēto atbalstu izmaksā tā, lai trīs gadu periodā, skaitot no </w:t>
            </w:r>
            <w:r w:rsidR="00000000" w:rsidRPr="00000000" w:rsidDel="00000000">
              <w:rPr>
                <w:i w:val="1"/>
                <w:rtl w:val="0"/>
              </w:rPr>
              <w:t xml:space="preserve">de minimis</w:t>
            </w:r>
            <w:r w:rsidR="00000000" w:rsidRPr="00000000" w:rsidDel="00000000">
              <w:rPr>
                <w:rtl w:val="0"/>
              </w:rPr>
              <w:t xml:space="preserve"> atbalsta piešķiršanas dienas, tas nepārsniegtu Komisijas regulas 2023/2831</w:t>
            </w:r>
            <w:r w:rsidR="00000000" w:rsidRPr="00000000" w:rsidDel="00000000">
              <w:rPr>
                <w:rtl w:val="0"/>
              </w:rPr>
              <w:t xml:space="preserve">​</w:t>
            </w:r>
            <w:r w:rsidR="00000000" w:rsidRPr="00000000" w:rsidDel="00000000">
              <w:rPr>
                <w:rtl w:val="0"/>
              </w:rPr>
              <w:t xml:space="preserve"> 3. panta 2. punktā noteikto atbalsta summu vienam vienotam uzņēmumam saskaņā ar Komisijas regulas </w:t>
            </w:r>
            <w:r w:rsidR="00000000" w:rsidRPr="00000000" w:rsidDel="00000000">
              <w:rPr>
                <w:rtl w:val="0"/>
              </w:rPr>
              <w:t xml:space="preserve">​</w:t>
            </w:r>
            <w:r w:rsidR="00000000" w:rsidRPr="00000000" w:rsidDel="00000000">
              <w:rPr>
                <w:rtl w:val="0"/>
              </w:rPr>
              <w:t xml:space="preserve">2023/2831 2.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būtu skaidrs, ka de minimis atbalstu piešķir (pieņemt lēmumu par atbalsta piešķiršanu) ievērojot Komisijas regulas 2023/2831​ 3. panta 2. punktā noteikto atbalsta limitu, lūdzam vārdu "izmaksā" aizstāt ar vārdu "piešķir". Attiecīgi lūdzam pārskatīt arī noteikumu 11.6. un 11.7.punktu.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šo noteikumu </w:t>
            </w:r>
            <w:r w:rsidR="00000000" w:rsidRPr="00000000" w:rsidDel="00000000">
              <w:rPr>
                <w:rtl w:val="0"/>
              </w:rPr>
              <w:t xml:space="preserve">23.2.</w:t>
            </w:r>
            <w:r w:rsidR="00000000" w:rsidRPr="00000000" w:rsidDel="00000000">
              <w:rPr>
                <w:rtl w:val="0"/>
              </w:rPr>
              <w:t xml:space="preserve"> apakšpunktā un </w:t>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34.</w:t>
            </w:r>
            <w:r w:rsidR="00000000" w:rsidRPr="00000000" w:rsidDel="00000000">
              <w:rPr>
                <w:vertAlign w:val="superscript"/>
                <w:rtl w:val="0"/>
              </w:rPr>
              <w:t xml:space="preserve">3</w:t>
            </w:r>
            <w:r w:rsidR="00000000" w:rsidRPr="00000000" w:rsidDel="00000000">
              <w:rPr>
                <w:rtl w:val="0"/>
              </w:rPr>
              <w:t xml:space="preserve"> un </w:t>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 punktā minēto atbalstu piešķir tā, lai trīs gadu periodā, skaitot no </w:t>
            </w:r>
            <w:r w:rsidR="00000000" w:rsidRPr="00000000" w:rsidDel="00000000">
              <w:rPr>
                <w:i w:val="1"/>
                <w:rtl w:val="0"/>
              </w:rPr>
              <w:t xml:space="preserve">de minimis</w:t>
            </w:r>
            <w:r w:rsidR="00000000" w:rsidRPr="00000000" w:rsidDel="00000000">
              <w:rPr>
                <w:rtl w:val="0"/>
              </w:rPr>
              <w:t xml:space="preserve"> atbalsta piešķiršanas dienas, tas nepārsniegtu Komisijas regulas 2023/2831</w:t>
            </w:r>
            <w:r w:rsidR="00000000" w:rsidRPr="00000000" w:rsidDel="00000000">
              <w:rPr>
                <w:rtl w:val="0"/>
              </w:rPr>
              <w:t xml:space="preserve">​</w:t>
            </w:r>
            <w:r w:rsidR="00000000" w:rsidRPr="00000000" w:rsidDel="00000000">
              <w:rPr>
                <w:rtl w:val="0"/>
              </w:rPr>
              <w:t xml:space="preserve"> 3. panta 2. punktā noteikto atbalsta summu vienam vienotam uzņēmumam saskaņā ar Komisijas regulas </w:t>
            </w:r>
            <w:r w:rsidR="00000000" w:rsidRPr="00000000" w:rsidDel="00000000">
              <w:rPr>
                <w:rtl w:val="0"/>
              </w:rPr>
              <w:t xml:space="preserve">​</w:t>
            </w:r>
            <w:r w:rsidR="00000000" w:rsidRPr="00000000" w:rsidDel="00000000">
              <w:rPr>
                <w:rtl w:val="0"/>
              </w:rPr>
              <w:t xml:space="preserve">2023/2831 2. panta 2.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datus par izmaksāto atbalstu glabā 10 gadus, sākot no dienas, kad ir piešķirts pēdējais atbalsts šajos noteikumos minētajiem atbalsta pasākumiem, ievērojot regulas </w:t>
            </w:r>
            <w:r w:rsidR="00000000" w:rsidRPr="00000000" w:rsidDel="00000000">
              <w:rPr>
                <w:rtl w:val="0"/>
              </w:rPr>
              <w:t xml:space="preserve">2022/2472</w:t>
            </w:r>
            <w:r w:rsidR="00000000" w:rsidRPr="00000000" w:rsidDel="00000000">
              <w:rPr>
                <w:rtl w:val="0"/>
              </w:rPr>
              <w:t xml:space="preserve"> 13. panta, Komisijas regulas 2023/2831 6. panta 3. punkta, Komisijas regulas Nr. 1408/2013 6. panta 4. punkta un Komisijas regulas Nr. 717/2014 6. panta 4.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 2023/2831 6. panta 3. punkts nosaka, ka "Dalībvalstis reģistrēto informāciju par de minimis atbalstu glabā 10 gadus no atbalsta piešķiršanas dienas", taču vienlaikus Komisijas regulas Nr. 2023/2831 6. panta 7. punkts nosaka, ka “Pēc rakstiska Komisijas pieprasījuma attiecīgā dalībvalsts 20 darbdienu laikā vai tādā ilgākā laikposmā, kāds noteikts pieprasījumā, sniedz Komisijai visu informāciju, kuru Komisija uzskata par vajadzīgu, lai novērtētu, vai šīs regulas nosacījumi ir izpildīti, un jo īpaši informāciju par uzņēmuma saņemto de minimis atbalsta kopsummu šīs regulas un citu de minimis regulu nozīmē”, tādējādi pastāv gadījumi, ka Eiropas Komisija, ievērojot Padomes Regulā (ES) 2015/1589 (2015. gada 13. jūlijs), ar ko nosaka sīki izstrādātus noteikumus Līguma par Eiropas Savienības darbību 108. panta piemērošanai (kodificēta redakcija) (jeb Procesuālā regula) noteikto 10 gadu noilguma periodu saistībā ar nelikumīga un nesaderīga komercdarbības atbalsta atgūšanu, var pieprasīt dalībvalstīm iesniegt informāciju, kas pārsniedz Komisijas regulas Nr. 2023/2831 6. panta 1. punktā ietverot informācijas apjomu, lūdzam papildināt noteikumu 11.9.punktā minēto atsauci uz Komisijas regulas Nr. 2023/2831 6. panta 3. punktu ar atsauci uz Komisijas regulas Nr. 2023/2831 6. panta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alternatīvi lūdzam izvērtēt iespēju dzēst atsauces uz regulu pantu punktiem, izsakot normu tā, lai skaidrs, ka atbalsta sniedzējs (LAD) informāciju par piešķirto de minimis atbalstu glabā 10 gadus no pēdējā pasākuma ietvaros piešķirtā atbalsta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datus par atbalstu, kas piešķirts saskaņā ar regulu 2022/2472, Komisijas regulu 2023/2831, Komisijas regulu Nr. 1408/2013 vai Komisijas regulu Nr. 717/2014, glabā 10 gadus, sākot no dienas, kad ir piešķirts pēdējais atbalsts šajos noteikumos minētajiem atbalsta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aktu par būves pieņemšanu ekspluatācijā (ja būvniecība nav pabeigta – būvatļauju) vai, ja ir vienkāršota būves pārbūve, – apliecinājuma karti un darbu nodošanas un pieņemšanas 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otrā daļa paredz, ka valsts pārvalde ir organizējama pēc iespējas ērti un pieejami privātpersonai, vienkāršojot un uzlabojot procedūras privātpersonas labā, un astotajā daļā noteikts, ja informācija, kura nepieciešama pārvaldes lēmuma pieņemšanai, kas regulē publiski tiesiskās attiecības ar privātpersonu, ir citas institūcijas rīcībā, iestāde to iegūst pati, nevis pieprasa no privātpersonas. Administratīvā procesa likuma (turpmāk – APL) 59.panta otrā daļa paredz, ka gadījumos, kad iestādei nepieciešamā informācija ir nevis administratīvā procesa dalībnieku, bet gan citas institūcijas rīcībā, iestāde to iegūst pati, nevis pieprasa no administratīvā procesa dalībnieka. Iegūstot informāciju, iestāde var izmantot visas tiesiskās metodes, arī iegūt informāciju no administratīvā procesa dalībniekiem, citām institūcijām, kā arī ar liecinieku, ekspertu, apskates, dokumentu un cita veida pierādījumu palīdzību. Atbilstoši minētajos nacionālajos normatīvajos aktos nostiprinātajiem principiem valsts pārvaldes rīcībā esošās informācijas atkārtota pieprasīšana nav pieļaujama. Tādējādi, gatavojot tiesību aktu projektus, ir jāizvērtē katra atsevišķa dokumenta iesniegšanas iestādei nepieciešamība, lai novērstu regulējumu, kas paredzētu privātpersonu pienākumu iesniegt vienus un tos pašus vai dažāda veida dokumentus, bet kas satur vienu un to pašu informāciju, jo minēto informāciju valsts pārvaldes iestādes var iegūt pašas, sadarbojoties ar citām valsts pārvaldes iestādēm Valsts pārvaldes iekārtas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nepieciešamības gadījumā precizēt visu noteikumu projekta ( piemēram, 26.6. un 26.8.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kvalitātes uzlabošanai un pilnveidošanai, ierosinām papildināt MK noteikumu projekta anotācijas 1.3.sadaļā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vārdiem “Precizēts noteikumu Nr. 59 10.4. apakšpunkts, lai nodrošinātu to, ka visos lauksaimniecības atbalsta pasākumos tiek piemērots vienots nodokļu parāda slieksnis, līdz kuram var piešķirt atbalstu pretendentiem” ar papildus skaidrojumu kādi precīzi normatīvie akti domāti precizētajā MK noteikumu projekta 10.4. apakšpunktā ar vārdiem “normatīvajos aktos par valsts un Eiropas Savienības atbalsta piešķiršanas, administrēšanas un uzraudzības vispārējo kārtību lauku un zivsaimniecības attīstībai”, lai nodrošinātu atbalsta saņēmēju skaidru un nepārprotamu šī jautājuma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vārdiem “Noteikumu Nr. 59 13.1.3. apakšpunkts precizēts, paredzot atbalstu arī par aizdevumiem iekārtām un aprīkojumam precīzo tehnoloģiju izmantošanai” ar papildus skaidrojumu un piemēriem kādas precīzo tehnoloģiju iekārtas un aprīkojums domātas;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vārdiem “precizēts noteikumu Nr. 59 52.2. apakšpunkts, izvirzot lauksaimniecībā izmantojamu zinātnes pētījumu veicējiem papildu nosacījumus atbalsta saņemšanai un atbilstoši precizējot arī noteikumu Nr. 59 9. pielikumu” ar paskaidrojumu par nepieciešamību izvirzīt pētījumu veicējiem papildu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budžeta sadaļā pie 6.2. punkta “detalizēts izdevumu aprēķins”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2 500 000 euro – selekcijas materiāla izstrādei, lai veicinātu konvenciālo, integrēto un bioloģisko lauksaimniecības kultūraugu audzēšanas tehnoloģiju ieviešanu no budžeta apakšprogrammā 21.01.00 "Valsts atbalsts lauksaimniecībai un lauku attīstībai" </w:t>
            </w:r>
            <w:r w:rsidR="00000000" w:rsidRPr="00000000" w:rsidDel="00000000">
              <w:rPr>
                <w:b w:val="1"/>
                <w:rtl w:val="0"/>
              </w:rPr>
              <w:t xml:space="preserve">2023. gadā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2024. gadu.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2 500 000 euro – selekcijas materiāla izstrādei, lai veicinātu konvenciālo, integrēto un bioloģisko lauksaimniecības kultūraugu audzēšanas tehnoloģiju ieviešanu no budžeta apakšprogrammā 21.01.00 "Valsts atbalsts lauksaimniecībai un lauku attīstībai" </w:t>
            </w:r>
            <w:r w:rsidR="00000000" w:rsidRPr="00000000" w:rsidDel="00000000">
              <w:rPr>
                <w:b w:val="1"/>
                <w:rtl w:val="0"/>
              </w:rPr>
              <w:t xml:space="preserve">2024.</w:t>
            </w:r>
            <w:r w:rsidR="00000000" w:rsidRPr="00000000" w:rsidDel="00000000">
              <w:rPr>
                <w:rtl w:val="0"/>
              </w:rPr>
              <w:t xml:space="preserve"> gadā paredzētajiem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atsauci uz 2023. gada 13. janvāra Ministru kabineta protokolu Nr. 2 1§,  tā vietā norādot “atbilstoši Ministru kabineta 2023. gada 13. janvāra protokola Nr. 2 1.§ 2.punktam (prioritārā pasākuma “Atbalsts lauku attīstības politikai, īstenojot Kopējās lauksaimniecības politikas Stratēģisko plānu 2023.-2027. gadam” ietvaros)”, kā arī precizēt atsauci uz 2023. gada 26. septembra Ministru kabineta protokolu Nr. 47 43.§, tā vietā norādot “atbilstoši Ministru kabineta 2023. gada 26. septembra protokola Nr. 47 43.§ 2.punktam (prioritārā pasākuma “Atbalsts lauksaimniecības ekonomiskās dzīvotspējas stiprināšanai un krīzes radīto seko novēršanai”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tehniski precizēt MK noteikumu projekta anotācijas 3.sadaļas 6.2. apakšpunktā norādīto kopsummu par daļējo kredītprocentu dzēšanu kooperatīvajām sabiedrībām, kurām piešķirts atbilstības statuss saskaņā ar normatīvajiem aktiem par kooperatīvo sabiedrību atbilstību lauksaimniecības un mežsaimniecības nozarē  no “560 000” uz “800 000”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ko atspoguļo šajā sadaļā ietvertais aprēķins, jo no minētā paskaidrojuma nav skaidrs, kura noteikumos ietvertā prasība rada atbilstības izmaksas. Vēršam uzmanību, ka projektu pieteikumu izskatīšanas izmaksas klasificējamas kā administratīvās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kooperatīvajai sabiedrībai un  kooperatīvajai sabiedrībai, kas darbojas mežsaimniecības nozarē, – īstermiņa aizdevuma un faktoringa daļējai kredītprocentu dzēšanai saskaņā ar Komisijas regulas 2023/2831</w:t>
            </w:r>
            <w:r w:rsidR="00000000" w:rsidRPr="00000000" w:rsidDel="00000000">
              <w:rPr>
                <w:rtl w:val="0"/>
              </w:rPr>
              <w:t xml:space="preserve">​</w:t>
            </w:r>
            <w:r w:rsidR="00000000" w:rsidRPr="00000000" w:rsidDel="00000000">
              <w:rPr>
                <w:rtl w:val="0"/>
              </w:rPr>
              <w:t xml:space="preserve"> 1. panta 1. punktu. Pēc atbalsta saņemšanas kooperatīvā sabiedrība un kooperatīvā sabiedrība, kas darbojas mežsaimniecības nozarē, ievēro Komisijas regulas 2023/2831</w:t>
            </w:r>
            <w:r w:rsidR="00000000" w:rsidRPr="00000000" w:rsidDel="00000000">
              <w:rPr>
                <w:rtl w:val="0"/>
              </w:rPr>
              <w:t xml:space="preserve">​</w:t>
            </w:r>
            <w:r w:rsidR="00000000" w:rsidRPr="00000000" w:rsidDel="00000000">
              <w:rPr>
                <w:rtl w:val="0"/>
              </w:rPr>
              <w:t xml:space="preserve"> 1. panta 2. punktā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23.2., 34.</w:t>
            </w:r>
            <w:r w:rsidR="00000000" w:rsidRPr="00000000" w:rsidDel="00000000">
              <w:rPr>
                <w:vertAlign w:val="superscript"/>
                <w:rtl w:val="0"/>
              </w:rPr>
              <w:t xml:space="preserve">1</w:t>
            </w:r>
            <w:r w:rsidR="00000000" w:rsidRPr="00000000" w:rsidDel="00000000">
              <w:rPr>
                <w:rtl w:val="0"/>
              </w:rPr>
              <w:t xml:space="preserve"> , 34.</w:t>
            </w:r>
            <w:r w:rsidR="00000000" w:rsidRPr="00000000" w:rsidDel="00000000">
              <w:rPr>
                <w:vertAlign w:val="superscript"/>
                <w:rtl w:val="0"/>
              </w:rPr>
              <w:t xml:space="preserve">2</w:t>
            </w:r>
            <w:r w:rsidR="00000000" w:rsidRPr="00000000" w:rsidDel="00000000">
              <w:rPr>
                <w:rtl w:val="0"/>
              </w:rPr>
              <w:t xml:space="preserve">, 34.</w:t>
            </w:r>
            <w:r w:rsidR="00000000" w:rsidRPr="00000000" w:rsidDel="00000000">
              <w:rPr>
                <w:vertAlign w:val="superscript"/>
                <w:rtl w:val="0"/>
              </w:rPr>
              <w:t xml:space="preserve">3 </w:t>
            </w:r>
            <w:r w:rsidR="00000000" w:rsidRPr="00000000" w:rsidDel="00000000">
              <w:rPr>
                <w:rtl w:val="0"/>
              </w:rPr>
              <w:t xml:space="preserve">un 34.</w:t>
            </w:r>
            <w:r w:rsidR="00000000" w:rsidRPr="00000000" w:rsidDel="00000000">
              <w:rPr>
                <w:vertAlign w:val="superscript"/>
                <w:rtl w:val="0"/>
              </w:rPr>
              <w:t xml:space="preserve">4</w:t>
            </w:r>
            <w:r w:rsidR="00000000" w:rsidRPr="00000000" w:rsidDel="00000000">
              <w:rPr>
                <w:rtl w:val="0"/>
              </w:rPr>
              <w:t xml:space="preserve"> punktos ir noteikts atbalsta saņēmēja pienākums ievērot nosacījumu par izmaksu nošķiršanu kā to paredz Komisijas regulas Nr. 2023/2831 1.panta 2.punkts, lūdzam pārliecināties, ka ar šiem punktiem ir apvērti visi gadījumi, kad atbalsta saņēmējam jāievēro minētais nosacījums.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kooperatīvajai sabiedrībai un  kooperatīvajai sabiedrībai, kas darbojas mežsaimniecības nozarē, – īstermiņa aizdevuma un faktoringa daļējai kredītprocentu dzēšanai saskaņā ar Komisijas regulas 2023/2831</w:t>
            </w:r>
            <w:r w:rsidR="00000000" w:rsidRPr="00000000" w:rsidDel="00000000">
              <w:rPr>
                <w:rtl w:val="0"/>
              </w:rPr>
              <w:t xml:space="preserve">​</w:t>
            </w:r>
            <w:r w:rsidR="00000000" w:rsidRPr="00000000" w:rsidDel="00000000">
              <w:rPr>
                <w:rtl w:val="0"/>
              </w:rPr>
              <w:t xml:space="preserve"> 1. panta 1. punktu. Pēc atbalsta saņemšanas kooperatīvā sabiedrība un kooperatīvā sabiedrība, kas darbojas mežsaimniecības nozarē, ievēro Komisijas regulas 2023/2831</w:t>
            </w:r>
            <w:r w:rsidR="00000000" w:rsidRPr="00000000" w:rsidDel="00000000">
              <w:rPr>
                <w:rtl w:val="0"/>
              </w:rPr>
              <w:t xml:space="preserve">​</w:t>
            </w:r>
            <w:r w:rsidR="00000000" w:rsidRPr="00000000" w:rsidDel="00000000">
              <w:rPr>
                <w:rtl w:val="0"/>
              </w:rPr>
              <w:t xml:space="preserve"> 1. panta 2. punktā noteiktās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Atbalsta pretendents pirms plānoto jaunu darbību uzsākšanas paziņo Lauku atbalsta dienestam paziņo par izmaiņām šo noteikumu 43.4. apakšpunktā minētā atbalsta izdevumu tāmē.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50.punktā ierosinām tehniski dzēst vārdu “paziņo” pēc vārdiem “paziņo Lauku atbalsta dienestam”, jo tas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Atbalsta pretendents pirms plānoto jaunu darbību uzsākšanas paziņo Lauku atbalsta dienestam par izmaiņām šo noteikumu 43.4. apakšpunktā minētajā atbalsta izdevumu tāmē.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Atbalstu par tiem akciju sabiedrības "Attīstības finanšu institūcija Altum" aizdevumiem, kuri izsniegti pēc 2015. gada 24. aprīļa par periodu no 2022. gada 1. septembra līdz 2023. gada 30. jūnijam un par kuriem atbalsts kredītprocentu daļējai dzēšanai netika izmaksāts 2023. gadā, pretendenti atbalstu kredītprocentu daļējai dzēšanai var saņemt atbilstoši šiem noteikumiem, iesniedzot iesniegumus (1., 2., 3., 4., 5. vai 6. pielikums), kā arī ;so noteikumu minētos 18., 19., 28., 29., 38. un 39. punktā minētos dokumentus. Ja šie dokumenti, izņemot iesniegumus,Lauku atbalsta dienestā jau iesniegti 2023. gadā, tie nav jāiesniedz, atkārtoti piesakoties uz atbalstu 2024.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55.punktā pēc vārdiem “2023. gadā, pretendenti atbalstu kredītprocentu daļējai dzēšanai var saņemt atbilstoši šiem noteikumiem, iesniedzot iesniegumus (1., 2., 3., 4., 5. vai 6. pielikums), kā arī” lūdzam redakcionāli precizēt vārdu “;so  ” uz vārdu “šo”.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Atbalstu kredītprocentu daļējai dzēšanai par tiem akciju sabiedrības "Attīstības finanšu institūcija Altum" aizdevumiem, kuri izsniegti pēc 2015. gada 24. aprīļa par periodu no 2022. gada 1. septembra līdz 2023. gada 30. jūnijam un par kuriem atbalsts kredītprocentu daļējai dzēšanai netika izmaksāts 2023. gadā, pretendenti var saņemt atbilstoši šiem noteikumiem, iesniedzot iesniegumus (1., 2., 3., 4., 5. vai 6. pielikums), kā arī šo noteikumu 18., 19., 28., 29., 38. un 39. punktā minētos dokumentus. Ja šie dokumenti, izņemot iesniegumus, Lauku atbalsta dienestā jau iesniegti 2023. gadā, tie nav jāiesniedz, atkārtoti piesakoties uz atbalstu 2024. gadā.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23-TA-3274</w:t>
    </w:r>
    <w:r>
      <w:br/>
    </w:r>
    <w:r w:rsidR="00000000" w:rsidRPr="00000000" w:rsidDel="00000000">
      <w:rPr>
        <w:rtl w:val="0"/>
      </w:rPr>
      <w:t xml:space="preserve">21.03.2024. 09.17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23-TA-3274</w:t>
    </w:r>
    <w:r>
      <w:br/>
    </w:r>
    <w:r w:rsidR="00000000" w:rsidRPr="00000000" w:rsidDel="00000000">
      <w:rPr>
        <w:rtl w:val="0"/>
      </w:rPr>
      <w:t xml:space="preserve">21.03.2024. 09.17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Izziņa_23-TA-3274.docx</dc:title>
</cp:coreProperties>
</file>

<file path=docProps/custom.xml><?xml version="1.0" encoding="utf-8"?>
<Properties xmlns="http://schemas.openxmlformats.org/officeDocument/2006/custom-properties" xmlns:vt="http://schemas.openxmlformats.org/officeDocument/2006/docPropsVTypes"/>
</file>