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04.06.2026. 12:01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īstenošanu līdz 2026. gada 30. novembrim un noslēguma maksājumu līdz 2026. gada 31. decembrim. Vienlaikus anotācijā atzīts, ka darbu īstenošanai vēl nepieciešams veikt iepirkuma procedūru, noslēgt sadarbības līgumus ar pašvaldībām un grozīt vienošanos starp Centrālo finanšu un līgumu aģentūru un ministriju. Ievērojot saspringto termiņu, pastāv reāls risks, ka atsevišķos gadījumos darbus neizdosies pabeigt un sertificēt noteiktajā termiņā. Saskaņošanas gaitā uz šo risku jau norādīja arī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anotācijā skaidrot, kura puse sedz izmaksas gadījumā, ja darbi netiek pabeigti vai sertificēti līdz Atveseļošanas fonda finansējuma attiecināmības termiņam, un nodrošināt, ka ar pašvaldībām slēdzamajos sadarbības līgumos pašvaldība netiek nostādīta situācijā, kurā tai jāuzņemas neattiecināmās izmaksas par no tās neatkarīgu termiņa 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projekta īstenošanas risku pārvaldību un pasākumiem, kas nodrošina darbu pabeigšanu un sertificēšanu līdz investīcijas īstenošanas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informāciju par 2025. gada 28. novembra lēmumu, norādot institūciju, kas pieņēmusi attiecīgo lēmumu un lēmuma pieņemšanas formātu.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 papildināta ar atsauci uz Eiropas Savienības fondu tematiskās komitejas 2025. gada 28. novembra sēdes protokola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lēmuma pieņemšanai vajadzīgo informāciju un analīzi attiecībā uz 2.3.1.4.i. “Individuālo mācību kontu pieejas attīstība” neizmantotā finansējuma novirzīšanu 2.3.2.3.i “Digitālās plaisas mazināšana sociāli neaizsargātajām grupām un izglītības iestādēs” ietvaros plānotajām papildus darbībām, lūdzam papildināt anotāciju ar detālāku informāciju, kas pamatotu plānoto risinājumu t.sk. vai analizēti alternatīvi pārdaļu varianti, kādi ir lietderības apsvērumi un argumenti, kāda plānota investīciju efektivitāte, t.sk. vai piedāvātais risinājums ir izvērtēts ņemot vērā Ministru kabineta apstiprinātā Valdības rīcības plānā noteiktās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Anotācija papildināta ar informāciju par izvērtētajām alternatīvām, finansējuma pārdales lietderības apsvērumiem, investīciju efektivitāti un pamatojumu finansējuma novirzīšanai investīcijas 2.3.2.3.i.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punktu ar informāciju par 2.3.2.3.i investīcijas sasniegtajiem rādītājiem un investīcijas plānotā finansējuma  izlietojumu līdz 2026. gada 30. jūnijam un laika posmā no 2026. gada 1. jūlija līdz 2026. gada 30. novembrim dalījumā pa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informāciju par investīcijas sasniegtajiem rādītājiem, kā arī plānoto finansējuma izlietojumu līdz 2026. gada 30. jūnijam un laika posmā no 2026. gada 1. jūlija līdz 2026. gada 30. novembrim dalījumā pa finansējuma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investīcijas 2.3.2.3.i. projekta īstenošanai papildus nepieciešamo pievienotās vērtības nodokļa izmaksu segšanu no valsts budžeta 731322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atšifrēt saīsinājumu "investīcijas 2.3.2.3.i." un pirms saīsinājuma izveidošanas norādīt pilnu investīcijas nosaukumu, tostarp norādot uz Eiropas Savienības Atveseļošanas un noturības mehānismu.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investīcijas 2.3.2.3.i. projekta Nr. 2.3.2.3.i./0/1/23/I/CFLA/001 “Digitālās plaisas mazināšana sociāli neaizsargātajām grupām un izglītības iestādēs” (turpmāk 2.3.2.3.i projekta) īstenošanai papildus nepieciešamo pievienotās vērtības nodokļa izmaksu segšanu no valsts budžeta 731322 euro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izveidotā datu pārraides infrastruktūra (tostarp pieslēgumu izveide un būvdarbi) pēc projekta paliek izglītības iestāžu un to dibinātāju – pašvaldību – valdījumā. Anotācijā apgalvots, ka grozījumi nepalielina pašvaldību finanšu slogu, taču tā nesatur izvērtējumu par infrastruktūras uzturēšanas un ekspluatācijas izmaksām pēc projekta noslēguma, kā arī par projekta rezultātu ilgtspējas nodrošināšanu noteiktajā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rosina papildināt anotāciju ar izvērtējumu par datu pārraides infrastruktūras un interneta pakalpojuma uzturēšanas un ekspluatācijas izmaksām pēc projekta pabeigšanas, norādot, vai un kādā apmērā šīs izmaksas radīs slogu pašvaldību budžetiem, un attiecīgi precizēt anotācijas apgalvojumu par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datu pārraides infrastruktūras uzturēšanas un ilgtspējas nodrošināšanu pēc projekta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datu pārraides interneta pakalpojuma un iekštīkla funkcionēšanas uzlabojumi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minēto sadarbības partneru izglītības iestādēs mācību procesa nodrošināšanai, tostarp nepieciešamās priekšizpētes veikšana ekonomiski pamatota uzlabojumu plāna izstrādei un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finansējums datu pārraides tīklu modernizācijai tiek novirzīts “prioritārajām pašvaldību izglītības iestādēm”, kas identificētas priekšizpētes (noteikumu 4.3. apakšpunkts) rezultātā. Tomēr ne noteikumu 14.2. apakšpunktā, ne citviet regulējumā nav noteikti skolu atlases un finansējuma sadales kritēriji. Atšķirībā no sākotnējās projekta redakcijas, kurā bija paredzēta proporcionāla sadales formula, galīgajā redakcijā sadale faktiski paliek finansējuma saņēmēja (Izglītības un zinātnes ministrijas) ziņā bez publiskas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papildināt anotāciju ar skaidru prioritāro izglītības iestāžu atlases un finansējuma sadales metodiku (kritērijiem, pamatojumu, sasaisti ar priekšizpētes rezultātiem), lai nodrošinātu vienlīdzīgu attieksmi pret visu pašvaldību dibinātajām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izglītības iestāžu atlases principiem un finansējuma sadales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datu pārraides interneta pakalpojuma un iekštīkla funkcionēšanas uzlabojumi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minēto sadarbības partneru izglītības iestādēs mācību procesa nodrošināšanai, tostarp nepieciešamās priekšizpētes veikšana ekonomiski pamatota uzlabojumu plāna izstrādei un īstenošanai;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20.02.2026. 09:09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un nepieciešamības gadījumā precizēt anotācijā norādīto kopējo un no Atveseļošanas fonda un noturības mehānisma (turpmāk – Atveseļošanas fonds)  plāna investīcijas 2.3.1.4.i. “Individuālo mācību kontu pieejas attīstība” pārdalāmā finansējuma apmēru. Vēršam uzmanību, ka Ministru kabineta sēdes protokollēmuma projektā, Ministru kabineta noteikumu projektā un anotācijā sniegta atšķirīga informācija par pārdalāmā finansējuma apmēru no Atveseļošanas fonda plāna investīcijas 2.3.1.4.i. “Individuālo mācību kontu pieejas attīstība”. Tāpat ņemot vērā, ka budžets tiek plānots veselos skaitļos, lūdzam anotācijā minēto pārdalāmo finansējumu norādīt veselos euro, bez cipariem aiz komata.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Projekta un anotācijas redakcija ir precizēta, nodrošinot vienotu informāciju par investīcijas 2.3.1.4.i. finansējuma pārdales apmēru visos pavadošajos dokumentos. Vienlaikus anotācijā finansējuma apmērs norādīts veselos euro atbilstoši budžeta plānošanas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trešās kolonnas 5.1.apakšpunktā norādīt finansiālo vērtību atbilstoši kā šīs sadaļas 5.punktā minētajai.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detalizētu informāciju par Atveseļošanas fonda ietvaros veicamajām finansējuma pārdalēm, kā arī pievienojot detalizētu aprēķinu un skaidrojumu norādītajam pievienotās vērtības nodoklim 1 363 585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Anotācijas 3. sadaļa ir papildināta ar precizētu informāciju par Atveseļošanas fonda finansējuma pārdali un aktualizētu pievienotās vērtības nodokļa aprēķinu atbilstoši projekta precizētajai redakcijai un aktualizētajam finansējuma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finansējuma pārdali Eiropas Savienības Atveseļošanas fonda (turpmāk – AF) ietvaros no investīcijas 2.3.2.1.i. “Digitālās prasmes iedzīvotājiem, t.sk. jauniešiem” projekta Nr. 2.3.2.1.i./0/1/23/I/CFLA/001 “Sabiedrības digitālo prasmju attīstība” 3 010 779 euro apmērā (bez PVN) un no AF investīcijas 2.3.1.4.i. “Individuālo mācību kontu pieejas attīstība” 4 647 493 euro apmērā, ko veido AF finansējums 4 445 301 euro un pievienotās vērtības nodoklis 202 191 euro, uz investīcijas 2.3.2.3.i. projektu Nr. 2.3.2.3.i./0/1/23/I/CFLA/001 “Digitālās plaisas mazināšana sociāli neaizsargātajām grupām un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un nepieciešamības gadījumā precizēt Ministru kabineta sēdes protokollēmuma projekta 3.punktā norādīto no Atveseļošanas fonda plāna investīcijas 2.3.1.4.i. “Individuālo mācību kontu pieejas attīstība” pārdalāmā finansējuma apmēru. Vēršam uzmanību, ka Ministru kabineta sēdes protokollēmuma projektā, Ministru kabineta noteikumu projektā un anotācijā sniegta atšķirīga informācija par pārdalāmā finansējuma apmēru no iepriekš minētās 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finansējumu noapaļo uz leju, lai nepārsniegtu faktiski pieejamo fonda summu;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noapaļo uz augšu, jo tas ir sedzams no valsts budžeta un jānodrošina pietiekams segums.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norādīt - Finansējuma summas noteiktas veselos euro, ievērojot piesardzības principu. Atveseļošanas fonda finansējums noapaļots uz leju, nepārsniedzot faktiski pieejamo AF finansējuma apmēru, savukārt pievienotās vērtības nodokļa izmaksas noapaļotas uz augšu, lai nodrošinātu pilnu nepieciešamo valsts budžeta segumu PVN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investīcijas 2.3.2.3.i. projekta īstenošanai papildus nepieciešamo pievienotās vērtības nodokļa izmaksu segšanu no valsts budžeta 1 363 585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un pamatojumu Ministru kabineta sēdes protokollēmuma projekta 4.punktā norādītajam pievienotās vērtības nodokļa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PVN summas, atbilstoši jaunajai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investīcijas 2.3.2.3.i. projekta Nr. 2.3.2.3.i./0/1/23/I/CFLA/001 “Digitālās plaisas mazināšana sociāli neaizsargātajām grupām un izglītības iestādēs” (turpmāk 2.3.2.3.i projekta) īstenošanai papildus nepieciešamo pievienotās vērtības nodokļa izmaksu segšanu no valsts budžeta 731322 euro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mērķa rādītājs - līdz 2026. gada 31. jūlijam nodrošināts IKT aprīkojums vismaz 3 000 000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plānoto Ministru kabineta 2023. gada 4. aprīļa noteikumu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 (turpmāk - noteikumi Nr. 168) 4.2.</w:t>
            </w:r>
            <w:r w:rsidR="00000000" w:rsidRPr="00000000" w:rsidDel="00000000">
              <w:rPr>
                <w:vertAlign w:val="superscript"/>
                <w:rtl w:val="0"/>
              </w:rPr>
              <w:t xml:space="preserve">1</w:t>
            </w:r>
            <w:r w:rsidR="00000000" w:rsidRPr="00000000" w:rsidDel="00000000">
              <w:rPr>
                <w:rtl w:val="0"/>
              </w:rPr>
              <w:t xml:space="preserve"> apakšpunkta redakciju, lai nodrošinātu viennozīmīgu interpretāciju par to, ka tajā minētais IKT aprīkojums nav tas pats, kas minēts minēto noteikumu 4.2. apakšpunktā. Vēršam uzmanību, ka noteikumu Nr.168 3.1.8. apakšpunktā atrunātais saīsinājums "IKT aprīkojums" tiek lietots arī pārējā noteikumu Nr. 168 tekstā (tostarp arī attiecībā uz portatīvo datortehniku, ne tikai attiecībā uz ar noteikumu projektu plānotajiem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pārskatīt arī visu noteikumu projektu. Skaidrojam, ka šobrīd noteikumu projektā paredzēto grozījumu redakcijas nerada viennozīmīgu interpretāciju par to, vai ar grozījumiem papildinātais finansējuma apmērs paredzēts citam IKT aprīkojumam, ko nav paredzējusi noteikumu Nr. 168 spēkā esošā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 ir būtiski precizēta, līdz ar to sākotnēji izteiktais iebildums vairs nav aktuāls.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Papildus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noteiktajam finansējumam investīcijas 2.3.2.3.i. īstenošanai IKT aprīkojuma iegādei ir pieejams Atveseļošanas fonda finansējums 7 456 081,00 </w:t>
            </w:r>
            <w:r w:rsidR="00000000" w:rsidRPr="00000000" w:rsidDel="00000000">
              <w:rPr>
                <w:i w:val="1"/>
                <w:rtl w:val="0"/>
              </w:rPr>
              <w:t xml:space="preserve">euro</w:t>
            </w:r>
            <w:r w:rsidR="00000000" w:rsidRPr="00000000" w:rsidDel="00000000">
              <w:rPr>
                <w:rtl w:val="0"/>
              </w:rPr>
              <w:t xml:space="preserve"> apmērā (bez PVN). Finansējuma saņēmējs PVN izmaksas, kas nepārsniedz 1 565 777,00 </w:t>
            </w:r>
            <w:r w:rsidR="00000000" w:rsidRPr="00000000" w:rsidDel="00000000">
              <w:rPr>
                <w:i w:val="1"/>
                <w:rtl w:val="0"/>
              </w:rPr>
              <w:t xml:space="preserve">euro</w:t>
            </w:r>
            <w:r w:rsidR="00000000" w:rsidRPr="00000000" w:rsidDel="00000000">
              <w:rPr>
                <w:rtl w:val="0"/>
              </w:rPr>
              <w:t xml:space="preserve">, sedz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un nepieciešamības gadījumā precizēt Ministru kabineta Nr. 168 11.</w:t>
            </w:r>
            <w:r w:rsidR="00000000" w:rsidRPr="00000000" w:rsidDel="00000000">
              <w:rPr>
                <w:vertAlign w:val="superscript"/>
                <w:rtl w:val="0"/>
              </w:rPr>
              <w:t xml:space="preserve">1</w:t>
            </w:r>
            <w:r w:rsidR="00000000" w:rsidRPr="00000000" w:rsidDel="00000000">
              <w:rPr>
                <w:rtl w:val="0"/>
              </w:rPr>
              <w:t xml:space="preserve">.punktā (Ministru kabineta noteikumu projekta 5.punkts) norādīto IKT aprīkojuma iegādei pieejamo Atveseļošanas fonda finansējumu, kā arī pievienotās vērtības nodokļa apmēru. Vēršam uzmanību, ka  Ministru kabineta sēdes protokollēmuma projektā, Ministru kabineta noteikumu projektā un anotācijā sniegta atšķirīga informācija par pārdalāmā finansējuma apmēru. Tāpat ņemot vērā, ka budžets tiek plānots veselos skaitļos, lūdzam iepriekš minētajā punktā norādīto finansējumu norādīt veselos euro, bez cipariem aiz komata.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 ir būtiski precizēta, līdz ar to sākotnēji izteiktais iebildums vairs nav aktuāls.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partneri nodrošina investīcijas projekta rezultātu ilgtspēju, tai skaitā nodrošinot portatīvās datortehnikas, IKT aprīkojuma un izveidotās infrastruktūras darbību un izmantošanu izglītības mērķiem vismaz trīs gadus pēc īpašumtiesību iegūšanas.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projekta īstenošanā iesaistītie sadarbības partneri (tiešās pārvaldes iestādes u.c.) plāno nodrošināt projekta ietvaros iegādātā IKT aprīkojuma ilgtspēju vismaz trīs gadus pēc īpašumtiesību iegūšanas, norādot finansējuma avotu šādu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 ir būtiski precizēta, līdz ar to sākotnēji izteiktais iebildums vairs nav aktuāls.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2.3.2.1.i. investīcijā “Digitālās prasmes iedzīvotājiem, t.sk. jauniešiem” jau ir atbrīvots pārdalāmais finansējums 3 010 779 </w:t>
            </w:r>
            <w:r w:rsidR="00000000" w:rsidRPr="00000000" w:rsidDel="00000000">
              <w:rPr>
                <w:i w:val="1"/>
                <w:rtl w:val="0"/>
              </w:rPr>
              <w:t xml:space="preserve">euro</w:t>
            </w:r>
            <w:r w:rsidR="00000000" w:rsidRPr="00000000" w:rsidDel="00000000">
              <w:rPr>
                <w:rtl w:val="0"/>
              </w:rPr>
              <w:t xml:space="preserve"> apmērā (bez pievienotās vērtības nodokļa).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lūdzam papildināt anotācijas </w:t>
            </w:r>
            <w:r w:rsidR="00000000" w:rsidRPr="00000000" w:rsidDel="00000000">
              <w:rPr>
                <w:u w:val="single"/>
                <w:rtl w:val="0"/>
              </w:rPr>
              <w:t xml:space="preserve">4. sadaļu</w:t>
            </w:r>
            <w:r w:rsidR="00000000" w:rsidRPr="00000000" w:rsidDel="00000000">
              <w:rPr>
                <w:rtl w:val="0"/>
              </w:rPr>
              <w:t xml:space="preserve"> ar informāciju, ka paralēli noteikumu projektam tiek virzīti arī grozījumi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 (turpmāk - noteikumi Nr. 506) (25-TA-2614), lai atbrīvotu finansējumu 4 647 493,39 </w:t>
            </w:r>
            <w:r w:rsidR="00000000" w:rsidRPr="00000000" w:rsidDel="00000000">
              <w:rPr>
                <w:i w:val="1"/>
                <w:rtl w:val="0"/>
              </w:rPr>
              <w:t xml:space="preserve">euro</w:t>
            </w:r>
            <w:r w:rsidR="00000000" w:rsidRPr="00000000" w:rsidDel="00000000">
              <w:rPr>
                <w:rtl w:val="0"/>
              </w:rPr>
              <w:t xml:space="preserve"> apmērā, ko veido Atveseļošanas fonda finansējums 4 445 301,54 </w:t>
            </w:r>
            <w:r w:rsidR="00000000" w:rsidRPr="00000000" w:rsidDel="00000000">
              <w:rPr>
                <w:i w:val="1"/>
                <w:rtl w:val="0"/>
              </w:rPr>
              <w:t xml:space="preserve">euro</w:t>
            </w:r>
            <w:r w:rsidR="00000000" w:rsidRPr="00000000" w:rsidDel="00000000">
              <w:rPr>
                <w:rtl w:val="0"/>
              </w:rPr>
              <w:t xml:space="preserve"> apmērā un pievienotās vērtības nodoklis 202 191,85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nodrošināt, ka grozījumi noteikumos Nr. 506 tiek pieņemti pirms vai vienlaikus ar grozījumiem noteikumos Nr. 168, vai nepieciešamības gadījumā papildināt Ministru kabineta sēdes protokollēmuma projektu ar punktu, kas paredz, ka Izglītības un zinātnes ministrija kā finansējuma saņēmējs uzņemas līgumsaistības par attiecīgo finansējumu tikai pēc tam, kad 2.3.1.4.i. investīcijā tas ir atbrīvots.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 ir būtiski precizēta, līdz ar to sākotnēji izteiktais iebildums vairs nav aktuāls.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AF plāna 3. grozījumiem ir izveidots jauns atskaites punkts Nr. 79a "IKT aprīkojuma iegāde", lūgums atbilstoši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 ir būtiski precizēta, līdz ar to sākotnēji izteiktais iebildums vairs nav aktuāls.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pārdales rezultātā ir palielināts pasākuma kopējais finansējums, lūdzam papildināt sadaļu “Risinājuma apraksts” ar aktuālajiem AF finansējuma intervences kodiem ( ""Zaļie" mērķi", "Digitālie mērķi", "COFOG 2. līmeņa kategorijas").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Risinājuma aprakstā, vai plānots slēgt jaunus sadarbības līgumus, vai IKT aprīkojums tiks piešķirts jau esošajiem sadarbības partneriem un salāgot tekstu, vai sadarbības partneriem tiks iedalīts aprīkojums vai finansējums. Kā arī norādīt, vai iegādēm tiks sludināts iepirkums un kurš to darīs, vai aprīkojums tiks iepirkts EIS. No tā ir atkarīgs, vai CFLA spēs iekļauties MKN grozījumos norādītajā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par piešķirtā AF finansējuma kopējo izlietojumu. Anotācijā norādīts, ka “Noteikumi Nr. 168 ir papildināti ar 14.1.1. apakšpunktu, paredzot atbalstāmo darbību — IKT aprīkojuma iegādi šo noteikumu 8.1. apakšpunktā minētajiem sadarbības partneriem, kā arī ar 4.2.1. apakšpunktu, kas paredz nodrošināt IKT aprīkojumu vismaz 3 000 000 euro apmērā.” Ņemot vērā, ka papildu piešķirtais AF finansējums ir 7 456 081,00 euro, lūdzam anotācijā precizēt, kādām darbībām paredzēts izmantot atlikušo finansējuma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 ir būtiski precizēta, līdz ar to sākotnēji izteiktais iebildums vairs nav aktuāls.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sadaļas apakšsadaļas "Juridiskās personas" atbilstošajā apakšsadaļā "Ietekmes apraksts" minēts, ka, palielinot pieejamā kopējā finansējuma apmēru, būs jāveic atbilstoši grozījumi 2023. gada 20. septembrī noslēgtajā vienošanās starp Centrālo finanšu un līgumu aģentūru un Izglītības un zinātnes ministriju par investīciju projekta īstenošanu. Lūdzam izvērtēt, vai vienošanās grozījumi nebūs jāveic arī saistībā ar citiem noteikumu projektā plānotajiem grozījumiem, un atbilstoši precizēt anotācijas 2.1. sadaļas minētajā apakšsadaļā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grozījumi vienošanās nav uzskatāmi par būtiskiem, kas ietekmē darbības veidu, mērķus vai īstenošanas nosacījumus, tādējādi traucējot tās sākotnējo mērķu sasniegšanu (ņemot vērā, ka tiek mainīts arī projekta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finansējuma pārdali Eiropas Savienības Atveseļošanas fonda (turpmāk – AF) ietvaros no investīcijas 2.3.2.1.i. “Digitālās prasmes iedzīvotājiem, t.sk. jauniešiem” projekta Nr. 2.3.2.1.i./0/1/23/I/CFLA/001 “Sabiedrības digitālo prasmju attīstība” 3 010 779 euro apmērā (bez PVN) un no AF investīcijas 2.3.1.4.i. “Individuālo mācību kontu pieejas attīstība” 4 647 493 euro apmērā, ko veido AF finansējums 4 445 301 euro un pievienotās vērtības nodoklis 202 191 euro, uz investīcijas 2.3.2.3.i. projektu Nr. 2.3.2.3.i./0/1/23/I/CFLA/001 “Digitālās plaisas mazināšana sociāli neaizsargātajām grupām un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sēdes protokollēmuma projekta 3. punkta nepieciešamību,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2025. gada 22. decembra sēdes protokollēmumā (prot. Nr. 53 103. § 2. punkts) noteikto, kas paredz</w:t>
            </w:r>
            <w:r w:rsidR="00000000" w:rsidRPr="00000000" w:rsidDel="00000000">
              <w:rPr>
                <w:i w:val="1"/>
                <w:rtl w:val="0"/>
              </w:rPr>
              <w:t xml:space="preserve"> Izglītības un zinātnes ministrijai pēc grozījumu projektā Nr. 2.3.2.1.i./0/1/23/I/CFLA/001 "Sabiedrības digitālo prasmju attīstība" stāšanās spēkā uzņemties projekta līgumsaistības 2.3.2.3.i. investīcijas "Digitālās plaisas mazināšana sociāli neaizsargātajām grupām un izglītības iestādēs" ietvaros par Atveseļošanas fonda finansējuma ietaupījumu 3 010 779 euro apmērā, ko veido Atveseļošanas fonda finansējuma ietaupījums no 2.3.2.1.i. investīcijas "Digitālās prasmes iedzīvotājiem, t. sk. jauniešiem" 3 010 779 euro apmērā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šim noteikumu projektam jau paralēli virzītos grozījumus noteikumos Nr. 506 (25-TA-2614). Proti, lūdzam izvērtēt nepieciešamību pieņemt atsevišķu Ministru kabineta lēmumu par finansējuma pārdali starp konkrētām investīcijām, ja ar grozījumiem noteikumos Nr. 506 jau tiek samazināts 2.3.1.4.i. investīcijas finansējuma apmērs, un ar grozījumiem noteikumos Nr. 168 2.3.2.3.i. investīcijas finansējuma apmērs tiek atbilstoši palielināts.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Ministru kabineta sēdes protokollēmuma projekta 5. punkta nepieciešamību, tostarp ņemot vērā jau anotācijas 2.1. sadaļas apakšsadaļas "Juridiskās personas" attiecīgajā apakšsadaļā "Ietekmes apraksts"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 ir būtiski precizēta, līdz ar to sākotnēji izteiktais iebildums vairs nav aktuāls.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finansējuma pārdali Eiropas Savienības Atveseļošanas fonda (turpmāk – AF) ietvaros no investīcijas 2.3.2.1.i. “Digitālās prasmes iedzīvotājiem, t.sk. jauniešiem” projekta Nr. 2.3.2.1.i./0/1/23/I/CFLA/001 “Sabiedrības digitālo prasmju attīstība” 3 010 779 euro apmērā (bez PVN) un no AF investīcijas 2.3.1.4.i. “Individuālo mācību kontu pieejas attīstība” 4 647 493 euro apmērā, ko veido AF finansējums 4 445 301 euro un pievienotās vērtības nodoklis 202 191 euro, uz investīcijas 2.3.2.3.i. projektu Nr. 2.3.2.3.i./0/1/23/I/CFLA/001 “Digitālās plaisas mazināšana sociāli neaizsargātajām grupām un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"Eiropas Savienības Atveseļošanas fonda" ar norādi uz Eiropas Savienības Atveseļošanas un noturības mehānismu, korekti atspoguļojot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Papildus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noteiktajam finansējumam investīcijas 2.3.2.3.i. īstenošanai IKT aprīkojuma iegādei ir pieejams Atveseļošanas fonda finansējums 7 456 081,00 </w:t>
            </w:r>
            <w:r w:rsidR="00000000" w:rsidRPr="00000000" w:rsidDel="00000000">
              <w:rPr>
                <w:i w:val="1"/>
                <w:rtl w:val="0"/>
              </w:rPr>
              <w:t xml:space="preserve">euro</w:t>
            </w:r>
            <w:r w:rsidR="00000000" w:rsidRPr="00000000" w:rsidDel="00000000">
              <w:rPr>
                <w:rtl w:val="0"/>
              </w:rPr>
              <w:t xml:space="preserve"> apmērā (bez PVN). Finansējuma saņēmējs PVN izmaksas, kas nepārsniedz 1 565 777,00 </w:t>
            </w:r>
            <w:r w:rsidR="00000000" w:rsidRPr="00000000" w:rsidDel="00000000">
              <w:rPr>
                <w:i w:val="1"/>
                <w:rtl w:val="0"/>
              </w:rPr>
              <w:t xml:space="preserve">euro</w:t>
            </w:r>
            <w:r w:rsidR="00000000" w:rsidRPr="00000000" w:rsidDel="00000000">
              <w:rPr>
                <w:rtl w:val="0"/>
              </w:rPr>
              <w:t xml:space="preserve">, sedz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regulējuma izsekojamību un skaidru interpretāciju, lūdzam apvienot plānoto 11.</w:t>
            </w:r>
            <w:r w:rsidR="00000000" w:rsidRPr="00000000" w:rsidDel="00000000">
              <w:rPr>
                <w:vertAlign w:val="superscript"/>
                <w:rtl w:val="0"/>
              </w:rPr>
              <w:t xml:space="preserve">1</w:t>
            </w:r>
            <w:r w:rsidR="00000000" w:rsidRPr="00000000" w:rsidDel="00000000">
              <w:rPr>
                <w:rtl w:val="0"/>
              </w:rPr>
              <w:t xml:space="preserve"> punktu ar spēkā esošo noteikumu Nr.168 11. punktu, pēc nepieciešamības finansējuma apmēru izdalot minēto noteikumu 11. punkta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 ir būtiski precizēta, līdz ar to sākotnēji izteiktais iebildums vairs nav aktuāls.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Papildus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noteiktajam finansējumam investīcijas 2.3.2.3.i. īstenošanai IKT aprīkojuma iegādei ir pieejams Atveseļošanas fonda finansējums 7 456 081,00 </w:t>
            </w:r>
            <w:r w:rsidR="00000000" w:rsidRPr="00000000" w:rsidDel="00000000">
              <w:rPr>
                <w:i w:val="1"/>
                <w:rtl w:val="0"/>
              </w:rPr>
              <w:t xml:space="preserve">euro</w:t>
            </w:r>
            <w:r w:rsidR="00000000" w:rsidRPr="00000000" w:rsidDel="00000000">
              <w:rPr>
                <w:rtl w:val="0"/>
              </w:rPr>
              <w:t xml:space="preserve"> apmērā (bez PVN). Finansējuma saņēmējs PVN izmaksas, kas nepārsniedz 1 565 777,00 </w:t>
            </w:r>
            <w:r w:rsidR="00000000" w:rsidRPr="00000000" w:rsidDel="00000000">
              <w:rPr>
                <w:i w:val="1"/>
                <w:rtl w:val="0"/>
              </w:rPr>
              <w:t xml:space="preserve">euro</w:t>
            </w:r>
            <w:r w:rsidR="00000000" w:rsidRPr="00000000" w:rsidDel="00000000">
              <w:rPr>
                <w:rtl w:val="0"/>
              </w:rPr>
              <w:t xml:space="preserve">, sedz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skaitli "2.3.2.3.i.", ņemot vērā šo noteikumu 1. punkta ievaddaļā atrunāto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 ir būtiski precizēta, līdz ar to sākotnēji izteiktais iebildums vairs nav aktuāls.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 IKT aprīkojuma iegāde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minētajiem sadarbības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plānotā 14.1.</w:t>
            </w:r>
            <w:r w:rsidR="00000000" w:rsidRPr="00000000" w:rsidDel="00000000">
              <w:rPr>
                <w:vertAlign w:val="superscript"/>
                <w:rtl w:val="0"/>
              </w:rPr>
              <w:t xml:space="preserve">1</w:t>
            </w:r>
            <w:r w:rsidR="00000000" w:rsidRPr="00000000" w:rsidDel="00000000">
              <w:rPr>
                <w:rtl w:val="0"/>
              </w:rPr>
              <w:t xml:space="preserve"> apakšpunkta redakciju un to precizēt pēc līdzības ar 14.1. un 14.2. apakšpunktu, lai noteiktu regulējumu, ka IKT aprīkojums tiek iegādāts nevis sadarbības partneru, bet to dibināto izglītības iestāžu un izglītojamo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 ir būtiski precizēta, līdz ar to sākotnēji izteiktais iebildums vairs nav aktuāls.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Finansējuma saņēmējs sadala IKT aprīkojumu tiem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minētajiem sadarbības partneriem, kas viena mēneša laikā pēc finansējuma saņēmēja uzaicinājuma ir noslēguši sadarbības līgumu ar finansējuma saņēmēju vai par kuriem finansējuma saņēmējs ir izdevis rīkojumu. Finansējumu sadala pašvaldībām proporcionāli to dibināto izglītības iestāžu skaitam atbilstoši Valsts izglītības informācijas sistēmas datiem uz 2025. gada 1. septembri, savukārt profesionālās izglītības iestādēm, kā arī Murjāņu sporta ģimnāzijai – 30 procentu apmērā no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pieejamā finansējuma atbilstoši iestādes dibinātāja faktiskajām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15.</w:t>
            </w:r>
            <w:r w:rsidR="00000000" w:rsidRPr="00000000" w:rsidDel="00000000">
              <w:rPr>
                <w:vertAlign w:val="superscript"/>
                <w:rtl w:val="0"/>
              </w:rPr>
              <w:t xml:space="preserve">1</w:t>
            </w:r>
            <w:r w:rsidR="00000000" w:rsidRPr="00000000" w:rsidDel="00000000">
              <w:rPr>
                <w:rtl w:val="0"/>
              </w:rPr>
              <w:t xml:space="preserve"> punkta plānoto redakciju, lai nodrošinātu viennozīmīgu regulējumu un skaidru izpratni par finansējuma sadalīšanas principiem un tā saņēmējiem. No šā brīža redakcijas nav saprotams, kuriem sadarbības partneriem (t.i. kuros noteikumu Nr.168 8.1. apakšpunkta punktos minētajiem) paredzēts piešķirt finansējumu IKT aprīkojuma iegādei, un kādā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gadījumā, ja finansējumu IKT aprīkojuma iegādei nav paredzēts piešķirt visiem noteikumu Nr.168  8.1. apakšpunktā minētajiem sadarbības partneriem, lūdzam sniegt anotācijā skaidrojumu un pamatojumu šādai pieejai, t.i., nenodrošinot vienlīdzīgu pieeju visu sadarbības partneru dibinātajām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regulējuma viennozīmīgas interpretācijas nolūkos lūdzam izvērtēt iespēju 15.1 punktu izdalīt apakšpunktus, kuros atsevišķi norādīta informācija par IKT aprīkojuma sadalījumu un finansējuma sadalījumu (t.i. konkretizējot, vai tiek piešķirts IKT aprīkojums vai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 ir būtiski precizēta, līdz ar to sākotnēji izteiktais iebildums vairs nav aktuāls.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Finansējuma saņēmējs sadala IKT aprīkojumu tiem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minētajiem sadarbības partneriem, kas viena mēneša laikā pēc finansējuma saņēmēja uzaicinājuma ir noslēguši sadarbības līgumu ar finansējuma saņēmēju vai par kuriem finansējuma saņēmējs ir izdevis rīkojumu. Finansējumu sadala pašvaldībām proporcionāli to dibināto izglītības iestāžu skaitam atbilstoši Valsts izglītības informācijas sistēmas datiem uz 2025. gada 1. septembri, savukārt profesionālās izglītības iestādēm, kā arī Murjāņu sporta ģimnāzijai – 30 procentu apmērā no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pieejamā finansējuma atbilstoši iestādes dibinātāja faktiskajām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tiks sadalīts sadarbības partneriem - IKT aprīkojums vai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 ir būtiski precizēta, līdz ar to sākotnēji izteiktais iebildums vairs nav aktuāls.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noteiktās darbības izpildi pamato finansējuma saņēmēja un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minētā sadarbības partnera abpusēji parakstīts IKT aprīkojuma pieņemšanas un nodošanas akts.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"abpusēji",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 ir būtiski precizēta, līdz ar to sākotnēji izteiktais iebildums vairs nav aktuāls.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pakalpojumu izmaksas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14.4.</w:t>
            </w:r>
            <w:r w:rsidR="00000000" w:rsidRPr="00000000" w:rsidDel="00000000">
              <w:rPr>
                <w:rtl w:val="0"/>
              </w:rPr>
              <w:t xml:space="preserve"> apakšpunktā</w:t>
            </w:r>
            <w:r w:rsidR="00000000" w:rsidRPr="00000000" w:rsidDel="00000000">
              <w:rPr>
                <w:rtl w:val="0"/>
              </w:rPr>
              <w:t xml:space="preserve"> minētās darbības īstenošanai, ievērojot normatīvajos aktos publisko iepirkumu jomā noteiktās prasības, tai skaitā ekspertīzes un konsultāciju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aicinām noteikumu projekta anotācijā pamatot nepieciešamību ekspertīzes un konsultāciju pakalpojumu izmaksām šo noteikumu 14.1.</w:t>
            </w:r>
            <w:r w:rsidR="00000000" w:rsidRPr="00000000" w:rsidDel="00000000">
              <w:rPr>
                <w:vertAlign w:val="superscript"/>
                <w:rtl w:val="0"/>
              </w:rPr>
              <w:t xml:space="preserve">1</w:t>
            </w:r>
            <w:r w:rsidR="00000000" w:rsidRPr="00000000" w:rsidDel="00000000">
              <w:rPr>
                <w:rtl w:val="0"/>
              </w:rPr>
              <w:t xml:space="preserve"> apakšpunktā minētās darbības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 ir būtiski precizēta, līdz ar to sākotnēji izteiktais iebildums vairs nav aktuāls.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nozares ministrija 20 darbdienu laikā pēc tam, kad finansējuma saņēmējs ir iesniedzis investīcijas projekta iesniegumu vadības informācijas sistēmā, izvērtē iesniegto investīcijas projekta iesniegumu atbilstoši šiem noteikumiem un  Eiropas Parlamenta un Padomes 2018. gada 18. jūlija Regulas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136. panta 1. punktā  noteiktajiem izslēgšanas kritērijiem, kā arī investīcijas projekta iesnieguma veidlapā definētajai informācijai. Ja nepieciešams, atbildīgā nozares ministrija lūdz finansējuma saņēmēju papildināt un precizēt iesniegto investīcijas projekta iesniegumu, nosakot termiņu precizējumu un papildinājumu iesniegšanai. Ja precizētā informācija par investīcijas projekta īstenošanu nav pietiekama lēmuma pieņemšanai par investīcijas projekta iesnieguma apstiprināšanu, atbildīgā nozares  ministrija var atkārtoti lūgt finansējuma saņēmēju iesniegt precizējumus izvērtēšanai, nosakot termiņu precizējumu un papildinājumu iesniegšanai. Atbildīgajai nozares ministrijai ir tiesības lūgt finansējuma saņēmēju veikt papildinājumus un precizējumus, līdz  investīcijas projekta iesniegums atbilst visām izvirzītajām prasībām. Atbildīgā nozares ministrija nosaka termiņu precizējumu un papildinājumu iesniegšanai. Iesniegtos precizējumus un papildinājumus atbildīgā nozares ministrija izvērtē 10 darbdienu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izvērtēt nepieciešamību noteikumu Nr. 168 24. punktā precizēt regulas atsauci, norādot atsauci uz Regulu 2024/2509. Saskaņā ar Regulas 2024/2509 279. pantu atsauces uz atcelto Regulu 2018/1046 uzskata par atsaucēm uz Regulu 2024/2509, un tās lasa saskaņā ar atbilstības tabulu Regulas 2024/2509 II pielikumā. Vienlaikus aicinām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nozares ministrija 20 darbdienu laikā pēc tam, kad finansējuma saņēmējs ir iesniedzis investīcijas projekta iesniegumu vadības informācijas sistēmā, izvērtē iesniegto investīcijas projekta iesniegumu atbilstoši šiem noteikumiem un Eiropas Parlamenta un Padomes 2024. gada 23. septembra Regulai (ES, Euratom) 2024/2509 par finanšu noteikumiem, ko piemēro Savienības vispārējam budžetam, 138. panta 1. punktā noteiktajiem izslēgšanas kritērijiem, kā arī investīcijas projekta iesnieguma veidlapā definētajai informācijai. Ja nepieciešams, atbildīgā nozares ministrija lūdz finansējuma saņēmēju papildināt un precizēt iesniegto investīcijas projekta iesniegumu, nosakot termiņu precizējumu un papildinājumu iesniegšanai. Ja precizētā informācija par investīcijas projekta īstenošanu nav pietiekama lēmuma pieņemšanai par investīcijas projekta iesnieguma apstiprināšanu, atbildīgā nozares  ministrija var atkārtoti lūgt finansējuma saņēmēju iesniegt precizējumus izvērtēšanai, nosakot termiņu precizējumu un papildinājumu iesniegšanai. Atbildīgajai nozares ministrijai ir tiesības lūgt finansējuma saņēmēju veikt papildinājumus un precizējumus, līdz  investīcijas projekta iesniegums atbilst visām izvirzītajām prasībām. Atbildīgā nozares ministrija nosaka termiņu precizējumu un papildinājumu iesniegšanai. Iesniegtos precizējumus un papildinājumus atbildīgā nozares ministrija izvērtē 10 darbdienu laikā.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26-TA-120</w:t>
    </w:r>
    <w:r>
      <w:br/>
    </w:r>
    <w:r w:rsidR="00000000" w:rsidRPr="00000000" w:rsidDel="00000000">
      <w:rPr>
        <w:rtl w:val="0"/>
      </w:rPr>
      <w:t xml:space="preserve">19.06.2026. 19.13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26-TA-120</w:t>
    </w:r>
    <w:r>
      <w:br/>
    </w:r>
    <w:r w:rsidR="00000000" w:rsidRPr="00000000" w:rsidDel="00000000">
      <w:rPr>
        <w:rtl w:val="0"/>
      </w:rPr>
      <w:t xml:space="preserve">19.06.2026. 19.13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Izziņa_26-TA-120.docx</dc:title>
</cp:coreProperties>
</file>

<file path=docProps/custom.xml><?xml version="1.0" encoding="utf-8"?>
<Properties xmlns="http://schemas.openxmlformats.org/officeDocument/2006/custom-properties" xmlns:vt="http://schemas.openxmlformats.org/officeDocument/2006/docPropsVTypes"/>
</file>