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ABE1C6A" w14:textId="77777777" w:rsidR="00A12074" w:rsidRPr="002B0223" w:rsidRDefault="00FB5105">
      <w:pPr>
        <w:spacing w:after="240"/>
        <w:jc w:val="center"/>
        <w:rPr>
          <w:b/>
        </w:rPr>
      </w:pPr>
      <w:r w:rsidRPr="002B0223">
        <w:rPr>
          <w:b/>
        </w:rPr>
        <w:t>Sabiedrības iebildumi un priekšlikumi</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A12074" w:rsidRPr="002B0223" w14:paraId="7E58F84E" w14:textId="77777777">
        <w:tc>
          <w:tcPr>
            <w:tcW w:w="750" w:type="dxa"/>
            <w:shd w:val="clear" w:color="auto" w:fill="FFFFFF"/>
            <w:noWrap/>
            <w:tcMar>
              <w:top w:w="75" w:type="dxa"/>
              <w:left w:w="75" w:type="dxa"/>
              <w:bottom w:w="75" w:type="dxa"/>
              <w:right w:w="75" w:type="dxa"/>
            </w:tcMar>
            <w:vAlign w:val="center"/>
          </w:tcPr>
          <w:p w14:paraId="3A54C462" w14:textId="77777777" w:rsidR="00A12074" w:rsidRPr="002B0223" w:rsidRDefault="00FB5105">
            <w:pPr>
              <w:spacing w:line="240" w:lineRule="auto"/>
              <w:jc w:val="center"/>
              <w:rPr>
                <w:sz w:val="24"/>
              </w:rPr>
            </w:pPr>
            <w:proofErr w:type="spellStart"/>
            <w:r w:rsidRPr="002B0223">
              <w:rPr>
                <w:b/>
                <w:sz w:val="24"/>
              </w:rPr>
              <w:t>Nr.p.k</w:t>
            </w:r>
            <w:proofErr w:type="spellEnd"/>
            <w:r w:rsidRPr="002B0223">
              <w:rPr>
                <w:b/>
                <w:sz w:val="24"/>
              </w:rPr>
              <w:t>.</w:t>
            </w:r>
          </w:p>
        </w:tc>
        <w:tc>
          <w:tcPr>
            <w:tcW w:w="4155" w:type="dxa"/>
            <w:shd w:val="clear" w:color="auto" w:fill="FFFFFF"/>
            <w:noWrap/>
            <w:tcMar>
              <w:top w:w="75" w:type="dxa"/>
              <w:left w:w="75" w:type="dxa"/>
              <w:bottom w:w="75" w:type="dxa"/>
              <w:right w:w="75" w:type="dxa"/>
            </w:tcMar>
            <w:vAlign w:val="center"/>
          </w:tcPr>
          <w:p w14:paraId="60FEAE14" w14:textId="77777777" w:rsidR="00A12074" w:rsidRPr="002B0223" w:rsidRDefault="00FB5105">
            <w:pPr>
              <w:spacing w:line="240" w:lineRule="auto"/>
              <w:jc w:val="center"/>
              <w:rPr>
                <w:sz w:val="24"/>
              </w:rPr>
            </w:pPr>
            <w:r w:rsidRPr="002B0223">
              <w:rPr>
                <w:b/>
                <w:sz w:val="24"/>
              </w:rPr>
              <w:t>Iebilduma / priekšlikuma iesniedzējs</w:t>
            </w:r>
          </w:p>
        </w:tc>
        <w:tc>
          <w:tcPr>
            <w:tcW w:w="4156" w:type="dxa"/>
            <w:shd w:val="clear" w:color="auto" w:fill="FFFFFF"/>
            <w:noWrap/>
            <w:tcMar>
              <w:top w:w="75" w:type="dxa"/>
              <w:left w:w="75" w:type="dxa"/>
              <w:bottom w:w="75" w:type="dxa"/>
              <w:right w:w="75" w:type="dxa"/>
            </w:tcMar>
            <w:vAlign w:val="center"/>
          </w:tcPr>
          <w:p w14:paraId="2569243D" w14:textId="77777777" w:rsidR="00A12074" w:rsidRPr="002B0223" w:rsidRDefault="00FB5105">
            <w:pPr>
              <w:spacing w:line="240" w:lineRule="auto"/>
              <w:jc w:val="center"/>
              <w:rPr>
                <w:sz w:val="24"/>
              </w:rPr>
            </w:pPr>
            <w:r w:rsidRPr="002B0223">
              <w:rPr>
                <w:b/>
                <w:sz w:val="24"/>
              </w:rPr>
              <w:t>Iesniegtā iebilduma / priekšlikuma būtība</w:t>
            </w:r>
          </w:p>
        </w:tc>
        <w:tc>
          <w:tcPr>
            <w:tcW w:w="1350" w:type="dxa"/>
            <w:shd w:val="clear" w:color="auto" w:fill="FFFFFF"/>
            <w:noWrap/>
            <w:tcMar>
              <w:top w:w="75" w:type="dxa"/>
              <w:left w:w="75" w:type="dxa"/>
              <w:bottom w:w="75" w:type="dxa"/>
              <w:right w:w="75" w:type="dxa"/>
            </w:tcMar>
            <w:vAlign w:val="center"/>
          </w:tcPr>
          <w:p w14:paraId="4D9FEC03" w14:textId="77777777" w:rsidR="00A12074" w:rsidRPr="002B0223" w:rsidRDefault="00FB5105">
            <w:pPr>
              <w:spacing w:line="240" w:lineRule="auto"/>
              <w:jc w:val="center"/>
              <w:rPr>
                <w:sz w:val="24"/>
              </w:rPr>
            </w:pPr>
            <w:r w:rsidRPr="002B0223">
              <w:rPr>
                <w:b/>
                <w:sz w:val="24"/>
              </w:rPr>
              <w:t>Ņemts vērā / nav ņemts vērā</w:t>
            </w:r>
          </w:p>
        </w:tc>
        <w:tc>
          <w:tcPr>
            <w:tcW w:w="4156" w:type="dxa"/>
            <w:shd w:val="clear" w:color="auto" w:fill="FFFFFF"/>
            <w:noWrap/>
            <w:tcMar>
              <w:top w:w="75" w:type="dxa"/>
              <w:left w:w="75" w:type="dxa"/>
              <w:bottom w:w="75" w:type="dxa"/>
              <w:right w:w="75" w:type="dxa"/>
            </w:tcMar>
            <w:vAlign w:val="center"/>
          </w:tcPr>
          <w:p w14:paraId="0B2DFD3E" w14:textId="77777777" w:rsidR="00A12074" w:rsidRPr="002B0223" w:rsidRDefault="00FB5105">
            <w:pPr>
              <w:spacing w:line="240" w:lineRule="auto"/>
              <w:jc w:val="center"/>
              <w:rPr>
                <w:sz w:val="24"/>
              </w:rPr>
            </w:pPr>
            <w:r w:rsidRPr="002B0223">
              <w:rPr>
                <w:b/>
                <w:sz w:val="24"/>
              </w:rPr>
              <w:t>Pamatojums, ja iebildums / priekšlikums nav ņemts vērā</w:t>
            </w:r>
          </w:p>
        </w:tc>
      </w:tr>
      <w:tr w:rsidR="00A12074" w:rsidRPr="002B0223" w14:paraId="578BD24B" w14:textId="77777777" w:rsidTr="001F3C8C">
        <w:trPr>
          <w:trHeight w:val="4738"/>
        </w:trPr>
        <w:tc>
          <w:tcPr>
            <w:tcW w:w="750" w:type="dxa"/>
            <w:shd w:val="clear" w:color="auto" w:fill="FFFFFF"/>
            <w:noWrap/>
            <w:tcMar>
              <w:top w:w="75" w:type="dxa"/>
              <w:left w:w="75" w:type="dxa"/>
              <w:bottom w:w="75" w:type="dxa"/>
              <w:right w:w="75" w:type="dxa"/>
            </w:tcMar>
            <w:vAlign w:val="center"/>
          </w:tcPr>
          <w:p w14:paraId="363ABECC" w14:textId="77777777" w:rsidR="00A12074" w:rsidRPr="002B0223" w:rsidRDefault="00FB5105">
            <w:pPr>
              <w:spacing w:line="240" w:lineRule="auto"/>
              <w:jc w:val="center"/>
              <w:rPr>
                <w:sz w:val="24"/>
              </w:rPr>
            </w:pPr>
            <w:r w:rsidRPr="002B0223">
              <w:rPr>
                <w:sz w:val="24"/>
              </w:rPr>
              <w:t>1.</w:t>
            </w:r>
          </w:p>
        </w:tc>
        <w:tc>
          <w:tcPr>
            <w:tcW w:w="4155" w:type="dxa"/>
            <w:shd w:val="clear" w:color="auto" w:fill="FFFFFF"/>
            <w:noWrap/>
            <w:tcMar>
              <w:top w:w="75" w:type="dxa"/>
              <w:left w:w="75" w:type="dxa"/>
              <w:bottom w:w="75" w:type="dxa"/>
              <w:right w:w="75" w:type="dxa"/>
            </w:tcMar>
            <w:vAlign w:val="center"/>
          </w:tcPr>
          <w:p w14:paraId="06B678B2" w14:textId="77777777" w:rsidR="00A12074" w:rsidRPr="002B0223" w:rsidRDefault="001F3C8C">
            <w:pPr>
              <w:spacing w:line="240" w:lineRule="auto"/>
              <w:jc w:val="left"/>
              <w:rPr>
                <w:sz w:val="24"/>
              </w:rPr>
            </w:pPr>
            <w:r w:rsidRPr="002B0223">
              <w:rPr>
                <w:sz w:val="24"/>
              </w:rPr>
              <w:t>Fiziska persona</w:t>
            </w:r>
          </w:p>
        </w:tc>
        <w:tc>
          <w:tcPr>
            <w:tcW w:w="4156" w:type="dxa"/>
            <w:shd w:val="clear" w:color="auto" w:fill="FFFFFF"/>
            <w:noWrap/>
            <w:tcMar>
              <w:top w:w="75" w:type="dxa"/>
              <w:left w:w="75" w:type="dxa"/>
              <w:bottom w:w="75" w:type="dxa"/>
              <w:right w:w="75" w:type="dxa"/>
            </w:tcMar>
            <w:vAlign w:val="center"/>
          </w:tcPr>
          <w:p w14:paraId="2140FD50" w14:textId="77777777" w:rsidR="00A12074" w:rsidRPr="002B0223" w:rsidRDefault="00FB5105">
            <w:pPr>
              <w:spacing w:line="240" w:lineRule="auto"/>
              <w:jc w:val="left"/>
              <w:rPr>
                <w:sz w:val="24"/>
              </w:rPr>
            </w:pPr>
            <w:r w:rsidRPr="002B0223">
              <w:rPr>
                <w:sz w:val="24"/>
              </w:rPr>
              <w:t>Noteikumu projekta 36.2. punkts paredz: “Saņemot brīvības atņemšanas iestādes priekšnieka atļauju, notiesātais var glabāt un dienas kārtībā noteiktajā laikā lietot televizoram pievienojamās videospēļu iekārtas,</w:t>
            </w:r>
            <w:r w:rsidRPr="002B0223">
              <w:rPr>
                <w:sz w:val="24"/>
                <w:u w:val="single"/>
              </w:rPr>
              <w:t xml:space="preserve"> kurām nav bezvadu tīkla funkcijas</w:t>
            </w:r>
            <w:r w:rsidRPr="002B0223">
              <w:rPr>
                <w:sz w:val="24"/>
              </w:rPr>
              <w:t>.”</w:t>
            </w:r>
            <w:r w:rsidRPr="002B0223">
              <w:rPr>
                <w:sz w:val="24"/>
              </w:rPr>
              <w:br/>
            </w:r>
            <w:r w:rsidRPr="002B0223">
              <w:rPr>
                <w:sz w:val="24"/>
              </w:rPr>
              <w:br/>
              <w:t xml:space="preserve">Noteikumu pašreizējās </w:t>
            </w:r>
            <w:proofErr w:type="spellStart"/>
            <w:r w:rsidRPr="002B0223">
              <w:rPr>
                <w:sz w:val="24"/>
              </w:rPr>
              <w:t>siuācijas</w:t>
            </w:r>
            <w:proofErr w:type="spellEnd"/>
            <w:r w:rsidRPr="002B0223">
              <w:rPr>
                <w:sz w:val="24"/>
              </w:rPr>
              <w:t xml:space="preserve"> novērtējumā, </w:t>
            </w:r>
            <w:proofErr w:type="spellStart"/>
            <w:r w:rsidRPr="002B0223">
              <w:rPr>
                <w:sz w:val="24"/>
              </w:rPr>
              <w:t>citastarp</w:t>
            </w:r>
            <w:proofErr w:type="spellEnd"/>
            <w:r w:rsidRPr="002B0223">
              <w:rPr>
                <w:sz w:val="24"/>
              </w:rPr>
              <w:t>, norādīts: “</w:t>
            </w:r>
            <w:r w:rsidRPr="002B0223">
              <w:rPr>
                <w:b/>
                <w:sz w:val="24"/>
              </w:rPr>
              <w:t>Noteikumu Nr. 423 normas ir precizētas tikai divas reizes, tas ir, 2009. un 2011 .gadā (ieskaitot pielikumus), līdz ar to daļa normu ir novecojušas un neatbilst šī brīža aktualitātei</w:t>
            </w:r>
            <w:r w:rsidRPr="002B0223">
              <w:rPr>
                <w:sz w:val="24"/>
              </w:rPr>
              <w:t>.”</w:t>
            </w:r>
            <w:r w:rsidRPr="002B0223">
              <w:rPr>
                <w:sz w:val="24"/>
              </w:rPr>
              <w:br/>
            </w:r>
            <w:r w:rsidRPr="002B0223">
              <w:rPr>
                <w:sz w:val="24"/>
              </w:rPr>
              <w:br/>
              <w:t xml:space="preserve">Attiecībā uz </w:t>
            </w:r>
            <w:proofErr w:type="spellStart"/>
            <w:r w:rsidRPr="002B0223">
              <w:rPr>
                <w:sz w:val="24"/>
              </w:rPr>
              <w:t>magabarīta</w:t>
            </w:r>
            <w:proofErr w:type="spellEnd"/>
            <w:r w:rsidRPr="002B0223">
              <w:rPr>
                <w:sz w:val="24"/>
              </w:rPr>
              <w:t xml:space="preserve"> televizoru izmēru tiek norādīts: “</w:t>
            </w:r>
            <w:r w:rsidRPr="002B0223">
              <w:rPr>
                <w:b/>
                <w:sz w:val="24"/>
              </w:rPr>
              <w:t>Ņemot vērā sadzīves tehnikas piedāvājuma attīstību, ir nepieciešams pārskatīt notiesātajiem glabāšanā atļauto mazgabarīta televizoru izmērus, atļaujot notiesātajiem glabāt mazgabarīta televizoru ar lielāku izmēru</w:t>
            </w:r>
            <w:r w:rsidRPr="002B0223">
              <w:rPr>
                <w:sz w:val="24"/>
              </w:rPr>
              <w:t>.”</w:t>
            </w:r>
            <w:r w:rsidRPr="002B0223">
              <w:rPr>
                <w:sz w:val="24"/>
              </w:rPr>
              <w:br/>
            </w:r>
            <w:r w:rsidRPr="002B0223">
              <w:rPr>
                <w:sz w:val="24"/>
              </w:rPr>
              <w:lastRenderedPageBreak/>
              <w:br/>
              <w:t>Šajā sakarā jānorāda, ka attīstība ir notikusi ne tikai televizoru ražošanas jomā, bet gan arī televizoram pievienojamās videospēles, kopš Noteikumu Nr. 423 pieņemšanas 2006. gadā ir būtiski attīstījušās. Jau vairāk kā 10 gadus videospēļu ražotāju laiž apgrozībā videospēles ar bezvadu tīkla funkciju. Uz doto brīdi nav iespējams iegādāties videospēli, kurai nav bezvadu tīkla funkcija.</w:t>
            </w:r>
            <w:r w:rsidRPr="002B0223">
              <w:rPr>
                <w:sz w:val="24"/>
              </w:rPr>
              <w:br/>
            </w:r>
            <w:r w:rsidRPr="002B0223">
              <w:rPr>
                <w:sz w:val="24"/>
              </w:rPr>
              <w:br/>
              <w:t>Līdz ar ko noteikums pēc būtības liedz notiesātajiem lietot televizoram pievienojamo videospēli, jo videospēles, kurām nav bezvadu tīkla funkcijas nav iespējams nopirkt.</w:t>
            </w:r>
            <w:r w:rsidRPr="002B0223">
              <w:rPr>
                <w:sz w:val="24"/>
              </w:rPr>
              <w:br/>
            </w:r>
            <w:r w:rsidRPr="002B0223">
              <w:rPr>
                <w:sz w:val="24"/>
              </w:rPr>
              <w:br/>
            </w:r>
            <w:r w:rsidRPr="002B0223">
              <w:rPr>
                <w:b/>
                <w:sz w:val="24"/>
              </w:rPr>
              <w:t>Pirmkārt</w:t>
            </w:r>
            <w:r w:rsidRPr="002B0223">
              <w:rPr>
                <w:sz w:val="24"/>
              </w:rPr>
              <w:t>, noteikums paredz neizpildāmus nosacījums, jo kā minēts iepriekš, tad uz doto brīdi nav iespējams iegādāties videospēli, kurai nav bezvadu tīkla funkcija. Līdz ar ko norma ir formāla.</w:t>
            </w:r>
            <w:r w:rsidRPr="002B0223">
              <w:rPr>
                <w:sz w:val="24"/>
              </w:rPr>
              <w:br/>
            </w:r>
            <w:r w:rsidRPr="002B0223">
              <w:rPr>
                <w:sz w:val="24"/>
              </w:rPr>
              <w:br/>
            </w:r>
            <w:r w:rsidRPr="002B0223">
              <w:rPr>
                <w:b/>
                <w:sz w:val="24"/>
              </w:rPr>
              <w:t>Otrkārt</w:t>
            </w:r>
            <w:r w:rsidRPr="002B0223">
              <w:rPr>
                <w:sz w:val="24"/>
              </w:rPr>
              <w:t xml:space="preserve">, noteikums radīs lielus zaudējumus notiesātajiem un viņu tuviniekiem, kuri iegādājušies videospēles ar bezvadu tīkla funkciju. Bez tam atsevišķos gadījumos videospēles ir iegādātas līzingā. Secīgi </w:t>
            </w:r>
            <w:r w:rsidRPr="002B0223">
              <w:rPr>
                <w:sz w:val="24"/>
              </w:rPr>
              <w:lastRenderedPageBreak/>
              <w:t>noteikums radīs daudzu sūdzību un kompensāciju pieteikumu plūsmu, zaudējumus valstij. Šāds noteikums ierobežo notiesāto un viņu tuvinieku LR Satversmes 105. pantā noteiktās tiesības uz īpašumu. Turklāt atbilstoši administratīvo tiesību principiem personai rodas tiesiska paļāvība, ka viņa varēs īstenot savas tiesības noteiktā veidā, gadījumos kad iestāde ilgstoši ir rīkojusies vienveidīgi. Iestādes rīcības brīvība šādos gadījumos samazinās līdz nullei.</w:t>
            </w:r>
            <w:r w:rsidRPr="002B0223">
              <w:rPr>
                <w:sz w:val="24"/>
              </w:rPr>
              <w:br/>
            </w:r>
            <w:r w:rsidRPr="002B0223">
              <w:rPr>
                <w:sz w:val="24"/>
              </w:rPr>
              <w:br/>
            </w:r>
            <w:r w:rsidRPr="002B0223">
              <w:rPr>
                <w:b/>
                <w:sz w:val="24"/>
              </w:rPr>
              <w:t>Treškārt</w:t>
            </w:r>
            <w:r w:rsidRPr="002B0223">
              <w:rPr>
                <w:sz w:val="24"/>
              </w:rPr>
              <w:t xml:space="preserve">, kā izriet no projekta anotācijas nav izvērtēti alternatīvie risinājumi kā arī nav izvērtēts prasību un izmaksu samērīgums pret ieguvumiem. No projekta anotācijas neizriet pamatojums un/vai nepieciešamība šādam noteikumam. Anotācija nesatur norādes uz to, ka patreizējā situācijā notiesātajiem lietojot videospēles, kurām ir bezvadu tīkla funkcijas, ieslodzījuma vietu drošība un kārtība ir apdraudēta. Jānorāda, ka notiesātie var lietot videospēles, kurām ir bezvadu tīkla funkcija vairāk kā 15 gadus. Šajā </w:t>
            </w:r>
            <w:proofErr w:type="spellStart"/>
            <w:r w:rsidRPr="002B0223">
              <w:rPr>
                <w:sz w:val="24"/>
              </w:rPr>
              <w:t>laikaposmā</w:t>
            </w:r>
            <w:proofErr w:type="spellEnd"/>
            <w:r w:rsidRPr="002B0223">
              <w:rPr>
                <w:sz w:val="24"/>
              </w:rPr>
              <w:t xml:space="preserve"> nav radusies nepieciešamība mainīt esošo kārtību, jo nav konstatēts jebkāds drošības un kārtības apdraudējums.</w:t>
            </w:r>
            <w:r w:rsidRPr="002B0223">
              <w:rPr>
                <w:sz w:val="24"/>
              </w:rPr>
              <w:br/>
            </w:r>
            <w:r w:rsidRPr="002B0223">
              <w:rPr>
                <w:sz w:val="24"/>
              </w:rPr>
              <w:lastRenderedPageBreak/>
              <w:br/>
              <w:t>Bez tam, normatīvie akti jau satur mehānismus kā novērst un nepieļaut iekšējās kārtības pārkāpumus izmantojot personisko sadzīves tehniku, tostarp, videospēles. Ja notiesātais pārkāpj noteikto kārtību par televizoru, radiouztvērēju vai citas personiskās sadzīves tehnikas izmantošanu, piemēram, lieto televizoru, videospēli naktsmiera laikā, iestādes administrācija ir tiesīga uz laiku līdz diviem mēnešiem atņemt personisko sadzīves tehniku un nodot to glabāšanā noliktavā.</w:t>
            </w:r>
            <w:r w:rsidRPr="002B0223">
              <w:rPr>
                <w:sz w:val="24"/>
              </w:rPr>
              <w:br/>
            </w:r>
            <w:r w:rsidRPr="002B0223">
              <w:rPr>
                <w:sz w:val="24"/>
              </w:rPr>
              <w:br/>
              <w:t>No minētā secināms, ka noteikums ir neatbilstošs labas pārvaldības un labas likumdošanas nosacījumiem tādēļ nav atbalstāms un nav virzāms turpmākai izskatīšanai.</w:t>
            </w:r>
            <w:r w:rsidRPr="002B0223">
              <w:rPr>
                <w:sz w:val="24"/>
              </w:rPr>
              <w:br/>
            </w:r>
          </w:p>
        </w:tc>
        <w:tc>
          <w:tcPr>
            <w:tcW w:w="1350" w:type="dxa"/>
            <w:shd w:val="clear" w:color="auto" w:fill="FFFFFF"/>
            <w:noWrap/>
            <w:tcMar>
              <w:top w:w="75" w:type="dxa"/>
              <w:left w:w="75" w:type="dxa"/>
              <w:bottom w:w="75" w:type="dxa"/>
              <w:right w:w="75" w:type="dxa"/>
            </w:tcMar>
            <w:vAlign w:val="center"/>
          </w:tcPr>
          <w:p w14:paraId="3FDF7873" w14:textId="77777777" w:rsidR="00A12074" w:rsidRDefault="00526D0C">
            <w:pPr>
              <w:spacing w:line="240" w:lineRule="auto"/>
              <w:jc w:val="left"/>
              <w:rPr>
                <w:sz w:val="24"/>
              </w:rPr>
            </w:pPr>
            <w:r>
              <w:rPr>
                <w:sz w:val="24"/>
              </w:rPr>
              <w:lastRenderedPageBreak/>
              <w:t>Nav ņemts vērā</w:t>
            </w:r>
          </w:p>
          <w:p w14:paraId="172ECD36" w14:textId="77777777" w:rsidR="005261F0" w:rsidRDefault="005261F0">
            <w:pPr>
              <w:spacing w:line="240" w:lineRule="auto"/>
              <w:jc w:val="left"/>
              <w:rPr>
                <w:sz w:val="24"/>
              </w:rPr>
            </w:pPr>
          </w:p>
          <w:p w14:paraId="5542A5D3" w14:textId="18D61E16" w:rsidR="005261F0" w:rsidRPr="002B0223" w:rsidRDefault="005261F0">
            <w:pPr>
              <w:spacing w:line="240" w:lineRule="auto"/>
              <w:jc w:val="left"/>
              <w:rPr>
                <w:sz w:val="24"/>
              </w:rPr>
            </w:pPr>
            <w:r>
              <w:rPr>
                <w:sz w:val="24"/>
              </w:rPr>
              <w:t>Anotācija papildināta ar skaidrojumu</w:t>
            </w:r>
          </w:p>
        </w:tc>
        <w:tc>
          <w:tcPr>
            <w:tcW w:w="4156" w:type="dxa"/>
            <w:shd w:val="clear" w:color="auto" w:fill="FFFFFF"/>
            <w:noWrap/>
            <w:tcMar>
              <w:top w:w="75" w:type="dxa"/>
              <w:left w:w="75" w:type="dxa"/>
              <w:bottom w:w="75" w:type="dxa"/>
              <w:right w:w="75" w:type="dxa"/>
            </w:tcMar>
            <w:vAlign w:val="center"/>
          </w:tcPr>
          <w:p w14:paraId="1D546231" w14:textId="1813CF8F" w:rsidR="002B0223" w:rsidRDefault="002F5786" w:rsidP="005261F0">
            <w:pPr>
              <w:spacing w:line="240" w:lineRule="auto"/>
              <w:rPr>
                <w:sz w:val="24"/>
              </w:rPr>
            </w:pPr>
            <w:r>
              <w:rPr>
                <w:sz w:val="24"/>
              </w:rPr>
              <w:t xml:space="preserve">Noteikumu projekta </w:t>
            </w:r>
            <w:r w:rsidR="002B0223" w:rsidRPr="002B0223">
              <w:rPr>
                <w:sz w:val="24"/>
              </w:rPr>
              <w:t>37.</w:t>
            </w:r>
            <w:r w:rsidR="00526D0C">
              <w:rPr>
                <w:sz w:val="24"/>
              </w:rPr>
              <w:t> </w:t>
            </w:r>
            <w:r w:rsidR="002B0223" w:rsidRPr="002B0223">
              <w:rPr>
                <w:sz w:val="24"/>
              </w:rPr>
              <w:t>punktā uzskaitīta personīgā sadzīves tehnika, kuru notiesātajam, saņemot brīvības atņemšanas iestādes priekšnieka atļauju, ir tiesības glabāt un dienas kārtībā noteiktajā laikā</w:t>
            </w:r>
            <w:r>
              <w:rPr>
                <w:sz w:val="24"/>
              </w:rPr>
              <w:t xml:space="preserve"> lietot</w:t>
            </w:r>
            <w:r w:rsidR="002B0223" w:rsidRPr="002B0223">
              <w:rPr>
                <w:sz w:val="24"/>
              </w:rPr>
              <w:t xml:space="preserve">. </w:t>
            </w:r>
          </w:p>
          <w:p w14:paraId="78E07F98" w14:textId="1E4F67CA" w:rsidR="00A12074" w:rsidRPr="002B0223" w:rsidRDefault="005261F0" w:rsidP="005261F0">
            <w:pPr>
              <w:spacing w:line="240" w:lineRule="auto"/>
              <w:rPr>
                <w:sz w:val="24"/>
              </w:rPr>
            </w:pPr>
            <w:r w:rsidRPr="005261F0">
              <w:rPr>
                <w:sz w:val="24"/>
              </w:rPr>
              <w:t>Šobrīd atbilstoši normatīvajam regulējumam notiesātajiem ir atļauts izmantot televizoram pievienojamās videospēles. Proti, Ministru kabineta 2006. gada 30. maija noteikumu Nr. 423 "Brīvības atņemšanas iestādes iekšējās kārtības noteikumi"</w:t>
            </w:r>
            <w:r>
              <w:rPr>
                <w:sz w:val="24"/>
              </w:rPr>
              <w:t xml:space="preserve"> (turpmāk – Noteikumi Nr. 423) </w:t>
            </w:r>
            <w:r w:rsidRPr="005261F0">
              <w:rPr>
                <w:sz w:val="24"/>
              </w:rPr>
              <w:t xml:space="preserve">40. punkts noteic, ka, saņemot brīvības atņemšanas iestādes administrācijas atļauju, notiesātie kamerās un koplietošanas telpās dienas kārtībā noteiktajā laikā var lietot televizoriem pievienojamās videospēles. Tāpat attiecīgi videospēles ir iekļautas Noteikumu Nr. 423 1. pielikuma "Priekšmeti un pārtikas produkti, kurus notiesātajam ir atļauts glabāt" 10.1. apakšpunktā un 11. pielikuma "Priekšmeti, kurus atļauts nodot sūtījumos </w:t>
            </w:r>
            <w:r w:rsidRPr="005261F0">
              <w:rPr>
                <w:sz w:val="24"/>
              </w:rPr>
              <w:lastRenderedPageBreak/>
              <w:t xml:space="preserve">un pienesumos" 10.1. apakšpunktā. Tomēr videospēļu iekārtas pēdējo gadu laikā ir strauji attīstījušas, un to funkcionalitāte, cita starpā, paredz iespēju tās izmantot ne tikai videospēļu spēlēšanai, bet arī neatļautai ieslodzīto saziņai – gan savā starpā, gan saziņai ar personām ārpus ieslodzījuma vietas. Pie tam jaunajām videospēļu iekārtām ir bezvadu kontrolieri (pultis) ar adaptīvām pogām un taustes sajūtu tehnoloģiju, kā arī iebūvēta rācija, kas nodrošina spēlētajiem iespēju savstarpēji sazināties. Līdz ar to ieslodzītajiem, izmantojot jaunākās videospēļu iekārtas, nav nepieciešams pat ielādēt vai izmantot sazināšanas platformas, lai sarakstītos vai sazinātos ar citām personām, pietiek vien izmantot videospēļu iekārtu kontrolieri (pulti). Praksē ar vien biežāk tiek konstatēts, ka ieslodzītie videospēļu iekārtu izmanto kā neatļautu saziņas līdzekli ne tikai sarunām ar radiniekiem un laulāto, veicinot sociāli lietderīgu saikņu saglabāšanu vai atjaunošanu, bet arī ar citām personām noziedzīgo kontaktu turpināšanai, jaunu noziedzīgu nodarījumu veikšanai un organizēšanai. Turklāt, videospēļu iekārta kā neatļauts saziņas līdzeklis tiek izmantots ne tikai komunikācijai ar citām personām ārpus ieslodzījuma vietas, bet arī saziņai ar </w:t>
            </w:r>
            <w:r w:rsidRPr="005261F0">
              <w:rPr>
                <w:sz w:val="24"/>
              </w:rPr>
              <w:lastRenderedPageBreak/>
              <w:t xml:space="preserve">ieslodzītajiem, kas izvietoti citās ieslodzījuma vietās. Tādējādi, ieslodzītie var ietekmēt kriminālsoda izpildi, izmeklēšanas gaitu vai izmeklēšanas procesu, piemēram, ietekmējot lieciniekus vai saskaņojot liecības. Tāpat ieslodzītie, atrodoties ieslodzījumu vietās un izmantojot videospēļu iekārtu kā neatļautu saziņas līdzekli, var koordinēt dažādu noziedzīgu grupu darbības ārpus ieslodzījuma vietas, kā arī organizēt nelegālus finanšu darījumus, piemēram, naudas atmazgāšanu, krāpšanu vai nelegālu līdzekļu pārvedumus. Izmantojot neatļautus saziņas līdzekļus, ieslodzītie var plānot bēgšanu no ieslodzījuma vietas, saskaņojot un izstrādājot detalizētu bēgšanas plānu un nodrošinot nepieciešamos resursus un līdzekļus. Šāda ieslodzīto rīcība nodara kaitējumu ļoti plašām sabiedrības interesēm – sākot no valsts drošības interesēm un beidzot ar personas veselību un dzīvību. Tādējādi tiek apdraudēta ne tikai ieslodzījuma vietu drošība, bet arī sabiedrības drošība kopumā. Kaut arī ieslodzījuma vietās tiek veikti pasākumi, lai mazinātu šādas saziņas iespējas, tomēr videospēļu iekārtu funkcionalitāte paver ar vien lielākas iespējas tās izmantot neatļautai saziņai. Un, kamēr tās ir iekļautas ieslodzītajiem atļauto sadzīves priekšmetu klāstā, nav </w:t>
            </w:r>
            <w:r w:rsidRPr="005261F0">
              <w:rPr>
                <w:sz w:val="24"/>
              </w:rPr>
              <w:lastRenderedPageBreak/>
              <w:t xml:space="preserve">iespējams pilnībā novērst riskus, ka videospēļu iekārtas netiks izmantotas neatļautai saziņai gan ieslodzīto starpā, gan arī ārpus ieslodzījuma vietas. Ņemot vērā minēto, </w:t>
            </w:r>
            <w:r>
              <w:rPr>
                <w:sz w:val="24"/>
              </w:rPr>
              <w:t>noteikumu p</w:t>
            </w:r>
            <w:r w:rsidRPr="005261F0">
              <w:rPr>
                <w:sz w:val="24"/>
              </w:rPr>
              <w:t xml:space="preserve">rojekta 37.2. apakšpunkts noteic, ka notiesātais, saņemot brīvības atņemšanas iestādes priekšnieka atļauju, var glabāt un dienas noteiktajā laikā lietot tādas </w:t>
            </w:r>
            <w:r w:rsidR="00F77B86" w:rsidRPr="00F77B86">
              <w:rPr>
                <w:sz w:val="24"/>
              </w:rPr>
              <w:t>televizoram pievienojamas videospēļu iekārtas, kuras nerada neatļautas saziņas risku</w:t>
            </w:r>
            <w:r w:rsidR="00F77B86">
              <w:rPr>
                <w:sz w:val="24"/>
              </w:rPr>
              <w:t xml:space="preserve">. </w:t>
            </w:r>
            <w:r w:rsidRPr="005261F0">
              <w:rPr>
                <w:sz w:val="24"/>
              </w:rPr>
              <w:t>Atļautie saziņas veidi ir minēti Kodeksā, kā piemēram, brīvības atņemšanas iestādes telefons, īslaicīga un ilgstoša satikšanās, vēstules u.c. Ja attiecīgais sazināšanas veids nav minēts Kodeksā, tātad tas ir uzskatāms par neatļautu saziņas veidu. Tas nozīmē, ka notiesājam ir atļauts glabāt un lietot tikai tādu videospēļu iekārtu, kuru nav iespējams nekādā veidā izmantot neatļautai saziņai gan ieslodzīto starpā, gan arī ārpus ieslodzījuma vietas, proti, kuru tehniski nav iespējams nekādā veidā patstāvīgi vai pievienojot citai ierīcei pieslēgt interneta tīklam vai citam datu pārraides tīklam, tāpat kuru tehniski nevar izmantot kā rāciju, telefonu, datoru, planšetdatoru, datu nesēju, video vai audio raidītāju</w:t>
            </w:r>
            <w:r>
              <w:rPr>
                <w:sz w:val="24"/>
              </w:rPr>
              <w:t xml:space="preserve">. </w:t>
            </w:r>
          </w:p>
        </w:tc>
      </w:tr>
    </w:tbl>
    <w:tbl>
      <w:tblPr>
        <w:tblStyle w:val="Reatabula"/>
        <w:tblW w:w="0" w:type="auto"/>
        <w:tblLook w:val="04A0" w:firstRow="1" w:lastRow="0" w:firstColumn="1" w:lastColumn="0" w:noHBand="0" w:noVBand="1"/>
      </w:tblPr>
      <w:tblGrid>
        <w:gridCol w:w="816"/>
        <w:gridCol w:w="2974"/>
        <w:gridCol w:w="4392"/>
        <w:gridCol w:w="2267"/>
        <w:gridCol w:w="4108"/>
      </w:tblGrid>
      <w:tr w:rsidR="001F3C8C" w:rsidRPr="002B0223" w14:paraId="4496F45E" w14:textId="77777777" w:rsidTr="002B0223">
        <w:trPr>
          <w:trHeight w:val="2264"/>
        </w:trPr>
        <w:tc>
          <w:tcPr>
            <w:tcW w:w="817" w:type="dxa"/>
            <w:vAlign w:val="center"/>
          </w:tcPr>
          <w:p w14:paraId="2A0F6CA0" w14:textId="4EC352DB" w:rsidR="001F3C8C" w:rsidRPr="002B0223" w:rsidRDefault="00AE3C19" w:rsidP="00AE3C19">
            <w:pPr>
              <w:jc w:val="center"/>
              <w:rPr>
                <w:sz w:val="24"/>
                <w:szCs w:val="24"/>
              </w:rPr>
            </w:pPr>
            <w:r w:rsidRPr="002B0223">
              <w:rPr>
                <w:sz w:val="24"/>
                <w:szCs w:val="24"/>
              </w:rPr>
              <w:lastRenderedPageBreak/>
              <w:t>2</w:t>
            </w:r>
            <w:r w:rsidR="00762650">
              <w:rPr>
                <w:sz w:val="24"/>
                <w:szCs w:val="24"/>
              </w:rPr>
              <w:t>.</w:t>
            </w:r>
          </w:p>
        </w:tc>
        <w:tc>
          <w:tcPr>
            <w:tcW w:w="2977" w:type="dxa"/>
            <w:vAlign w:val="center"/>
          </w:tcPr>
          <w:p w14:paraId="2CC706C0" w14:textId="77777777" w:rsidR="001F3C8C" w:rsidRPr="002B0223" w:rsidRDefault="00AE3C19" w:rsidP="00AE3C19">
            <w:pPr>
              <w:jc w:val="center"/>
              <w:rPr>
                <w:sz w:val="24"/>
                <w:szCs w:val="24"/>
              </w:rPr>
            </w:pPr>
            <w:r w:rsidRPr="002B0223">
              <w:rPr>
                <w:sz w:val="24"/>
                <w:szCs w:val="24"/>
              </w:rPr>
              <w:t>2</w:t>
            </w:r>
            <w:r w:rsidR="00C8013B" w:rsidRPr="002B0223">
              <w:rPr>
                <w:sz w:val="24"/>
                <w:szCs w:val="24"/>
              </w:rPr>
              <w:t>2</w:t>
            </w:r>
            <w:r w:rsidRPr="002B0223">
              <w:rPr>
                <w:sz w:val="24"/>
                <w:szCs w:val="24"/>
              </w:rPr>
              <w:t xml:space="preserve"> fiziskās personas iesniedza viena satura </w:t>
            </w:r>
            <w:r w:rsidR="00DC6F5C" w:rsidRPr="002B0223">
              <w:rPr>
                <w:sz w:val="24"/>
                <w:szCs w:val="24"/>
              </w:rPr>
              <w:t>viedokli</w:t>
            </w:r>
          </w:p>
        </w:tc>
        <w:tc>
          <w:tcPr>
            <w:tcW w:w="4394" w:type="dxa"/>
            <w:shd w:val="clear" w:color="auto" w:fill="auto"/>
          </w:tcPr>
          <w:p w14:paraId="6A5AB84F" w14:textId="77777777" w:rsidR="00AE3C19" w:rsidRPr="002B0223" w:rsidRDefault="00AE3C19">
            <w:pPr>
              <w:rPr>
                <w:sz w:val="24"/>
                <w:szCs w:val="24"/>
              </w:rPr>
            </w:pPr>
            <w:r w:rsidRPr="002B0223">
              <w:rPr>
                <w:sz w:val="24"/>
                <w:szCs w:val="24"/>
              </w:rPr>
              <w:t xml:space="preserve">Likumprojekta 36.2. apakšpunkts paredz, ka, saņemot brīvības atņemšanas iestādes priekšnieka atļauju, notiesātais var glabāt un dienas kārtībā noteiktajā laikā lietot televizoram pievienojamās videospēļu iekārtas, kurām nav bezvadu tīkla funkcijas. </w:t>
            </w:r>
          </w:p>
          <w:p w14:paraId="355D9042" w14:textId="77777777" w:rsidR="001F3C8C" w:rsidRPr="002B0223" w:rsidRDefault="00AE3C19">
            <w:pPr>
              <w:rPr>
                <w:sz w:val="24"/>
                <w:szCs w:val="24"/>
              </w:rPr>
            </w:pPr>
            <w:r w:rsidRPr="002B0223">
              <w:rPr>
                <w:sz w:val="24"/>
                <w:szCs w:val="24"/>
              </w:rPr>
              <w:t xml:space="preserve">Lūdzu ņemt vērā, ka no visām </w:t>
            </w:r>
            <w:proofErr w:type="spellStart"/>
            <w:r w:rsidRPr="002B0223">
              <w:rPr>
                <w:sz w:val="24"/>
                <w:szCs w:val="24"/>
              </w:rPr>
              <w:t>xbox</w:t>
            </w:r>
            <w:proofErr w:type="spellEnd"/>
            <w:r w:rsidRPr="002B0223">
              <w:rPr>
                <w:sz w:val="24"/>
                <w:szCs w:val="24"/>
              </w:rPr>
              <w:t xml:space="preserve"> un </w:t>
            </w:r>
            <w:proofErr w:type="spellStart"/>
            <w:r w:rsidRPr="002B0223">
              <w:rPr>
                <w:sz w:val="24"/>
                <w:szCs w:val="24"/>
              </w:rPr>
              <w:t>playstation</w:t>
            </w:r>
            <w:proofErr w:type="spellEnd"/>
            <w:r w:rsidRPr="002B0223">
              <w:rPr>
                <w:sz w:val="24"/>
                <w:szCs w:val="24"/>
              </w:rPr>
              <w:t xml:space="preserve"> spēļu konsulēm ir jau rūpnieciski iebūvēts bezvadu sakaru modelis, kuru nav iespējams izņemt, nesabojājot konsoli. Visas spēļu konsoles, kuras pašlaik lieto notiesātie</w:t>
            </w:r>
            <w:r w:rsidR="00BE42DB" w:rsidRPr="002B0223">
              <w:rPr>
                <w:sz w:val="24"/>
                <w:szCs w:val="24"/>
              </w:rPr>
              <w:t xml:space="preserve">, neatbilst likumprojektā noteiktajām prasībām. </w:t>
            </w:r>
          </w:p>
          <w:p w14:paraId="6173FA7B" w14:textId="77777777" w:rsidR="00BE42DB" w:rsidRPr="002B0223" w:rsidRDefault="00BE42DB">
            <w:pPr>
              <w:rPr>
                <w:i/>
                <w:sz w:val="24"/>
                <w:szCs w:val="24"/>
              </w:rPr>
            </w:pPr>
            <w:r w:rsidRPr="002B0223">
              <w:rPr>
                <w:sz w:val="24"/>
                <w:szCs w:val="24"/>
              </w:rPr>
              <w:t>Lai novērstu to notiesāto tiesību aizskārumu, kuriem ir radusies tiesiskā paļāvība, ka viņiem izsniegtā atļauja lietot spēļu konsoli netiks pēkšņi anulēta bez viņu pašu vainas, lūdzu ietvert likumprojektā norādi, ka likumprojekta 36.2. apakšpunktā paredzētais aizliegums neattiecas uz spēļu konsolēm, kuras jau atrodas notiesāto lietošanā</w:t>
            </w:r>
            <w:r w:rsidR="0042009F" w:rsidRPr="002B0223">
              <w:rPr>
                <w:sz w:val="24"/>
                <w:szCs w:val="24"/>
              </w:rPr>
              <w:t xml:space="preserve"> </w:t>
            </w:r>
            <w:r w:rsidR="006112D1" w:rsidRPr="002B0223">
              <w:rPr>
                <w:i/>
                <w:sz w:val="24"/>
                <w:szCs w:val="24"/>
              </w:rPr>
              <w:t>(Vienu pilnu no 2</w:t>
            </w:r>
            <w:r w:rsidR="00C8013B" w:rsidRPr="002B0223">
              <w:rPr>
                <w:i/>
                <w:sz w:val="24"/>
                <w:szCs w:val="24"/>
              </w:rPr>
              <w:t>2</w:t>
            </w:r>
            <w:r w:rsidR="006112D1" w:rsidRPr="002B0223">
              <w:rPr>
                <w:i/>
                <w:sz w:val="24"/>
                <w:szCs w:val="24"/>
              </w:rPr>
              <w:t xml:space="preserve"> viedokļa tekstiem lūdzu skatīt zemāk).</w:t>
            </w:r>
          </w:p>
        </w:tc>
        <w:tc>
          <w:tcPr>
            <w:tcW w:w="2268" w:type="dxa"/>
          </w:tcPr>
          <w:p w14:paraId="07AA6D8C" w14:textId="77777777" w:rsidR="001F3C8C" w:rsidRDefault="002B0223">
            <w:pPr>
              <w:rPr>
                <w:sz w:val="24"/>
                <w:szCs w:val="24"/>
              </w:rPr>
            </w:pPr>
            <w:r w:rsidRPr="002B0223">
              <w:rPr>
                <w:sz w:val="24"/>
                <w:szCs w:val="24"/>
              </w:rPr>
              <w:t>Nav ņemts vērā</w:t>
            </w:r>
          </w:p>
          <w:p w14:paraId="232460E1" w14:textId="77777777" w:rsidR="005261F0" w:rsidRDefault="005261F0">
            <w:pPr>
              <w:rPr>
                <w:sz w:val="24"/>
                <w:szCs w:val="24"/>
              </w:rPr>
            </w:pPr>
          </w:p>
          <w:p w14:paraId="395D3DF7" w14:textId="599ED505" w:rsidR="005261F0" w:rsidRPr="002B0223" w:rsidRDefault="005261F0">
            <w:pPr>
              <w:rPr>
                <w:sz w:val="24"/>
                <w:szCs w:val="24"/>
              </w:rPr>
            </w:pPr>
            <w:r>
              <w:rPr>
                <w:sz w:val="24"/>
                <w:szCs w:val="24"/>
              </w:rPr>
              <w:t>Anotācija papildināt ar skaidrojumu</w:t>
            </w:r>
          </w:p>
        </w:tc>
        <w:tc>
          <w:tcPr>
            <w:tcW w:w="4111" w:type="dxa"/>
          </w:tcPr>
          <w:p w14:paraId="0CAC5506" w14:textId="77777777" w:rsidR="005261F0" w:rsidRPr="005261F0" w:rsidRDefault="005261F0" w:rsidP="005261F0">
            <w:pPr>
              <w:rPr>
                <w:sz w:val="24"/>
                <w:szCs w:val="24"/>
              </w:rPr>
            </w:pPr>
            <w:r w:rsidRPr="005261F0">
              <w:rPr>
                <w:sz w:val="24"/>
                <w:szCs w:val="24"/>
              </w:rPr>
              <w:t xml:space="preserve">Noteikumu projekta 37. punktā uzskaitīta personīgā sadzīves tehnika, kuru notiesātajam, saņemot brīvības atņemšanas iestādes priekšnieka atļauju, ir tiesības glabāt un dienas kārtībā noteiktajā laikā lietot. </w:t>
            </w:r>
          </w:p>
          <w:p w14:paraId="491EFB2E" w14:textId="65CBF53F" w:rsidR="002B0223" w:rsidRPr="002B0223" w:rsidRDefault="005261F0" w:rsidP="005261F0">
            <w:pPr>
              <w:rPr>
                <w:sz w:val="24"/>
                <w:szCs w:val="24"/>
              </w:rPr>
            </w:pPr>
            <w:r w:rsidRPr="005261F0">
              <w:rPr>
                <w:sz w:val="24"/>
                <w:szCs w:val="24"/>
              </w:rPr>
              <w:t xml:space="preserve">Šobrīd atbilstoši normatīvajam regulējumam notiesātajiem ir atļauts izmantot televizoram pievienojamās videospēles. Proti, </w:t>
            </w:r>
            <w:r>
              <w:rPr>
                <w:sz w:val="24"/>
                <w:szCs w:val="24"/>
              </w:rPr>
              <w:t xml:space="preserve">Noteikumu Nr. 423 </w:t>
            </w:r>
            <w:r w:rsidRPr="005261F0">
              <w:rPr>
                <w:sz w:val="24"/>
                <w:szCs w:val="24"/>
              </w:rPr>
              <w:t xml:space="preserve">40. punkts noteic, ka, saņemot brīvības atņemšanas iestādes administrācijas atļauju, notiesātie kamerās un koplietošanas telpās dienas kārtībā noteiktajā laikā var lietot televizoriem pievienojamās videospēles. Tāpat attiecīgi videospēles ir iekļautas Noteikumu Nr. 423 1. pielikuma "Priekšmeti un pārtikas produkti, kurus notiesātajam ir atļauts glabāt" 10.1. apakšpunktā un 11. pielikuma "Priekšmeti, kurus atļauts nodot sūtījumos un pienesumos" 10.1. apakšpunktā. Tomēr videospēļu iekārtas pēdējo gadu laikā ir strauji attīstījušas, un to funkcionalitāte, cita starpā, paredz iespēju tās izmantot ne tikai videospēļu spēlēšanai, bet arī neatļautai ieslodzīto saziņai – gan savā starpā, gan saziņai ar personām ārpus ieslodzījuma vietas. Pie tam jaunajām videospēļu iekārtām ir bezvadu kontrolieri (pultis) ar adaptīvām pogām un taustes sajūtu tehnoloģiju, kā </w:t>
            </w:r>
            <w:r w:rsidRPr="005261F0">
              <w:rPr>
                <w:sz w:val="24"/>
                <w:szCs w:val="24"/>
              </w:rPr>
              <w:lastRenderedPageBreak/>
              <w:t xml:space="preserve">arī iebūvēta rācija, kas nodrošina spēlētajiem iespēju savstarpēji sazināties. Līdz ar to ieslodzītajiem, izmantojot jaunākās videospēļu iekārtas, nav nepieciešams pat ielādēt vai izmantot sazināšanas platformas, lai sarakstītos vai sazinātos ar citām personām, pietiek vien izmantot videospēļu iekārtu kontrolieri (pulti). Praksē ar vien biežāk tiek konstatēts, ka ieslodzītie videospēļu iekārtu izmanto kā neatļautu saziņas līdzekli ne tikai sarunām ar radiniekiem un laulāto, veicinot sociāli lietderīgu saikņu saglabāšanu vai atjaunošanu, bet arī ar citām personām noziedzīgo kontaktu turpināšanai, jaunu noziedzīgu nodarījumu veikšanai un organizēšanai. Turklāt, videospēļu iekārta kā neatļauts saziņas līdzeklis tiek izmantots ne tikai komunikācijai ar citām personām ārpus ieslodzījuma vietas, bet arī saziņai ar ieslodzītajiem, kas izvietoti citās ieslodzījuma vietās. Tādējādi, ieslodzītie var ietekmēt kriminālsoda izpildi, izmeklēšanas gaitu vai izmeklēšanas procesu, piemēram, ietekmējot lieciniekus vai saskaņojot liecības. Tāpat ieslodzītie, atrodoties ieslodzījumu vietās un izmantojot videospēļu iekārtu kā neatļautu saziņas līdzekli, var koordinēt dažādu noziedzīgu grupu darbības ārpus ieslodzījuma vietas, kā arī </w:t>
            </w:r>
            <w:r w:rsidRPr="005261F0">
              <w:rPr>
                <w:sz w:val="24"/>
                <w:szCs w:val="24"/>
              </w:rPr>
              <w:lastRenderedPageBreak/>
              <w:t xml:space="preserve">organizēt nelegālus finanšu darījumus, piemēram, naudas atmazgāšanu, krāpšanu vai nelegālu līdzekļu pārvedumus. Izmantojot neatļautus saziņas līdzekļus, ieslodzītie var plānot bēgšanu no ieslodzījuma vietas, saskaņojot un izstrādājot detalizētu bēgšanas plānu un nodrošinot nepieciešamos resursus un līdzekļus. Šāda ieslodzīto rīcība nodara kaitējumu ļoti plašām sabiedrības interesēm – sākot no valsts drošības interesēm un beidzot ar personas veselību un dzīvību. Tādējādi tiek apdraudēta ne tikai ieslodzījuma vietu drošība, bet arī sabiedrības drošība kopumā. Kaut arī ieslodzījuma vietās tiek veikti pasākumi, lai mazinātu šādas saziņas iespējas, tomēr videospēļu iekārtu funkcionalitāte paver ar vien lielākas iespējas tās izmantot neatļautai saziņai. Un, kamēr tās ir iekļautas ieslodzītajiem atļauto sadzīves priekšmetu klāstā, nav iespējams pilnībā novērst riskus, ka videospēļu iekārtas netiks izmantotas neatļautai saziņai gan ieslodzīto starpā, gan arī ārpus ieslodzījuma vietas. Ņemot vērā minēto, noteikumu projekta 37.2. apakšpunkts noteic, ka notiesātais, saņemot brīvības atņemšanas iestādes priekšnieka atļauju, var glabāt un dienas noteiktajā laikā lietot tādas </w:t>
            </w:r>
            <w:r w:rsidR="00F77B86" w:rsidRPr="00F77B86">
              <w:rPr>
                <w:sz w:val="24"/>
                <w:szCs w:val="24"/>
              </w:rPr>
              <w:t xml:space="preserve">televizoram pievienojamas videospēļu iekārtas, kuras </w:t>
            </w:r>
            <w:r w:rsidR="00F77B86" w:rsidRPr="00F77B86">
              <w:rPr>
                <w:sz w:val="24"/>
                <w:szCs w:val="24"/>
              </w:rPr>
              <w:lastRenderedPageBreak/>
              <w:t>nerada neatļautas saziņas risku</w:t>
            </w:r>
            <w:r w:rsidR="00F77B86">
              <w:rPr>
                <w:sz w:val="24"/>
                <w:szCs w:val="24"/>
              </w:rPr>
              <w:t xml:space="preserve">. </w:t>
            </w:r>
            <w:r w:rsidRPr="005261F0">
              <w:rPr>
                <w:sz w:val="24"/>
                <w:szCs w:val="24"/>
              </w:rPr>
              <w:t>Atļautie saziņas veidi ir minēti Kodeksā, kā piemēram, brīvības atņemšanas iestādes telefons, īslaicīga un ilgstoša satikšanās, vēstules u.c. Ja attiecīgais sazināšanas veids nav minēts Kodeksā, tātad tas ir uzskatāms par neatļautu saziņas veidu. Tas nozīmē, ka notiesājam ir atļauts glabāt un lietot tikai tādu videospēļu iekārtu, kuru nav iespējams nekādā veidā izmantot neatļautai saziņai gan ieslodzīto starpā, gan arī ārpus ieslodzījuma vietas, proti, kuru tehniski nav iespējams nekādā veidā patstāvīgi vai pievienojot citai ierīcei pieslēgt interneta tīklam vai citam datu pārraides tīklam, tāpat kuru tehniski nevar izmantot kā rāciju, telefonu, datoru, planšetdatoru, datu nesēju, video vai audio raidītāju.</w:t>
            </w:r>
          </w:p>
        </w:tc>
      </w:tr>
      <w:tr w:rsidR="001F3C8C" w:rsidRPr="002B0223" w14:paraId="78B030B9" w14:textId="77777777" w:rsidTr="00762650">
        <w:tc>
          <w:tcPr>
            <w:tcW w:w="817" w:type="dxa"/>
            <w:vAlign w:val="center"/>
          </w:tcPr>
          <w:p w14:paraId="6E29A020" w14:textId="364E78EC" w:rsidR="001F3C8C" w:rsidRPr="002B0223" w:rsidRDefault="00BE42DB" w:rsidP="00762650">
            <w:pPr>
              <w:jc w:val="center"/>
              <w:rPr>
                <w:sz w:val="24"/>
                <w:szCs w:val="24"/>
              </w:rPr>
            </w:pPr>
            <w:r w:rsidRPr="002B0223">
              <w:rPr>
                <w:sz w:val="24"/>
                <w:szCs w:val="24"/>
              </w:rPr>
              <w:lastRenderedPageBreak/>
              <w:t>3</w:t>
            </w:r>
            <w:r w:rsidR="00762650">
              <w:rPr>
                <w:sz w:val="24"/>
                <w:szCs w:val="24"/>
              </w:rPr>
              <w:t>.</w:t>
            </w:r>
          </w:p>
        </w:tc>
        <w:tc>
          <w:tcPr>
            <w:tcW w:w="2977" w:type="dxa"/>
            <w:vAlign w:val="center"/>
          </w:tcPr>
          <w:p w14:paraId="4DF0CDA1" w14:textId="77777777" w:rsidR="001F3C8C" w:rsidRPr="002B0223" w:rsidRDefault="00BE42DB" w:rsidP="0042009F">
            <w:pPr>
              <w:jc w:val="center"/>
              <w:rPr>
                <w:sz w:val="24"/>
                <w:szCs w:val="24"/>
              </w:rPr>
            </w:pPr>
            <w:r w:rsidRPr="002B0223">
              <w:rPr>
                <w:sz w:val="24"/>
                <w:szCs w:val="24"/>
              </w:rPr>
              <w:t>Fiziska persona</w:t>
            </w:r>
          </w:p>
        </w:tc>
        <w:tc>
          <w:tcPr>
            <w:tcW w:w="4394" w:type="dxa"/>
          </w:tcPr>
          <w:p w14:paraId="2A0D89CF" w14:textId="77777777" w:rsidR="009B1870" w:rsidRPr="002B0223" w:rsidRDefault="009B1870">
            <w:pPr>
              <w:rPr>
                <w:sz w:val="24"/>
                <w:szCs w:val="24"/>
              </w:rPr>
            </w:pPr>
            <w:r w:rsidRPr="002B0223">
              <w:rPr>
                <w:sz w:val="24"/>
                <w:szCs w:val="24"/>
              </w:rPr>
              <w:t>2023.gada 1</w:t>
            </w:r>
            <w:r w:rsidR="00B329BE" w:rsidRPr="002B0223">
              <w:rPr>
                <w:sz w:val="24"/>
                <w:szCs w:val="24"/>
              </w:rPr>
              <w:t>7</w:t>
            </w:r>
            <w:r w:rsidRPr="002B0223">
              <w:rPr>
                <w:sz w:val="24"/>
                <w:szCs w:val="24"/>
              </w:rPr>
              <w:t>.septembra viedoklis</w:t>
            </w:r>
          </w:p>
          <w:p w14:paraId="646C8863" w14:textId="77777777" w:rsidR="001F3C8C" w:rsidRPr="002B0223" w:rsidRDefault="00BE42DB">
            <w:pPr>
              <w:rPr>
                <w:sz w:val="24"/>
                <w:szCs w:val="24"/>
              </w:rPr>
            </w:pPr>
            <w:r w:rsidRPr="002B0223">
              <w:rPr>
                <w:sz w:val="24"/>
                <w:szCs w:val="24"/>
              </w:rPr>
              <w:t>Izpētot likumprojektu</w:t>
            </w:r>
            <w:r w:rsidR="00DC6F5C" w:rsidRPr="002B0223">
              <w:rPr>
                <w:sz w:val="24"/>
                <w:szCs w:val="24"/>
              </w:rPr>
              <w:t>,</w:t>
            </w:r>
            <w:r w:rsidRPr="002B0223">
              <w:rPr>
                <w:sz w:val="24"/>
                <w:szCs w:val="24"/>
              </w:rPr>
              <w:t xml:space="preserve"> vēlos vērst Jūsu uzmanību uz sekojošo:</w:t>
            </w:r>
          </w:p>
          <w:p w14:paraId="32B93507" w14:textId="77777777" w:rsidR="00BE42DB" w:rsidRPr="002B0223" w:rsidRDefault="00BE42DB">
            <w:pPr>
              <w:rPr>
                <w:sz w:val="24"/>
                <w:szCs w:val="24"/>
              </w:rPr>
            </w:pPr>
            <w:r w:rsidRPr="002B0223">
              <w:rPr>
                <w:sz w:val="24"/>
                <w:szCs w:val="24"/>
              </w:rPr>
              <w:t>1)</w:t>
            </w:r>
            <w:r w:rsidR="00E94EC4" w:rsidRPr="002B0223">
              <w:rPr>
                <w:sz w:val="24"/>
                <w:szCs w:val="24"/>
              </w:rPr>
              <w:t> </w:t>
            </w:r>
            <w:r w:rsidR="00397B43" w:rsidRPr="002B0223">
              <w:rPr>
                <w:sz w:val="24"/>
                <w:szCs w:val="24"/>
              </w:rPr>
              <w:t xml:space="preserve">likumprojekta </w:t>
            </w:r>
            <w:r w:rsidRPr="002B0223">
              <w:rPr>
                <w:sz w:val="24"/>
                <w:szCs w:val="24"/>
              </w:rPr>
              <w:t>36.2. apakšpunkts</w:t>
            </w:r>
            <w:r w:rsidR="00E94EC4" w:rsidRPr="002B0223">
              <w:rPr>
                <w:sz w:val="24"/>
                <w:szCs w:val="24"/>
              </w:rPr>
              <w:t xml:space="preserve"> – notiesātajiem tiek plānots aizliegt lietot spēļu konsoles ar bezvadu tīklu. Kopš 2005. gada visām spēļu konsolēm ir bezvadu sakaru modeļi, kuri pēdējos paaudzes konsolēs ir sistēmas integrēta sastāvdaļa, kas t.sk. spēļu kontrolieru darbību nodrošina, un kuru nav iespējams izņemt, neatgriezeniski nebojājot konsoli. Lūdzu ietvert likumprojektā </w:t>
            </w:r>
            <w:r w:rsidR="00E94EC4" w:rsidRPr="002B0223">
              <w:rPr>
                <w:sz w:val="24"/>
                <w:szCs w:val="24"/>
              </w:rPr>
              <w:lastRenderedPageBreak/>
              <w:t>norādi, ka likumprojekta 36.2. apakšpunktā paredzētais aizliegums neattiecas uz spēļu konsolēm, kuras jau atrodas notiesāto lietošanā;</w:t>
            </w:r>
          </w:p>
          <w:p w14:paraId="06341913" w14:textId="77777777" w:rsidR="00E94EC4" w:rsidRPr="002B0223" w:rsidRDefault="00E94EC4" w:rsidP="00E94EC4">
            <w:pPr>
              <w:rPr>
                <w:sz w:val="24"/>
                <w:szCs w:val="24"/>
              </w:rPr>
            </w:pPr>
            <w:r w:rsidRPr="002B0223">
              <w:rPr>
                <w:sz w:val="24"/>
                <w:szCs w:val="24"/>
              </w:rPr>
              <w:t>2) </w:t>
            </w:r>
            <w:r w:rsidR="00397B43" w:rsidRPr="002B0223">
              <w:rPr>
                <w:sz w:val="24"/>
                <w:szCs w:val="24"/>
              </w:rPr>
              <w:t xml:space="preserve">likumprojekta </w:t>
            </w:r>
            <w:r w:rsidRPr="002B0223">
              <w:rPr>
                <w:sz w:val="24"/>
                <w:szCs w:val="24"/>
              </w:rPr>
              <w:t xml:space="preserve">20. punkts ir absurds. Notiesātie lielākoties ir fiziski aktīvi (strādā, sporto u.c.), līdz ar to nepieciešamība mazgāt veļu ir būtiska. </w:t>
            </w:r>
            <w:r w:rsidR="00D277B7" w:rsidRPr="002B0223">
              <w:rPr>
                <w:sz w:val="24"/>
                <w:szCs w:val="24"/>
              </w:rPr>
              <w:t>Turklāt, lai notiesātie varētu ievērot likumprojekta 18. punktā noteikto pienākumu būt koptam, kārtīgam un ievērot personīgās higiēnas prasības, ir nepieciešams nodrošināt notiesātajiem biežāku veļas mazgāšanu (vismaz divas reizes nedēļā);</w:t>
            </w:r>
          </w:p>
          <w:p w14:paraId="17B2A4FA" w14:textId="77777777" w:rsidR="00D277B7" w:rsidRPr="002B0223" w:rsidRDefault="00D277B7" w:rsidP="00E94EC4">
            <w:pPr>
              <w:rPr>
                <w:sz w:val="24"/>
                <w:szCs w:val="24"/>
              </w:rPr>
            </w:pPr>
            <w:r w:rsidRPr="002B0223">
              <w:rPr>
                <w:sz w:val="24"/>
                <w:szCs w:val="24"/>
              </w:rPr>
              <w:t xml:space="preserve">3) likumprojekta 19. punktā ietvertais regulējums uzskatāms kā ņirgāšanās </w:t>
            </w:r>
            <w:r w:rsidR="000A2E1B" w:rsidRPr="002B0223">
              <w:rPr>
                <w:sz w:val="24"/>
                <w:szCs w:val="24"/>
              </w:rPr>
              <w:t>par notiesātajiem. Nevienā brīvības atņemšanas iestādē nav pirts, ir tikai dušas. Līdz ar to likumprojektā nepieciešams norādīt, ka brīvības atņemšanas iestāde notiesātajiem nodrošina mazgāšanos dušā;</w:t>
            </w:r>
          </w:p>
          <w:p w14:paraId="3B6FD1B4" w14:textId="77777777" w:rsidR="000A2E1B" w:rsidRPr="002B0223" w:rsidRDefault="000A2E1B" w:rsidP="00E94EC4">
            <w:pPr>
              <w:rPr>
                <w:sz w:val="24"/>
                <w:szCs w:val="24"/>
              </w:rPr>
            </w:pPr>
            <w:r w:rsidRPr="002B0223">
              <w:rPr>
                <w:sz w:val="24"/>
                <w:szCs w:val="24"/>
              </w:rPr>
              <w:t>4) likumprojekta 21. punkts ir absurds, jo naktīs sekcijās (dzīvojamās telpās) ar pārbaudēm nāk brīvības atņemšanas iestādes amatpersonas, tādējādi tiek pārtraukts notiesāto astoņu stundu naktsmiers;</w:t>
            </w:r>
          </w:p>
          <w:p w14:paraId="4BCCB9C9" w14:textId="77777777" w:rsidR="000A2E1B" w:rsidRPr="002B0223" w:rsidRDefault="000A2E1B" w:rsidP="00E94EC4">
            <w:pPr>
              <w:rPr>
                <w:sz w:val="24"/>
                <w:szCs w:val="24"/>
              </w:rPr>
            </w:pPr>
            <w:r w:rsidRPr="002B0223">
              <w:rPr>
                <w:sz w:val="24"/>
                <w:szCs w:val="24"/>
              </w:rPr>
              <w:t xml:space="preserve">5) likumprojekta 36.8., 36.9. un 36.12. apakšpunkts. Lai ievērotu likumprojekta 18. punktā noteikto pienākumu notiesātajam būt koptam, kārtīgam un ievērot personīgās higiēnas </w:t>
            </w:r>
            <w:r w:rsidRPr="002B0223">
              <w:rPr>
                <w:sz w:val="24"/>
                <w:szCs w:val="24"/>
              </w:rPr>
              <w:lastRenderedPageBreak/>
              <w:t>prasības, likumprojekta 36.8., 36.9. un 36.12. apakšpunktā minētajām ierīcēm jābūt bezmaksas. Pretējā gadījumā sanāk, lai notiesātai</w:t>
            </w:r>
            <w:r w:rsidR="00A17E7A" w:rsidRPr="002B0223">
              <w:rPr>
                <w:sz w:val="24"/>
                <w:szCs w:val="24"/>
              </w:rPr>
              <w:t>s</w:t>
            </w:r>
            <w:r w:rsidRPr="002B0223">
              <w:rPr>
                <w:sz w:val="24"/>
                <w:szCs w:val="24"/>
              </w:rPr>
              <w:t xml:space="preserve"> varētu izpildīt viņam uzlikto pienākumu, notiesātajam jātērē savi naudas līdzekļi, bet, ja līdzekļu nav, </w:t>
            </w:r>
            <w:r w:rsidR="00A17E7A" w:rsidRPr="002B0223">
              <w:rPr>
                <w:sz w:val="24"/>
                <w:szCs w:val="24"/>
              </w:rPr>
              <w:t>notiesātajam nav iespējams izpildīt pienākumu, par ko viņš var tikt sodīts;</w:t>
            </w:r>
          </w:p>
          <w:p w14:paraId="0800343B" w14:textId="77777777" w:rsidR="00A17E7A" w:rsidRPr="002B0223" w:rsidRDefault="00A17E7A" w:rsidP="00397B43">
            <w:pPr>
              <w:rPr>
                <w:sz w:val="24"/>
                <w:szCs w:val="24"/>
              </w:rPr>
            </w:pPr>
            <w:r w:rsidRPr="002B0223">
              <w:rPr>
                <w:sz w:val="24"/>
                <w:szCs w:val="24"/>
              </w:rPr>
              <w:t>6) likumprojekta 36.7. apakšpunkts paredz, ka notiesātajam, saņemot brīvības atņemšanas iestādes priekšnieka</w:t>
            </w:r>
            <w:r w:rsidR="00397B43" w:rsidRPr="002B0223">
              <w:rPr>
                <w:sz w:val="24"/>
                <w:szCs w:val="24"/>
              </w:rPr>
              <w:t xml:space="preserve"> atļauju</w:t>
            </w:r>
            <w:r w:rsidRPr="002B0223">
              <w:rPr>
                <w:sz w:val="24"/>
                <w:szCs w:val="24"/>
              </w:rPr>
              <w:t>, ir atļaut</w:t>
            </w:r>
            <w:r w:rsidR="00397B43" w:rsidRPr="002B0223">
              <w:rPr>
                <w:sz w:val="24"/>
                <w:szCs w:val="24"/>
              </w:rPr>
              <w:t>s</w:t>
            </w:r>
            <w:r w:rsidRPr="002B0223">
              <w:rPr>
                <w:sz w:val="24"/>
                <w:szCs w:val="24"/>
              </w:rPr>
              <w:t xml:space="preserve"> glabāt un lietot mazās </w:t>
            </w:r>
            <w:r w:rsidR="00397B43" w:rsidRPr="002B0223">
              <w:rPr>
                <w:sz w:val="24"/>
                <w:szCs w:val="24"/>
              </w:rPr>
              <w:t xml:space="preserve">austiņas ar vadu bez papildu funkcijām. Lūdzu ņemt vērā, ka no dzirdes veselības viedokļa mazās austiņas ir viskaitīgākās, jo skaņa neaizplūst nekur ārpus auss, bet gan ieiet tieši auss ejā, atsitas pret </w:t>
            </w:r>
            <w:proofErr w:type="spellStart"/>
            <w:r w:rsidR="00397B43" w:rsidRPr="002B0223">
              <w:rPr>
                <w:sz w:val="24"/>
                <w:szCs w:val="24"/>
              </w:rPr>
              <w:t>bungplēvīti</w:t>
            </w:r>
            <w:proofErr w:type="spellEnd"/>
            <w:r w:rsidR="00397B43" w:rsidRPr="002B0223">
              <w:rPr>
                <w:sz w:val="24"/>
                <w:szCs w:val="24"/>
              </w:rPr>
              <w:t xml:space="preserve">, ievibrē </w:t>
            </w:r>
            <w:proofErr w:type="spellStart"/>
            <w:r w:rsidR="00397B43" w:rsidRPr="002B0223">
              <w:rPr>
                <w:sz w:val="24"/>
                <w:szCs w:val="24"/>
              </w:rPr>
              <w:t>bungplēvīti</w:t>
            </w:r>
            <w:proofErr w:type="spellEnd"/>
            <w:r w:rsidR="00397B43" w:rsidRPr="002B0223">
              <w:rPr>
                <w:sz w:val="24"/>
                <w:szCs w:val="24"/>
              </w:rPr>
              <w:t xml:space="preserve"> un vibrācija aiziet līdz iekšējai auss. Tomēr lielās austiņas rada mazāku kaitējumu;</w:t>
            </w:r>
          </w:p>
          <w:p w14:paraId="0AE0779B" w14:textId="77777777" w:rsidR="00397B43" w:rsidRPr="002B0223" w:rsidRDefault="00397B43" w:rsidP="00397B43">
            <w:pPr>
              <w:rPr>
                <w:sz w:val="24"/>
                <w:szCs w:val="24"/>
              </w:rPr>
            </w:pPr>
            <w:r w:rsidRPr="002B0223">
              <w:rPr>
                <w:sz w:val="24"/>
                <w:szCs w:val="24"/>
              </w:rPr>
              <w:t xml:space="preserve">7) nepieciešams precizēt likumprojekta 84. punktu, konkrēti nosakot, ka notiesātā pilnīgo pārmeklēšanu veic brīvības atņemšanas iestādes ārstniecības persona, lai nerastos </w:t>
            </w:r>
            <w:r w:rsidR="0004217C" w:rsidRPr="002B0223">
              <w:rPr>
                <w:sz w:val="24"/>
                <w:szCs w:val="24"/>
              </w:rPr>
              <w:t>pārpratumi;</w:t>
            </w:r>
          </w:p>
          <w:p w14:paraId="60592350" w14:textId="77777777" w:rsidR="0004217C" w:rsidRPr="002B0223" w:rsidRDefault="0004217C" w:rsidP="00397B43">
            <w:pPr>
              <w:rPr>
                <w:i/>
                <w:sz w:val="24"/>
                <w:szCs w:val="24"/>
              </w:rPr>
            </w:pPr>
            <w:r w:rsidRPr="002B0223">
              <w:rPr>
                <w:sz w:val="24"/>
                <w:szCs w:val="24"/>
              </w:rPr>
              <w:t xml:space="preserve">8) uzskatu, ka likumprojekta 93. punkts ir prettiesisks un </w:t>
            </w:r>
            <w:proofErr w:type="spellStart"/>
            <w:r w:rsidRPr="002B0223">
              <w:rPr>
                <w:sz w:val="24"/>
                <w:szCs w:val="24"/>
              </w:rPr>
              <w:t>anahronisks</w:t>
            </w:r>
            <w:proofErr w:type="spellEnd"/>
            <w:r w:rsidRPr="002B0223">
              <w:rPr>
                <w:sz w:val="24"/>
                <w:szCs w:val="24"/>
              </w:rPr>
              <w:t>. Par minēto ir vairāki lēmumi un spriedumi gan nacionālajā, gan starptautiskajā līmenī</w:t>
            </w:r>
            <w:r w:rsidR="001D3AA3" w:rsidRPr="002B0223">
              <w:rPr>
                <w:sz w:val="24"/>
                <w:szCs w:val="24"/>
              </w:rPr>
              <w:t xml:space="preserve"> (</w:t>
            </w:r>
            <w:r w:rsidR="001D3AA3" w:rsidRPr="002B0223">
              <w:rPr>
                <w:i/>
                <w:sz w:val="24"/>
                <w:szCs w:val="24"/>
              </w:rPr>
              <w:t>Pilnu 2023. gada 1</w:t>
            </w:r>
            <w:r w:rsidR="00B329BE" w:rsidRPr="002B0223">
              <w:rPr>
                <w:i/>
                <w:sz w:val="24"/>
                <w:szCs w:val="24"/>
              </w:rPr>
              <w:t>7</w:t>
            </w:r>
            <w:r w:rsidR="001D3AA3" w:rsidRPr="002B0223">
              <w:rPr>
                <w:i/>
                <w:sz w:val="24"/>
                <w:szCs w:val="24"/>
              </w:rPr>
              <w:t>. septembra viedok</w:t>
            </w:r>
            <w:r w:rsidR="00800AB9" w:rsidRPr="002B0223">
              <w:rPr>
                <w:i/>
                <w:sz w:val="24"/>
                <w:szCs w:val="24"/>
              </w:rPr>
              <w:t>ļa tekstu lūdzu</w:t>
            </w:r>
            <w:r w:rsidR="001D3AA3" w:rsidRPr="002B0223">
              <w:rPr>
                <w:i/>
                <w:sz w:val="24"/>
                <w:szCs w:val="24"/>
              </w:rPr>
              <w:t xml:space="preserve"> skatīt zemāk).</w:t>
            </w:r>
          </w:p>
        </w:tc>
        <w:tc>
          <w:tcPr>
            <w:tcW w:w="2268" w:type="dxa"/>
          </w:tcPr>
          <w:p w14:paraId="70955DDA" w14:textId="1B5AA25B" w:rsidR="005261F0" w:rsidRDefault="004E5F03">
            <w:pPr>
              <w:rPr>
                <w:sz w:val="24"/>
                <w:szCs w:val="24"/>
              </w:rPr>
            </w:pPr>
            <w:r w:rsidRPr="002B0223">
              <w:rPr>
                <w:sz w:val="24"/>
                <w:szCs w:val="24"/>
              </w:rPr>
              <w:lastRenderedPageBreak/>
              <w:t>1)</w:t>
            </w:r>
            <w:r w:rsidR="00526D0C">
              <w:rPr>
                <w:sz w:val="24"/>
                <w:szCs w:val="24"/>
              </w:rPr>
              <w:t>Nav ņemts vērā</w:t>
            </w:r>
          </w:p>
          <w:p w14:paraId="5F9BEDCA" w14:textId="2D3E7479" w:rsidR="005261F0" w:rsidRDefault="005261F0">
            <w:pPr>
              <w:rPr>
                <w:sz w:val="24"/>
                <w:szCs w:val="24"/>
              </w:rPr>
            </w:pPr>
            <w:r>
              <w:rPr>
                <w:sz w:val="24"/>
                <w:szCs w:val="24"/>
              </w:rPr>
              <w:t>Anotācija papildināta ar skaidrojumu</w:t>
            </w:r>
          </w:p>
          <w:p w14:paraId="50071E99" w14:textId="77777777" w:rsidR="005261F0" w:rsidRPr="002B0223" w:rsidRDefault="005261F0">
            <w:pPr>
              <w:rPr>
                <w:sz w:val="24"/>
                <w:szCs w:val="24"/>
              </w:rPr>
            </w:pPr>
          </w:p>
          <w:p w14:paraId="604320E9" w14:textId="3C2DA8DA" w:rsidR="004E5F03" w:rsidRDefault="004E5F03">
            <w:pPr>
              <w:rPr>
                <w:sz w:val="24"/>
                <w:szCs w:val="24"/>
              </w:rPr>
            </w:pPr>
            <w:r w:rsidRPr="002B0223">
              <w:rPr>
                <w:sz w:val="24"/>
                <w:szCs w:val="24"/>
              </w:rPr>
              <w:t>2)</w:t>
            </w:r>
            <w:r w:rsidR="00DA5877" w:rsidRPr="002B0223">
              <w:rPr>
                <w:sz w:val="24"/>
                <w:szCs w:val="24"/>
              </w:rPr>
              <w:t> Nav ņemts vērā</w:t>
            </w:r>
          </w:p>
          <w:p w14:paraId="3EB381CC" w14:textId="77777777" w:rsidR="005261F0" w:rsidRPr="002B0223" w:rsidRDefault="005261F0">
            <w:pPr>
              <w:rPr>
                <w:sz w:val="24"/>
                <w:szCs w:val="24"/>
              </w:rPr>
            </w:pPr>
          </w:p>
          <w:p w14:paraId="248A2252" w14:textId="75BF0454" w:rsidR="004E5F03" w:rsidRPr="002B0223" w:rsidRDefault="004E5F03">
            <w:pPr>
              <w:rPr>
                <w:sz w:val="24"/>
                <w:szCs w:val="24"/>
              </w:rPr>
            </w:pPr>
            <w:r w:rsidRPr="002B0223">
              <w:rPr>
                <w:sz w:val="24"/>
                <w:szCs w:val="24"/>
              </w:rPr>
              <w:t>3) Ņemts vērā</w:t>
            </w:r>
          </w:p>
          <w:p w14:paraId="3C1610CA" w14:textId="2FFF5A76" w:rsidR="004E5F03" w:rsidRPr="002B0223" w:rsidRDefault="004E5F03">
            <w:pPr>
              <w:rPr>
                <w:sz w:val="24"/>
                <w:szCs w:val="24"/>
              </w:rPr>
            </w:pPr>
            <w:r w:rsidRPr="002B0223">
              <w:rPr>
                <w:sz w:val="24"/>
                <w:szCs w:val="24"/>
              </w:rPr>
              <w:t>Svītrot noteikumu projekta 19. punktā vārdi "</w:t>
            </w:r>
            <w:r w:rsidR="000E7DFA" w:rsidRPr="002B0223">
              <w:rPr>
                <w:sz w:val="24"/>
                <w:szCs w:val="24"/>
              </w:rPr>
              <w:t>pirtī vai</w:t>
            </w:r>
            <w:r w:rsidRPr="002B0223">
              <w:rPr>
                <w:sz w:val="24"/>
                <w:szCs w:val="24"/>
              </w:rPr>
              <w:t>"</w:t>
            </w:r>
            <w:r w:rsidR="000E7DFA" w:rsidRPr="002B0223">
              <w:rPr>
                <w:sz w:val="24"/>
                <w:szCs w:val="24"/>
              </w:rPr>
              <w:t>.</w:t>
            </w:r>
          </w:p>
          <w:p w14:paraId="723E3502" w14:textId="77777777" w:rsidR="000E7DFA" w:rsidRPr="002B0223" w:rsidRDefault="000E7DFA">
            <w:pPr>
              <w:rPr>
                <w:sz w:val="24"/>
                <w:szCs w:val="24"/>
              </w:rPr>
            </w:pPr>
          </w:p>
          <w:p w14:paraId="6657517C" w14:textId="13CEB978" w:rsidR="004E5F03" w:rsidRPr="002B0223" w:rsidRDefault="004E5F03">
            <w:pPr>
              <w:rPr>
                <w:sz w:val="24"/>
                <w:szCs w:val="24"/>
              </w:rPr>
            </w:pPr>
            <w:r w:rsidRPr="002B0223">
              <w:rPr>
                <w:sz w:val="24"/>
                <w:szCs w:val="24"/>
              </w:rPr>
              <w:t>4</w:t>
            </w:r>
            <w:r w:rsidR="000E7DFA" w:rsidRPr="002B0223">
              <w:rPr>
                <w:sz w:val="24"/>
                <w:szCs w:val="24"/>
              </w:rPr>
              <w:t>) Nav ņemts vērā</w:t>
            </w:r>
          </w:p>
          <w:p w14:paraId="7CADF334" w14:textId="77777777" w:rsidR="000E7DFA" w:rsidRPr="002B0223" w:rsidRDefault="000E7DFA">
            <w:pPr>
              <w:rPr>
                <w:sz w:val="24"/>
                <w:szCs w:val="24"/>
              </w:rPr>
            </w:pPr>
          </w:p>
          <w:p w14:paraId="2F2F5557" w14:textId="4CEC39F4" w:rsidR="004E5F03" w:rsidRPr="002B0223" w:rsidRDefault="004E5F03">
            <w:pPr>
              <w:rPr>
                <w:sz w:val="24"/>
                <w:szCs w:val="24"/>
              </w:rPr>
            </w:pPr>
            <w:r w:rsidRPr="002B0223">
              <w:rPr>
                <w:sz w:val="24"/>
                <w:szCs w:val="24"/>
              </w:rPr>
              <w:lastRenderedPageBreak/>
              <w:t>5)</w:t>
            </w:r>
            <w:r w:rsidR="00A315CE" w:rsidRPr="002B0223">
              <w:rPr>
                <w:sz w:val="24"/>
                <w:szCs w:val="24"/>
              </w:rPr>
              <w:t> Nav ņemts vērā</w:t>
            </w:r>
          </w:p>
          <w:p w14:paraId="1D782BEC" w14:textId="77777777" w:rsidR="00A315CE" w:rsidRPr="002B0223" w:rsidRDefault="00A315CE">
            <w:pPr>
              <w:rPr>
                <w:sz w:val="24"/>
                <w:szCs w:val="24"/>
              </w:rPr>
            </w:pPr>
          </w:p>
          <w:p w14:paraId="063A9192" w14:textId="30347C08" w:rsidR="004E5F03" w:rsidRPr="002B0223" w:rsidRDefault="004E5F03">
            <w:pPr>
              <w:rPr>
                <w:sz w:val="24"/>
                <w:szCs w:val="24"/>
              </w:rPr>
            </w:pPr>
            <w:r w:rsidRPr="002B0223">
              <w:rPr>
                <w:sz w:val="24"/>
                <w:szCs w:val="24"/>
              </w:rPr>
              <w:t>6)</w:t>
            </w:r>
            <w:r w:rsidR="00A315CE" w:rsidRPr="002B0223">
              <w:rPr>
                <w:sz w:val="24"/>
                <w:szCs w:val="24"/>
              </w:rPr>
              <w:t> Nav ņemts vērā</w:t>
            </w:r>
          </w:p>
          <w:p w14:paraId="68870FE7" w14:textId="77777777" w:rsidR="00A315CE" w:rsidRPr="002B0223" w:rsidRDefault="00A315CE">
            <w:pPr>
              <w:rPr>
                <w:sz w:val="24"/>
                <w:szCs w:val="24"/>
              </w:rPr>
            </w:pPr>
          </w:p>
          <w:p w14:paraId="6C29B522" w14:textId="22BCDD30" w:rsidR="004E5F03" w:rsidRPr="002B0223" w:rsidRDefault="004E5F03">
            <w:pPr>
              <w:rPr>
                <w:sz w:val="24"/>
                <w:szCs w:val="24"/>
              </w:rPr>
            </w:pPr>
            <w:r w:rsidRPr="002B0223">
              <w:rPr>
                <w:sz w:val="24"/>
                <w:szCs w:val="24"/>
              </w:rPr>
              <w:t>7)</w:t>
            </w:r>
            <w:r w:rsidR="00A315CE" w:rsidRPr="002B0223">
              <w:rPr>
                <w:sz w:val="24"/>
                <w:szCs w:val="24"/>
              </w:rPr>
              <w:t> Nav ņemts vērā</w:t>
            </w:r>
          </w:p>
          <w:p w14:paraId="427E388E" w14:textId="77777777" w:rsidR="00A315CE" w:rsidRPr="002B0223" w:rsidRDefault="00A315CE">
            <w:pPr>
              <w:rPr>
                <w:sz w:val="24"/>
                <w:szCs w:val="24"/>
              </w:rPr>
            </w:pPr>
          </w:p>
          <w:p w14:paraId="56ACA222" w14:textId="41572822" w:rsidR="004E5F03" w:rsidRPr="002B0223" w:rsidRDefault="004E5F03">
            <w:pPr>
              <w:rPr>
                <w:sz w:val="24"/>
                <w:szCs w:val="24"/>
              </w:rPr>
            </w:pPr>
            <w:r w:rsidRPr="002B0223">
              <w:rPr>
                <w:sz w:val="24"/>
                <w:szCs w:val="24"/>
              </w:rPr>
              <w:t>8)</w:t>
            </w:r>
            <w:r w:rsidR="00A315CE" w:rsidRPr="002B0223">
              <w:rPr>
                <w:sz w:val="24"/>
                <w:szCs w:val="24"/>
              </w:rPr>
              <w:t> Nav ņemts vērā</w:t>
            </w:r>
          </w:p>
        </w:tc>
        <w:tc>
          <w:tcPr>
            <w:tcW w:w="4111" w:type="dxa"/>
          </w:tcPr>
          <w:p w14:paraId="4315034D" w14:textId="23BABE30" w:rsidR="00FC4822" w:rsidRPr="00FC4822" w:rsidRDefault="004E5F03" w:rsidP="00FC4822">
            <w:pPr>
              <w:rPr>
                <w:sz w:val="24"/>
                <w:szCs w:val="24"/>
              </w:rPr>
            </w:pPr>
            <w:r w:rsidRPr="002B0223">
              <w:rPr>
                <w:sz w:val="24"/>
                <w:szCs w:val="24"/>
              </w:rPr>
              <w:lastRenderedPageBreak/>
              <w:t>1)</w:t>
            </w:r>
            <w:r w:rsidR="002F5786">
              <w:rPr>
                <w:sz w:val="24"/>
                <w:szCs w:val="24"/>
              </w:rPr>
              <w:t> </w:t>
            </w:r>
            <w:r w:rsidR="00526D0C" w:rsidRPr="002B0223">
              <w:rPr>
                <w:sz w:val="24"/>
                <w:szCs w:val="24"/>
              </w:rPr>
              <w:t xml:space="preserve"> </w:t>
            </w:r>
            <w:r w:rsidR="00FC4822" w:rsidRPr="00FC4822">
              <w:rPr>
                <w:sz w:val="24"/>
                <w:szCs w:val="24"/>
              </w:rPr>
              <w:t xml:space="preserve">Noteikumu projekta 37. punktā uzskaitīta personīgā sadzīves tehnika, kuru notiesātajam, saņemot brīvības atņemšanas iestādes priekšnieka atļauju, ir tiesības glabāt un dienas kārtībā noteiktajā laikā lietot. </w:t>
            </w:r>
          </w:p>
          <w:p w14:paraId="1E25AA59" w14:textId="238BDE6D" w:rsidR="00FC4822" w:rsidRPr="002B0223" w:rsidRDefault="00FC4822" w:rsidP="00FC4822">
            <w:pPr>
              <w:rPr>
                <w:sz w:val="24"/>
                <w:szCs w:val="24"/>
              </w:rPr>
            </w:pPr>
            <w:r w:rsidRPr="00FC4822">
              <w:rPr>
                <w:sz w:val="24"/>
                <w:szCs w:val="24"/>
              </w:rPr>
              <w:t xml:space="preserve">Šobrīd atbilstoši normatīvajam regulējumam notiesātajiem ir atļauts izmantot televizoram pievienojamās videospēles. Proti, Noteikumu Nr. 423 40. punkts noteic, ka, saņemot brīvības atņemšanas iestādes administrācijas atļauju, notiesātie kamerās un </w:t>
            </w:r>
            <w:r w:rsidRPr="00FC4822">
              <w:rPr>
                <w:sz w:val="24"/>
                <w:szCs w:val="24"/>
              </w:rPr>
              <w:lastRenderedPageBreak/>
              <w:t xml:space="preserve">koplietošanas telpās dienas kārtībā noteiktajā laikā var lietot televizoriem pievienojamās videospēles. Tāpat attiecīgi videospēles ir iekļautas Noteikumu Nr. 423 1. pielikuma "Priekšmeti un pārtikas produkti, kurus notiesātajam ir atļauts glabāt" 10.1. apakšpunktā un 11. pielikuma "Priekšmeti, kurus atļauts nodot sūtījumos un pienesumos" 10.1. apakšpunktā. Tomēr videospēļu iekārtas pēdējo gadu laikā ir strauji attīstījušas, un to funkcionalitāte, cita starpā, paredz iespēju tās izmantot ne tikai videospēļu spēlēšanai, bet arī neatļautai ieslodzīto saziņai – gan savā starpā, gan saziņai ar personām ārpus ieslodzījuma vietas. Pie tam jaunajām videospēļu iekārtām ir bezvadu kontrolieri (pultis) ar adaptīvām pogām un taustes sajūtu tehnoloģiju, kā arī iebūvēta rācija, kas nodrošina spēlētajiem iespēju savstarpēji sazināties. Līdz ar to ieslodzītajiem, izmantojot jaunākās videospēļu iekārtas, nav nepieciešams pat ielādēt vai izmantot sazināšanas platformas, lai sarakstītos vai sazinātos ar citām personām, pietiek vien izmantot videospēļu iekārtu kontrolieri (pulti). Praksē ar vien biežāk tiek konstatēts, ka ieslodzītie videospēļu iekārtu izmanto kā neatļautu saziņas līdzekli ne tikai sarunām ar radiniekiem un laulāto, </w:t>
            </w:r>
            <w:r w:rsidRPr="00FC4822">
              <w:rPr>
                <w:sz w:val="24"/>
                <w:szCs w:val="24"/>
              </w:rPr>
              <w:lastRenderedPageBreak/>
              <w:t xml:space="preserve">veicinot sociāli lietderīgu saikņu saglabāšanu vai atjaunošanu, bet arī ar citām personām noziedzīgo kontaktu turpināšanai, jaunu noziedzīgu nodarījumu veikšanai un organizēšanai. Turklāt, videospēļu iekārta kā neatļauts saziņas līdzeklis tiek izmantots ne tikai komunikācijai ar citām personām ārpus ieslodzījuma vietas, bet arī saziņai ar ieslodzītajiem, kas izvietoti citās ieslodzījuma vietās. Tādējādi, ieslodzītie var ietekmēt kriminālsoda izpildi, izmeklēšanas gaitu vai izmeklēšanas procesu, piemēram, ietekmējot lieciniekus vai saskaņojot liecības. Tāpat ieslodzītie, atrodoties ieslodzījumu vietās un izmantojot videospēļu iekārtu kā neatļautu saziņas līdzekli, var koordinēt dažādu noziedzīgu grupu darbības ārpus ieslodzījuma vietas, kā arī organizēt nelegālus finanšu darījumus, piemēram, naudas atmazgāšanu, krāpšanu vai nelegālu līdzekļu pārvedumus. Izmantojot neatļautus saziņas līdzekļus, ieslodzītie var plānot bēgšanu no ieslodzījuma vietas, saskaņojot un izstrādājot detalizētu bēgšanas plānu un nodrošinot nepieciešamos resursus un līdzekļus. Šāda ieslodzīto rīcība nodara kaitējumu ļoti plašām sabiedrības interesēm – sākot no valsts drošības interesēm un beidzot ar personas veselību un dzīvību. </w:t>
            </w:r>
            <w:r w:rsidRPr="00FC4822">
              <w:rPr>
                <w:sz w:val="24"/>
                <w:szCs w:val="24"/>
              </w:rPr>
              <w:lastRenderedPageBreak/>
              <w:t xml:space="preserve">Tādējādi tiek apdraudēta ne tikai ieslodzījuma vietu drošība, bet arī sabiedrības drošība kopumā. Kaut arī ieslodzījuma vietās tiek veikti pasākumi, lai mazinātu šādas saziņas iespējas, tomēr videospēļu iekārtu funkcionalitāte paver ar vien lielākas iespējas tās izmantot neatļautai saziņai. Un, kamēr tās ir iekļautas ieslodzītajiem atļauto sadzīves priekšmetu klāstā, nav iespējams pilnībā novērst riskus, ka videospēļu iekārtas netiks izmantotas neatļautai saziņai gan ieslodzīto starpā, gan arī ārpus ieslodzījuma vietas. Ņemot vērā minēto, noteikumu projekta 37.2. apakšpunkts noteic, ka notiesātais, saņemot brīvības atņemšanas iestādes priekšnieka atļauju, var glabāt un dienas noteiktajā laikā lietot tādas </w:t>
            </w:r>
            <w:r w:rsidR="00F77B86" w:rsidRPr="00F77B86">
              <w:rPr>
                <w:sz w:val="24"/>
                <w:szCs w:val="24"/>
              </w:rPr>
              <w:t>televizoram pievienojamas videospēļu iekārtas, kuras nerada neatļautas saziņas risku</w:t>
            </w:r>
            <w:r w:rsidR="00F77B86">
              <w:rPr>
                <w:sz w:val="24"/>
                <w:szCs w:val="24"/>
              </w:rPr>
              <w:t xml:space="preserve">. </w:t>
            </w:r>
            <w:r w:rsidRPr="00FC4822">
              <w:rPr>
                <w:sz w:val="24"/>
                <w:szCs w:val="24"/>
              </w:rPr>
              <w:t xml:space="preserve">Atļautie saziņas veidi ir minēti Kodeksā, kā piemēram, brīvības atņemšanas iestādes telefons, īslaicīga un ilgstoša satikšanās, vēstules u.c. Ja attiecīgais sazināšanas veids nav minēts Kodeksā, tātad tas ir uzskatāms par neatļautu saziņas veidu. Tas nozīmē, ka notiesājam ir atļauts glabāt un lietot tikai tādu videospēļu iekārtu, kuru nav iespējams nekādā veidā izmantot neatļautai saziņai gan ieslodzīto starpā, gan arī ārpus ieslodzījuma vietas, proti, kuru tehniski </w:t>
            </w:r>
            <w:r w:rsidRPr="00FC4822">
              <w:rPr>
                <w:sz w:val="24"/>
                <w:szCs w:val="24"/>
              </w:rPr>
              <w:lastRenderedPageBreak/>
              <w:t>nav iespējams nekādā veidā patstāvīgi vai pievienojot citai ierīcei pieslēgt interneta tīklam vai citam datu pārraides tīklam, tāpat kuru tehniski nevar izmantot kā rāciju, telefonu, datoru, planšetdatoru, datu nesēju, video vai audio raidītāju.</w:t>
            </w:r>
          </w:p>
          <w:p w14:paraId="7616DC76" w14:textId="77777777" w:rsidR="00526D0C" w:rsidRPr="002B0223" w:rsidRDefault="00526D0C" w:rsidP="00526D0C">
            <w:pPr>
              <w:rPr>
                <w:sz w:val="24"/>
                <w:szCs w:val="24"/>
              </w:rPr>
            </w:pPr>
          </w:p>
          <w:p w14:paraId="098F6798" w14:textId="7AAF0EB3" w:rsidR="004E5F03" w:rsidRPr="002B0223" w:rsidRDefault="004E5F03">
            <w:pPr>
              <w:rPr>
                <w:sz w:val="24"/>
                <w:szCs w:val="24"/>
              </w:rPr>
            </w:pPr>
            <w:r w:rsidRPr="002B0223">
              <w:rPr>
                <w:sz w:val="24"/>
                <w:szCs w:val="24"/>
              </w:rPr>
              <w:t>2)</w:t>
            </w:r>
            <w:r w:rsidR="00245CE2" w:rsidRPr="002B0223">
              <w:rPr>
                <w:sz w:val="24"/>
                <w:szCs w:val="24"/>
              </w:rPr>
              <w:t xml:space="preserve"> Noteikumu projekta 20. punkts paredz, ka brīvības atņemšanas iestāde ne retāk kā reizi mēnesī nodrošina notiesātā apģērba mazgāšanos. Tātad brīvības atņemšanas iestādes administrācija, ņemot vērā notiesāto un veļas mazgāšanas mašīnu skaitu brīvības atņemšanas iestādē, var nodrošināt notiesātā apģērba mazgāšanos arī biežāk nekā vienu reizi mēnesī, ja </w:t>
            </w:r>
            <w:r w:rsidR="00191FE1" w:rsidRPr="002B0223">
              <w:rPr>
                <w:sz w:val="24"/>
                <w:szCs w:val="24"/>
              </w:rPr>
              <w:t xml:space="preserve">objektīvi </w:t>
            </w:r>
            <w:r w:rsidR="00245CE2" w:rsidRPr="002B0223">
              <w:rPr>
                <w:sz w:val="24"/>
                <w:szCs w:val="24"/>
              </w:rPr>
              <w:t xml:space="preserve">tāda iespēja pastāv, tomēr tā nevar nodrošināt apģērba mazgāšanos retāk nekā vienu reizi mēnesī. Turklāt noteikumu projekta 19. punkts, cita starpā, noteic, ka brīvība atņemšanas iestāde notiesātajam nodrošina apakšveļas un gultas maiņu ne retāk kā vienu reizi septiņās dienās. </w:t>
            </w:r>
            <w:r w:rsidR="00191FE1" w:rsidRPr="002B0223">
              <w:rPr>
                <w:sz w:val="24"/>
                <w:szCs w:val="24"/>
              </w:rPr>
              <w:t xml:space="preserve">Tātad arī apakšveļas mazgāšanos brīvības atņemšanas iestādes administrācija var nodrošināt biežāk nekā ne kā vienu reizi septiņās dienās, ja objektīvi tāda iespēja pastāv. </w:t>
            </w:r>
            <w:r w:rsidR="00245CE2" w:rsidRPr="002B0223">
              <w:rPr>
                <w:sz w:val="24"/>
                <w:szCs w:val="24"/>
              </w:rPr>
              <w:t xml:space="preserve">Minētais nozīmē, ka </w:t>
            </w:r>
            <w:r w:rsidR="00191FE1" w:rsidRPr="002B0223">
              <w:rPr>
                <w:sz w:val="24"/>
                <w:szCs w:val="24"/>
              </w:rPr>
              <w:t xml:space="preserve">brīvības atņemšanas iestāde </w:t>
            </w:r>
            <w:r w:rsidR="00245CE2" w:rsidRPr="002B0223">
              <w:rPr>
                <w:sz w:val="24"/>
                <w:szCs w:val="24"/>
              </w:rPr>
              <w:t>notiesātajam nodrošina apakšveļas (apakšbik</w:t>
            </w:r>
            <w:r w:rsidR="00191FE1" w:rsidRPr="002B0223">
              <w:rPr>
                <w:sz w:val="24"/>
                <w:szCs w:val="24"/>
              </w:rPr>
              <w:t>šu</w:t>
            </w:r>
            <w:r w:rsidR="00245CE2" w:rsidRPr="002B0223">
              <w:rPr>
                <w:sz w:val="24"/>
                <w:szCs w:val="24"/>
              </w:rPr>
              <w:t>) mazgāšanu</w:t>
            </w:r>
            <w:r w:rsidR="00191FE1" w:rsidRPr="002B0223">
              <w:rPr>
                <w:sz w:val="24"/>
                <w:szCs w:val="24"/>
              </w:rPr>
              <w:t xml:space="preserve"> ne retāk kā </w:t>
            </w:r>
            <w:r w:rsidR="00191FE1" w:rsidRPr="002B0223">
              <w:rPr>
                <w:sz w:val="24"/>
                <w:szCs w:val="24"/>
              </w:rPr>
              <w:lastRenderedPageBreak/>
              <w:t>vienu reizi septiņās dienās, bet pārējā apģērba mazgāšanos – ne retāk kā reizi mēnesī. Turklāt, jāņem vērā, ka notiesātie patstāvīgi atrodas slēgtā vidē, kurā ir ierobežota iespēja sasmērēt apģērbu (piemēram, apģērbs nav pakļauts nelabvēlīgiem apstākļiem, notiesātie nestrādā</w:t>
            </w:r>
            <w:r w:rsidR="00DA5877" w:rsidRPr="002B0223">
              <w:rPr>
                <w:sz w:val="24"/>
                <w:szCs w:val="24"/>
              </w:rPr>
              <w:t xml:space="preserve"> tādos</w:t>
            </w:r>
            <w:r w:rsidR="00191FE1" w:rsidRPr="002B0223">
              <w:rPr>
                <w:sz w:val="24"/>
                <w:szCs w:val="24"/>
              </w:rPr>
              <w:t xml:space="preserve"> darbos, </w:t>
            </w:r>
            <w:r w:rsidR="00DA5877" w:rsidRPr="002B0223">
              <w:rPr>
                <w:sz w:val="24"/>
                <w:szCs w:val="24"/>
              </w:rPr>
              <w:t>no kuriem rodas netīrumi, notiesāto kameras pastāvīgi tiek uzkoptas).</w:t>
            </w:r>
          </w:p>
          <w:p w14:paraId="3FFBBC02" w14:textId="77777777" w:rsidR="00245CE2" w:rsidRPr="002B0223" w:rsidRDefault="00245CE2">
            <w:pPr>
              <w:rPr>
                <w:sz w:val="24"/>
                <w:szCs w:val="24"/>
              </w:rPr>
            </w:pPr>
          </w:p>
          <w:p w14:paraId="74D4E097" w14:textId="3B465AE6" w:rsidR="004E5F03" w:rsidRPr="002B0223" w:rsidRDefault="004E5F03">
            <w:pPr>
              <w:rPr>
                <w:sz w:val="24"/>
                <w:szCs w:val="24"/>
              </w:rPr>
            </w:pPr>
            <w:r w:rsidRPr="002B0223">
              <w:rPr>
                <w:sz w:val="24"/>
                <w:szCs w:val="24"/>
              </w:rPr>
              <w:t>3)</w:t>
            </w:r>
            <w:r w:rsidR="000E7DFA" w:rsidRPr="002B0223">
              <w:rPr>
                <w:sz w:val="24"/>
                <w:szCs w:val="24"/>
              </w:rPr>
              <w:t> </w:t>
            </w:r>
            <w:r w:rsidR="00595CF9" w:rsidRPr="002B0223">
              <w:rPr>
                <w:sz w:val="24"/>
                <w:szCs w:val="24"/>
              </w:rPr>
              <w:t>Noteikumu projekta</w:t>
            </w:r>
            <w:r w:rsidRPr="002B0223">
              <w:rPr>
                <w:sz w:val="24"/>
                <w:szCs w:val="24"/>
              </w:rPr>
              <w:t xml:space="preserve"> 19. punkts šādā redakcijā:</w:t>
            </w:r>
          </w:p>
          <w:p w14:paraId="54FC1836" w14:textId="0C776F1C" w:rsidR="004E5F03" w:rsidRPr="002B0223" w:rsidRDefault="004E5F03">
            <w:pPr>
              <w:rPr>
                <w:sz w:val="24"/>
                <w:szCs w:val="24"/>
              </w:rPr>
            </w:pPr>
            <w:r w:rsidRPr="002B0223">
              <w:rPr>
                <w:sz w:val="24"/>
                <w:szCs w:val="24"/>
              </w:rPr>
              <w:t>"</w:t>
            </w:r>
            <w:r w:rsidR="000E7DFA" w:rsidRPr="002B0223">
              <w:rPr>
                <w:sz w:val="24"/>
                <w:szCs w:val="24"/>
              </w:rPr>
              <w:t>Brīvības atņemšanas iestāde notiesātajiem nodrošina mazgāšanos dušā ne retāk kā divas reizes septiņās dienās, apakšveļas un gultas veļas maiņu ne retāk kā vienu reizi septiņās dienās.</w:t>
            </w:r>
            <w:r w:rsidRPr="002B0223">
              <w:rPr>
                <w:sz w:val="24"/>
                <w:szCs w:val="24"/>
              </w:rPr>
              <w:t>"</w:t>
            </w:r>
          </w:p>
          <w:p w14:paraId="4C354A0A" w14:textId="33663BEC" w:rsidR="004E5F03" w:rsidRPr="002B0223" w:rsidRDefault="004E5F03">
            <w:pPr>
              <w:rPr>
                <w:sz w:val="24"/>
                <w:szCs w:val="24"/>
              </w:rPr>
            </w:pPr>
          </w:p>
          <w:p w14:paraId="53058432" w14:textId="665050C3" w:rsidR="000D2010" w:rsidRPr="002B0223" w:rsidRDefault="004E5F03">
            <w:pPr>
              <w:rPr>
                <w:sz w:val="24"/>
                <w:szCs w:val="24"/>
              </w:rPr>
            </w:pPr>
            <w:r w:rsidRPr="002B0223">
              <w:rPr>
                <w:sz w:val="24"/>
                <w:szCs w:val="24"/>
              </w:rPr>
              <w:t>4)</w:t>
            </w:r>
            <w:r w:rsidR="000E7DFA" w:rsidRPr="002B0223">
              <w:rPr>
                <w:sz w:val="24"/>
                <w:szCs w:val="24"/>
              </w:rPr>
              <w:t xml:space="preserve"> Latvijas Sodu izpildes kodeksa 41. panta pirmā daļa noteic, ka režīma pamatnoteikumi brīvības atņemšanas iestādēs ir notiesāto obligāta izolācija un uzraudzība, lai viņiem nebūtu iespējams izdarīt jaunus noziedzīgus nodarījumus; viņiem noteikto pienākumu precīza bezierunu izpilde; dažādi režīma apstākļi atkarībā no notiesātā izdarītā noziedzīgā nodarījuma rakstura, viņa personības un uzvedības. No šīs tiesību normas izriet tieša prasība notiesātajiem ievērot režīma noteikumus, kas paredzēti Latvijas Sodu izpildes kodeksā, brīvības </w:t>
            </w:r>
            <w:r w:rsidR="000E7DFA" w:rsidRPr="002B0223">
              <w:rPr>
                <w:sz w:val="24"/>
                <w:szCs w:val="24"/>
              </w:rPr>
              <w:lastRenderedPageBreak/>
              <w:t>atņemšanas iestādes iekšējās kārtības noteikumos un brīvības atņemšanas iestādes priekšnieka izdotajos iekšējos normatīvajos aktos. Turklāt no minētās tiesību normas ir secināms, ka notiesātajiem brīvības atņemšanas iestādēs ir noteikts īpašs režīms, kura nodrošināšanas viena no pamatprasībām ir notiesātajiem noteikto pienākumu izpilde.</w:t>
            </w:r>
            <w:r w:rsidR="000D2010" w:rsidRPr="002B0223">
              <w:rPr>
                <w:sz w:val="24"/>
                <w:szCs w:val="24"/>
              </w:rPr>
              <w:t xml:space="preserve"> Tāpat saskaņā ar Ieslodzījuma vietu pārvaldes likuma 22. panta pirmās daļas 4. punktu amatpersonai, pildot dienesta uzdevumus, ir tiesības un pienākumi normatīvajos aktos noteiktajā kārtībā izdarīt personu apskati, telpu, mantu un apģērba pārbaudi. No minētā secināms, ka brīvības atņemšanas iestādes amatpersonai, pildot dienesta pienākumus, ir tiesības normatīvajos aktos noteiktajā kārtībā veikt gan notiesāto, gan telpu apskati jebkurā diennakts laikā. Lai nepieļautu, ka notiesātie veic darbības, kas var radīt apdraudējumu brīvības atņemšanas iestādes nodarbinātajiem vai citiem notiesātajiem, kā arī, lai novērstu priekšmetu, vielu un izstrādājumu, kurus aizliegts lietot un glabāt brīvības atņemšanas iestādē, pretlikumīgu izmantošanu, brīvības atņemšanas iestādes amatpersonai ir pienākums veikt notiesāto un telpu apskati. Notiesāto un telpu apskate atzīs</w:t>
            </w:r>
            <w:r w:rsidR="00E07B60" w:rsidRPr="002B0223">
              <w:rPr>
                <w:sz w:val="24"/>
                <w:szCs w:val="24"/>
              </w:rPr>
              <w:t xml:space="preserve">tama par tādu brīvības </w:t>
            </w:r>
            <w:r w:rsidR="00E07B60" w:rsidRPr="002B0223">
              <w:rPr>
                <w:sz w:val="24"/>
                <w:szCs w:val="24"/>
              </w:rPr>
              <w:lastRenderedPageBreak/>
              <w:t>atņemšanas iestāžu procesuālo darbību, kas slēgtā vidē ir neizbēgama, un notiesātajiem, atrodoties brīvības atņemšanas iestādē, ir jārēķinās ar brīvības atņemšanas iestādes administrācijas plašajām pilnvarām veikt notiesāto, kameru un telpu skati un uzraudzību cauru diennakti, kas tiek veikta drošības pasākumu ietvaros. Līdz ar to brīvības atņemšanas iestādes amatpersonām ir tiesības pārvietoties pa gaiteņiem (sekcijās) naktī, lai kontrolētu pienācīgu brīvības atņemšanas soda izpildi no notiesāto puses. Brīvības atņemšanas iestādes amatpersonas nakts laikā cenšas pārvietoties pēc iespējas klusāk, jo apzinās, ka notiesātajiem ir naktsmiers</w:t>
            </w:r>
            <w:r w:rsidR="00A315CE" w:rsidRPr="002B0223">
              <w:rPr>
                <w:sz w:val="24"/>
                <w:szCs w:val="24"/>
              </w:rPr>
              <w:t xml:space="preserve">. Iespējams, ka durvju atvēršana un aizvēršana brīvības atņemšanas iestādē nakts laikā var radīt trokšņus, tomēr šie trokšņi nav tādi, kas nesamērīgi ierobežotu notiesātā tiesības uz astoņu stundu nepārtraukta miega. </w:t>
            </w:r>
          </w:p>
          <w:p w14:paraId="34803194" w14:textId="77777777" w:rsidR="000D2010" w:rsidRPr="002B0223" w:rsidRDefault="000D2010">
            <w:pPr>
              <w:rPr>
                <w:sz w:val="24"/>
                <w:szCs w:val="24"/>
              </w:rPr>
            </w:pPr>
          </w:p>
          <w:p w14:paraId="5C95D5DD" w14:textId="53D1243B" w:rsidR="004E5F03" w:rsidRPr="002B0223" w:rsidRDefault="004E5F03">
            <w:pPr>
              <w:rPr>
                <w:sz w:val="24"/>
                <w:szCs w:val="24"/>
              </w:rPr>
            </w:pPr>
            <w:r w:rsidRPr="002B0223">
              <w:rPr>
                <w:sz w:val="24"/>
                <w:szCs w:val="24"/>
              </w:rPr>
              <w:t>5)</w:t>
            </w:r>
            <w:r w:rsidR="00462908" w:rsidRPr="002B0223">
              <w:rPr>
                <w:sz w:val="24"/>
                <w:szCs w:val="24"/>
              </w:rPr>
              <w:t> Noteikumu projekta 3</w:t>
            </w:r>
            <w:r w:rsidR="002F5786">
              <w:rPr>
                <w:sz w:val="24"/>
                <w:szCs w:val="24"/>
              </w:rPr>
              <w:t>7</w:t>
            </w:r>
            <w:r w:rsidR="00462908" w:rsidRPr="002B0223">
              <w:rPr>
                <w:sz w:val="24"/>
                <w:szCs w:val="24"/>
              </w:rPr>
              <w:t>. punkts noteic, ka, saņemot brīvības atņemšanas iestādes priekšnieka atļauja, notiesātais var glabāt un dienas kārtībā noteiktajā laikā lietot elektrisko bārdas skujamo aparātu (3</w:t>
            </w:r>
            <w:r w:rsidR="002F5786">
              <w:rPr>
                <w:sz w:val="24"/>
                <w:szCs w:val="24"/>
              </w:rPr>
              <w:t>7</w:t>
            </w:r>
            <w:r w:rsidR="00462908" w:rsidRPr="002B0223">
              <w:rPr>
                <w:sz w:val="24"/>
                <w:szCs w:val="24"/>
              </w:rPr>
              <w:t>.</w:t>
            </w:r>
            <w:r w:rsidR="002F5786">
              <w:rPr>
                <w:sz w:val="24"/>
                <w:szCs w:val="24"/>
              </w:rPr>
              <w:t>7</w:t>
            </w:r>
            <w:r w:rsidR="00462908" w:rsidRPr="002B0223">
              <w:rPr>
                <w:sz w:val="24"/>
                <w:szCs w:val="24"/>
              </w:rPr>
              <w:t xml:space="preserve">. apakšpunkts); </w:t>
            </w:r>
            <w:r w:rsidR="002F5786">
              <w:rPr>
                <w:sz w:val="24"/>
                <w:szCs w:val="24"/>
              </w:rPr>
              <w:t xml:space="preserve">elektrisko </w:t>
            </w:r>
            <w:r w:rsidR="00462908" w:rsidRPr="002B0223">
              <w:rPr>
                <w:sz w:val="24"/>
                <w:szCs w:val="24"/>
              </w:rPr>
              <w:t>matu griežamo mašīnu (3</w:t>
            </w:r>
            <w:r w:rsidR="002F5786">
              <w:rPr>
                <w:sz w:val="24"/>
                <w:szCs w:val="24"/>
              </w:rPr>
              <w:t>7</w:t>
            </w:r>
            <w:r w:rsidR="00462908" w:rsidRPr="002B0223">
              <w:rPr>
                <w:sz w:val="24"/>
                <w:szCs w:val="24"/>
              </w:rPr>
              <w:t>.</w:t>
            </w:r>
            <w:r w:rsidR="002F5786">
              <w:rPr>
                <w:sz w:val="24"/>
                <w:szCs w:val="24"/>
              </w:rPr>
              <w:t>8</w:t>
            </w:r>
            <w:r w:rsidR="00462908" w:rsidRPr="002B0223">
              <w:rPr>
                <w:sz w:val="24"/>
                <w:szCs w:val="24"/>
              </w:rPr>
              <w:t xml:space="preserve">. apakšpunkts); sievietes – matu ieveidošanas ierīces </w:t>
            </w:r>
            <w:r w:rsidR="00462908" w:rsidRPr="002B0223">
              <w:rPr>
                <w:sz w:val="24"/>
                <w:szCs w:val="24"/>
              </w:rPr>
              <w:lastRenderedPageBreak/>
              <w:t>(3</w:t>
            </w:r>
            <w:r w:rsidR="002F5786">
              <w:rPr>
                <w:sz w:val="24"/>
                <w:szCs w:val="24"/>
              </w:rPr>
              <w:t>7</w:t>
            </w:r>
            <w:r w:rsidR="00462908" w:rsidRPr="002B0223">
              <w:rPr>
                <w:sz w:val="24"/>
                <w:szCs w:val="24"/>
              </w:rPr>
              <w:t>.1</w:t>
            </w:r>
            <w:r w:rsidR="002F5786">
              <w:rPr>
                <w:sz w:val="24"/>
                <w:szCs w:val="24"/>
              </w:rPr>
              <w:t>1</w:t>
            </w:r>
            <w:r w:rsidR="00462908" w:rsidRPr="002B0223">
              <w:rPr>
                <w:sz w:val="24"/>
                <w:szCs w:val="24"/>
              </w:rPr>
              <w:t>. apakšpunkts). Saskaņā ar noteikumu projekta 3</w:t>
            </w:r>
            <w:r w:rsidR="00F77B86">
              <w:rPr>
                <w:sz w:val="24"/>
                <w:szCs w:val="24"/>
              </w:rPr>
              <w:t>9</w:t>
            </w:r>
            <w:r w:rsidR="00462908" w:rsidRPr="002B0223">
              <w:rPr>
                <w:sz w:val="24"/>
                <w:szCs w:val="24"/>
              </w:rPr>
              <w:t>. punktu izdevumus par iepriekš norādīto sadzīves elektroiekārt</w:t>
            </w:r>
            <w:r w:rsidR="00C369DB" w:rsidRPr="002B0223">
              <w:rPr>
                <w:sz w:val="24"/>
                <w:szCs w:val="24"/>
              </w:rPr>
              <w:t>u</w:t>
            </w:r>
            <w:r w:rsidR="00462908" w:rsidRPr="002B0223">
              <w:rPr>
                <w:sz w:val="24"/>
                <w:szCs w:val="24"/>
              </w:rPr>
              <w:t xml:space="preserve"> patērēto elektroenerģiju sedz notiesā</w:t>
            </w:r>
            <w:r w:rsidR="00C369DB" w:rsidRPr="002B0223">
              <w:rPr>
                <w:sz w:val="24"/>
                <w:szCs w:val="24"/>
              </w:rPr>
              <w:t xml:space="preserve">tais. Līdz ar to, ja notiesātajam ir personīgie naudas līdzekļi, viņš ar brīvības atņemšanas iestādes priekšnieka atļauju var lietot elektrisko </w:t>
            </w:r>
            <w:r w:rsidR="00B450E6" w:rsidRPr="002B0223">
              <w:rPr>
                <w:sz w:val="24"/>
                <w:szCs w:val="24"/>
              </w:rPr>
              <w:t>bārda skujamo aparātu</w:t>
            </w:r>
            <w:r w:rsidR="00156A4D" w:rsidRPr="002B0223">
              <w:rPr>
                <w:sz w:val="24"/>
                <w:szCs w:val="24"/>
              </w:rPr>
              <w:t xml:space="preserve">, </w:t>
            </w:r>
            <w:r w:rsidR="002F5786">
              <w:rPr>
                <w:sz w:val="24"/>
                <w:szCs w:val="24"/>
              </w:rPr>
              <w:t xml:space="preserve">elektrisko </w:t>
            </w:r>
            <w:r w:rsidR="00156A4D" w:rsidRPr="002B0223">
              <w:rPr>
                <w:sz w:val="24"/>
                <w:szCs w:val="24"/>
              </w:rPr>
              <w:t>matu griežamo mašīnu un notiesātās sievietes – matu ieveidošanas ierīces, maksājot par patērēto elektroenerģiju. Tomēr, lai notiesātie, atrodoties brīvības atņemšanas iestādē, būtu kopti, kārtīgi un ievērotu personīgās higiēnas prasības, brīvības atņemšanas iestādes administrācija nodrošina notiesātajiem friziera pakalpojumus brīvības atņemšanas iestādē. Friziera pakalpojumus citiem notiesātajiem nodrošina notiesātais, kas nodarbināts brīvības atņemšanas iestādes saimnieciskajā apkalpē par frizieri.</w:t>
            </w:r>
            <w:r w:rsidR="001A6ED9" w:rsidRPr="002B0223">
              <w:rPr>
                <w:sz w:val="24"/>
                <w:szCs w:val="24"/>
              </w:rPr>
              <w:t xml:space="preserve"> </w:t>
            </w:r>
            <w:r w:rsidR="00017DBC" w:rsidRPr="002B0223">
              <w:rPr>
                <w:sz w:val="24"/>
                <w:szCs w:val="24"/>
              </w:rPr>
              <w:t xml:space="preserve">Saskaņā ar noteikumu projekta notiesātajam ir tiesības pienesumā un sūtījuma saņemt mehānisko bārdas skujamo aparātu (skuvekļus). </w:t>
            </w:r>
            <w:r w:rsidR="001A6ED9" w:rsidRPr="002B0223">
              <w:rPr>
                <w:sz w:val="24"/>
                <w:szCs w:val="24"/>
              </w:rPr>
              <w:t xml:space="preserve">Tāpat, ja notiesātais vēršas ar iesniegumu, kurā </w:t>
            </w:r>
            <w:r w:rsidR="00017DBC" w:rsidRPr="002B0223">
              <w:rPr>
                <w:sz w:val="24"/>
                <w:szCs w:val="24"/>
              </w:rPr>
              <w:t xml:space="preserve">izteikts lūgums nodrošināt viņu ar skuvekli, brīvības atņemšanas iestādes administrācija individuāli izvērtē </w:t>
            </w:r>
            <w:r w:rsidR="0047049E" w:rsidRPr="002B0223">
              <w:rPr>
                <w:sz w:val="24"/>
                <w:szCs w:val="24"/>
              </w:rPr>
              <w:t xml:space="preserve">šādu </w:t>
            </w:r>
            <w:r w:rsidR="00017DBC" w:rsidRPr="002B0223">
              <w:rPr>
                <w:sz w:val="24"/>
                <w:szCs w:val="24"/>
              </w:rPr>
              <w:t xml:space="preserve">notiesātā iesniegumu un nepieciešamības gadījumā, pirms tam </w:t>
            </w:r>
            <w:r w:rsidR="00017DBC" w:rsidRPr="002B0223">
              <w:rPr>
                <w:sz w:val="24"/>
                <w:szCs w:val="24"/>
              </w:rPr>
              <w:lastRenderedPageBreak/>
              <w:t xml:space="preserve">pārbaudot, vai notiesātajam personīgajā kontā ir finanšu līdzekļi, par kuriem viņš </w:t>
            </w:r>
            <w:r w:rsidR="0047049E" w:rsidRPr="002B0223">
              <w:rPr>
                <w:sz w:val="24"/>
                <w:szCs w:val="24"/>
              </w:rPr>
              <w:t xml:space="preserve">var iegādāties skuvekli, kā arī viņa iespējas to regulāri saņemt sūtījumus vai pienesumos, nodrošina notiesāto ar skuvekli. Ievērojot minēto, brīvības atņemšanas iestādes administrācija minimālā līmenī nodrošina, lai notiesātie būtu kārtīgi un kopti, atrodoties brīvības atņemšanas iestādē, kā arī lai viņi ievērotu personīgās higiēnas prasības. </w:t>
            </w:r>
          </w:p>
          <w:p w14:paraId="3064EC0B" w14:textId="473B8639" w:rsidR="0047049E" w:rsidRPr="002B0223" w:rsidRDefault="0047049E">
            <w:pPr>
              <w:rPr>
                <w:sz w:val="24"/>
                <w:szCs w:val="24"/>
              </w:rPr>
            </w:pPr>
            <w:r w:rsidRPr="002B0223">
              <w:rPr>
                <w:sz w:val="24"/>
                <w:szCs w:val="24"/>
              </w:rPr>
              <w:t xml:space="preserve">Tomēr matu veidošanas ierīces notiesātajām sievietēm nav saistītas </w:t>
            </w:r>
            <w:r w:rsidR="00671EFB" w:rsidRPr="002B0223">
              <w:rPr>
                <w:sz w:val="24"/>
                <w:szCs w:val="24"/>
              </w:rPr>
              <w:t xml:space="preserve">ar </w:t>
            </w:r>
            <w:r w:rsidR="00F81E72" w:rsidRPr="002B0223">
              <w:rPr>
                <w:sz w:val="24"/>
                <w:szCs w:val="24"/>
              </w:rPr>
              <w:t>higiēnas prasību ievērošanu, bet gan ar skaistuma procedūrām, kuras brīvības atņemšanas iestādes administrācijai nav jānodrošina atbilstoši normatīvajam regulējumam. Līdz notiesātās sievietes var lietot matu veidošanas ierīces, ja ir saņemta brīvības atņemšanas iestādes priekšnieka atļauja un ja viņiem ir personīgie finanšu līdzekļi, lai samaksātu par patērēto elektrību.</w:t>
            </w:r>
          </w:p>
          <w:p w14:paraId="77EDB333" w14:textId="77777777" w:rsidR="00462908" w:rsidRPr="002B0223" w:rsidRDefault="00462908">
            <w:pPr>
              <w:rPr>
                <w:sz w:val="24"/>
                <w:szCs w:val="24"/>
              </w:rPr>
            </w:pPr>
          </w:p>
          <w:p w14:paraId="421D91E2" w14:textId="3418CAFE" w:rsidR="004C2FBF" w:rsidRPr="002B0223" w:rsidRDefault="004E5F03">
            <w:pPr>
              <w:rPr>
                <w:sz w:val="24"/>
                <w:szCs w:val="24"/>
              </w:rPr>
            </w:pPr>
            <w:r w:rsidRPr="002B0223">
              <w:rPr>
                <w:sz w:val="24"/>
                <w:szCs w:val="24"/>
              </w:rPr>
              <w:t>6)</w:t>
            </w:r>
            <w:r w:rsidR="004E449E" w:rsidRPr="002B0223">
              <w:rPr>
                <w:sz w:val="24"/>
                <w:szCs w:val="24"/>
              </w:rPr>
              <w:t> </w:t>
            </w:r>
            <w:r w:rsidR="006337B5" w:rsidRPr="002B0223">
              <w:rPr>
                <w:sz w:val="24"/>
                <w:szCs w:val="24"/>
              </w:rPr>
              <w:t xml:space="preserve">Šobrīd saskaņā ar </w:t>
            </w:r>
            <w:r w:rsidR="005261F0">
              <w:rPr>
                <w:sz w:val="24"/>
                <w:szCs w:val="24"/>
              </w:rPr>
              <w:t xml:space="preserve">Noteikumu Nr. 423 </w:t>
            </w:r>
            <w:r w:rsidR="006337B5" w:rsidRPr="002B0223">
              <w:rPr>
                <w:sz w:val="24"/>
                <w:szCs w:val="24"/>
              </w:rPr>
              <w:t>40. punktu</w:t>
            </w:r>
            <w:r w:rsidR="00A101CA" w:rsidRPr="002B0223">
              <w:rPr>
                <w:sz w:val="24"/>
                <w:szCs w:val="24"/>
              </w:rPr>
              <w:t xml:space="preserve"> notiesāt</w:t>
            </w:r>
            <w:r w:rsidR="002F5786">
              <w:rPr>
                <w:sz w:val="24"/>
                <w:szCs w:val="24"/>
              </w:rPr>
              <w:t xml:space="preserve">ajiem nav tiesību glabāt un lietot austiņas. </w:t>
            </w:r>
            <w:r w:rsidR="00B82840" w:rsidRPr="002B0223">
              <w:rPr>
                <w:sz w:val="24"/>
                <w:szCs w:val="24"/>
              </w:rPr>
              <w:t>Ieslodzījuma vietu pārvalde, saņemot vairāku notiesāto iesniegumus ar lūgumu atļaut lietot austiņas brīvības atņemšanas iestādē, lai varētu norobežoties no pārējiem kameras biedriem un pavadīt laiku vienatnē</w:t>
            </w:r>
            <w:r w:rsidR="000834BB" w:rsidRPr="002B0223">
              <w:rPr>
                <w:sz w:val="24"/>
                <w:szCs w:val="24"/>
              </w:rPr>
              <w:t xml:space="preserve"> un ievērojot labas </w:t>
            </w:r>
            <w:r w:rsidR="000834BB" w:rsidRPr="002B0223">
              <w:rPr>
                <w:sz w:val="24"/>
                <w:szCs w:val="24"/>
              </w:rPr>
              <w:lastRenderedPageBreak/>
              <w:t xml:space="preserve">pārvaldības principu, noteikumu projektā ietvēra normu, kas paredz, ka notiesātais, saņemot brīvības atņemšanas iestādes priekšnieka atļauju, var lietot un glabāt mazās austiņas ar vadu bez papildu funkcijām, atklātajā cietumā arī bezvadu austiņas. Noteikumu projekta anotācijā jau sniegts skaidrojums, ka atļautas ir tādas austiņas, kuras ir stiprināmas (ieliekamas) ausīs un tām nav iebūvētā mikrofona. </w:t>
            </w:r>
            <w:r w:rsidR="004C2FBF" w:rsidRPr="002B0223">
              <w:rPr>
                <w:sz w:val="24"/>
                <w:szCs w:val="24"/>
              </w:rPr>
              <w:t xml:space="preserve">Mūzikas klausīšanās austiņās, neatkarīgi no to lieluma un veida, negatīvi ietekmē </w:t>
            </w:r>
            <w:r w:rsidR="0046718F" w:rsidRPr="002B0223">
              <w:rPr>
                <w:sz w:val="24"/>
                <w:szCs w:val="24"/>
              </w:rPr>
              <w:t xml:space="preserve">cilvēka dzirdi. Ja mūzika vai troksnis ausīs būs skaļš un/vai ilgstošs, un/vai regulārs, tas var izraisīt paliekošu, neatgriezenisku dzirdes nerva bojājumu, kas rezultējas ar dzirdes līmeņa samazinājumu. Raksturīgi, ka vispirms bojājums rodas augstas frekvences skaņu uztverē, ko uzreiz nevar pamanīt. </w:t>
            </w:r>
            <w:r w:rsidR="00902436" w:rsidRPr="002B0223">
              <w:rPr>
                <w:sz w:val="24"/>
                <w:szCs w:val="24"/>
              </w:rPr>
              <w:t xml:space="preserve">Iespējams, ka lielās austiņas ir mazāk kaitīgākas dzirdei nekā mazās austiņās, tomēr austiņu lielums nav vienīgais faktors, kas ietekmē cilvēka dzidri. Attiecībā uz mūzikas klausīšanu austiņās ir jāskatās trīs faktoru kombinācija, un tie ir: skaņas skaļums, ilgums (tas, cik ilgi auss bija pakļauta troksnim) un biežums (vai tas notiek katru dienu, nedēļu un pastāvīgi vai reti). Līdz ar to pats notiesātais, lietojot austiņas, var regulēt trokšņa ietekmi uz savu dzirdi. </w:t>
            </w:r>
            <w:r w:rsidR="00902436" w:rsidRPr="002B0223">
              <w:rPr>
                <w:sz w:val="24"/>
                <w:szCs w:val="24"/>
              </w:rPr>
              <w:lastRenderedPageBreak/>
              <w:t xml:space="preserve">Bez tam arī Pacientu tiesību likuma 15. panta pirmā daļa noteic, ka pacientam </w:t>
            </w:r>
            <w:r w:rsidR="00594247" w:rsidRPr="002B0223">
              <w:rPr>
                <w:sz w:val="24"/>
                <w:szCs w:val="24"/>
              </w:rPr>
              <w:t xml:space="preserve">(ikvienai personai) ir pienākums rūpēties par savu veselību. Turklāt atšķirība starp mūzikas klausīšanu lielajās un mazajās austiņās ir pavisam neliela, proti, tie varētu būt ap deviņiem decibeliem. </w:t>
            </w:r>
            <w:r w:rsidR="00594247" w:rsidRPr="002B0223">
              <w:rPr>
                <w:color w:val="2B292A"/>
                <w:sz w:val="24"/>
                <w:szCs w:val="24"/>
              </w:rPr>
              <w:t>Teiksim, ja klausīties ar mazajām austiņām mūziku 80 decibelu skaļumā, tad lielajās austiņās skaņa, kas nokļūst auss ejā, būs nedaudz virs 70 decibeliem. Līdz ar to notiesātais vienmēr var pagriez mūziku klusāk, lai tas mazāk ietekmētu viņa dzirdi.</w:t>
            </w:r>
          </w:p>
          <w:p w14:paraId="6DD842ED" w14:textId="1A729BD9" w:rsidR="004E449E" w:rsidRPr="002B0223" w:rsidRDefault="00594247" w:rsidP="00594247">
            <w:pPr>
              <w:rPr>
                <w:sz w:val="24"/>
                <w:szCs w:val="24"/>
              </w:rPr>
            </w:pPr>
            <w:r w:rsidRPr="002B0223">
              <w:rPr>
                <w:sz w:val="24"/>
                <w:szCs w:val="24"/>
              </w:rPr>
              <w:t xml:space="preserve">Pie tam </w:t>
            </w:r>
            <w:r w:rsidR="004C2FBF" w:rsidRPr="002B0223">
              <w:rPr>
                <w:sz w:val="24"/>
                <w:szCs w:val="24"/>
              </w:rPr>
              <w:t xml:space="preserve">austiņas, kas pilnībā aizsedz ausis un stiprinās ap galvu, var radīt brīvības atņemšanas iestādē apdraudējuma riskus, ņemot vērā, ka austiņās (kas pilnībā aizsedz ausi) var iestrādāt un slēpt brīvības atņemšanas iestādē neatļautus priekšmetus, vielas un izstrādājumus (piemērām, iestrādāt aiz austiņas polsterējuma vai plastmasas detaļām). </w:t>
            </w:r>
          </w:p>
          <w:p w14:paraId="2E977184" w14:textId="77777777" w:rsidR="004E449E" w:rsidRPr="002B0223" w:rsidRDefault="004E449E">
            <w:pPr>
              <w:rPr>
                <w:sz w:val="24"/>
                <w:szCs w:val="24"/>
              </w:rPr>
            </w:pPr>
          </w:p>
          <w:p w14:paraId="47C4BA00" w14:textId="49874285" w:rsidR="0056199F" w:rsidRPr="002B0223" w:rsidRDefault="004E5F03">
            <w:pPr>
              <w:rPr>
                <w:sz w:val="24"/>
                <w:szCs w:val="24"/>
              </w:rPr>
            </w:pPr>
            <w:r w:rsidRPr="002B0223">
              <w:rPr>
                <w:sz w:val="24"/>
                <w:szCs w:val="24"/>
              </w:rPr>
              <w:t>7)</w:t>
            </w:r>
            <w:r w:rsidR="0002388D" w:rsidRPr="002B0223">
              <w:rPr>
                <w:sz w:val="24"/>
                <w:szCs w:val="24"/>
              </w:rPr>
              <w:t> </w:t>
            </w:r>
            <w:r w:rsidR="0056199F" w:rsidRPr="002B0223">
              <w:rPr>
                <w:sz w:val="24"/>
                <w:szCs w:val="24"/>
              </w:rPr>
              <w:t>Lai nodrošinātu vienotu noteikumu projekta 8</w:t>
            </w:r>
            <w:r w:rsidR="002F5786">
              <w:rPr>
                <w:sz w:val="24"/>
                <w:szCs w:val="24"/>
              </w:rPr>
              <w:t>9</w:t>
            </w:r>
            <w:r w:rsidR="0056199F" w:rsidRPr="002B0223">
              <w:rPr>
                <w:sz w:val="24"/>
                <w:szCs w:val="24"/>
              </w:rPr>
              <w:t xml:space="preserve">. punkta interpretāciju, anotācija </w:t>
            </w:r>
            <w:r w:rsidR="0056199F" w:rsidRPr="00D80BE4">
              <w:rPr>
                <w:sz w:val="24"/>
                <w:szCs w:val="24"/>
              </w:rPr>
              <w:t>papildinātā ar šādu skaidrojumu:</w:t>
            </w:r>
          </w:p>
          <w:p w14:paraId="6BCB7D51" w14:textId="1CF64B15" w:rsidR="004E5F03" w:rsidRPr="002B0223" w:rsidRDefault="0056199F">
            <w:pPr>
              <w:rPr>
                <w:sz w:val="24"/>
                <w:szCs w:val="24"/>
              </w:rPr>
            </w:pPr>
            <w:r w:rsidRPr="002B0223">
              <w:rPr>
                <w:sz w:val="24"/>
                <w:szCs w:val="24"/>
              </w:rPr>
              <w:t>"</w:t>
            </w:r>
            <w:r w:rsidR="00263602" w:rsidRPr="002B0223">
              <w:rPr>
                <w:sz w:val="24"/>
                <w:szCs w:val="24"/>
              </w:rPr>
              <w:t xml:space="preserve">Ieslodzījuma vietu pārvaldes likuma 22. panta pirmās daļas 4. punkts noteic, ka amatpersonai, pildot dienesta uzdevumus, ir tiesības un pienākums </w:t>
            </w:r>
            <w:r w:rsidR="00263602" w:rsidRPr="002B0223">
              <w:rPr>
                <w:sz w:val="24"/>
                <w:szCs w:val="24"/>
              </w:rPr>
              <w:lastRenderedPageBreak/>
              <w:t>normatīvajos aktos noteiktajā kārtībā izdarīt personu apskati, telpu, mantu un apģērbu pārbaudi, arī izmantojot tehniskos līdzekļus, izņemt priekšmetus</w:t>
            </w:r>
            <w:r w:rsidRPr="002B0223">
              <w:rPr>
                <w:sz w:val="24"/>
                <w:szCs w:val="24"/>
              </w:rPr>
              <w:t xml:space="preserve">, izstrādājumus un vielas, kuras aizliegts ienest, lietot un glabāt ieslodzījuma vietā. Notiesāto var pārmeklēt, veicot pilnīgu pārmeklēšanu (ar personas izģērbšanos) vai daļēju pārmeklēšanu (bez personas izģērbšanās). Brīvības atņemšanas iestādes amatpersona notiesātā pilnīgās pārmeklēšanas laikā pārmeklē notiesātā apģērbu, mantas, galvassegu un apavus un pārbauda notiesātā ķermeni, protēzes un medicīniskās ierīces. Tātad notiesātā pilnīgā pārmeklēšana iever sevī gan </w:t>
            </w:r>
            <w:r w:rsidR="00595CF9" w:rsidRPr="002B0223">
              <w:rPr>
                <w:sz w:val="24"/>
                <w:szCs w:val="24"/>
              </w:rPr>
              <w:t>notiesātā pārmeklēšanu no ārpus, gan ķermeņa atveru pārbaudīšanu. Līdz ar to brīvības atņemšanas iestādes amatpersona pati veic notiesātā pārmeklēšanu no ārpus, tomēr, kad ir nepieciešams pārbaudīt notiesātā ķermeņa dobumus, protēzes vai medicīniskās saites, brīvības atņemšanas iestādes amatpersona pieaicina brīvības atņemšanas iestādes ārstniecības personu</w:t>
            </w:r>
            <w:r w:rsidR="00526D0C">
              <w:rPr>
                <w:sz w:val="24"/>
                <w:szCs w:val="24"/>
              </w:rPr>
              <w:t>".</w:t>
            </w:r>
          </w:p>
          <w:p w14:paraId="447985AB" w14:textId="77777777" w:rsidR="00263602" w:rsidRPr="002B0223" w:rsidRDefault="00263602">
            <w:pPr>
              <w:rPr>
                <w:sz w:val="24"/>
                <w:szCs w:val="24"/>
              </w:rPr>
            </w:pPr>
          </w:p>
          <w:p w14:paraId="0D3C8E7C" w14:textId="77777777" w:rsidR="004E5F03" w:rsidRPr="002B0223" w:rsidRDefault="004E5F03">
            <w:pPr>
              <w:rPr>
                <w:color w:val="auto"/>
                <w:sz w:val="24"/>
                <w:szCs w:val="24"/>
              </w:rPr>
            </w:pPr>
            <w:r w:rsidRPr="002B0223">
              <w:rPr>
                <w:sz w:val="24"/>
                <w:szCs w:val="24"/>
              </w:rPr>
              <w:t>8)</w:t>
            </w:r>
            <w:r w:rsidR="005822AD" w:rsidRPr="002B0223">
              <w:rPr>
                <w:sz w:val="24"/>
                <w:szCs w:val="24"/>
              </w:rPr>
              <w:t xml:space="preserve"> Latvijas Republikas Satversmes 96. pantā, Eiropas Padomes Cilvēktiesību un pamatbrīvību aizsardzības konvencijas 8. pantā un </w:t>
            </w:r>
            <w:r w:rsidR="005822AD" w:rsidRPr="002B0223">
              <w:rPr>
                <w:sz w:val="24"/>
                <w:szCs w:val="24"/>
              </w:rPr>
              <w:lastRenderedPageBreak/>
              <w:t xml:space="preserve">ANO Starptautiskā </w:t>
            </w:r>
            <w:proofErr w:type="spellStart"/>
            <w:r w:rsidR="005822AD" w:rsidRPr="002B0223">
              <w:rPr>
                <w:sz w:val="24"/>
                <w:szCs w:val="24"/>
              </w:rPr>
              <w:t>pakta</w:t>
            </w:r>
            <w:proofErr w:type="spellEnd"/>
            <w:r w:rsidR="005822AD" w:rsidRPr="002B0223">
              <w:rPr>
                <w:sz w:val="24"/>
                <w:szCs w:val="24"/>
              </w:rPr>
              <w:t xml:space="preserve"> par pilsoniskajām un politiskajām tiesībām 17. pantā ir garantētas personas tiesības uz privāto dzīvi. Tiesības uz privātās dzīves neaizskaramību ir ierobežojamas. Šādiem ierobežojumiem jābūt paredzētiem likumā ar mērķi aizsargāt citu cilvēku tiesības, demokrātiskas valsts iekārtu, sabiedrības drošību un tikumību. Lai ierobežojumi tiktu attaisnoti, tiem ir jābūt nepieciešamiem </w:t>
            </w:r>
            <w:r w:rsidR="005822AD" w:rsidRPr="002B0223">
              <w:rPr>
                <w:color w:val="auto"/>
                <w:sz w:val="24"/>
                <w:szCs w:val="24"/>
              </w:rPr>
              <w:t xml:space="preserve">demokrātiskā sabiedrībā un līdzekļiem jābūt samērīgiem sasniedzamajam mērķim. Neskatoties uz to, ka videonovērošana kamerās skar tiesības uz privāto dzīvi, pati par sevi video novērošana kamerās nepārkāpj cilvēktiesības, bet tikai tādā gadījumā, ja ir ievēroti iepriekš minētie nosacījumi. </w:t>
            </w:r>
          </w:p>
          <w:p w14:paraId="6ED8BDC9" w14:textId="77777777" w:rsidR="005822AD" w:rsidRPr="002B0223" w:rsidRDefault="005822AD">
            <w:pPr>
              <w:rPr>
                <w:rFonts w:eastAsiaTheme="minorHAnsi"/>
                <w:color w:val="auto"/>
                <w:sz w:val="24"/>
                <w:szCs w:val="24"/>
              </w:rPr>
            </w:pPr>
            <w:r w:rsidRPr="002B0223">
              <w:rPr>
                <w:rFonts w:eastAsiaTheme="minorHAnsi"/>
                <w:color w:val="auto"/>
                <w:sz w:val="24"/>
                <w:szCs w:val="24"/>
              </w:rPr>
              <w:t>Eiropas Cilvēktiesību tiesa vairākās lietās (</w:t>
            </w:r>
            <w:r w:rsidRPr="002B0223">
              <w:rPr>
                <w:rFonts w:eastAsiaTheme="minorHAnsi"/>
                <w:i/>
                <w:iCs/>
                <w:color w:val="auto"/>
                <w:sz w:val="24"/>
                <w:szCs w:val="24"/>
              </w:rPr>
              <w:t>sal. skat.</w:t>
            </w:r>
            <w:r w:rsidR="003245C7" w:rsidRPr="002B0223">
              <w:rPr>
                <w:rFonts w:eastAsiaTheme="minorHAnsi"/>
                <w:i/>
                <w:iCs/>
                <w:color w:val="auto"/>
                <w:sz w:val="24"/>
                <w:szCs w:val="24"/>
              </w:rPr>
              <w:t xml:space="preserve"> </w:t>
            </w:r>
            <w:r w:rsidRPr="002B0223">
              <w:rPr>
                <w:rFonts w:eastAsiaTheme="minorHAnsi"/>
                <w:i/>
                <w:iCs/>
                <w:color w:val="auto"/>
                <w:sz w:val="24"/>
                <w:szCs w:val="24"/>
              </w:rPr>
              <w:t xml:space="preserve">,piem., Eiropas Cilvēktiesību tiesas spriedumus lietās </w:t>
            </w:r>
            <w:proofErr w:type="spellStart"/>
            <w:r w:rsidRPr="002B0223">
              <w:rPr>
                <w:rFonts w:eastAsiaTheme="minorHAnsi"/>
                <w:i/>
                <w:iCs/>
                <w:color w:val="auto"/>
                <w:sz w:val="24"/>
                <w:szCs w:val="24"/>
              </w:rPr>
              <w:t>Paweł</w:t>
            </w:r>
            <w:proofErr w:type="spellEnd"/>
            <w:r w:rsidRPr="002B0223">
              <w:rPr>
                <w:rFonts w:eastAsiaTheme="minorHAnsi"/>
                <w:i/>
                <w:iCs/>
                <w:color w:val="auto"/>
                <w:sz w:val="24"/>
                <w:szCs w:val="24"/>
              </w:rPr>
              <w:t xml:space="preserve"> </w:t>
            </w:r>
            <w:proofErr w:type="spellStart"/>
            <w:r w:rsidRPr="002B0223">
              <w:rPr>
                <w:rFonts w:eastAsiaTheme="minorHAnsi"/>
                <w:i/>
                <w:iCs/>
                <w:color w:val="auto"/>
                <w:sz w:val="24"/>
                <w:szCs w:val="24"/>
              </w:rPr>
              <w:t>Pawlak</w:t>
            </w:r>
            <w:proofErr w:type="spellEnd"/>
            <w:r w:rsidRPr="002B0223">
              <w:rPr>
                <w:rFonts w:eastAsiaTheme="minorHAnsi"/>
                <w:i/>
                <w:iCs/>
                <w:color w:val="auto"/>
                <w:sz w:val="24"/>
                <w:szCs w:val="24"/>
              </w:rPr>
              <w:t xml:space="preserve"> v. </w:t>
            </w:r>
            <w:proofErr w:type="spellStart"/>
            <w:r w:rsidRPr="002B0223">
              <w:rPr>
                <w:rFonts w:eastAsiaTheme="minorHAnsi"/>
                <w:i/>
                <w:iCs/>
                <w:color w:val="auto"/>
                <w:sz w:val="24"/>
                <w:szCs w:val="24"/>
              </w:rPr>
              <w:t>Poland</w:t>
            </w:r>
            <w:proofErr w:type="spellEnd"/>
            <w:r w:rsidRPr="002B0223">
              <w:rPr>
                <w:rFonts w:eastAsiaTheme="minorHAnsi"/>
                <w:i/>
                <w:iCs/>
                <w:color w:val="auto"/>
                <w:sz w:val="24"/>
                <w:szCs w:val="24"/>
              </w:rPr>
              <w:t xml:space="preserve">, </w:t>
            </w:r>
            <w:proofErr w:type="spellStart"/>
            <w:r w:rsidRPr="002B0223">
              <w:rPr>
                <w:rFonts w:eastAsiaTheme="minorHAnsi"/>
                <w:i/>
                <w:iCs/>
                <w:color w:val="auto"/>
                <w:sz w:val="24"/>
                <w:szCs w:val="24"/>
              </w:rPr>
              <w:t>Piechowicz</w:t>
            </w:r>
            <w:proofErr w:type="spellEnd"/>
            <w:r w:rsidRPr="002B0223">
              <w:rPr>
                <w:rFonts w:eastAsiaTheme="minorHAnsi"/>
                <w:i/>
                <w:iCs/>
                <w:color w:val="auto"/>
                <w:sz w:val="24"/>
                <w:szCs w:val="24"/>
              </w:rPr>
              <w:t xml:space="preserve"> v. </w:t>
            </w:r>
            <w:proofErr w:type="spellStart"/>
            <w:r w:rsidRPr="002B0223">
              <w:rPr>
                <w:rFonts w:eastAsiaTheme="minorHAnsi"/>
                <w:i/>
                <w:iCs/>
                <w:color w:val="auto"/>
                <w:sz w:val="24"/>
                <w:szCs w:val="24"/>
              </w:rPr>
              <w:t>Poland</w:t>
            </w:r>
            <w:proofErr w:type="spellEnd"/>
            <w:r w:rsidRPr="002B0223">
              <w:rPr>
                <w:rFonts w:eastAsiaTheme="minorHAnsi"/>
                <w:i/>
                <w:iCs/>
                <w:color w:val="auto"/>
                <w:sz w:val="24"/>
                <w:szCs w:val="24"/>
              </w:rPr>
              <w:t xml:space="preserve">, </w:t>
            </w:r>
            <w:proofErr w:type="spellStart"/>
            <w:r w:rsidRPr="002B0223">
              <w:rPr>
                <w:rFonts w:eastAsiaTheme="minorHAnsi"/>
                <w:i/>
                <w:iCs/>
                <w:color w:val="auto"/>
                <w:sz w:val="24"/>
                <w:szCs w:val="24"/>
              </w:rPr>
              <w:t>Horych</w:t>
            </w:r>
            <w:proofErr w:type="spellEnd"/>
            <w:r w:rsidRPr="002B0223">
              <w:rPr>
                <w:rFonts w:eastAsiaTheme="minorHAnsi"/>
                <w:i/>
                <w:iCs/>
                <w:color w:val="auto"/>
                <w:sz w:val="24"/>
                <w:szCs w:val="24"/>
              </w:rPr>
              <w:t xml:space="preserve"> v. </w:t>
            </w:r>
            <w:proofErr w:type="spellStart"/>
            <w:r w:rsidRPr="002B0223">
              <w:rPr>
                <w:rFonts w:eastAsiaTheme="minorHAnsi"/>
                <w:i/>
                <w:iCs/>
                <w:color w:val="auto"/>
                <w:sz w:val="24"/>
                <w:szCs w:val="24"/>
              </w:rPr>
              <w:t>Poland</w:t>
            </w:r>
            <w:proofErr w:type="spellEnd"/>
            <w:r w:rsidRPr="002B0223">
              <w:rPr>
                <w:rFonts w:eastAsiaTheme="minorHAnsi"/>
                <w:i/>
                <w:iCs/>
                <w:color w:val="auto"/>
                <w:sz w:val="24"/>
                <w:szCs w:val="24"/>
              </w:rPr>
              <w:t xml:space="preserve">, </w:t>
            </w:r>
            <w:proofErr w:type="spellStart"/>
            <w:r w:rsidRPr="002B0223">
              <w:rPr>
                <w:rFonts w:eastAsiaTheme="minorHAnsi"/>
                <w:i/>
                <w:iCs/>
                <w:color w:val="auto"/>
                <w:sz w:val="24"/>
                <w:szCs w:val="24"/>
              </w:rPr>
              <w:t>Savičs</w:t>
            </w:r>
            <w:proofErr w:type="spellEnd"/>
            <w:r w:rsidRPr="002B0223">
              <w:rPr>
                <w:rFonts w:eastAsiaTheme="minorHAnsi"/>
                <w:i/>
                <w:iCs/>
                <w:color w:val="auto"/>
                <w:sz w:val="24"/>
                <w:szCs w:val="24"/>
              </w:rPr>
              <w:t xml:space="preserve"> </w:t>
            </w:r>
            <w:proofErr w:type="spellStart"/>
            <w:r w:rsidRPr="002B0223">
              <w:rPr>
                <w:rFonts w:eastAsiaTheme="minorHAnsi"/>
                <w:i/>
                <w:iCs/>
                <w:color w:val="auto"/>
                <w:sz w:val="24"/>
                <w:szCs w:val="24"/>
              </w:rPr>
              <w:t>v.Latvia</w:t>
            </w:r>
            <w:proofErr w:type="spellEnd"/>
            <w:r w:rsidRPr="002B0223">
              <w:rPr>
                <w:rFonts w:eastAsiaTheme="minorHAnsi"/>
                <w:i/>
                <w:iCs/>
                <w:color w:val="auto"/>
                <w:sz w:val="24"/>
                <w:szCs w:val="24"/>
              </w:rPr>
              <w:t xml:space="preserve">, </w:t>
            </w:r>
            <w:proofErr w:type="spellStart"/>
            <w:r w:rsidRPr="002B0223">
              <w:rPr>
                <w:rFonts w:eastAsiaTheme="minorHAnsi"/>
                <w:i/>
                <w:iCs/>
                <w:color w:val="auto"/>
                <w:sz w:val="24"/>
                <w:szCs w:val="24"/>
              </w:rPr>
              <w:t>Ramirez</w:t>
            </w:r>
            <w:proofErr w:type="spellEnd"/>
            <w:r w:rsidRPr="002B0223">
              <w:rPr>
                <w:rFonts w:eastAsiaTheme="minorHAnsi"/>
                <w:i/>
                <w:iCs/>
                <w:color w:val="auto"/>
                <w:sz w:val="24"/>
                <w:szCs w:val="24"/>
              </w:rPr>
              <w:t xml:space="preserve"> </w:t>
            </w:r>
            <w:proofErr w:type="spellStart"/>
            <w:r w:rsidRPr="002B0223">
              <w:rPr>
                <w:rFonts w:eastAsiaTheme="minorHAnsi"/>
                <w:i/>
                <w:iCs/>
                <w:color w:val="auto"/>
                <w:sz w:val="24"/>
                <w:szCs w:val="24"/>
              </w:rPr>
              <w:t>Sanchez</w:t>
            </w:r>
            <w:proofErr w:type="spellEnd"/>
            <w:r w:rsidRPr="002B0223">
              <w:rPr>
                <w:rFonts w:eastAsiaTheme="minorHAnsi"/>
                <w:i/>
                <w:iCs/>
                <w:color w:val="auto"/>
                <w:sz w:val="24"/>
                <w:szCs w:val="24"/>
              </w:rPr>
              <w:t xml:space="preserve"> v. </w:t>
            </w:r>
            <w:proofErr w:type="spellStart"/>
            <w:r w:rsidRPr="002B0223">
              <w:rPr>
                <w:rFonts w:eastAsiaTheme="minorHAnsi"/>
                <w:i/>
                <w:iCs/>
                <w:color w:val="auto"/>
                <w:sz w:val="24"/>
                <w:szCs w:val="24"/>
              </w:rPr>
              <w:t>France</w:t>
            </w:r>
            <w:proofErr w:type="spellEnd"/>
            <w:r w:rsidRPr="002B0223">
              <w:rPr>
                <w:rFonts w:eastAsiaTheme="minorHAnsi"/>
                <w:color w:val="auto"/>
                <w:sz w:val="24"/>
                <w:szCs w:val="24"/>
              </w:rPr>
              <w:t>) ir secinājusi, ka īslaicīgu pakļaušanu nepārtrauktai videonovērošanai nav pamata atzīt par nelikumīgu un pārmērīgu drošības pasākumu īstenošanu</w:t>
            </w:r>
            <w:r w:rsidR="003245C7" w:rsidRPr="002B0223">
              <w:rPr>
                <w:rFonts w:eastAsiaTheme="minorHAnsi"/>
                <w:color w:val="auto"/>
                <w:sz w:val="24"/>
                <w:szCs w:val="24"/>
              </w:rPr>
              <w:t xml:space="preserve">. Turklāt Eiropas Cilvēktiesību tiesa lietās </w:t>
            </w:r>
            <w:proofErr w:type="spellStart"/>
            <w:r w:rsidR="003245C7" w:rsidRPr="002B0223">
              <w:rPr>
                <w:rFonts w:eastAsiaTheme="minorHAnsi"/>
                <w:i/>
                <w:color w:val="auto"/>
                <w:sz w:val="24"/>
                <w:szCs w:val="24"/>
              </w:rPr>
              <w:t>Piechowicz</w:t>
            </w:r>
            <w:proofErr w:type="spellEnd"/>
            <w:r w:rsidR="003245C7" w:rsidRPr="002B0223">
              <w:rPr>
                <w:rFonts w:eastAsiaTheme="minorHAnsi"/>
                <w:i/>
                <w:color w:val="auto"/>
                <w:sz w:val="24"/>
                <w:szCs w:val="24"/>
              </w:rPr>
              <w:t xml:space="preserve"> v. </w:t>
            </w:r>
            <w:proofErr w:type="spellStart"/>
            <w:r w:rsidR="003245C7" w:rsidRPr="002B0223">
              <w:rPr>
                <w:rFonts w:eastAsiaTheme="minorHAnsi"/>
                <w:i/>
                <w:color w:val="auto"/>
                <w:sz w:val="24"/>
                <w:szCs w:val="24"/>
              </w:rPr>
              <w:t>Poland</w:t>
            </w:r>
            <w:proofErr w:type="spellEnd"/>
            <w:r w:rsidR="003245C7" w:rsidRPr="002B0223">
              <w:rPr>
                <w:rFonts w:eastAsiaTheme="minorHAnsi"/>
                <w:i/>
                <w:color w:val="auto"/>
                <w:sz w:val="24"/>
                <w:szCs w:val="24"/>
              </w:rPr>
              <w:t xml:space="preserve"> </w:t>
            </w:r>
            <w:r w:rsidR="003245C7" w:rsidRPr="002B0223">
              <w:rPr>
                <w:rFonts w:eastAsiaTheme="minorHAnsi"/>
                <w:color w:val="auto"/>
                <w:sz w:val="24"/>
                <w:szCs w:val="24"/>
              </w:rPr>
              <w:t xml:space="preserve">un </w:t>
            </w:r>
            <w:proofErr w:type="spellStart"/>
            <w:r w:rsidR="003245C7" w:rsidRPr="002B0223">
              <w:rPr>
                <w:rFonts w:eastAsiaTheme="minorHAnsi"/>
                <w:i/>
                <w:color w:val="auto"/>
                <w:sz w:val="24"/>
                <w:szCs w:val="24"/>
              </w:rPr>
              <w:t>Horych</w:t>
            </w:r>
            <w:proofErr w:type="spellEnd"/>
            <w:r w:rsidR="003245C7" w:rsidRPr="002B0223">
              <w:rPr>
                <w:rFonts w:eastAsiaTheme="minorHAnsi"/>
                <w:i/>
                <w:color w:val="auto"/>
                <w:sz w:val="24"/>
                <w:szCs w:val="24"/>
              </w:rPr>
              <w:t xml:space="preserve"> v. </w:t>
            </w:r>
            <w:proofErr w:type="spellStart"/>
            <w:r w:rsidR="003245C7" w:rsidRPr="002B0223">
              <w:rPr>
                <w:rFonts w:eastAsiaTheme="minorHAnsi"/>
                <w:i/>
                <w:color w:val="auto"/>
                <w:sz w:val="24"/>
                <w:szCs w:val="24"/>
              </w:rPr>
              <w:t>Poland</w:t>
            </w:r>
            <w:proofErr w:type="spellEnd"/>
            <w:r w:rsidR="003245C7" w:rsidRPr="002B0223">
              <w:rPr>
                <w:rFonts w:eastAsiaTheme="minorHAnsi"/>
                <w:i/>
                <w:color w:val="auto"/>
                <w:sz w:val="24"/>
                <w:szCs w:val="24"/>
              </w:rPr>
              <w:t xml:space="preserve"> </w:t>
            </w:r>
            <w:r w:rsidR="003245C7" w:rsidRPr="002B0223">
              <w:rPr>
                <w:rFonts w:eastAsiaTheme="minorHAnsi"/>
                <w:color w:val="auto"/>
                <w:sz w:val="24"/>
                <w:szCs w:val="24"/>
              </w:rPr>
              <w:t xml:space="preserve">ir secinājusi, ka nepārtraukta 24 stundu </w:t>
            </w:r>
            <w:r w:rsidR="003245C7" w:rsidRPr="002B0223">
              <w:rPr>
                <w:rFonts w:eastAsiaTheme="minorHAnsi"/>
                <w:color w:val="auto"/>
                <w:sz w:val="24"/>
                <w:szCs w:val="24"/>
              </w:rPr>
              <w:lastRenderedPageBreak/>
              <w:t>diennakts novērošana, lai arī klasificējama kā uzbāzīga, ir pieļaujama. Konkrētajās lietās bija aprakstīts ieslodzīto stāvoklis, kuri pamatojoties uz to, ka tiem piešķirts bīstamu ieslodzīto statuss, bija pakļauti īpašai uzraudzībai, biežai un sistemātiskai ķermeņa pārmeklēšanai, tikšanās ierobežojumiem un nepārtrauktai video uzraudzībai. Tiesa secināja, ka dažas uzraudzības un pārmeklēšanas metodes ir pieļaujamas, ja vien tās ir pamatotas un nepieciešamas, kā arī nav veiktas ar mērķi pazemot.</w:t>
            </w:r>
          </w:p>
          <w:p w14:paraId="2DAC4544" w14:textId="77777777" w:rsidR="003245C7" w:rsidRPr="002B0223" w:rsidRDefault="003245C7">
            <w:pPr>
              <w:rPr>
                <w:rFonts w:eastAsiaTheme="minorHAnsi"/>
                <w:color w:val="auto"/>
                <w:sz w:val="24"/>
                <w:szCs w:val="24"/>
              </w:rPr>
            </w:pPr>
            <w:r w:rsidRPr="002B0223">
              <w:rPr>
                <w:rFonts w:eastAsiaTheme="minorHAnsi"/>
                <w:color w:val="auto"/>
                <w:sz w:val="24"/>
                <w:szCs w:val="24"/>
              </w:rPr>
              <w:t xml:space="preserve">Arī Eiropas Padomes Spīdzināšanas novēršanas komiteja attiecībā uz nepārtrauktu videonovērošanu kamerās personām, kam nav noteikts speciāls, uzraudzību pastiprinošs režīms, savos pārskata ziņojumos ir norādījusi, ka šādas darbības ir pieļaujamas un var tikt attaisnotas drošības apsvērumu dēļ, kā arī īpašos gadījumos. Tomēr atbildīgajai institūcijai tad ir jānodrošina papildus garantijas, lai iegūtie dati netiktu ļaunprātīgi izmantoti. Kā iespējamās garantijas tiek norādītas regulāras videonovērošanas nepieciešamības pārbaudes, kā arī iegūto </w:t>
            </w:r>
            <w:r w:rsidR="00091BF3" w:rsidRPr="002B0223">
              <w:rPr>
                <w:rFonts w:eastAsiaTheme="minorHAnsi"/>
                <w:color w:val="auto"/>
                <w:sz w:val="24"/>
                <w:szCs w:val="24"/>
              </w:rPr>
              <w:t xml:space="preserve">datu pareizas apstrādes </w:t>
            </w:r>
            <w:proofErr w:type="spellStart"/>
            <w:r w:rsidR="00091BF3" w:rsidRPr="002B0223">
              <w:rPr>
                <w:rFonts w:eastAsiaTheme="minorHAnsi"/>
                <w:color w:val="auto"/>
                <w:sz w:val="24"/>
                <w:szCs w:val="24"/>
              </w:rPr>
              <w:t>izvērtējums</w:t>
            </w:r>
            <w:proofErr w:type="spellEnd"/>
            <w:r w:rsidR="00091BF3" w:rsidRPr="002B0223">
              <w:rPr>
                <w:rFonts w:eastAsiaTheme="minorHAnsi"/>
                <w:color w:val="auto"/>
                <w:sz w:val="24"/>
                <w:szCs w:val="24"/>
              </w:rPr>
              <w:t xml:space="preserve">. Arī Eiropas Padomes Ministru komitejas Ieteikuma Rec(2006)2 dalībvalstīm par Eiropas cietuma noteikumiem 18.10. punkts </w:t>
            </w:r>
            <w:r w:rsidR="00091BF3" w:rsidRPr="002B0223">
              <w:rPr>
                <w:rFonts w:eastAsiaTheme="minorHAnsi"/>
                <w:color w:val="auto"/>
                <w:sz w:val="24"/>
                <w:szCs w:val="24"/>
              </w:rPr>
              <w:lastRenderedPageBreak/>
              <w:t>paredz, ka visus ieslodzītos izmitina tādos apstākļos, kuros tiem noteikti vismazāk ierobežojošie drošības pasākumi, kas sader ar risku, ka šie ieslodzītie varētu izbēgt vai nodarīt kaitējumu sev vai citiem.</w:t>
            </w:r>
          </w:p>
          <w:p w14:paraId="37D4C5AC" w14:textId="6BAA95EA" w:rsidR="00091BF3" w:rsidRPr="002B0223" w:rsidRDefault="00091BF3">
            <w:pPr>
              <w:rPr>
                <w:rFonts w:eastAsiaTheme="minorHAnsi"/>
                <w:color w:val="auto"/>
                <w:sz w:val="24"/>
                <w:szCs w:val="24"/>
              </w:rPr>
            </w:pPr>
            <w:r w:rsidRPr="002B0223">
              <w:rPr>
                <w:rFonts w:eastAsiaTheme="minorHAnsi"/>
                <w:color w:val="auto"/>
                <w:sz w:val="24"/>
                <w:szCs w:val="24"/>
              </w:rPr>
              <w:t xml:space="preserve">No minētā izriet, ka ir pieļaujams, ka ieslodzītajiem tiek piemēroti pastiprināti drošības pasākumi, tajā skaitā tiek veikta videonovērošana kamerā, ja tam ir objektīvs pamatojums un </w:t>
            </w:r>
            <w:proofErr w:type="spellStart"/>
            <w:r w:rsidRPr="002B0223">
              <w:rPr>
                <w:rFonts w:eastAsiaTheme="minorHAnsi"/>
                <w:color w:val="auto"/>
                <w:sz w:val="24"/>
                <w:szCs w:val="24"/>
              </w:rPr>
              <w:t>izvērtējums</w:t>
            </w:r>
            <w:proofErr w:type="spellEnd"/>
            <w:r w:rsidRPr="002B0223">
              <w:rPr>
                <w:rFonts w:eastAsiaTheme="minorHAnsi"/>
                <w:color w:val="auto"/>
                <w:sz w:val="24"/>
                <w:szCs w:val="24"/>
              </w:rPr>
              <w:t xml:space="preserve"> un pats ieslodzītais ar savu rīcību ir radījis šādu nepieciešamību.</w:t>
            </w:r>
          </w:p>
        </w:tc>
      </w:tr>
      <w:tr w:rsidR="001F3C8C" w:rsidRPr="002B0223" w14:paraId="67DC1792" w14:textId="77777777" w:rsidTr="00762650">
        <w:trPr>
          <w:trHeight w:val="2547"/>
        </w:trPr>
        <w:tc>
          <w:tcPr>
            <w:tcW w:w="817" w:type="dxa"/>
            <w:vAlign w:val="center"/>
          </w:tcPr>
          <w:p w14:paraId="1A4A0FDD" w14:textId="7B81B5A5" w:rsidR="001F3C8C" w:rsidRPr="002B0223" w:rsidRDefault="00DC6F5C" w:rsidP="00762650">
            <w:pPr>
              <w:jc w:val="center"/>
              <w:rPr>
                <w:sz w:val="24"/>
                <w:szCs w:val="24"/>
              </w:rPr>
            </w:pPr>
            <w:r w:rsidRPr="002B0223">
              <w:rPr>
                <w:sz w:val="24"/>
                <w:szCs w:val="24"/>
              </w:rPr>
              <w:lastRenderedPageBreak/>
              <w:t>4</w:t>
            </w:r>
            <w:r w:rsidR="00762650">
              <w:rPr>
                <w:sz w:val="24"/>
                <w:szCs w:val="24"/>
              </w:rPr>
              <w:t>.</w:t>
            </w:r>
          </w:p>
        </w:tc>
        <w:tc>
          <w:tcPr>
            <w:tcW w:w="2977" w:type="dxa"/>
            <w:vAlign w:val="center"/>
          </w:tcPr>
          <w:p w14:paraId="264F3F11" w14:textId="77777777" w:rsidR="001F3C8C" w:rsidRPr="002B0223" w:rsidRDefault="00DC6F5C" w:rsidP="00DC6F5C">
            <w:pPr>
              <w:jc w:val="center"/>
              <w:rPr>
                <w:sz w:val="24"/>
                <w:szCs w:val="24"/>
              </w:rPr>
            </w:pPr>
            <w:r w:rsidRPr="002B0223">
              <w:rPr>
                <w:sz w:val="24"/>
                <w:szCs w:val="24"/>
              </w:rPr>
              <w:t>Fiziska persona</w:t>
            </w:r>
          </w:p>
        </w:tc>
        <w:tc>
          <w:tcPr>
            <w:tcW w:w="4394" w:type="dxa"/>
          </w:tcPr>
          <w:p w14:paraId="49334857" w14:textId="77777777" w:rsidR="00B329BE" w:rsidRPr="002B0223" w:rsidRDefault="00B329BE">
            <w:pPr>
              <w:rPr>
                <w:sz w:val="24"/>
                <w:szCs w:val="24"/>
              </w:rPr>
            </w:pPr>
            <w:r w:rsidRPr="002B0223">
              <w:rPr>
                <w:sz w:val="24"/>
                <w:szCs w:val="24"/>
              </w:rPr>
              <w:t>2023. gada 16. septembra viedoklis</w:t>
            </w:r>
          </w:p>
          <w:p w14:paraId="4F6B114A" w14:textId="77777777" w:rsidR="001F3C8C" w:rsidRPr="002B0223" w:rsidRDefault="00DC6F5C">
            <w:pPr>
              <w:rPr>
                <w:sz w:val="24"/>
                <w:szCs w:val="24"/>
              </w:rPr>
            </w:pPr>
            <w:r w:rsidRPr="002B0223">
              <w:rPr>
                <w:sz w:val="24"/>
                <w:szCs w:val="24"/>
              </w:rPr>
              <w:t>Izpētot likumprojektu, vēlos vērs Jūsu uzmanību uz sekojošo:</w:t>
            </w:r>
          </w:p>
          <w:p w14:paraId="59831BFF" w14:textId="77777777" w:rsidR="00DC6F5C" w:rsidRPr="002B0223" w:rsidRDefault="00DC6F5C">
            <w:pPr>
              <w:rPr>
                <w:sz w:val="24"/>
                <w:szCs w:val="24"/>
              </w:rPr>
            </w:pPr>
            <w:r w:rsidRPr="002B0223">
              <w:rPr>
                <w:sz w:val="24"/>
                <w:szCs w:val="24"/>
              </w:rPr>
              <w:t>1) </w:t>
            </w:r>
            <w:r w:rsidR="00CC1F24" w:rsidRPr="002B0223">
              <w:rPr>
                <w:sz w:val="24"/>
                <w:szCs w:val="24"/>
              </w:rPr>
              <w:t xml:space="preserve">ar likumprojekta 36.2. apakšpunktu </w:t>
            </w:r>
            <w:r w:rsidR="00DE542D" w:rsidRPr="002B0223">
              <w:rPr>
                <w:sz w:val="24"/>
                <w:szCs w:val="24"/>
              </w:rPr>
              <w:t>notiesātajiem plānots aizliegts lietot spēļu konsoles ar bezvadu tīklu. Ir jāņem vērā, ka kopš 2005. gada visām spēļu konsolēm ir bezvadu sakaru modeļi, kuri pēdējās paaudzes konsolēs ir sistēmas integrālā sastāvdaļa, kas t.sk. spēļu kontroliera darbību nodrošina, un kura nav iespējams izņemt, neatgriezeniski nebojājot konsoli. Ievērojot minēto, nepieciešams likumprojektā norādīt, ka likumprojekta 36.2. apakšpunktā minētais aizliegums neattiecas uz spēļu konsolēm, kas jau atrodas notiesāto lietošanā jaunā tiesiskā regulējuma spēkā stāšanās brīdī;</w:t>
            </w:r>
          </w:p>
          <w:p w14:paraId="15D5F6DB" w14:textId="77777777" w:rsidR="00DE542D" w:rsidRPr="002B0223" w:rsidRDefault="00DE542D">
            <w:pPr>
              <w:rPr>
                <w:sz w:val="24"/>
                <w:szCs w:val="24"/>
              </w:rPr>
            </w:pPr>
            <w:r w:rsidRPr="002B0223">
              <w:rPr>
                <w:sz w:val="24"/>
                <w:szCs w:val="24"/>
              </w:rPr>
              <w:t>2) likumprojekta 20. punkts ir absurds. Notiesātie lielākoties</w:t>
            </w:r>
            <w:r w:rsidR="0042009F" w:rsidRPr="002B0223">
              <w:rPr>
                <w:sz w:val="24"/>
                <w:szCs w:val="24"/>
              </w:rPr>
              <w:t xml:space="preserve"> ir fiziski aktīvi, un </w:t>
            </w:r>
            <w:r w:rsidR="0042009F" w:rsidRPr="002B0223">
              <w:rPr>
                <w:sz w:val="24"/>
                <w:szCs w:val="24"/>
              </w:rPr>
              <w:lastRenderedPageBreak/>
              <w:t>nepieciešamība mazgāt veļu ir būtiska. Lai notiesātie ievērotu likumprojekta 18. punktā noteikto pienākumu, jānodrošina veļas mazgāšana vismaz divas reizes nedēļā;</w:t>
            </w:r>
          </w:p>
          <w:p w14:paraId="4C6BF4A4" w14:textId="77777777" w:rsidR="0042009F" w:rsidRPr="002B0223" w:rsidRDefault="0042009F" w:rsidP="0042009F">
            <w:pPr>
              <w:rPr>
                <w:sz w:val="24"/>
                <w:szCs w:val="24"/>
              </w:rPr>
            </w:pPr>
            <w:r w:rsidRPr="002B0223">
              <w:rPr>
                <w:sz w:val="24"/>
                <w:szCs w:val="24"/>
              </w:rPr>
              <w:t>3) likumprojekta 19. punktā ietvertais regulējums uzskatāms kā ņirgāšanās par notiesātajiem. Nevienā brīvības atņemšanas iestādē nav pirts, ir tikai dušas. Līdz ar to likumprojektā nepieciešams norādīt, ka brīvības atņemšanas iestāde notiesātajiem nodrošina mazgāšanos dušā;</w:t>
            </w:r>
          </w:p>
          <w:p w14:paraId="6495238C" w14:textId="77777777" w:rsidR="0042009F" w:rsidRPr="002B0223" w:rsidRDefault="0042009F" w:rsidP="0042009F">
            <w:pPr>
              <w:rPr>
                <w:sz w:val="24"/>
                <w:szCs w:val="24"/>
              </w:rPr>
            </w:pPr>
            <w:r w:rsidRPr="002B0223">
              <w:rPr>
                <w:sz w:val="24"/>
                <w:szCs w:val="24"/>
              </w:rPr>
              <w:t>4) likumprojekta 21. punkts ir absurds, jo naktīs sekcijās (dzīvojamās telpās) ar pārbaudēm nāk brīvības atņemšanas iestādes amatpersonas, tādējādi tiek pārtraukts notiesāto astoņu stundu naktsmiers;</w:t>
            </w:r>
          </w:p>
          <w:p w14:paraId="4881A83F" w14:textId="77777777" w:rsidR="0042009F" w:rsidRPr="002B0223" w:rsidRDefault="0042009F" w:rsidP="0042009F">
            <w:pPr>
              <w:rPr>
                <w:sz w:val="24"/>
                <w:szCs w:val="24"/>
              </w:rPr>
            </w:pPr>
            <w:r w:rsidRPr="002B0223">
              <w:rPr>
                <w:sz w:val="24"/>
                <w:szCs w:val="24"/>
              </w:rPr>
              <w:t>5) likumprojekta 36.8., 36.9. un 36.12. apakšpunkts. Lai ievērotu likumprojekta 18. punktā noteikto pienākumu notiesātajam būt koptam, kārtīgam un ievērot personīgās higiēnas prasības, likumprojekta 36.8., 36.9. un 36.12. apakšpunktā minētajām ierīcēm jābūt bezmaksas. Pretējā gadījumā sanāk, lai notiesātais varētu izpildīt viņam uzlikto pienākumu, notiesātajam jātērē savi naudas līdzekļi, bet, ja līdzekļu nav, notiesātajam nav iespējams izpildīt pienākumu, par ko viņš var tikt sodīts, jo notiesātajam nebūs iespējas ievērot noteiktās higiēnas prasības;</w:t>
            </w:r>
          </w:p>
          <w:p w14:paraId="3120526D" w14:textId="77777777" w:rsidR="0042009F" w:rsidRPr="002B0223" w:rsidRDefault="0042009F" w:rsidP="0042009F">
            <w:pPr>
              <w:rPr>
                <w:sz w:val="24"/>
                <w:szCs w:val="24"/>
              </w:rPr>
            </w:pPr>
            <w:r w:rsidRPr="002B0223">
              <w:rPr>
                <w:sz w:val="24"/>
                <w:szCs w:val="24"/>
              </w:rPr>
              <w:lastRenderedPageBreak/>
              <w:t xml:space="preserve">6) likumprojekta 36.7. apakšpunkts paredz, ka notiesātajam, saņemot brīvības atņemšanas iestādes priekšnieka atļauju, ir atļauts glabāt un lietot mazās austiņas ar vadu bez papildu funkcijām. Lūdzu ņemt vērā, ka no dzirdes veselības viedokļa mazās austiņas ir viskaitīgākās, jo skaņa neaizplūst nekur ārpus auss, bet gan ieiet tieši auss ejā, atsitas pret </w:t>
            </w:r>
            <w:proofErr w:type="spellStart"/>
            <w:r w:rsidRPr="002B0223">
              <w:rPr>
                <w:sz w:val="24"/>
                <w:szCs w:val="24"/>
              </w:rPr>
              <w:t>bungplēvīti</w:t>
            </w:r>
            <w:proofErr w:type="spellEnd"/>
            <w:r w:rsidRPr="002B0223">
              <w:rPr>
                <w:sz w:val="24"/>
                <w:szCs w:val="24"/>
              </w:rPr>
              <w:t xml:space="preserve">, ievibrē </w:t>
            </w:r>
            <w:proofErr w:type="spellStart"/>
            <w:r w:rsidRPr="002B0223">
              <w:rPr>
                <w:sz w:val="24"/>
                <w:szCs w:val="24"/>
              </w:rPr>
              <w:t>bungplēvīti</w:t>
            </w:r>
            <w:proofErr w:type="spellEnd"/>
            <w:r w:rsidRPr="002B0223">
              <w:rPr>
                <w:sz w:val="24"/>
                <w:szCs w:val="24"/>
              </w:rPr>
              <w:t xml:space="preserve"> un vibrācija aiziet līdz iekšējai auss. Savukārt, ja lieto lielās austiņas, kuras uzliek virsū uz ausīm, ir pierādīts, ka tās rada mazāku bojājumu, jo daļa no skaņas aizplūst ārpus auss;</w:t>
            </w:r>
          </w:p>
          <w:p w14:paraId="4006FBC3" w14:textId="77777777" w:rsidR="0042009F" w:rsidRPr="002B0223" w:rsidRDefault="0042009F" w:rsidP="0042009F">
            <w:pPr>
              <w:rPr>
                <w:sz w:val="24"/>
                <w:szCs w:val="24"/>
              </w:rPr>
            </w:pPr>
            <w:r w:rsidRPr="002B0223">
              <w:rPr>
                <w:sz w:val="24"/>
                <w:szCs w:val="24"/>
              </w:rPr>
              <w:t>7) nepieciešams precizēt likumprojekta 84. punktu, konkrēti nosakot, ka notiesātā pilnīgo pārmeklēšanu veic brīvības atņemšanas iestādes ārstniecības persona, lai amatpersonas nevarētu šo normu traktēt pēc saviem ieskatiem;</w:t>
            </w:r>
          </w:p>
          <w:p w14:paraId="66F52B59" w14:textId="77777777" w:rsidR="00DC6F5C" w:rsidRPr="002B0223" w:rsidRDefault="0042009F">
            <w:pPr>
              <w:rPr>
                <w:sz w:val="24"/>
                <w:szCs w:val="24"/>
              </w:rPr>
            </w:pPr>
            <w:r w:rsidRPr="002B0223">
              <w:rPr>
                <w:sz w:val="24"/>
                <w:szCs w:val="24"/>
              </w:rPr>
              <w:t xml:space="preserve">8) uzskatu, ka likumprojekta 93. punkts ir prettiesisks un </w:t>
            </w:r>
            <w:proofErr w:type="spellStart"/>
            <w:r w:rsidRPr="002B0223">
              <w:rPr>
                <w:sz w:val="24"/>
                <w:szCs w:val="24"/>
              </w:rPr>
              <w:t>anahronisks</w:t>
            </w:r>
            <w:proofErr w:type="spellEnd"/>
            <w:r w:rsidRPr="002B0223">
              <w:rPr>
                <w:sz w:val="24"/>
                <w:szCs w:val="24"/>
              </w:rPr>
              <w:t>. Par minēto ir vairāki lēmumi un spriedumi kā nacionālajā, tā arī starptautiskajā līmenī (</w:t>
            </w:r>
            <w:r w:rsidRPr="002B0223">
              <w:rPr>
                <w:i/>
                <w:sz w:val="24"/>
                <w:szCs w:val="24"/>
              </w:rPr>
              <w:t>Pilnu 2023. gada 1</w:t>
            </w:r>
            <w:r w:rsidR="00B329BE" w:rsidRPr="002B0223">
              <w:rPr>
                <w:i/>
                <w:sz w:val="24"/>
                <w:szCs w:val="24"/>
              </w:rPr>
              <w:t>6</w:t>
            </w:r>
            <w:r w:rsidRPr="002B0223">
              <w:rPr>
                <w:i/>
                <w:sz w:val="24"/>
                <w:szCs w:val="24"/>
              </w:rPr>
              <w:t>. septembra viedokļa tekstu lūdzu skatīt zemāk).</w:t>
            </w:r>
          </w:p>
        </w:tc>
        <w:tc>
          <w:tcPr>
            <w:tcW w:w="2268" w:type="dxa"/>
          </w:tcPr>
          <w:p w14:paraId="537A5C6B" w14:textId="61ABD30C" w:rsidR="00DA5877" w:rsidRDefault="00DA5877" w:rsidP="00DA5877">
            <w:pPr>
              <w:rPr>
                <w:sz w:val="24"/>
                <w:szCs w:val="24"/>
              </w:rPr>
            </w:pPr>
            <w:r w:rsidRPr="002B0223">
              <w:rPr>
                <w:sz w:val="24"/>
                <w:szCs w:val="24"/>
              </w:rPr>
              <w:lastRenderedPageBreak/>
              <w:t>1)</w:t>
            </w:r>
            <w:r w:rsidR="00526D0C">
              <w:rPr>
                <w:sz w:val="24"/>
                <w:szCs w:val="24"/>
              </w:rPr>
              <w:t xml:space="preserve"> Nav ņemts vērā </w:t>
            </w:r>
          </w:p>
          <w:p w14:paraId="17CC4FAC" w14:textId="06F7EBFA" w:rsidR="00FC4822" w:rsidRDefault="00FC4822" w:rsidP="00DA5877">
            <w:pPr>
              <w:rPr>
                <w:sz w:val="24"/>
                <w:szCs w:val="24"/>
              </w:rPr>
            </w:pPr>
            <w:r>
              <w:rPr>
                <w:sz w:val="24"/>
                <w:szCs w:val="24"/>
              </w:rPr>
              <w:t>Anotācija papildināta ar skaidrojumu</w:t>
            </w:r>
          </w:p>
          <w:p w14:paraId="70249A4D" w14:textId="77777777" w:rsidR="00FC4822" w:rsidRPr="002B0223" w:rsidRDefault="00FC4822" w:rsidP="00DA5877">
            <w:pPr>
              <w:rPr>
                <w:sz w:val="24"/>
                <w:szCs w:val="24"/>
              </w:rPr>
            </w:pPr>
          </w:p>
          <w:p w14:paraId="18386916" w14:textId="47407CED" w:rsidR="00DA5877" w:rsidRDefault="00DA5877" w:rsidP="00DA5877">
            <w:pPr>
              <w:rPr>
                <w:sz w:val="24"/>
                <w:szCs w:val="24"/>
              </w:rPr>
            </w:pPr>
            <w:r w:rsidRPr="002B0223">
              <w:rPr>
                <w:sz w:val="24"/>
                <w:szCs w:val="24"/>
              </w:rPr>
              <w:t>2) Nav ņemts vērā</w:t>
            </w:r>
          </w:p>
          <w:p w14:paraId="10055ACE" w14:textId="77777777" w:rsidR="00FC4822" w:rsidRPr="002B0223" w:rsidRDefault="00FC4822" w:rsidP="00DA5877">
            <w:pPr>
              <w:rPr>
                <w:sz w:val="24"/>
                <w:szCs w:val="24"/>
              </w:rPr>
            </w:pPr>
          </w:p>
          <w:p w14:paraId="47244044" w14:textId="77777777" w:rsidR="00DA5877" w:rsidRPr="002B0223" w:rsidRDefault="00DA5877" w:rsidP="00DA5877">
            <w:pPr>
              <w:rPr>
                <w:sz w:val="24"/>
                <w:szCs w:val="24"/>
              </w:rPr>
            </w:pPr>
            <w:r w:rsidRPr="002B0223">
              <w:rPr>
                <w:sz w:val="24"/>
                <w:szCs w:val="24"/>
              </w:rPr>
              <w:t>3) Ņemts vērā</w:t>
            </w:r>
          </w:p>
          <w:p w14:paraId="54C25149" w14:textId="77777777" w:rsidR="00DA5877" w:rsidRPr="002B0223" w:rsidRDefault="00DA5877" w:rsidP="00DA5877">
            <w:pPr>
              <w:rPr>
                <w:sz w:val="24"/>
                <w:szCs w:val="24"/>
              </w:rPr>
            </w:pPr>
            <w:r w:rsidRPr="002B0223">
              <w:rPr>
                <w:sz w:val="24"/>
                <w:szCs w:val="24"/>
              </w:rPr>
              <w:t>Svītrot noteikumu projekta 19. punktā vārdi "pirtī vai".</w:t>
            </w:r>
          </w:p>
          <w:p w14:paraId="3DB53C87" w14:textId="77777777" w:rsidR="00DA5877" w:rsidRPr="002B0223" w:rsidRDefault="00DA5877" w:rsidP="00DA5877">
            <w:pPr>
              <w:rPr>
                <w:sz w:val="24"/>
                <w:szCs w:val="24"/>
              </w:rPr>
            </w:pPr>
          </w:p>
          <w:p w14:paraId="6CDFED2B" w14:textId="77777777" w:rsidR="00DA5877" w:rsidRPr="002B0223" w:rsidRDefault="00DA5877" w:rsidP="00DA5877">
            <w:pPr>
              <w:rPr>
                <w:sz w:val="24"/>
                <w:szCs w:val="24"/>
              </w:rPr>
            </w:pPr>
            <w:r w:rsidRPr="002B0223">
              <w:rPr>
                <w:sz w:val="24"/>
                <w:szCs w:val="24"/>
              </w:rPr>
              <w:t>4) Nav ņemts vērā</w:t>
            </w:r>
          </w:p>
          <w:p w14:paraId="659A7A90" w14:textId="77777777" w:rsidR="00DA5877" w:rsidRPr="002B0223" w:rsidRDefault="00DA5877" w:rsidP="00DA5877">
            <w:pPr>
              <w:rPr>
                <w:sz w:val="24"/>
                <w:szCs w:val="24"/>
              </w:rPr>
            </w:pPr>
          </w:p>
          <w:p w14:paraId="725CCE89" w14:textId="77777777" w:rsidR="00DA5877" w:rsidRPr="002B0223" w:rsidRDefault="00DA5877" w:rsidP="00DA5877">
            <w:pPr>
              <w:rPr>
                <w:sz w:val="24"/>
                <w:szCs w:val="24"/>
              </w:rPr>
            </w:pPr>
            <w:r w:rsidRPr="002B0223">
              <w:rPr>
                <w:sz w:val="24"/>
                <w:szCs w:val="24"/>
              </w:rPr>
              <w:t>5) Nav ņemts vērā</w:t>
            </w:r>
          </w:p>
          <w:p w14:paraId="6D6C5102" w14:textId="77777777" w:rsidR="00DA5877" w:rsidRPr="002B0223" w:rsidRDefault="00DA5877" w:rsidP="00DA5877">
            <w:pPr>
              <w:rPr>
                <w:sz w:val="24"/>
                <w:szCs w:val="24"/>
              </w:rPr>
            </w:pPr>
          </w:p>
          <w:p w14:paraId="6F6CA1A6" w14:textId="77777777" w:rsidR="00DA5877" w:rsidRPr="002B0223" w:rsidRDefault="00DA5877" w:rsidP="00DA5877">
            <w:pPr>
              <w:rPr>
                <w:sz w:val="24"/>
                <w:szCs w:val="24"/>
              </w:rPr>
            </w:pPr>
            <w:r w:rsidRPr="002B0223">
              <w:rPr>
                <w:sz w:val="24"/>
                <w:szCs w:val="24"/>
              </w:rPr>
              <w:t>6) Nav ņemts vērā</w:t>
            </w:r>
          </w:p>
          <w:p w14:paraId="35825B1C" w14:textId="77777777" w:rsidR="00DA5877" w:rsidRPr="002B0223" w:rsidRDefault="00DA5877" w:rsidP="00DA5877">
            <w:pPr>
              <w:rPr>
                <w:sz w:val="24"/>
                <w:szCs w:val="24"/>
              </w:rPr>
            </w:pPr>
          </w:p>
          <w:p w14:paraId="64EE1A1C" w14:textId="77777777" w:rsidR="00DA5877" w:rsidRPr="002B0223" w:rsidRDefault="00DA5877" w:rsidP="00DA5877">
            <w:pPr>
              <w:rPr>
                <w:sz w:val="24"/>
                <w:szCs w:val="24"/>
              </w:rPr>
            </w:pPr>
            <w:r w:rsidRPr="002B0223">
              <w:rPr>
                <w:sz w:val="24"/>
                <w:szCs w:val="24"/>
              </w:rPr>
              <w:t>7) Nav ņemts vērā</w:t>
            </w:r>
          </w:p>
          <w:p w14:paraId="1D6C9551" w14:textId="77777777" w:rsidR="00DA5877" w:rsidRPr="002B0223" w:rsidRDefault="00DA5877" w:rsidP="00DA5877">
            <w:pPr>
              <w:rPr>
                <w:sz w:val="24"/>
                <w:szCs w:val="24"/>
              </w:rPr>
            </w:pPr>
          </w:p>
          <w:p w14:paraId="668CE86B" w14:textId="69A9028A" w:rsidR="001F3C8C" w:rsidRPr="002B0223" w:rsidRDefault="00DA5877" w:rsidP="00DA5877">
            <w:pPr>
              <w:rPr>
                <w:sz w:val="24"/>
                <w:szCs w:val="24"/>
              </w:rPr>
            </w:pPr>
            <w:r w:rsidRPr="002B0223">
              <w:rPr>
                <w:sz w:val="24"/>
                <w:szCs w:val="24"/>
              </w:rPr>
              <w:t>8) Nav ņemts vērā</w:t>
            </w:r>
          </w:p>
        </w:tc>
        <w:tc>
          <w:tcPr>
            <w:tcW w:w="4111" w:type="dxa"/>
          </w:tcPr>
          <w:p w14:paraId="4C83D566" w14:textId="546AB79B" w:rsidR="00FC4822" w:rsidRPr="00FC4822" w:rsidRDefault="00DA5877" w:rsidP="00FC4822">
            <w:pPr>
              <w:rPr>
                <w:sz w:val="24"/>
                <w:szCs w:val="24"/>
              </w:rPr>
            </w:pPr>
            <w:r w:rsidRPr="002B0223">
              <w:rPr>
                <w:sz w:val="24"/>
                <w:szCs w:val="24"/>
              </w:rPr>
              <w:t>1)</w:t>
            </w:r>
            <w:r w:rsidR="00526D0C">
              <w:rPr>
                <w:sz w:val="24"/>
                <w:szCs w:val="24"/>
              </w:rPr>
              <w:t> </w:t>
            </w:r>
            <w:r w:rsidR="00FC4822" w:rsidRPr="00FC4822">
              <w:rPr>
                <w:sz w:val="24"/>
                <w:szCs w:val="24"/>
              </w:rPr>
              <w:t xml:space="preserve"> Noteikumu projekta 37. punktā uzskaitīta personīgā sadzīves tehnika, kuru notiesātajam, saņemot brīvības atņemšanas iestādes priekšnieka atļauju, ir tiesības glabāt un dienas kārtībā noteiktajā laikā lietot. </w:t>
            </w:r>
          </w:p>
          <w:p w14:paraId="57A48454" w14:textId="3F6C4987" w:rsidR="00FC4822" w:rsidRDefault="00FC4822" w:rsidP="00FC4822">
            <w:pPr>
              <w:rPr>
                <w:sz w:val="24"/>
                <w:szCs w:val="24"/>
              </w:rPr>
            </w:pPr>
            <w:r w:rsidRPr="00FC4822">
              <w:rPr>
                <w:sz w:val="24"/>
                <w:szCs w:val="24"/>
              </w:rPr>
              <w:t xml:space="preserve">Šobrīd atbilstoši normatīvajam regulējumam notiesātajiem ir atļauts izmantot televizoram pievienojamās videospēles. Proti, Noteikumu Nr. 423 40. punkts noteic, ka, saņemot brīvības atņemšanas iestādes administrācijas atļauju, notiesātie kamerās un koplietošanas telpās dienas kārtībā noteiktajā laikā var lietot televizoriem pievienojamās videospēles. Tāpat attiecīgi videospēles ir iekļautas Noteikumu Nr. 423 1. pielikuma "Priekšmeti un pārtikas produkti, kurus notiesātajam ir atļauts glabāt" 10.1. </w:t>
            </w:r>
            <w:r w:rsidRPr="00FC4822">
              <w:rPr>
                <w:sz w:val="24"/>
                <w:szCs w:val="24"/>
              </w:rPr>
              <w:lastRenderedPageBreak/>
              <w:t xml:space="preserve">apakšpunktā un 11. pielikuma "Priekšmeti, kurus atļauts nodot sūtījumos un pienesumos" 10.1. apakšpunktā. Tomēr videospēļu iekārtas pēdējo gadu laikā ir strauji attīstījušas, un to funkcionalitāte, cita starpā, paredz iespēju tās izmantot ne tikai videospēļu spēlēšanai, bet arī neatļautai ieslodzīto saziņai – gan savā starpā, gan saziņai ar personām ārpus ieslodzījuma vietas. Pie tam jaunajām videospēļu iekārtām ir bezvadu kontrolieri (pultis) ar adaptīvām pogām un taustes sajūtu tehnoloģiju, kā arī iebūvēta rācija, kas nodrošina spēlētajiem iespēju savstarpēji sazināties. Līdz ar to ieslodzītajiem, izmantojot jaunākās videospēļu iekārtas, nav nepieciešams pat ielādēt vai izmantot sazināšanas platformas, lai sarakstītos vai sazinātos ar citām personām, pietiek vien izmantot videospēļu iekārtu kontrolieri (pulti). Praksē ar vien biežāk tiek konstatēts, ka ieslodzītie videospēļu iekārtu izmanto kā neatļautu saziņas līdzekli ne tikai sarunām ar radiniekiem un laulāto, veicinot sociāli lietderīgu saikņu saglabāšanu vai atjaunošanu, bet arī ar citām personām noziedzīgo kontaktu turpināšanai, jaunu noziedzīgu nodarījumu veikšanai un organizēšanai. Turklāt, videospēļu iekārta kā neatļauts saziņas līdzeklis tiek izmantots ne tikai </w:t>
            </w:r>
            <w:r w:rsidRPr="00FC4822">
              <w:rPr>
                <w:sz w:val="24"/>
                <w:szCs w:val="24"/>
              </w:rPr>
              <w:lastRenderedPageBreak/>
              <w:t xml:space="preserve">komunikācijai ar citām personām ārpus ieslodzījuma vietas, bet arī saziņai ar ieslodzītajiem, kas izvietoti citās ieslodzījuma vietās. Tādējādi, ieslodzītie var ietekmēt kriminālsoda izpildi, izmeklēšanas gaitu vai izmeklēšanas procesu, piemēram, ietekmējot lieciniekus vai saskaņojot liecības. Tāpat ieslodzītie, atrodoties ieslodzījumu vietās un izmantojot videospēļu iekārtu kā neatļautu saziņas līdzekli, var koordinēt dažādu noziedzīgu grupu darbības ārpus ieslodzījuma vietas, kā arī organizēt nelegālus finanšu darījumus, piemēram, naudas atmazgāšanu, krāpšanu vai nelegālu līdzekļu pārvedumus. Izmantojot neatļautus saziņas līdzekļus, ieslodzītie var plānot bēgšanu no ieslodzījuma vietas, saskaņojot un izstrādājot detalizētu bēgšanas plānu un nodrošinot nepieciešamos resursus un līdzekļus. Šāda ieslodzīto rīcība nodara kaitējumu ļoti plašām sabiedrības interesēm – sākot no valsts drošības interesēm un beidzot ar personas veselību un dzīvību. Tādējādi tiek apdraudēta ne tikai ieslodzījuma vietu drošība, bet arī sabiedrības drošība kopumā. Kaut arī ieslodzījuma vietās tiek veikti pasākumi, lai mazinātu šādas saziņas iespējas, tomēr videospēļu iekārtu funkcionalitāte paver ar vien lielākas iespējas tās </w:t>
            </w:r>
            <w:r w:rsidRPr="00FC4822">
              <w:rPr>
                <w:sz w:val="24"/>
                <w:szCs w:val="24"/>
              </w:rPr>
              <w:lastRenderedPageBreak/>
              <w:t xml:space="preserve">izmantot neatļautai saziņai. Un, kamēr tās ir iekļautas ieslodzītajiem atļauto sadzīves priekšmetu klāstā, nav iespējams pilnībā novērst riskus, ka videospēļu iekārtas netiks izmantotas neatļautai saziņai gan ieslodzīto starpā, gan arī ārpus ieslodzījuma vietas. Ņemot vērā minēto, noteikumu projekta 37.2. apakšpunkts noteic, ka notiesātais, saņemot brīvības atņemšanas iestādes priekšnieka atļauju, var glabāt un dienas noteiktajā laikā lietot tādas </w:t>
            </w:r>
            <w:r w:rsidR="00F77B86" w:rsidRPr="00F77B86">
              <w:rPr>
                <w:sz w:val="24"/>
                <w:szCs w:val="24"/>
              </w:rPr>
              <w:t>televizoram pievienojamas videospēļu iekārtas, kuras nerada neatļautas saziņas risku</w:t>
            </w:r>
            <w:r w:rsidR="00F77B86">
              <w:rPr>
                <w:sz w:val="24"/>
                <w:szCs w:val="24"/>
              </w:rPr>
              <w:t xml:space="preserve">. </w:t>
            </w:r>
            <w:r w:rsidRPr="00FC4822">
              <w:rPr>
                <w:sz w:val="24"/>
                <w:szCs w:val="24"/>
              </w:rPr>
              <w:t>Atļautie saziņas veidi ir minēti Kodeksā, kā piemēram, brīvības atņemšanas iestādes telefons, īslaicīga un ilgstoša satikšanās, vēstules u.c. Ja attiecīgais sazināšanas veids nav minēts Kodeksā, tātad tas ir uzskatāms par neatļautu saziņas veidu. Tas nozīmē, ka notiesājam ir atļauts glabāt un lietot tikai tādu videospēļu iekārtu, kuru nav iespējams nekādā veidā izmantot neatļautai saziņai gan ieslodzīto starpā, gan arī ārpus ieslodzījuma vietas, proti, kuru tehniski nav iespējams nekādā veidā patstāvīgi vai pievienojot citai ierīcei pieslēgt interneta tīklam vai citam datu pārraides tīklam, tāpat kuru tehniski nevar izmantot kā rāciju, telefonu, datoru, planšetdatoru, datu nesēju, video vai audio raidītāju.</w:t>
            </w:r>
          </w:p>
          <w:p w14:paraId="742DD686" w14:textId="77777777" w:rsidR="00FC4822" w:rsidRPr="002B0223" w:rsidRDefault="00FC4822" w:rsidP="00FC4822">
            <w:pPr>
              <w:rPr>
                <w:sz w:val="24"/>
                <w:szCs w:val="24"/>
              </w:rPr>
            </w:pPr>
          </w:p>
          <w:p w14:paraId="1DE58C07" w14:textId="77777777" w:rsidR="00DA5877" w:rsidRPr="002B0223" w:rsidRDefault="00DA5877" w:rsidP="00DA5877">
            <w:pPr>
              <w:rPr>
                <w:sz w:val="24"/>
                <w:szCs w:val="24"/>
              </w:rPr>
            </w:pPr>
            <w:r w:rsidRPr="002B0223">
              <w:rPr>
                <w:sz w:val="24"/>
                <w:szCs w:val="24"/>
              </w:rPr>
              <w:t xml:space="preserve">2) Noteikumu projekta 20. punkts paredz, ka brīvības atņemšanas iestāde ne retāk kā reizi mēnesī nodrošina notiesātā apģērba mazgāšanos. Tātad brīvības atņemšanas iestādes administrācija, ņemot vērā notiesāto un veļas mazgāšanas mašīnu skaitu brīvības atņemšanas iestādē, var nodrošināt notiesātā apģērba mazgāšanos arī biežāk nekā vienu reizi mēnesī, ja objektīvi tāda iespēja pastāv, tomēr tā nevar nodrošināt apģērba mazgāšanos retāk nekā vienu reizi mēnesī. Turklāt noteikumu projekta 19. punkts, cita starpā, noteic, ka brīvība atņemšanas iestāde notiesātajam nodrošina apakšveļas un gultas maiņu ne retāk kā vienu reizi septiņās dienās. Tātad arī apakšveļas mazgāšanos brīvības atņemšanas iestādes administrācija var nodrošināt biežāk nekā ne kā vienu reizi septiņās dienās, ja objektīvi tāda iespēja pastāv. Minētais nozīmē, ka brīvības atņemšanas iestāde notiesātajam nodrošina apakšveļas (apakšbikšu) mazgāšanu ne retāk kā vienu reizi septiņās dienās, bet pārējā apģērba mazgāšanos – ne retāk kā reizi mēnesī. Turklāt, jāņem vērā, ka notiesātie patstāvīgi atrodas slēgtā vidē, kurā ir ierobežota iespēja sasmērēt apģērbu (piemēram, apģērbs nav pakļauts nelabvēlīgiem apstākļiem, </w:t>
            </w:r>
            <w:r w:rsidRPr="002B0223">
              <w:rPr>
                <w:sz w:val="24"/>
                <w:szCs w:val="24"/>
              </w:rPr>
              <w:lastRenderedPageBreak/>
              <w:t>notiesātie nestrādā tādos darbos, no kuriem rodas netīrumi, notiesāto kameras pastāvīgi tiek uzkoptas).</w:t>
            </w:r>
          </w:p>
          <w:p w14:paraId="1E500C25" w14:textId="7211548D" w:rsidR="00DA5877" w:rsidRPr="002B0223" w:rsidRDefault="00DA5877">
            <w:pPr>
              <w:rPr>
                <w:sz w:val="24"/>
                <w:szCs w:val="24"/>
              </w:rPr>
            </w:pPr>
          </w:p>
          <w:p w14:paraId="43820599" w14:textId="77777777" w:rsidR="00DA5877" w:rsidRPr="002B0223" w:rsidRDefault="00DA5877" w:rsidP="00DA5877">
            <w:pPr>
              <w:rPr>
                <w:sz w:val="24"/>
                <w:szCs w:val="24"/>
              </w:rPr>
            </w:pPr>
            <w:r w:rsidRPr="002B0223">
              <w:rPr>
                <w:sz w:val="24"/>
                <w:szCs w:val="24"/>
              </w:rPr>
              <w:t>3) Noteikumu projekta 19. punkts šādā redakcijā:</w:t>
            </w:r>
          </w:p>
          <w:p w14:paraId="6E1D8DA1" w14:textId="77777777" w:rsidR="00DA5877" w:rsidRPr="002B0223" w:rsidRDefault="00DA5877" w:rsidP="00DA5877">
            <w:pPr>
              <w:rPr>
                <w:sz w:val="24"/>
                <w:szCs w:val="24"/>
              </w:rPr>
            </w:pPr>
            <w:r w:rsidRPr="002B0223">
              <w:rPr>
                <w:sz w:val="24"/>
                <w:szCs w:val="24"/>
              </w:rPr>
              <w:t>"Brīvības atņemšanas iestāde notiesātajiem nodrošina mazgāšanos dušā ne retāk kā divas reizes septiņās dienās, apakšveļas un gultas veļas maiņu ne retāk kā vienu reizi septiņās dienās."</w:t>
            </w:r>
          </w:p>
          <w:p w14:paraId="363D6D2D" w14:textId="6BAF69FD" w:rsidR="00DA5877" w:rsidRPr="002B0223" w:rsidRDefault="00DA5877">
            <w:pPr>
              <w:rPr>
                <w:sz w:val="24"/>
                <w:szCs w:val="24"/>
              </w:rPr>
            </w:pPr>
          </w:p>
          <w:p w14:paraId="71F23853" w14:textId="3D5BEF20" w:rsidR="00DA5877" w:rsidRPr="002B0223" w:rsidRDefault="00DA5877" w:rsidP="00DA5877">
            <w:pPr>
              <w:rPr>
                <w:sz w:val="24"/>
                <w:szCs w:val="24"/>
              </w:rPr>
            </w:pPr>
            <w:r w:rsidRPr="002B0223">
              <w:rPr>
                <w:sz w:val="24"/>
                <w:szCs w:val="24"/>
              </w:rPr>
              <w:t xml:space="preserve">4) Latvijas Sodu izpildes kodeksa 41. panta pirmā daļa noteic, ka režīma pamatnoteikumi brīvības atņemšanas iestādēs ir notiesāto obligāta izolācija un uzraudzība, lai viņiem nebūtu iespējams izdarīt jaunus noziedzīgus nodarījumus; viņiem noteikto pienākumu precīza bezierunu izpilde; dažādi režīma apstākļi atkarībā no notiesātā izdarītā noziedzīgā nodarījuma rakstura, viņa personības un uzvedības. No šīs tiesību normas izriet tieša prasība notiesātajiem ievērot režīma noteikumus, kas paredzēti Latvijas Sodu izpildes kodeksā, brīvības atņemšanas iestādes iekšējās kārtības noteikumos un brīvības atņemšanas iestādes priekšnieka izdotajos iekšējos normatīvajos aktos. Turklāt no minētās tiesību normas ir secināms, ka notiesātajiem brīvības atņemšanas iestādēs ir noteikts īpašs režīms, kura </w:t>
            </w:r>
            <w:r w:rsidRPr="002B0223">
              <w:rPr>
                <w:sz w:val="24"/>
                <w:szCs w:val="24"/>
              </w:rPr>
              <w:lastRenderedPageBreak/>
              <w:t xml:space="preserve">nodrošināšanas viena no pamatprasībām ir notiesātajiem noteikto pienākumu izpilde. Tāpat saskaņā ar Ieslodzījuma vietu pārvaldes likuma 22. panta pirmās daļas 4. punktu amatpersonai, pildot dienesta uzdevumus, ir tiesības un pienākumi normatīvajos aktos noteiktajā kārtībā izdarīt personu apskati, telpu, mantu un apģērba pārbaudi. No minētā secināms, ka brīvības atņemšanas iestādes amatpersonai, pildot dienesta pienākumus, ir tiesības normatīvajos aktos noteiktajā kārtībā veikt gan notiesāto, gan telpu apskati jebkurā diennakts laikā. Lai nepieļautu, ka notiesātie veic darbības, kas var radīt apdraudējumu brīvības atņemšanas iestādes nodarbinātajiem vai citiem notiesātajiem, kā arī, lai novērstu priekšmetu, vielu un izstrādājumu, kurus aizliegts lietot un glabāt brīvības atņemšanas iestādē, pretlikumīgu izmantošanu, brīvības atņemšanas iestādes amatpersonai ir pienākums veikt notiesāto un telpu apskati. Notiesāto un telpu apskate atzīstama par tādu brīvības atņemšanas iestāžu procesuālo darbību, kas slēgtā vidē ir neizbēgama, un notiesātajiem, atrodoties brīvības atņemšanas iestādē, ir jārēķinās ar brīvības atņemšanas iestādes administrācijas plašajām pilnvarām veikt notiesāto, kameru un telpu skati un </w:t>
            </w:r>
            <w:r w:rsidRPr="002B0223">
              <w:rPr>
                <w:sz w:val="24"/>
                <w:szCs w:val="24"/>
              </w:rPr>
              <w:lastRenderedPageBreak/>
              <w:t xml:space="preserve">uzraudzību cauru diennakti, kas tiek veikta drošības pasākumu ietvaros. Līdz ar to brīvības atņemšanas iestādes amatpersonām ir tiesības pārvietoties pa gaiteņiem (sekcijās) naktī, lai kontrolētu pienācīgu brīvības atņemšanas soda izpildi no notiesāto puses. Brīvības atņemšanas iestādes amatpersonas nakts laikā cenšas pārvietoties pēc iespējas klusāk, jo apzinās, ka notiesātajiem ir naktsmiers. Iespējams, ka durvju atvēršana un aizvēršana brīvības atņemšanas iestādē nakts laikā var radīt trokšņus, tomēr šie trokšņi nav tādi, kas nesamērīgi ierobežotu notiesātā tiesības uz astoņu stundu nepārtraukta miega. </w:t>
            </w:r>
          </w:p>
          <w:p w14:paraId="6881FFE0" w14:textId="71916590" w:rsidR="00DA5877" w:rsidRPr="002B0223" w:rsidRDefault="00DA5877">
            <w:pPr>
              <w:rPr>
                <w:sz w:val="24"/>
                <w:szCs w:val="24"/>
              </w:rPr>
            </w:pPr>
          </w:p>
          <w:p w14:paraId="5698B47C" w14:textId="12381A3F" w:rsidR="00DA5877" w:rsidRPr="002B0223" w:rsidRDefault="00DA5877" w:rsidP="00DA5877">
            <w:pPr>
              <w:rPr>
                <w:sz w:val="24"/>
                <w:szCs w:val="24"/>
              </w:rPr>
            </w:pPr>
            <w:r w:rsidRPr="002B0223">
              <w:rPr>
                <w:sz w:val="24"/>
                <w:szCs w:val="24"/>
              </w:rPr>
              <w:t>5) Noteikumu projekta 3</w:t>
            </w:r>
            <w:r w:rsidR="00FE7990">
              <w:rPr>
                <w:sz w:val="24"/>
                <w:szCs w:val="24"/>
              </w:rPr>
              <w:t>7</w:t>
            </w:r>
            <w:r w:rsidRPr="002B0223">
              <w:rPr>
                <w:sz w:val="24"/>
                <w:szCs w:val="24"/>
              </w:rPr>
              <w:t>. punkts noteic, ka, saņemot brīvības atņemšanas iestādes priekšnieka atļauja, notiesātais var glabāt un dienas kārtībā noteiktajā laikā lietot elektrisko bārdas skujamo aparātu (3</w:t>
            </w:r>
            <w:r w:rsidR="00FE7990">
              <w:rPr>
                <w:sz w:val="24"/>
                <w:szCs w:val="24"/>
              </w:rPr>
              <w:t>7</w:t>
            </w:r>
            <w:r w:rsidRPr="002B0223">
              <w:rPr>
                <w:sz w:val="24"/>
                <w:szCs w:val="24"/>
              </w:rPr>
              <w:t>.</w:t>
            </w:r>
            <w:r w:rsidR="00FE7990">
              <w:rPr>
                <w:sz w:val="24"/>
                <w:szCs w:val="24"/>
              </w:rPr>
              <w:t>7</w:t>
            </w:r>
            <w:r w:rsidRPr="002B0223">
              <w:rPr>
                <w:sz w:val="24"/>
                <w:szCs w:val="24"/>
              </w:rPr>
              <w:t xml:space="preserve">. apakšpunkts); </w:t>
            </w:r>
            <w:r w:rsidR="00FE7990">
              <w:rPr>
                <w:sz w:val="24"/>
                <w:szCs w:val="24"/>
              </w:rPr>
              <w:t xml:space="preserve">elektrisko </w:t>
            </w:r>
            <w:r w:rsidRPr="002B0223">
              <w:rPr>
                <w:sz w:val="24"/>
                <w:szCs w:val="24"/>
              </w:rPr>
              <w:t>matu griežamo mašīnu (3</w:t>
            </w:r>
            <w:r w:rsidR="00FE7990">
              <w:rPr>
                <w:sz w:val="24"/>
                <w:szCs w:val="24"/>
              </w:rPr>
              <w:t>7</w:t>
            </w:r>
            <w:r w:rsidRPr="002B0223">
              <w:rPr>
                <w:sz w:val="24"/>
                <w:szCs w:val="24"/>
              </w:rPr>
              <w:t>.</w:t>
            </w:r>
            <w:r w:rsidR="00FE7990">
              <w:rPr>
                <w:sz w:val="24"/>
                <w:szCs w:val="24"/>
              </w:rPr>
              <w:t>8</w:t>
            </w:r>
            <w:r w:rsidRPr="002B0223">
              <w:rPr>
                <w:sz w:val="24"/>
                <w:szCs w:val="24"/>
              </w:rPr>
              <w:t>. apakšpunkts); sievietes – matu ieveidošanas ierīces (3</w:t>
            </w:r>
            <w:r w:rsidR="00FE7990">
              <w:rPr>
                <w:sz w:val="24"/>
                <w:szCs w:val="24"/>
              </w:rPr>
              <w:t>7</w:t>
            </w:r>
            <w:r w:rsidRPr="002B0223">
              <w:rPr>
                <w:sz w:val="24"/>
                <w:szCs w:val="24"/>
              </w:rPr>
              <w:t>.</w:t>
            </w:r>
            <w:r w:rsidR="00FE7990">
              <w:rPr>
                <w:sz w:val="24"/>
                <w:szCs w:val="24"/>
              </w:rPr>
              <w:t>11</w:t>
            </w:r>
            <w:r w:rsidRPr="002B0223">
              <w:rPr>
                <w:sz w:val="24"/>
                <w:szCs w:val="24"/>
              </w:rPr>
              <w:t>. apakšpunkts). Saskaņā ar noteikumu projekta 3</w:t>
            </w:r>
            <w:r w:rsidR="00F77B86">
              <w:rPr>
                <w:sz w:val="24"/>
                <w:szCs w:val="24"/>
              </w:rPr>
              <w:t>9</w:t>
            </w:r>
            <w:r w:rsidRPr="002B0223">
              <w:rPr>
                <w:sz w:val="24"/>
                <w:szCs w:val="24"/>
              </w:rPr>
              <w:t xml:space="preserve">. punktu izdevumus par iepriekš norādīto sadzīves elektroiekārtu patērēto elektroenerģiju sedz notiesātais. Līdz ar to, ja notiesātajam ir personīgie naudas līdzekļi, viņš ar brīvības atņemšanas </w:t>
            </w:r>
            <w:r w:rsidRPr="002B0223">
              <w:rPr>
                <w:sz w:val="24"/>
                <w:szCs w:val="24"/>
              </w:rPr>
              <w:lastRenderedPageBreak/>
              <w:t xml:space="preserve">iestādes priekšnieka atļauju var lietot elektrisko bārda skujamo aparātu, bezvadu matu griežamo mašīnu un notiesātās sievietes – matu ieveidošanas ierīces, maksājot par patērēto elektroenerģiju. Tomēr, lai notiesātie, atrodoties brīvības atņemšanas iestādē, būtu kopti, kārtīgi un ievērotu personīgās higiēnas prasības, brīvības atņemšanas iestādes administrācija nodrošina notiesātajiem friziera pakalpojumus brīvības atņemšanas iestādē. Friziera pakalpojumus citiem notiesātajiem nodrošina notiesātais, kas nodarbināts brīvības atņemšanas iestādes saimnieciskajā apkalpē par frizieri. Saskaņā ar noteikumu projekta notiesātajam ir tiesības pienesumā un sūtījuma saņemt mehānisko bārdas skujamo aparātu (skuvekļus). Tāpat, ja notiesātais vēršas ar iesniegumu, kurā izteikts lūgums nodrošināt viņu ar skuvekli, brīvības atņemšanas iestādes administrācija individuāli izvērtē šādu notiesātā iesniegumu un nepieciešamības gadījumā, pirms tam pārbaudot, vai notiesātajam personīgajā kontā ir finanšu līdzekļi, par kuriem viņš var iegādāties skuvekli, kā arī viņa iespējas to regulāri saņemt sūtījumus vai pienesumos, nodrošina notiesāto ar skuvekli. Ievērojot minēto, brīvības atņemšanas iestādes administrācija </w:t>
            </w:r>
            <w:r w:rsidRPr="002B0223">
              <w:rPr>
                <w:sz w:val="24"/>
                <w:szCs w:val="24"/>
              </w:rPr>
              <w:lastRenderedPageBreak/>
              <w:t xml:space="preserve">minimālā līmenī nodrošina, lai notiesātie būtu kārtīgi un kopti, atrodoties brīvības atņemšanas iestādē, kā arī lai viņi ievērotu personīgās higiēnas prasības. </w:t>
            </w:r>
          </w:p>
          <w:p w14:paraId="143B4302" w14:textId="0AF16968" w:rsidR="00DA5877" w:rsidRPr="002B0223" w:rsidRDefault="00DA5877" w:rsidP="00DA5877">
            <w:pPr>
              <w:rPr>
                <w:sz w:val="24"/>
                <w:szCs w:val="24"/>
              </w:rPr>
            </w:pPr>
            <w:r w:rsidRPr="002B0223">
              <w:rPr>
                <w:sz w:val="24"/>
                <w:szCs w:val="24"/>
              </w:rPr>
              <w:t>Tomēr matu veidošanas ierīces notiesātajām sievietēm nav saistītas ar higiēnas prasību ievērošanu, bet gan ar skaistuma procedūrām, kuras brīvības atņemšanas iestādes administrācijai nav jānodrošina atbilstoši normatīvajam regulējumam. Līdz notiesātās sievietes var lietot matu veidošanas ierīces, ja ir saņemta brīvības atņemšanas iestādes priekšnieka atļauja un ja viņiem ir personīgie finanšu līdzekļi, lai samaksātu par patērēto elektrību.</w:t>
            </w:r>
          </w:p>
          <w:p w14:paraId="6A6578E5" w14:textId="77777777" w:rsidR="00DA5877" w:rsidRPr="002B0223" w:rsidRDefault="00DA5877" w:rsidP="00DA5877">
            <w:pPr>
              <w:rPr>
                <w:sz w:val="24"/>
                <w:szCs w:val="24"/>
              </w:rPr>
            </w:pPr>
          </w:p>
          <w:p w14:paraId="7BACB646" w14:textId="75EA9D86" w:rsidR="00DA5877" w:rsidRPr="002B0223" w:rsidRDefault="00DA5877" w:rsidP="00DA5877">
            <w:pPr>
              <w:rPr>
                <w:sz w:val="24"/>
                <w:szCs w:val="24"/>
              </w:rPr>
            </w:pPr>
            <w:r w:rsidRPr="002B0223">
              <w:rPr>
                <w:sz w:val="24"/>
                <w:szCs w:val="24"/>
              </w:rPr>
              <w:t xml:space="preserve">6) Šobrīd saskaņā ar </w:t>
            </w:r>
            <w:r w:rsidR="00FC4822">
              <w:rPr>
                <w:sz w:val="24"/>
                <w:szCs w:val="24"/>
              </w:rPr>
              <w:t xml:space="preserve">Noteikumu </w:t>
            </w:r>
            <w:r w:rsidRPr="002B0223">
              <w:rPr>
                <w:sz w:val="24"/>
                <w:szCs w:val="24"/>
              </w:rPr>
              <w:t>Nr. 423 "Brīvības atņemšanas iestādes iekšējās kārtības noteikumi" 40. punktu notiesāt</w:t>
            </w:r>
            <w:r w:rsidR="00FE7990">
              <w:rPr>
                <w:sz w:val="24"/>
                <w:szCs w:val="24"/>
              </w:rPr>
              <w:t xml:space="preserve">ajiem nav tiesību glabāt un lietot austiņas. </w:t>
            </w:r>
            <w:r w:rsidRPr="002B0223">
              <w:rPr>
                <w:sz w:val="24"/>
                <w:szCs w:val="24"/>
              </w:rPr>
              <w:t xml:space="preserve">Ieslodzījuma vietu pārvalde, saņemot vairāku notiesāto iesniegumus ar lūgumu atļaut lietot austiņas brīvības atņemšanas iestādē, lai varētu norobežoties no pārējiem kameras biedriem un pavadīt laiku vienatnē un ievērojot labas pārvaldības principu, noteikumu projektā ietvēra normu, kas paredz, ka notiesātais, saņemot brīvības atņemšanas iestādes priekšnieka atļauju, var lietot un glabāt mazās austiņas ar vadu bez papildu funkcijām, atklātajā </w:t>
            </w:r>
            <w:r w:rsidRPr="002B0223">
              <w:rPr>
                <w:sz w:val="24"/>
                <w:szCs w:val="24"/>
              </w:rPr>
              <w:lastRenderedPageBreak/>
              <w:t xml:space="preserve">cietumā arī bezvadu austiņas. Noteikumu projekta anotācijā jau sniegts skaidrojums, ka atļautas ir tādas austiņas, kuras ir stiprināmas (ieliekamas) ausīs un tām nav iebūvētā mikrofona. Mūzikas klausīšanās austiņās, neatkarīgi no to lieluma un veida, negatīvi ietekmē cilvēka dzirdi. Ja mūzika vai troksnis ausīs būs skaļš un/vai ilgstošs, un/vai regulārs, tas var izraisīt paliekošu, neatgriezenisku dzirdes nerva bojājumu, kas rezultējas ar dzirdes līmeņa samazinājumu. Raksturīgi, ka vispirms bojājums rodas augstas frekvences skaņu uztverē, ko uzreiz nevar pamanīt. Iespējams, ka lielās austiņas ir mazāk kaitīgākas dzirdei nekā mazās austiņās, tomēr austiņu lielums nav vienīgais faktors, kas ietekmē cilvēka dzidri. Attiecībā uz mūzikas klausīšanu austiņās ir jāskatās trīs faktoru kombinācija, un tie ir: skaņas skaļums, ilgums (tas, cik ilgi auss bija pakļauta troksnim) un biežums (vai tas notiek katru dienu, nedēļu un pastāvīgi vai reti). Līdz ar to pats notiesātais, lietojot austiņas, var regulēt trokšņa ietekmi uz savu dzirdi. Bez tam arī Pacientu tiesību likuma 15. panta pirmā daļa noteic, ka pacientam (ikvienai personai) ir pienākums rūpēties par savu veselību. Turklāt atšķirība starp mūzikas klausīšanu lielajās un mazajās austiņās ir </w:t>
            </w:r>
            <w:r w:rsidRPr="002B0223">
              <w:rPr>
                <w:sz w:val="24"/>
                <w:szCs w:val="24"/>
              </w:rPr>
              <w:lastRenderedPageBreak/>
              <w:t xml:space="preserve">pavisam neliela, proti, tie varētu būt ap deviņiem decibeliem. </w:t>
            </w:r>
            <w:r w:rsidRPr="002B0223">
              <w:rPr>
                <w:color w:val="2B292A"/>
                <w:sz w:val="24"/>
                <w:szCs w:val="24"/>
              </w:rPr>
              <w:t>Teiksim, ja klausīties ar mazajām austiņām mūziku 80 decibelu skaļumā, tad lielajās austiņās skaņa, kas nokļūst auss ejā, būs nedaudz virs 70 decibeliem. Līdz ar to notiesātais vienmēr var pagriez mūziku klusāk, lai tas mazāk ietekmētu viņa dzirdi.</w:t>
            </w:r>
          </w:p>
          <w:p w14:paraId="2BD98C33" w14:textId="77777777" w:rsidR="00DA5877" w:rsidRPr="002B0223" w:rsidRDefault="00DA5877" w:rsidP="00DA5877">
            <w:pPr>
              <w:rPr>
                <w:sz w:val="24"/>
                <w:szCs w:val="24"/>
              </w:rPr>
            </w:pPr>
            <w:r w:rsidRPr="002B0223">
              <w:rPr>
                <w:sz w:val="24"/>
                <w:szCs w:val="24"/>
              </w:rPr>
              <w:t xml:space="preserve">Pie tam austiņas, kas pilnībā aizsedz ausis un stiprinās ap galvu, var radīt brīvības atņemšanas iestādē apdraudējuma riskus, ņemot vērā, ka austiņās (kas pilnībā aizsedz ausi) var iestrādāt un slēpt brīvības atņemšanas iestādē neatļautus priekšmetus, vielas un izstrādājumus (piemērām, iestrādāt aiz austiņas polsterējuma vai plastmasas detaļām). </w:t>
            </w:r>
          </w:p>
          <w:p w14:paraId="7E64E9B3" w14:textId="35D65CA3" w:rsidR="00DA5877" w:rsidRPr="002B0223" w:rsidRDefault="00DA5877" w:rsidP="00DA5877">
            <w:pPr>
              <w:tabs>
                <w:tab w:val="left" w:pos="804"/>
              </w:tabs>
              <w:rPr>
                <w:sz w:val="24"/>
                <w:szCs w:val="24"/>
              </w:rPr>
            </w:pPr>
          </w:p>
          <w:p w14:paraId="61AAE80B" w14:textId="32DF8F24" w:rsidR="00DA5877" w:rsidRPr="002B0223" w:rsidRDefault="00DA5877" w:rsidP="00DA5877">
            <w:pPr>
              <w:rPr>
                <w:sz w:val="24"/>
                <w:szCs w:val="24"/>
              </w:rPr>
            </w:pPr>
            <w:r w:rsidRPr="002B0223">
              <w:rPr>
                <w:sz w:val="24"/>
                <w:szCs w:val="24"/>
              </w:rPr>
              <w:t>7) Lai nodrošinātu vienotu noteikumu projekta 8</w:t>
            </w:r>
            <w:r w:rsidR="00FE7990">
              <w:rPr>
                <w:sz w:val="24"/>
                <w:szCs w:val="24"/>
              </w:rPr>
              <w:t>9</w:t>
            </w:r>
            <w:r w:rsidRPr="002B0223">
              <w:rPr>
                <w:sz w:val="24"/>
                <w:szCs w:val="24"/>
              </w:rPr>
              <w:t>. punkta interpretāciju, anotācija papildinātā ar šādu skaidrojumu:</w:t>
            </w:r>
          </w:p>
          <w:p w14:paraId="7494D9F7" w14:textId="2A3AB68D" w:rsidR="00DA5877" w:rsidRPr="002B0223" w:rsidRDefault="00DA5877" w:rsidP="00DA5877">
            <w:pPr>
              <w:rPr>
                <w:sz w:val="24"/>
                <w:szCs w:val="24"/>
              </w:rPr>
            </w:pPr>
            <w:r w:rsidRPr="002B0223">
              <w:rPr>
                <w:sz w:val="24"/>
                <w:szCs w:val="24"/>
              </w:rPr>
              <w:t xml:space="preserve">"Ieslodzījuma vietu pārvaldes likuma 22. panta pirmās daļas 4. punkts noteic, ka amatpersonai, pildot dienesta uzdevumus, ir tiesības un pienākums normatīvajos aktos noteiktajā kārtībā izdarīt personu apskati, telpu, mantu un apģērbu pārbaudi, arī izmantojot tehniskos līdzekļus, izņemt priekšmetus, izstrādājumus un vielas, kuras aizliegts ienest, lietot un glabāt ieslodzījuma </w:t>
            </w:r>
            <w:r w:rsidRPr="002B0223">
              <w:rPr>
                <w:sz w:val="24"/>
                <w:szCs w:val="24"/>
              </w:rPr>
              <w:lastRenderedPageBreak/>
              <w:t>vietā. Notiesāto var pārmeklēt, veicot pilnīgu pārmeklēšanu (ar personas izģērbšanos) vai daļēju pārmeklēšanu (bez personas izģērbšanās). Brīvības atņemšanas iestādes amatpersona notiesātā pilnīgās pārmeklēšanas laikā pārmeklē notiesātā apģērbu, mantas, galvassegu un apavus un pārbauda notiesātā ķermeni, protēzes un medicīniskās ierīces. Tātad notiesātā pilnīgā pārmeklēšana iever sevī gan notiesātā pārmeklēšanu no ārpus, gan ķermeņa atveru pārbaudīšanu. Līdz ar to brīvības atņemšanas iestādes amatpersona pati veic notiesātā pārmeklēšanu no ārpus, tomēr, kad ir nepieciešams pārbaudīt notiesātā ķermeņa dobumus, protēzes vai medicīniskās saites, brīvības atņemšanas iestādes amatpersona pieaicina brīvības atņemšanas iestādes ārstniecības personu</w:t>
            </w:r>
            <w:r w:rsidR="00526D0C">
              <w:rPr>
                <w:sz w:val="24"/>
                <w:szCs w:val="24"/>
              </w:rPr>
              <w:t>".</w:t>
            </w:r>
          </w:p>
          <w:p w14:paraId="3BDD363D" w14:textId="01EA8A2A" w:rsidR="00FE7990" w:rsidRPr="00FE7990" w:rsidRDefault="00FE7990" w:rsidP="00FE7990">
            <w:pPr>
              <w:rPr>
                <w:sz w:val="24"/>
                <w:szCs w:val="24"/>
              </w:rPr>
            </w:pPr>
          </w:p>
          <w:p w14:paraId="30768D8A" w14:textId="3B7649A8" w:rsidR="00FE7990" w:rsidRPr="00FE7990" w:rsidRDefault="00FE7990" w:rsidP="00FE7990">
            <w:pPr>
              <w:rPr>
                <w:sz w:val="24"/>
                <w:szCs w:val="24"/>
              </w:rPr>
            </w:pPr>
            <w:r w:rsidRPr="00FE7990">
              <w:rPr>
                <w:sz w:val="24"/>
                <w:szCs w:val="24"/>
              </w:rPr>
              <w:t>8)</w:t>
            </w:r>
            <w:r>
              <w:rPr>
                <w:sz w:val="24"/>
                <w:szCs w:val="24"/>
              </w:rPr>
              <w:t> </w:t>
            </w:r>
            <w:r w:rsidRPr="00FE7990">
              <w:rPr>
                <w:sz w:val="24"/>
                <w:szCs w:val="24"/>
              </w:rPr>
              <w:t>Latvijas Republikas Satversmes 96.</w:t>
            </w:r>
            <w:r>
              <w:rPr>
                <w:sz w:val="24"/>
                <w:szCs w:val="24"/>
              </w:rPr>
              <w:t> </w:t>
            </w:r>
            <w:r w:rsidRPr="00FE7990">
              <w:rPr>
                <w:sz w:val="24"/>
                <w:szCs w:val="24"/>
              </w:rPr>
              <w:t>pantā, Eiropas Padomes Cilvēktiesību un pamatbrīvību aizsardzības konvencijas 8.</w:t>
            </w:r>
            <w:r w:rsidR="00727A68">
              <w:rPr>
                <w:sz w:val="24"/>
                <w:szCs w:val="24"/>
              </w:rPr>
              <w:t> </w:t>
            </w:r>
            <w:r w:rsidRPr="00FE7990">
              <w:rPr>
                <w:sz w:val="24"/>
                <w:szCs w:val="24"/>
              </w:rPr>
              <w:t xml:space="preserve">pantā un ANO Starptautiskā </w:t>
            </w:r>
            <w:proofErr w:type="spellStart"/>
            <w:r w:rsidRPr="00FE7990">
              <w:rPr>
                <w:sz w:val="24"/>
                <w:szCs w:val="24"/>
              </w:rPr>
              <w:t>pakta</w:t>
            </w:r>
            <w:proofErr w:type="spellEnd"/>
            <w:r w:rsidRPr="00FE7990">
              <w:rPr>
                <w:sz w:val="24"/>
                <w:szCs w:val="24"/>
              </w:rPr>
              <w:t xml:space="preserve"> par pilsoniskajām un politiskajām tiesībām 17. pantā ir garantētas personas tiesības uz privāto dzīvi. Tiesības uz privātās dzīves neaizskaramību ir ierobežojamas. Šādiem ierobežojumiem jābūt </w:t>
            </w:r>
            <w:r w:rsidRPr="00FE7990">
              <w:rPr>
                <w:sz w:val="24"/>
                <w:szCs w:val="24"/>
              </w:rPr>
              <w:lastRenderedPageBreak/>
              <w:t xml:space="preserve">paredzētiem likumā ar mērķi aizsargāt citu cilvēku tiesības, demokrātiskas valsts iekārtu, sabiedrības drošību un tikumību. Lai ierobežojumi tiktu attaisnoti, tiem ir jābūt nepieciešamiem demokrātiskā sabiedrībā un līdzekļiem jābūt samērīgiem sasniedzamajam mērķim. Neskatoties uz to, ka videonovērošana kamerās skar tiesības uz privāto dzīvi, pati par sevi video novērošana kamerās nepārkāpj cilvēktiesības, bet tikai tādā gadījumā, ja ir ievēroti iepriekš minētie nosacījumi. </w:t>
            </w:r>
          </w:p>
          <w:p w14:paraId="4F20B6A2" w14:textId="77777777" w:rsidR="00FE7990" w:rsidRPr="00FE7990" w:rsidRDefault="00FE7990" w:rsidP="00FE7990">
            <w:pPr>
              <w:rPr>
                <w:sz w:val="24"/>
                <w:szCs w:val="24"/>
              </w:rPr>
            </w:pPr>
            <w:r w:rsidRPr="00FE7990">
              <w:rPr>
                <w:sz w:val="24"/>
                <w:szCs w:val="24"/>
              </w:rPr>
              <w:t xml:space="preserve">Eiropas Cilvēktiesību tiesa vairākās lietās (sal. skat. ,piem., Eiropas Cilvēktiesību tiesas spriedumus lietās </w:t>
            </w:r>
            <w:proofErr w:type="spellStart"/>
            <w:r w:rsidRPr="00FE7990">
              <w:rPr>
                <w:sz w:val="24"/>
                <w:szCs w:val="24"/>
              </w:rPr>
              <w:t>Paweł</w:t>
            </w:r>
            <w:proofErr w:type="spellEnd"/>
            <w:r w:rsidRPr="00FE7990">
              <w:rPr>
                <w:sz w:val="24"/>
                <w:szCs w:val="24"/>
              </w:rPr>
              <w:t xml:space="preserve"> </w:t>
            </w:r>
            <w:proofErr w:type="spellStart"/>
            <w:r w:rsidRPr="00FE7990">
              <w:rPr>
                <w:sz w:val="24"/>
                <w:szCs w:val="24"/>
              </w:rPr>
              <w:t>Pawlak</w:t>
            </w:r>
            <w:proofErr w:type="spellEnd"/>
            <w:r w:rsidRPr="00FE7990">
              <w:rPr>
                <w:sz w:val="24"/>
                <w:szCs w:val="24"/>
              </w:rPr>
              <w:t xml:space="preserve"> v. </w:t>
            </w:r>
            <w:proofErr w:type="spellStart"/>
            <w:r w:rsidRPr="00FE7990">
              <w:rPr>
                <w:sz w:val="24"/>
                <w:szCs w:val="24"/>
              </w:rPr>
              <w:t>Poland</w:t>
            </w:r>
            <w:proofErr w:type="spellEnd"/>
            <w:r w:rsidRPr="00FE7990">
              <w:rPr>
                <w:sz w:val="24"/>
                <w:szCs w:val="24"/>
              </w:rPr>
              <w:t xml:space="preserve">, </w:t>
            </w:r>
            <w:proofErr w:type="spellStart"/>
            <w:r w:rsidRPr="00FE7990">
              <w:rPr>
                <w:sz w:val="24"/>
                <w:szCs w:val="24"/>
              </w:rPr>
              <w:t>Piechowicz</w:t>
            </w:r>
            <w:proofErr w:type="spellEnd"/>
            <w:r w:rsidRPr="00FE7990">
              <w:rPr>
                <w:sz w:val="24"/>
                <w:szCs w:val="24"/>
              </w:rPr>
              <w:t xml:space="preserve"> v. </w:t>
            </w:r>
            <w:proofErr w:type="spellStart"/>
            <w:r w:rsidRPr="00FE7990">
              <w:rPr>
                <w:sz w:val="24"/>
                <w:szCs w:val="24"/>
              </w:rPr>
              <w:t>Poland</w:t>
            </w:r>
            <w:proofErr w:type="spellEnd"/>
            <w:r w:rsidRPr="00FE7990">
              <w:rPr>
                <w:sz w:val="24"/>
                <w:szCs w:val="24"/>
              </w:rPr>
              <w:t xml:space="preserve">, </w:t>
            </w:r>
            <w:proofErr w:type="spellStart"/>
            <w:r w:rsidRPr="00FE7990">
              <w:rPr>
                <w:sz w:val="24"/>
                <w:szCs w:val="24"/>
              </w:rPr>
              <w:t>Horych</w:t>
            </w:r>
            <w:proofErr w:type="spellEnd"/>
            <w:r w:rsidRPr="00FE7990">
              <w:rPr>
                <w:sz w:val="24"/>
                <w:szCs w:val="24"/>
              </w:rPr>
              <w:t xml:space="preserve"> v. </w:t>
            </w:r>
            <w:proofErr w:type="spellStart"/>
            <w:r w:rsidRPr="00FE7990">
              <w:rPr>
                <w:sz w:val="24"/>
                <w:szCs w:val="24"/>
              </w:rPr>
              <w:t>Poland</w:t>
            </w:r>
            <w:proofErr w:type="spellEnd"/>
            <w:r w:rsidRPr="00FE7990">
              <w:rPr>
                <w:sz w:val="24"/>
                <w:szCs w:val="24"/>
              </w:rPr>
              <w:t xml:space="preserve">, </w:t>
            </w:r>
            <w:proofErr w:type="spellStart"/>
            <w:r w:rsidRPr="00FE7990">
              <w:rPr>
                <w:sz w:val="24"/>
                <w:szCs w:val="24"/>
              </w:rPr>
              <w:t>Savičs</w:t>
            </w:r>
            <w:proofErr w:type="spellEnd"/>
            <w:r w:rsidRPr="00FE7990">
              <w:rPr>
                <w:sz w:val="24"/>
                <w:szCs w:val="24"/>
              </w:rPr>
              <w:t xml:space="preserve"> </w:t>
            </w:r>
            <w:proofErr w:type="spellStart"/>
            <w:r w:rsidRPr="00FE7990">
              <w:rPr>
                <w:sz w:val="24"/>
                <w:szCs w:val="24"/>
              </w:rPr>
              <w:t>v.Latvia</w:t>
            </w:r>
            <w:proofErr w:type="spellEnd"/>
            <w:r w:rsidRPr="00FE7990">
              <w:rPr>
                <w:sz w:val="24"/>
                <w:szCs w:val="24"/>
              </w:rPr>
              <w:t xml:space="preserve">, </w:t>
            </w:r>
            <w:proofErr w:type="spellStart"/>
            <w:r w:rsidRPr="00FE7990">
              <w:rPr>
                <w:sz w:val="24"/>
                <w:szCs w:val="24"/>
              </w:rPr>
              <w:t>Ramirez</w:t>
            </w:r>
            <w:proofErr w:type="spellEnd"/>
            <w:r w:rsidRPr="00FE7990">
              <w:rPr>
                <w:sz w:val="24"/>
                <w:szCs w:val="24"/>
              </w:rPr>
              <w:t xml:space="preserve"> </w:t>
            </w:r>
            <w:proofErr w:type="spellStart"/>
            <w:r w:rsidRPr="00FE7990">
              <w:rPr>
                <w:sz w:val="24"/>
                <w:szCs w:val="24"/>
              </w:rPr>
              <w:t>Sanchez</w:t>
            </w:r>
            <w:proofErr w:type="spellEnd"/>
            <w:r w:rsidRPr="00FE7990">
              <w:rPr>
                <w:sz w:val="24"/>
                <w:szCs w:val="24"/>
              </w:rPr>
              <w:t xml:space="preserve"> v. </w:t>
            </w:r>
            <w:proofErr w:type="spellStart"/>
            <w:r w:rsidRPr="00FE7990">
              <w:rPr>
                <w:sz w:val="24"/>
                <w:szCs w:val="24"/>
              </w:rPr>
              <w:t>France</w:t>
            </w:r>
            <w:proofErr w:type="spellEnd"/>
            <w:r w:rsidRPr="00FE7990">
              <w:rPr>
                <w:sz w:val="24"/>
                <w:szCs w:val="24"/>
              </w:rPr>
              <w:t xml:space="preserve">) ir secinājusi, ka īslaicīgu pakļaušanu nepārtrauktai videonovērošanai nav pamata atzīt par nelikumīgu un pārmērīgu drošības pasākumu īstenošanu. Turklāt Eiropas Cilvēktiesību tiesa lietās </w:t>
            </w:r>
            <w:proofErr w:type="spellStart"/>
            <w:r w:rsidRPr="00FE7990">
              <w:rPr>
                <w:sz w:val="24"/>
                <w:szCs w:val="24"/>
              </w:rPr>
              <w:t>Piechowicz</w:t>
            </w:r>
            <w:proofErr w:type="spellEnd"/>
            <w:r w:rsidRPr="00FE7990">
              <w:rPr>
                <w:sz w:val="24"/>
                <w:szCs w:val="24"/>
              </w:rPr>
              <w:t xml:space="preserve"> v. </w:t>
            </w:r>
            <w:proofErr w:type="spellStart"/>
            <w:r w:rsidRPr="00FE7990">
              <w:rPr>
                <w:sz w:val="24"/>
                <w:szCs w:val="24"/>
              </w:rPr>
              <w:t>Poland</w:t>
            </w:r>
            <w:proofErr w:type="spellEnd"/>
            <w:r w:rsidRPr="00FE7990">
              <w:rPr>
                <w:sz w:val="24"/>
                <w:szCs w:val="24"/>
              </w:rPr>
              <w:t xml:space="preserve"> un </w:t>
            </w:r>
            <w:proofErr w:type="spellStart"/>
            <w:r w:rsidRPr="00FE7990">
              <w:rPr>
                <w:sz w:val="24"/>
                <w:szCs w:val="24"/>
              </w:rPr>
              <w:t>Horych</w:t>
            </w:r>
            <w:proofErr w:type="spellEnd"/>
            <w:r w:rsidRPr="00FE7990">
              <w:rPr>
                <w:sz w:val="24"/>
                <w:szCs w:val="24"/>
              </w:rPr>
              <w:t xml:space="preserve"> v. </w:t>
            </w:r>
            <w:proofErr w:type="spellStart"/>
            <w:r w:rsidRPr="00FE7990">
              <w:rPr>
                <w:sz w:val="24"/>
                <w:szCs w:val="24"/>
              </w:rPr>
              <w:t>Poland</w:t>
            </w:r>
            <w:proofErr w:type="spellEnd"/>
            <w:r w:rsidRPr="00FE7990">
              <w:rPr>
                <w:sz w:val="24"/>
                <w:szCs w:val="24"/>
              </w:rPr>
              <w:t xml:space="preserve"> ir secinājusi, ka nepārtraukta 24 stundu diennakts novērošana, lai arī klasificējama kā uzbāzīga, ir pieļaujama. Konkrētajās lietās bija aprakstīts ieslodzīto stāvoklis, kuri pamatojoties uz to, ka tiem piešķirts bīstamu ieslodzīto statuss, bija pakļauti īpašai uzraudzībai, </w:t>
            </w:r>
            <w:r w:rsidRPr="00FE7990">
              <w:rPr>
                <w:sz w:val="24"/>
                <w:szCs w:val="24"/>
              </w:rPr>
              <w:lastRenderedPageBreak/>
              <w:t>biežai un sistemātiskai ķermeņa pārmeklēšanai, tikšanās ierobežojumiem un nepārtrauktai video uzraudzībai. Tiesa secināja, ka dažas uzraudzības un pārmeklēšanas metodes ir pieļaujamas, ja vien tās ir pamatotas un nepieciešamas, kā arī nav veiktas ar mērķi pazemot.</w:t>
            </w:r>
          </w:p>
          <w:p w14:paraId="350B33FA" w14:textId="77777777" w:rsidR="00FE7990" w:rsidRPr="00FE7990" w:rsidRDefault="00FE7990" w:rsidP="00FE7990">
            <w:pPr>
              <w:rPr>
                <w:sz w:val="24"/>
                <w:szCs w:val="24"/>
              </w:rPr>
            </w:pPr>
            <w:r w:rsidRPr="00FE7990">
              <w:rPr>
                <w:sz w:val="24"/>
                <w:szCs w:val="24"/>
              </w:rPr>
              <w:t xml:space="preserve">Arī Eiropas Padomes Spīdzināšanas novēršanas komiteja attiecībā uz nepārtrauktu videonovērošanu kamerās personām, kam nav noteikts speciāls, uzraudzību pastiprinošs režīms, savos pārskata ziņojumos ir norādījusi, ka šādas darbības ir pieļaujamas un var tikt attaisnotas drošības apsvērumu dēļ, kā arī īpašos gadījumos. Tomēr atbildīgajai institūcijai tad ir jānodrošina papildus garantijas, lai iegūtie dati netiktu ļaunprātīgi izmantoti. Kā iespējamās garantijas tiek norādītas regulāras videonovērošanas nepieciešamības pārbaudes, kā arī iegūto datu pareizas apstrādes </w:t>
            </w:r>
            <w:proofErr w:type="spellStart"/>
            <w:r w:rsidRPr="00FE7990">
              <w:rPr>
                <w:sz w:val="24"/>
                <w:szCs w:val="24"/>
              </w:rPr>
              <w:t>izvērtējums</w:t>
            </w:r>
            <w:proofErr w:type="spellEnd"/>
            <w:r w:rsidRPr="00FE7990">
              <w:rPr>
                <w:sz w:val="24"/>
                <w:szCs w:val="24"/>
              </w:rPr>
              <w:t>. Arī Eiropas Padomes Ministru komitejas Ieteikuma Rec(2006)2 dalībvalstīm par Eiropas cietuma noteikumiem 18.10. punkts paredz, ka visus ieslodzītos izmitina tādos apstākļos, kuros tiem noteikti vismazāk ierobežojošie drošības pasākumi, kas sader ar risku, ka šie ieslodzītie varētu izbēgt vai nodarīt kaitējumu sev vai citiem.</w:t>
            </w:r>
          </w:p>
          <w:p w14:paraId="46BD5113" w14:textId="44C425B4" w:rsidR="00DA5877" w:rsidRPr="002B0223" w:rsidRDefault="00FE7990" w:rsidP="00DA5877">
            <w:pPr>
              <w:rPr>
                <w:sz w:val="24"/>
                <w:szCs w:val="24"/>
              </w:rPr>
            </w:pPr>
            <w:r w:rsidRPr="00FE7990">
              <w:rPr>
                <w:sz w:val="24"/>
                <w:szCs w:val="24"/>
              </w:rPr>
              <w:lastRenderedPageBreak/>
              <w:t xml:space="preserve">No minētā izriet, ka ir pieļaujams, ka ieslodzītajiem tiek piemēroti pastiprināti drošības pasākumi, tajā skaitā tiek veikta videonovērošana kamerā, ja tam ir objektīvs pamatojums un </w:t>
            </w:r>
            <w:proofErr w:type="spellStart"/>
            <w:r w:rsidRPr="00FE7990">
              <w:rPr>
                <w:sz w:val="24"/>
                <w:szCs w:val="24"/>
              </w:rPr>
              <w:t>izvērtējums</w:t>
            </w:r>
            <w:proofErr w:type="spellEnd"/>
            <w:r w:rsidRPr="00FE7990">
              <w:rPr>
                <w:sz w:val="24"/>
                <w:szCs w:val="24"/>
              </w:rPr>
              <w:t xml:space="preserve"> un pats ieslodzītais ar savu rīcību ir radījis šādu nepieciešamību.</w:t>
            </w:r>
          </w:p>
        </w:tc>
      </w:tr>
      <w:tr w:rsidR="001F3C8C" w:rsidRPr="002B0223" w14:paraId="1EE19F92" w14:textId="77777777" w:rsidTr="00762650">
        <w:trPr>
          <w:trHeight w:val="5807"/>
        </w:trPr>
        <w:tc>
          <w:tcPr>
            <w:tcW w:w="817" w:type="dxa"/>
            <w:vAlign w:val="center"/>
          </w:tcPr>
          <w:p w14:paraId="01813BCC" w14:textId="3A2278D2" w:rsidR="001F3C8C" w:rsidRPr="002B0223" w:rsidRDefault="006112D1" w:rsidP="00762650">
            <w:pPr>
              <w:jc w:val="center"/>
              <w:rPr>
                <w:sz w:val="24"/>
                <w:szCs w:val="24"/>
              </w:rPr>
            </w:pPr>
            <w:r w:rsidRPr="002B0223">
              <w:rPr>
                <w:sz w:val="24"/>
                <w:szCs w:val="24"/>
              </w:rPr>
              <w:lastRenderedPageBreak/>
              <w:t>5</w:t>
            </w:r>
            <w:r w:rsidR="00762650">
              <w:rPr>
                <w:sz w:val="24"/>
                <w:szCs w:val="24"/>
              </w:rPr>
              <w:t>.</w:t>
            </w:r>
          </w:p>
        </w:tc>
        <w:tc>
          <w:tcPr>
            <w:tcW w:w="2977" w:type="dxa"/>
            <w:vAlign w:val="center"/>
          </w:tcPr>
          <w:p w14:paraId="55DFA8F8" w14:textId="77777777" w:rsidR="001F3C8C" w:rsidRPr="002B0223" w:rsidRDefault="006112D1" w:rsidP="006112D1">
            <w:pPr>
              <w:jc w:val="center"/>
              <w:rPr>
                <w:sz w:val="24"/>
                <w:szCs w:val="24"/>
              </w:rPr>
            </w:pPr>
            <w:r w:rsidRPr="002B0223">
              <w:rPr>
                <w:sz w:val="24"/>
                <w:szCs w:val="24"/>
              </w:rPr>
              <w:t>Fiziska persona</w:t>
            </w:r>
          </w:p>
        </w:tc>
        <w:tc>
          <w:tcPr>
            <w:tcW w:w="4394" w:type="dxa"/>
          </w:tcPr>
          <w:p w14:paraId="00622437" w14:textId="77777777" w:rsidR="001F3C8C" w:rsidRPr="002B0223" w:rsidRDefault="006112D1">
            <w:pPr>
              <w:rPr>
                <w:sz w:val="24"/>
                <w:szCs w:val="24"/>
              </w:rPr>
            </w:pPr>
            <w:r w:rsidRPr="002B0223">
              <w:rPr>
                <w:sz w:val="24"/>
                <w:szCs w:val="24"/>
              </w:rPr>
              <w:t>2023. gada 1</w:t>
            </w:r>
            <w:r w:rsidR="00B329BE" w:rsidRPr="002B0223">
              <w:rPr>
                <w:sz w:val="24"/>
                <w:szCs w:val="24"/>
              </w:rPr>
              <w:t>7</w:t>
            </w:r>
            <w:r w:rsidRPr="002B0223">
              <w:rPr>
                <w:sz w:val="24"/>
                <w:szCs w:val="24"/>
              </w:rPr>
              <w:t>. septembra viedoklis</w:t>
            </w:r>
          </w:p>
          <w:p w14:paraId="5014030F" w14:textId="1815FD65" w:rsidR="006112D1" w:rsidRPr="002B0223" w:rsidRDefault="006112D1" w:rsidP="006112D1">
            <w:pPr>
              <w:rPr>
                <w:i/>
                <w:sz w:val="24"/>
                <w:szCs w:val="24"/>
              </w:rPr>
            </w:pPr>
            <w:r w:rsidRPr="002B0223">
              <w:rPr>
                <w:color w:val="auto"/>
                <w:sz w:val="24"/>
                <w:szCs w:val="24"/>
              </w:rPr>
              <w:t xml:space="preserve">Atbalsta izstrādāto likumprojektu. Uzskata, ka spēļu konsoles ar bezvadu sakaru funkcijām ir jāizņem no brīvības atņemšanas vietām, kā arī pilnībā jāaizliedz turpmāk piegādāt un saņemt tās notiesātajiem lietošanā. Uzskata, ka šāda likumprojekta pieņemšana veicinātu notiesātā </w:t>
            </w:r>
            <w:proofErr w:type="spellStart"/>
            <w:r w:rsidRPr="002B0223">
              <w:rPr>
                <w:color w:val="auto"/>
                <w:sz w:val="24"/>
                <w:szCs w:val="24"/>
              </w:rPr>
              <w:t>resocializāciju</w:t>
            </w:r>
            <w:proofErr w:type="spellEnd"/>
            <w:r w:rsidRPr="002B0223">
              <w:rPr>
                <w:color w:val="auto"/>
                <w:sz w:val="24"/>
                <w:szCs w:val="24"/>
              </w:rPr>
              <w:t xml:space="preserve">. </w:t>
            </w:r>
            <w:r w:rsidR="00776805" w:rsidRPr="002B0223">
              <w:rPr>
                <w:color w:val="auto"/>
                <w:sz w:val="24"/>
                <w:szCs w:val="24"/>
              </w:rPr>
              <w:t xml:space="preserve">Lūdz ņemt vērā, ka konsules ar bezvadu sakaru funkcijām ļauj notiesātajiem veikt nelikumīgas darbības, tajā skaitā izmantot internetu, apmeklēt neatļautas interneta vietnes un skatīties filmas </w:t>
            </w:r>
            <w:r w:rsidR="00776805" w:rsidRPr="002B0223">
              <w:rPr>
                <w:sz w:val="24"/>
                <w:szCs w:val="24"/>
              </w:rPr>
              <w:t>(</w:t>
            </w:r>
            <w:r w:rsidR="00776805" w:rsidRPr="002B0223">
              <w:rPr>
                <w:i/>
                <w:sz w:val="24"/>
                <w:szCs w:val="24"/>
              </w:rPr>
              <w:t>Pilnu 2023. gada 1</w:t>
            </w:r>
            <w:r w:rsidR="00B7420A" w:rsidRPr="002B0223">
              <w:rPr>
                <w:i/>
                <w:sz w:val="24"/>
                <w:szCs w:val="24"/>
              </w:rPr>
              <w:t>7</w:t>
            </w:r>
            <w:r w:rsidR="00776805" w:rsidRPr="002B0223">
              <w:rPr>
                <w:i/>
                <w:sz w:val="24"/>
                <w:szCs w:val="24"/>
              </w:rPr>
              <w:t>. septembra viedokļa tekstu lūdzu skatīt zemāk).</w:t>
            </w:r>
          </w:p>
        </w:tc>
        <w:tc>
          <w:tcPr>
            <w:tcW w:w="2268" w:type="dxa"/>
          </w:tcPr>
          <w:p w14:paraId="2AC62F51" w14:textId="66BC34C7" w:rsidR="001F3C8C" w:rsidRPr="002B0223" w:rsidRDefault="00727A68">
            <w:pPr>
              <w:rPr>
                <w:sz w:val="24"/>
                <w:szCs w:val="24"/>
              </w:rPr>
            </w:pPr>
            <w:r>
              <w:rPr>
                <w:sz w:val="24"/>
                <w:szCs w:val="24"/>
              </w:rPr>
              <w:t>Ir ņemts vērā</w:t>
            </w:r>
          </w:p>
        </w:tc>
        <w:tc>
          <w:tcPr>
            <w:tcW w:w="4111" w:type="dxa"/>
          </w:tcPr>
          <w:p w14:paraId="101208A0" w14:textId="77777777" w:rsidR="001F3C8C" w:rsidRPr="002B0223" w:rsidRDefault="001F3C8C">
            <w:pPr>
              <w:rPr>
                <w:sz w:val="24"/>
                <w:szCs w:val="24"/>
              </w:rPr>
            </w:pPr>
          </w:p>
        </w:tc>
      </w:tr>
      <w:tr w:rsidR="001F3C8C" w:rsidRPr="002B0223" w14:paraId="75EBCA21" w14:textId="77777777" w:rsidTr="00762650">
        <w:trPr>
          <w:trHeight w:val="2264"/>
        </w:trPr>
        <w:tc>
          <w:tcPr>
            <w:tcW w:w="817" w:type="dxa"/>
            <w:vAlign w:val="center"/>
          </w:tcPr>
          <w:p w14:paraId="50B3556B" w14:textId="5781F01F" w:rsidR="001F3C8C" w:rsidRPr="002B0223" w:rsidRDefault="00776805" w:rsidP="00762650">
            <w:pPr>
              <w:jc w:val="center"/>
              <w:rPr>
                <w:sz w:val="24"/>
                <w:szCs w:val="24"/>
              </w:rPr>
            </w:pPr>
            <w:r w:rsidRPr="002B0223">
              <w:rPr>
                <w:sz w:val="24"/>
                <w:szCs w:val="24"/>
              </w:rPr>
              <w:lastRenderedPageBreak/>
              <w:t>6</w:t>
            </w:r>
            <w:r w:rsidR="00762650">
              <w:rPr>
                <w:sz w:val="24"/>
                <w:szCs w:val="24"/>
              </w:rPr>
              <w:t>.</w:t>
            </w:r>
          </w:p>
        </w:tc>
        <w:tc>
          <w:tcPr>
            <w:tcW w:w="2977" w:type="dxa"/>
            <w:vAlign w:val="center"/>
          </w:tcPr>
          <w:p w14:paraId="0AE0B840" w14:textId="77777777" w:rsidR="001F3C8C" w:rsidRPr="002B0223" w:rsidRDefault="00776805" w:rsidP="00776805">
            <w:pPr>
              <w:jc w:val="center"/>
              <w:rPr>
                <w:sz w:val="24"/>
                <w:szCs w:val="24"/>
              </w:rPr>
            </w:pPr>
            <w:r w:rsidRPr="002B0223">
              <w:rPr>
                <w:sz w:val="24"/>
                <w:szCs w:val="24"/>
              </w:rPr>
              <w:t>Fiziska persona</w:t>
            </w:r>
          </w:p>
        </w:tc>
        <w:tc>
          <w:tcPr>
            <w:tcW w:w="4394" w:type="dxa"/>
          </w:tcPr>
          <w:p w14:paraId="6A092293" w14:textId="77777777" w:rsidR="00636964" w:rsidRPr="002B0223" w:rsidRDefault="00636964">
            <w:pPr>
              <w:rPr>
                <w:sz w:val="24"/>
                <w:szCs w:val="24"/>
              </w:rPr>
            </w:pPr>
            <w:r w:rsidRPr="002B0223">
              <w:rPr>
                <w:sz w:val="24"/>
                <w:szCs w:val="24"/>
              </w:rPr>
              <w:t>2023. gada 18. septembra viedoklis</w:t>
            </w:r>
          </w:p>
          <w:p w14:paraId="7B804B7F" w14:textId="77777777" w:rsidR="001F3C8C" w:rsidRPr="002B0223" w:rsidRDefault="00636964">
            <w:pPr>
              <w:rPr>
                <w:sz w:val="24"/>
                <w:szCs w:val="24"/>
              </w:rPr>
            </w:pPr>
            <w:r w:rsidRPr="002B0223">
              <w:rPr>
                <w:sz w:val="24"/>
                <w:szCs w:val="24"/>
              </w:rPr>
              <w:t>Izpētot likumprojektu, vēlos vērst Jūsu uzmanību uz vairākiem praktiskajiem aspektiem, kuri netika ņemti vērā likumprojekta izstrādāšanas procesā.</w:t>
            </w:r>
          </w:p>
          <w:p w14:paraId="03DD4F23" w14:textId="77777777" w:rsidR="00636964" w:rsidRPr="002B0223" w:rsidRDefault="00636964">
            <w:pPr>
              <w:rPr>
                <w:sz w:val="24"/>
                <w:szCs w:val="24"/>
              </w:rPr>
            </w:pPr>
            <w:r w:rsidRPr="002B0223">
              <w:rPr>
                <w:sz w:val="24"/>
                <w:szCs w:val="24"/>
              </w:rPr>
              <w:t xml:space="preserve">Saskaņā ar likumprojekta 36.2. apakšpunktu notiesātajiem plānots aizliegt lietot spēļu konsoles ar bezvadu sakaru funkcijām. Tomēr kopš 2005. gada absolūti visām spēļu konsolēm ir bezvadu sakaru modulis, kas pēdējās paaudzes konsolēs ir sistēmas pamatplates integrālā sastāvdaļa, kas t.sk. nodrošina spēļu kontrolieru darbību, un kuru nav iespējams izņemt, neatgriezeniski nebojājot konsoli. Ievērojot minēto, lūdzu rast iespēju iekļaut likumprojektā norādi, ka likumprojekta 36.2. apakšpunktā minētais aizliegums neattiecas uz spēļu konsolēm, kuras jau atrodas notiesāto lietošanā. </w:t>
            </w:r>
          </w:p>
          <w:p w14:paraId="5C3198E7" w14:textId="77777777" w:rsidR="00636964" w:rsidRPr="002B0223" w:rsidRDefault="00636964">
            <w:pPr>
              <w:rPr>
                <w:sz w:val="24"/>
                <w:szCs w:val="24"/>
              </w:rPr>
            </w:pPr>
            <w:r w:rsidRPr="002B0223">
              <w:rPr>
                <w:sz w:val="24"/>
                <w:szCs w:val="24"/>
              </w:rPr>
              <w:t xml:space="preserve">Attiecībā par likumprojekta 36.7. apakšpunktu. No dzirdes veselības viedokļa mazās austiņas ir viskaitīgākās, jo skaņa neaizplūst nekur ārpus auss, bet gan ieiet tieši auss ejā, atsitas pret </w:t>
            </w:r>
            <w:proofErr w:type="spellStart"/>
            <w:r w:rsidRPr="002B0223">
              <w:rPr>
                <w:sz w:val="24"/>
                <w:szCs w:val="24"/>
              </w:rPr>
              <w:t>bungplēvīti</w:t>
            </w:r>
            <w:proofErr w:type="spellEnd"/>
            <w:r w:rsidRPr="002B0223">
              <w:rPr>
                <w:sz w:val="24"/>
                <w:szCs w:val="24"/>
              </w:rPr>
              <w:t xml:space="preserve">, ievibrē </w:t>
            </w:r>
            <w:proofErr w:type="spellStart"/>
            <w:r w:rsidRPr="002B0223">
              <w:rPr>
                <w:sz w:val="24"/>
                <w:szCs w:val="24"/>
              </w:rPr>
              <w:t>bungplēvīti</w:t>
            </w:r>
            <w:proofErr w:type="spellEnd"/>
            <w:r w:rsidRPr="002B0223">
              <w:rPr>
                <w:sz w:val="24"/>
                <w:szCs w:val="24"/>
              </w:rPr>
              <w:t xml:space="preserve"> un vibrācija aiziet līdz iekšējai auss. Savukārt, ja lieto lielās austiņas, kuras uzliek virsū uz ausīm, ir pierādīts, ka tās rada mazāk bojājumu.</w:t>
            </w:r>
          </w:p>
          <w:p w14:paraId="75C3AFAE" w14:textId="77777777" w:rsidR="00636964" w:rsidRPr="002B0223" w:rsidRDefault="00636964">
            <w:pPr>
              <w:rPr>
                <w:i/>
                <w:sz w:val="24"/>
                <w:szCs w:val="24"/>
              </w:rPr>
            </w:pPr>
            <w:r w:rsidRPr="002B0223">
              <w:rPr>
                <w:sz w:val="24"/>
                <w:szCs w:val="24"/>
              </w:rPr>
              <w:t>Lūdzu rast iespēju iekļaut likumprojektā minimālos televizora izmērus, kuri ir viegli pieejami katrā veikalā (</w:t>
            </w:r>
            <w:r w:rsidRPr="002B0223">
              <w:rPr>
                <w:i/>
                <w:sz w:val="24"/>
                <w:szCs w:val="24"/>
              </w:rPr>
              <w:t xml:space="preserve">Pilnu 2023. gada </w:t>
            </w:r>
            <w:r w:rsidRPr="002B0223">
              <w:rPr>
                <w:i/>
                <w:sz w:val="24"/>
                <w:szCs w:val="24"/>
              </w:rPr>
              <w:lastRenderedPageBreak/>
              <w:t>18. septembra viedokļa tekstu lūdzu skatīt zemāk).</w:t>
            </w:r>
          </w:p>
        </w:tc>
        <w:tc>
          <w:tcPr>
            <w:tcW w:w="2268" w:type="dxa"/>
          </w:tcPr>
          <w:p w14:paraId="143DA6DB" w14:textId="77777777" w:rsidR="001F3C8C" w:rsidRDefault="00167389">
            <w:pPr>
              <w:rPr>
                <w:sz w:val="24"/>
                <w:szCs w:val="24"/>
              </w:rPr>
            </w:pPr>
            <w:r w:rsidRPr="002B0223">
              <w:rPr>
                <w:sz w:val="24"/>
                <w:szCs w:val="24"/>
              </w:rPr>
              <w:lastRenderedPageBreak/>
              <w:t>Nav ņemts vērā</w:t>
            </w:r>
          </w:p>
          <w:p w14:paraId="01784D59" w14:textId="77777777" w:rsidR="00FC4822" w:rsidRDefault="00FC4822">
            <w:pPr>
              <w:rPr>
                <w:sz w:val="24"/>
                <w:szCs w:val="24"/>
              </w:rPr>
            </w:pPr>
          </w:p>
          <w:p w14:paraId="6F379746" w14:textId="6E7FD05D" w:rsidR="00FC4822" w:rsidRPr="002B0223" w:rsidRDefault="00FC4822">
            <w:pPr>
              <w:rPr>
                <w:sz w:val="24"/>
                <w:szCs w:val="24"/>
              </w:rPr>
            </w:pPr>
            <w:r>
              <w:rPr>
                <w:sz w:val="24"/>
                <w:szCs w:val="24"/>
              </w:rPr>
              <w:t>Anotācija papildināta ar skaidrojumu</w:t>
            </w:r>
          </w:p>
        </w:tc>
        <w:tc>
          <w:tcPr>
            <w:tcW w:w="4111" w:type="dxa"/>
          </w:tcPr>
          <w:p w14:paraId="53F7AE33" w14:textId="77777777" w:rsidR="00FC4822" w:rsidRPr="00FC4822" w:rsidRDefault="00FC4822" w:rsidP="00FC4822">
            <w:pPr>
              <w:rPr>
                <w:sz w:val="24"/>
                <w:szCs w:val="24"/>
              </w:rPr>
            </w:pPr>
            <w:r w:rsidRPr="00FC4822">
              <w:rPr>
                <w:sz w:val="24"/>
                <w:szCs w:val="24"/>
              </w:rPr>
              <w:t xml:space="preserve">Noteikumu projekta 37. punktā uzskaitīta personīgā sadzīves tehnika, kuru notiesātajam, saņemot brīvības atņemšanas iestādes priekšnieka atļauju, ir tiesības glabāt un dienas kārtībā noteiktajā laikā lietot. </w:t>
            </w:r>
          </w:p>
          <w:p w14:paraId="4B4301F2" w14:textId="3EFD4667" w:rsidR="00526D0C" w:rsidRPr="002B0223" w:rsidRDefault="00FC4822" w:rsidP="00FC4822">
            <w:pPr>
              <w:rPr>
                <w:sz w:val="24"/>
                <w:szCs w:val="24"/>
              </w:rPr>
            </w:pPr>
            <w:r w:rsidRPr="00FC4822">
              <w:rPr>
                <w:sz w:val="24"/>
                <w:szCs w:val="24"/>
              </w:rPr>
              <w:t xml:space="preserve">Šobrīd atbilstoši normatīvajam regulējumam notiesātajiem ir atļauts izmantot televizoram pievienojamās videospēles. Proti, Noteikumu Nr. 423 40. punkts noteic, ka, saņemot brīvības atņemšanas iestādes administrācijas atļauju, notiesātie kamerās un koplietošanas telpās dienas kārtībā noteiktajā laikā var lietot televizoriem pievienojamās videospēles. Tāpat attiecīgi videospēles ir iekļautas Noteikumu Nr. 423 1. pielikuma "Priekšmeti un pārtikas produkti, kurus notiesātajam ir atļauts glabāt" 10.1. apakšpunktā un 11. pielikuma "Priekšmeti, kurus atļauts nodot sūtījumos un pienesumos" 10.1. apakšpunktā. Tomēr videospēļu iekārtas pēdējo gadu laikā ir strauji attīstījušas, un to funkcionalitāte, cita starpā, paredz iespēju tās izmantot ne tikai videospēļu spēlēšanai, bet arī neatļautai ieslodzīto saziņai – gan savā starpā, gan saziņai ar personām ārpus ieslodzījuma vietas. Pie tam jaunajām videospēļu iekārtām ir bezvadu kontrolieri (pultis) ar adaptīvām pogām un taustes sajūtu tehnoloģiju, kā </w:t>
            </w:r>
            <w:r w:rsidRPr="00FC4822">
              <w:rPr>
                <w:sz w:val="24"/>
                <w:szCs w:val="24"/>
              </w:rPr>
              <w:lastRenderedPageBreak/>
              <w:t xml:space="preserve">arī iebūvēta rācija, kas nodrošina spēlētajiem iespēju savstarpēji sazināties. Līdz ar to ieslodzītajiem, izmantojot jaunākās videospēļu iekārtas, nav nepieciešams pat ielādēt vai izmantot sazināšanas platformas, lai sarakstītos vai sazinātos ar citām personām, pietiek vien izmantot videospēļu iekārtu kontrolieri (pulti). Praksē ar vien biežāk tiek konstatēts, ka ieslodzītie videospēļu iekārtu izmanto kā neatļautu saziņas līdzekli ne tikai sarunām ar radiniekiem un laulāto, veicinot sociāli lietderīgu saikņu saglabāšanu vai atjaunošanu, bet arī ar citām personām noziedzīgo kontaktu turpināšanai, jaunu noziedzīgu nodarījumu veikšanai un organizēšanai. Turklāt, videospēļu iekārta kā neatļauts saziņas līdzeklis tiek izmantots ne tikai komunikācijai ar citām personām ārpus ieslodzījuma vietas, bet arī saziņai ar ieslodzītajiem, kas izvietoti citās ieslodzījuma vietās. Tādējādi, ieslodzītie var ietekmēt kriminālsoda izpildi, izmeklēšanas gaitu vai izmeklēšanas procesu, piemēram, ietekmējot lieciniekus vai saskaņojot liecības. Tāpat ieslodzītie, atrodoties ieslodzījumu vietās un izmantojot videospēļu iekārtu kā neatļautu saziņas līdzekli, var koordinēt dažādu noziedzīgu grupu darbības ārpus ieslodzījuma vietas, kā arī </w:t>
            </w:r>
            <w:r w:rsidRPr="00FC4822">
              <w:rPr>
                <w:sz w:val="24"/>
                <w:szCs w:val="24"/>
              </w:rPr>
              <w:lastRenderedPageBreak/>
              <w:t xml:space="preserve">organizēt nelegālus finanšu darījumus, piemēram, naudas atmazgāšanu, krāpšanu vai nelegālu līdzekļu pārvedumus. Izmantojot neatļautus saziņas līdzekļus, ieslodzītie var plānot bēgšanu no ieslodzījuma vietas, saskaņojot un izstrādājot detalizētu bēgšanas plānu un nodrošinot nepieciešamos resursus un līdzekļus. Šāda ieslodzīto rīcība nodara kaitējumu ļoti plašām sabiedrības interesēm – sākot no valsts drošības interesēm un beidzot ar personas veselību un dzīvību. Tādējādi tiek apdraudēta ne tikai ieslodzījuma vietu drošība, bet arī sabiedrības drošība kopumā. Kaut arī ieslodzījuma vietās tiek veikti pasākumi, lai mazinātu šādas saziņas iespējas, tomēr videospēļu iekārtu funkcionalitāte paver ar vien lielākas iespējas tās izmantot neatļautai saziņai. Un, kamēr tās ir iekļautas ieslodzītajiem atļauto sadzīves priekšmetu klāstā, nav iespējams pilnībā novērst riskus, ka videospēļu iekārtas netiks izmantotas neatļautai saziņai gan ieslodzīto starpā, gan arī ārpus ieslodzījuma vietas. Ņemot vērā minēto, noteikumu projekta 37.2. apakšpunkts noteic, ka notiesātais, saņemot brīvības atņemšanas iestādes priekšnieka atļauju, var glabāt un dienas noteiktajā laikā lietot tādas </w:t>
            </w:r>
            <w:r w:rsidR="00F77B86" w:rsidRPr="00F77B86">
              <w:rPr>
                <w:sz w:val="24"/>
                <w:szCs w:val="24"/>
              </w:rPr>
              <w:t xml:space="preserve">televizoram pievienojamas videospēļu iekārtas, kuras </w:t>
            </w:r>
            <w:r w:rsidR="00F77B86" w:rsidRPr="00F77B86">
              <w:rPr>
                <w:sz w:val="24"/>
                <w:szCs w:val="24"/>
              </w:rPr>
              <w:lastRenderedPageBreak/>
              <w:t>nerada neatļautas saziņas risku</w:t>
            </w:r>
            <w:r w:rsidR="00F77B86">
              <w:rPr>
                <w:sz w:val="24"/>
                <w:szCs w:val="24"/>
              </w:rPr>
              <w:t xml:space="preserve">. </w:t>
            </w:r>
            <w:r w:rsidRPr="00FC4822">
              <w:rPr>
                <w:sz w:val="24"/>
                <w:szCs w:val="24"/>
              </w:rPr>
              <w:t>Atļautie saziņas veidi ir minēti Kodeksā, kā piemēram, brīvības atņemšanas iestādes telefons, īslaicīga un ilgstoša satikšanās, vēstules u.c. Ja attiecīgais sazināšanas veids nav minēts Kodeksā, tātad tas ir uzskatāms par neatļautu saziņas veidu. Tas nozīmē, ka notiesājam ir atļauts glabāt un lietot tikai tādu videospēļu iekārtu, kuru nav iespējams nekādā veidā izmantot neatļautai saziņai gan ieslodzīto starpā, gan arī ārpus ieslodzījuma vietas, proti, kuru tehniski nav iespējams nekādā veidā patstāvīgi vai pievienojot citai ierīcei pieslēgt interneta tīklam vai citam datu pārraides tīklam, tāpat kuru tehniski nevar izmantot kā rāciju, telefonu, datoru, planšetdatoru, datu nesēju, video vai audio raidītāju.</w:t>
            </w:r>
          </w:p>
          <w:p w14:paraId="333A52D2" w14:textId="77777777" w:rsidR="00D80BE4" w:rsidRDefault="00D80BE4" w:rsidP="00526D0C">
            <w:pPr>
              <w:rPr>
                <w:sz w:val="24"/>
                <w:szCs w:val="24"/>
              </w:rPr>
            </w:pPr>
          </w:p>
          <w:p w14:paraId="2957301A" w14:textId="4B00BBE6" w:rsidR="00167389" w:rsidRPr="002B0223" w:rsidRDefault="00FE7990" w:rsidP="00167389">
            <w:pPr>
              <w:rPr>
                <w:sz w:val="24"/>
                <w:szCs w:val="24"/>
              </w:rPr>
            </w:pPr>
            <w:r w:rsidRPr="002B0223">
              <w:rPr>
                <w:sz w:val="24"/>
                <w:szCs w:val="24"/>
              </w:rPr>
              <w:t xml:space="preserve">Šobrīd </w:t>
            </w:r>
            <w:r w:rsidR="00FC4822">
              <w:rPr>
                <w:sz w:val="24"/>
                <w:szCs w:val="24"/>
              </w:rPr>
              <w:t xml:space="preserve">saskaņā ar Noteikumu Nr. 423 </w:t>
            </w:r>
            <w:r w:rsidRPr="002B0223">
              <w:rPr>
                <w:sz w:val="24"/>
                <w:szCs w:val="24"/>
              </w:rPr>
              <w:t>40. punktu notiesāt</w:t>
            </w:r>
            <w:r>
              <w:rPr>
                <w:sz w:val="24"/>
                <w:szCs w:val="24"/>
              </w:rPr>
              <w:t xml:space="preserve">ajiem nav tiesību glabāt un lietot austiņas. </w:t>
            </w:r>
            <w:r w:rsidR="00167389" w:rsidRPr="002B0223">
              <w:rPr>
                <w:sz w:val="24"/>
                <w:szCs w:val="24"/>
              </w:rPr>
              <w:t xml:space="preserve">Ieslodzījuma vietu pārvalde, saņemot vairāku notiesāto iesniegumus ar lūgumu atļaut lietot austiņas brīvības atņemšanas iestādē, lai varētu norobežoties no pārējiem kameras biedriem un pavadīt laiku vienatnē un ievērojot labas pārvaldības principu, noteikumu projektā ietvēra normu, kas paredz, ka notiesātais, saņemot brīvības atņemšanas </w:t>
            </w:r>
            <w:r w:rsidR="00167389" w:rsidRPr="002B0223">
              <w:rPr>
                <w:sz w:val="24"/>
                <w:szCs w:val="24"/>
              </w:rPr>
              <w:lastRenderedPageBreak/>
              <w:t xml:space="preserve">iestādes priekšnieka atļauju, var lietot un glabāt mazās austiņas ar vadu bez papildu funkcijām, atklātajā cietumā arī bezvadu austiņas. Noteikumu projekta anotācijā jau sniegts skaidrojums, ka atļautas ir tādas austiņas, kuras ir stiprināmas (ieliekamas) ausīs un tām nav iebūvētā mikrofona. Mūzikas klausīšanās austiņās, neatkarīgi no to lieluma un veida, negatīvi ietekmē cilvēka dzirdi. Ja mūzika vai troksnis ausīs būs skaļš un/vai ilgstošs, un/vai regulārs, tas var izraisīt paliekošu, neatgriezenisku dzirdes nerva bojājumu, kas rezultējas ar dzirdes līmeņa samazinājumu. Raksturīgi, ka vispirms bojājums rodas augstas frekvences skaņu uztverē, ko uzreiz nevar pamanīt. Iespējams, ka lielās austiņas ir mazāk kaitīgākas dzirdei nekā mazās austiņās, tomēr austiņu lielums nav vienīgais faktors, kas ietekmē cilvēka dzidri. Attiecībā uz mūzikas klausīšanu austiņās ir jāskatās trīs faktoru kombinācija, un tie ir: skaņas skaļums, ilgums (tas, cik ilgi auss bija pakļauta troksnim) un biežums (vai tas notiek katru dienu, nedēļu un pastāvīgi vai reti). Līdz ar to pats notiesātais, lietojot austiņas, var regulēt trokšņa ietekmi uz savu dzirdi. Bez tam arī Pacientu tiesību likuma 15. panta pirmā daļa noteic, ka pacientam (ikvienai personai) ir pienākums rūpēties </w:t>
            </w:r>
            <w:r w:rsidR="00167389" w:rsidRPr="002B0223">
              <w:rPr>
                <w:sz w:val="24"/>
                <w:szCs w:val="24"/>
              </w:rPr>
              <w:lastRenderedPageBreak/>
              <w:t>par savu veselību. Turklāt atšķirība starp mūzikas klausīšanu lielajās un mazajās austiņās ir pavisam neliela, proti, tie varētu būt ap deviņiem decibeliem. Teiksim, ja klausīties ar mazajām austiņām mūziku 80 decibelu skaļumā, tad lielajās austiņās skaņa, kas nokļūst auss ejā, būs nedaudz virs 70 decibeliem. Līdz ar to notiesātais vienmēr var pagriez mūziku klusāk, lai tas mazāk ietekmētu viņa dzirdi.</w:t>
            </w:r>
          </w:p>
          <w:p w14:paraId="10DD1C1B" w14:textId="104AFC1F" w:rsidR="00167389" w:rsidRPr="002B0223" w:rsidRDefault="00167389" w:rsidP="00167389">
            <w:pPr>
              <w:rPr>
                <w:sz w:val="24"/>
                <w:szCs w:val="24"/>
              </w:rPr>
            </w:pPr>
            <w:r w:rsidRPr="002B0223">
              <w:rPr>
                <w:sz w:val="24"/>
                <w:szCs w:val="24"/>
              </w:rPr>
              <w:t xml:space="preserve">Pie tam austiņas, kas pilnībā aizsedz ausis un stiprinās ap galvu, var radīt brīvības atņemšanas iestādē apdraudējuma riskus, ņemot vērā, ka austiņās (kas pilnībā aizsedz ausi) var iestrādāt un slēpt brīvības atņemšanas iestādē neatļautus priekšmetus, vielas un izstrādājumus (piemērām, iestrādāt aiz austiņas polsterējuma vai plastmasas detaļām). </w:t>
            </w:r>
          </w:p>
          <w:p w14:paraId="27B6E9D6" w14:textId="2F356F8A" w:rsidR="00167389" w:rsidRPr="002B0223" w:rsidRDefault="00167389" w:rsidP="00167389">
            <w:pPr>
              <w:rPr>
                <w:sz w:val="24"/>
                <w:szCs w:val="24"/>
              </w:rPr>
            </w:pPr>
          </w:p>
          <w:p w14:paraId="064DA4C2" w14:textId="6AFFCCEE" w:rsidR="00167389" w:rsidRPr="002B0223" w:rsidRDefault="00167389" w:rsidP="00167389">
            <w:pPr>
              <w:rPr>
                <w:sz w:val="24"/>
                <w:szCs w:val="24"/>
              </w:rPr>
            </w:pPr>
            <w:r w:rsidRPr="002B0223">
              <w:rPr>
                <w:sz w:val="24"/>
                <w:szCs w:val="24"/>
              </w:rPr>
              <w:t>Noteikumu projektā nav paredzēts noteikt televizora, kuru notiesātais var glabāt un dienas noteiktajā kārtībā lietot, ja ir saņemta brīvības atņemšanas iestādes priekšnieka atļauja</w:t>
            </w:r>
            <w:r w:rsidR="00AF61F1" w:rsidRPr="002B0223">
              <w:rPr>
                <w:sz w:val="24"/>
                <w:szCs w:val="24"/>
              </w:rPr>
              <w:t>, izmērus,</w:t>
            </w:r>
          </w:p>
          <w:p w14:paraId="3004CED6" w14:textId="1AE86A5A" w:rsidR="00167389" w:rsidRPr="002B0223" w:rsidRDefault="00167389" w:rsidP="00167389">
            <w:pPr>
              <w:rPr>
                <w:sz w:val="24"/>
              </w:rPr>
            </w:pPr>
            <w:r w:rsidRPr="002B0223">
              <w:rPr>
                <w:sz w:val="24"/>
              </w:rPr>
              <w:t>Ņemot vērā sadzīves tehnikas piedāvājuma attīstību</w:t>
            </w:r>
            <w:r w:rsidR="00AF61F1" w:rsidRPr="002B0223">
              <w:rPr>
                <w:sz w:val="24"/>
              </w:rPr>
              <w:t xml:space="preserve"> un to, ka ārējo normatīvo aktu grozījumu sagatavošana un virzīšana ir sarežģīts un ilgstošs process, t</w:t>
            </w:r>
            <w:r w:rsidRPr="002B0223">
              <w:rPr>
                <w:sz w:val="24"/>
                <w:szCs w:val="24"/>
              </w:rPr>
              <w:t xml:space="preserve">elevizora izmērus noteiks Ieslodzījuma vietu pārvaldes priekšnieks </w:t>
            </w:r>
            <w:r w:rsidRPr="002B0223">
              <w:rPr>
                <w:sz w:val="24"/>
                <w:szCs w:val="24"/>
              </w:rPr>
              <w:lastRenderedPageBreak/>
              <w:t>ar rīkojumu</w:t>
            </w:r>
            <w:r w:rsidR="00AF61F1" w:rsidRPr="002B0223">
              <w:rPr>
                <w:sz w:val="24"/>
                <w:szCs w:val="24"/>
              </w:rPr>
              <w:t>, tādējādi arī būs vieglāk pielāgoties sadzīves tehnikas piedāvājumiem veikalā ārpus brīvības atņemšanas iestādes.</w:t>
            </w:r>
          </w:p>
          <w:p w14:paraId="42B35C61" w14:textId="77777777" w:rsidR="001F3C8C" w:rsidRPr="002B0223" w:rsidRDefault="001F3C8C">
            <w:pPr>
              <w:rPr>
                <w:sz w:val="24"/>
                <w:szCs w:val="24"/>
              </w:rPr>
            </w:pPr>
          </w:p>
        </w:tc>
      </w:tr>
    </w:tbl>
    <w:p w14:paraId="71B64C78" w14:textId="0470AB02" w:rsidR="00FB5105" w:rsidRPr="002B0223" w:rsidRDefault="00FB5105"/>
    <w:p w14:paraId="064C5898" w14:textId="462F6175" w:rsidR="00F472AC" w:rsidRPr="002B0223" w:rsidRDefault="00AD23EE">
      <w:r w:rsidRPr="002B0223">
        <w:rPr>
          <w:b/>
        </w:rPr>
        <w:t xml:space="preserve">Vienas fiziskas personas (no 22 fiziskajām personām) 2023. gada 17. septembra viedokļa pilns teksts: </w:t>
      </w:r>
      <w:r w:rsidRPr="002B0223">
        <w:t xml:space="preserve">"Šobrīd Tieslietu ministrijā sadarbībā ar Ieslodzījuma vietu pārvaldi notiek līdz 22.09.2023gada, publiskā apspriešana likumprojektam: Ministru Kabineta noteikumi "Brīvības atņemšanas iestādes iekšējās kārtības noteikumi" (projekts </w:t>
      </w:r>
      <w:proofErr w:type="spellStart"/>
      <w:r w:rsidRPr="002B0223">
        <w:t>Reģ</w:t>
      </w:r>
      <w:proofErr w:type="spellEnd"/>
      <w:r w:rsidRPr="002B0223">
        <w:t xml:space="preserve"> </w:t>
      </w:r>
      <w:proofErr w:type="spellStart"/>
      <w:r w:rsidRPr="002B0223">
        <w:t>Nr</w:t>
      </w:r>
      <w:proofErr w:type="spellEnd"/>
      <w:r w:rsidRPr="002B0223">
        <w:t xml:space="preserve"> 23-TA-1386) Saskaņā ar minētā projekta 36.2punktu, ieslodzītajām personām tiek plānoti aizliegt turpmāk lietot spēļu konsoles ar bezvadu sakaru funkcijām. Ņemot vērā to, ka visiem XBOX un Panasonic spēļu konsolēm ir jau rūpnieciski iebūvēti bezvadu sakaru modulis, kuru nav iespējams izņemt, nebojājot spēļu konsoli, visas spēļu konsoles kuras pašlaik lieto ieslodzītie, neatbilst jaunajiem noteikumiem, tajos ietvertajiem tehniskajiem ierobežojumiem. Lai novērstu šo ieslodzīto tiesību aizskārumu, kuriem ir radusies tehniska, ka viņiem izsniegtā atļauja lietot spēļu konsoli netiks pēkšņi anulēta </w:t>
      </w:r>
      <w:r w:rsidR="009D0431" w:rsidRPr="002B0223">
        <w:t>bez viņu pašu vainas, lūdzu Jūs, kā atbildīgo projekta virzītāju iekļaut likumprojektā norādi, ka 36.2punktā minētais aizliegums neattiecas uz spēļu konsolēm, kuras jau atrodas ieslodzīto pašreizēja lietošanā uz jauna noteikumu spēkā stāšanās brīdī. Lūdzu Jūs ņemt vērā ka arī iepriekš, grozot likumu par sliktu notiesātajiem, tika paredzēts pārejas periods (skat. 18.06.2015gada grozījumi Latvijas Sodu izpildes Likumā 33pantā).</w:t>
      </w:r>
      <w:r w:rsidRPr="002B0223">
        <w:t>"</w:t>
      </w:r>
    </w:p>
    <w:p w14:paraId="3224076F" w14:textId="77777777" w:rsidR="00F472AC" w:rsidRPr="002B0223" w:rsidRDefault="00F472AC">
      <w:pPr>
        <w:rPr>
          <w:b/>
        </w:rPr>
      </w:pPr>
    </w:p>
    <w:p w14:paraId="655133EB" w14:textId="39EF7338" w:rsidR="00253352" w:rsidRPr="002B0223" w:rsidRDefault="00253352">
      <w:r w:rsidRPr="002B0223">
        <w:rPr>
          <w:b/>
        </w:rPr>
        <w:t xml:space="preserve">Fiziskās personas 2023. gada 17. septembra viedokļa pilns teksts: </w:t>
      </w:r>
      <w:r w:rsidRPr="002B0223">
        <w:t>"Saņēmu informāciju, ka šobrīd tiek veikta MK noteikumu "</w:t>
      </w:r>
      <w:proofErr w:type="spellStart"/>
      <w:r w:rsidRPr="002B0223">
        <w:t>IeV</w:t>
      </w:r>
      <w:proofErr w:type="spellEnd"/>
      <w:r w:rsidRPr="002B0223">
        <w:t xml:space="preserve"> iekšējās kārtības noteikumi" izstrāde, kā arī notiek tā sabiedriskā apspriešana. Izpētot iepriekš minēto projektu vēlos vērst Jūsu uzmanību uz sekojošo:</w:t>
      </w:r>
    </w:p>
    <w:p w14:paraId="601D584C" w14:textId="7D27813C" w:rsidR="00182D0E" w:rsidRPr="002B0223" w:rsidRDefault="00253352">
      <w:r w:rsidRPr="002B0223">
        <w:t>1) 36. </w:t>
      </w:r>
      <w:proofErr w:type="spellStart"/>
      <w:r w:rsidRPr="002B0223">
        <w:t>pan</w:t>
      </w:r>
      <w:proofErr w:type="spellEnd"/>
      <w:r w:rsidRPr="002B0223">
        <w:t>. 2 daļa (punkts) – ieslodzītajiem tiek plānots aizliegt lietot spē</w:t>
      </w:r>
      <w:r w:rsidR="00AB14ED" w:rsidRPr="002B0223">
        <w:t xml:space="preserve">ļu konsoles ar bezvadu tīkla (net/iespējām). Kopš 2005. gada visām Xbox un </w:t>
      </w:r>
      <w:proofErr w:type="spellStart"/>
      <w:r w:rsidR="00AB14ED" w:rsidRPr="002B0223">
        <w:t>Sony</w:t>
      </w:r>
      <w:proofErr w:type="spellEnd"/>
      <w:r w:rsidR="00AB14ED" w:rsidRPr="002B0223">
        <w:t xml:space="preserve"> </w:t>
      </w:r>
      <w:proofErr w:type="spellStart"/>
      <w:r w:rsidR="00AB14ED" w:rsidRPr="002B0223">
        <w:t>Playstation</w:t>
      </w:r>
      <w:proofErr w:type="spellEnd"/>
      <w:r w:rsidR="00AB14ED" w:rsidRPr="002B0223">
        <w:t>, u.c. spēļu konsolēm ir bezvadu sakaru moduļi, kuri pēdējās paaudzes konsolēs ir sistēmas integrālā sastāvdaļa, kas t.sk. spēļu kontrolieru (</w:t>
      </w:r>
      <w:proofErr w:type="spellStart"/>
      <w:r w:rsidR="00AB14ED" w:rsidRPr="002B0223">
        <w:t>džjostiki</w:t>
      </w:r>
      <w:proofErr w:type="spellEnd"/>
      <w:r w:rsidR="00AB14ED" w:rsidRPr="002B0223">
        <w:t xml:space="preserve">) darbību nodrošina un kura nav iespējams izņemt neatgriezeniski nebojājot konsoli. Lai novērstu tiesību normu iztulkošanas </w:t>
      </w:r>
      <w:r w:rsidR="00182D0E" w:rsidRPr="002B0223">
        <w:t xml:space="preserve">…….(no administrācijas puses), nepieciešams iekļaut MK not. Projektā norādi, ka 36.2.p. minētais aizliegums neattiecās uz spēļu konsulēm, kas jau </w:t>
      </w:r>
      <w:proofErr w:type="spellStart"/>
      <w:r w:rsidR="00182D0E" w:rsidRPr="002B0223">
        <w:t>atrodās</w:t>
      </w:r>
      <w:proofErr w:type="spellEnd"/>
      <w:r w:rsidR="00182D0E" w:rsidRPr="002B0223">
        <w:t xml:space="preserve"> ieslodzīto lietošanā jaunā tiesiskā regulējumā </w:t>
      </w:r>
      <w:r w:rsidR="00182D0E" w:rsidRPr="002B0223">
        <w:lastRenderedPageBreak/>
        <w:t>spēkā stāšanās brīdī. Var minēt precedentu: ar 18.06.2015. grozījumiem LSIK izslēdza 50.6. 3d. trešo teikumu, bet notiesātajiem (ieslodzītajiem) kuriem grozījumu pieņemšanas brīdī tika piešķirtas izslēgtajā punktā minētās tiesības ar grozījumu 33.p. tika atļauts turpināt tās izmantot.</w:t>
      </w:r>
    </w:p>
    <w:p w14:paraId="7172C054" w14:textId="22493532" w:rsidR="00B059E6" w:rsidRPr="002B0223" w:rsidRDefault="00182D0E">
      <w:r w:rsidRPr="002B0223">
        <w:t>2) 20.p. ir absurds.</w:t>
      </w:r>
      <w:r w:rsidR="00C507F1" w:rsidRPr="002B0223">
        <w:t xml:space="preserve"> </w:t>
      </w:r>
      <w:r w:rsidRPr="002B0223">
        <w:t>Ieslodzītie lielākoties ir fiziski aktīvi, t.i. sporto u.tt. un nepieciešamība mazgāt veļu ir būtiska lai ievērotu minētā MK not. 18.p. norādīto veļu jāmazgā (t.i. jānodrošina iespēju) vismaz divas reizes nedēļā (vismaz sporta drēbes un apakšveļu ar zeķēm). Ievērības cienīgs fakts ka karstais ūdens Rīgas Centrālcietumā pieejams tikai dušas telpā. Ievērības cienīgs fakts ka nevien</w:t>
      </w:r>
      <w:r w:rsidR="00B059E6" w:rsidRPr="002B0223">
        <w:t>iem ieslodzītajiem LR cietumos nav pieejama (izmantošanai) pirts. Respektīvi vārds "pirts" (jēdziens 19.p) uzskatāms kā ņirgāšanās (pazemošana) par ieslodzīto personu. Ir tikai dušas un tā arī nepieciešams norādīt.</w:t>
      </w:r>
    </w:p>
    <w:p w14:paraId="003ABF8C" w14:textId="77777777" w:rsidR="00B059E6" w:rsidRPr="002B0223" w:rsidRDefault="00B059E6">
      <w:r w:rsidRPr="002B0223">
        <w:t>3) 21.p – Absurds, jo naktīs sekcijās (dzīvojamās telpas) nāk virsnieki un respektīvi tiek pārtraukts 8-ņu stundu miegs, kas rada ciešanas.</w:t>
      </w:r>
    </w:p>
    <w:p w14:paraId="73F428F9" w14:textId="59AA8CD1" w:rsidR="00B059E6" w:rsidRPr="002B0223" w:rsidRDefault="00B059E6">
      <w:r w:rsidRPr="002B0223">
        <w:t>4) 36.8. 36.9.; 36.12. – Lai ievērotu Jūsu norādīto 18.jā p. (par Higiēnu) minētajām ierīcēm ir jābūt bez maksas. Citādi sanāk, lai ievērotu noteikumus ieslodzītajam vēl pašam jāmaksā, bet ja nav līdzekļu, tad tiks sodīts, jo nebūs iespējams ievērot higiēnas prasības. Absurdi un cilvēka cieņas, goda aizskaršana.</w:t>
      </w:r>
    </w:p>
    <w:p w14:paraId="17E23925" w14:textId="7CAD21C5" w:rsidR="00B059E6" w:rsidRPr="002B0223" w:rsidRDefault="00B059E6">
      <w:r w:rsidRPr="002B0223">
        <w:t>5) 36.7.</w:t>
      </w:r>
      <w:r w:rsidR="00C507F1" w:rsidRPr="002B0223">
        <w:t xml:space="preserve"> </w:t>
      </w:r>
      <w:r w:rsidRPr="002B0223">
        <w:t>Attiecībā par mazajām austiņām.</w:t>
      </w:r>
    </w:p>
    <w:p w14:paraId="5C7EAC26" w14:textId="77777777" w:rsidR="00D56150" w:rsidRPr="002B0223" w:rsidRDefault="00B059E6">
      <w:r w:rsidRPr="002B0223">
        <w:t xml:space="preserve">No dzirdes veselības viedokļa šis variants ir vis kaitīgākais. Kādēļ tā? "Skaņa neaizplūst nekur ārpus auss, bet gan iet tieši auss ejā, atsitas pret </w:t>
      </w:r>
      <w:proofErr w:type="spellStart"/>
      <w:r w:rsidRPr="002B0223">
        <w:t>bungplēvīti</w:t>
      </w:r>
      <w:proofErr w:type="spellEnd"/>
      <w:r w:rsidRPr="002B0223">
        <w:t xml:space="preserve">, ievibrē </w:t>
      </w:r>
      <w:proofErr w:type="spellStart"/>
      <w:r w:rsidRPr="002B0223">
        <w:t>bungplēvīti</w:t>
      </w:r>
      <w:proofErr w:type="spellEnd"/>
      <w:r w:rsidRPr="002B0223">
        <w:t xml:space="preserve"> un vibrācija aiziet līdz iekšējai ausij. Savukārt, ja lieto lielās austiņas, ir pierādīts ka tās</w:t>
      </w:r>
      <w:r w:rsidR="00D56150" w:rsidRPr="002B0223">
        <w:t xml:space="preserve"> rada mazāku bojājumu. Tas tādēļ, ka daļa no skaņas nenonāk auss ejā, bet aizplūst </w:t>
      </w:r>
      <w:proofErr w:type="spellStart"/>
      <w:r w:rsidR="00D56150" w:rsidRPr="002B0223">
        <w:t>ārpuss</w:t>
      </w:r>
      <w:proofErr w:type="spellEnd"/>
      <w:r w:rsidR="00D56150" w:rsidRPr="002B0223">
        <w:t xml:space="preserve"> auss</w:t>
      </w:r>
      <w:r w:rsidRPr="002B0223">
        <w:t>"</w:t>
      </w:r>
      <w:r w:rsidR="00D56150" w:rsidRPr="002B0223">
        <w:t xml:space="preserve">. Atsaucoties uz pētījumiem, specialists norāda, ka tie varētu būt ap deviņiem decibeliem (BKUS, </w:t>
      </w:r>
      <w:proofErr w:type="spellStart"/>
      <w:r w:rsidR="00D56150" w:rsidRPr="002B0223">
        <w:t>otorinola</w:t>
      </w:r>
      <w:proofErr w:type="spellEnd"/>
      <w:r w:rsidR="00D56150" w:rsidRPr="002B0223">
        <w:t xml:space="preserve"> </w:t>
      </w:r>
      <w:proofErr w:type="spellStart"/>
      <w:r w:rsidR="00D56150" w:rsidRPr="002B0223">
        <w:t>ringologs</w:t>
      </w:r>
      <w:proofErr w:type="spellEnd"/>
      <w:r w:rsidR="00D56150" w:rsidRPr="002B0223">
        <w:t xml:space="preserve"> Kristaps Dambergs).</w:t>
      </w:r>
    </w:p>
    <w:p w14:paraId="70DD4FE3" w14:textId="77777777" w:rsidR="00EA4C44" w:rsidRPr="002B0223" w:rsidRDefault="00D56150">
      <w:r w:rsidRPr="002B0223">
        <w:t>6) </w:t>
      </w:r>
      <w:r w:rsidR="00EA4C44" w:rsidRPr="002B0223">
        <w:t xml:space="preserve">84.p. Saskaņā ar Eiropas un starptautisko likumdošanu u.t.t. </w:t>
      </w:r>
      <w:proofErr w:type="spellStart"/>
      <w:r w:rsidR="00EA4C44" w:rsidRPr="002B0223">
        <w:t>neviss</w:t>
      </w:r>
      <w:proofErr w:type="spellEnd"/>
      <w:r w:rsidR="00EA4C44" w:rsidRPr="002B0223">
        <w:t xml:space="preserve"> vienkārši pieaicina ārstniecības personu, bet tieši tā (</w:t>
      </w:r>
      <w:proofErr w:type="spellStart"/>
      <w:r w:rsidR="00EA4C44" w:rsidRPr="002B0223">
        <w:t>med.pers</w:t>
      </w:r>
      <w:proofErr w:type="spellEnd"/>
      <w:r w:rsidR="00EA4C44" w:rsidRPr="002B0223">
        <w:t>) arī veic personas ķermeņa dobumu, protēžu u.t.t. apskati (pārmeklēšanu). Respektīvi nepieciešams precīzi, nepārprotami un skaidri (nevis izplūstoši) izklāstīt normas (</w:t>
      </w:r>
      <w:proofErr w:type="spellStart"/>
      <w:r w:rsidR="00EA4C44" w:rsidRPr="002B0223">
        <w:t>t.i</w:t>
      </w:r>
      <w:proofErr w:type="spellEnd"/>
      <w:r w:rsidR="00EA4C44" w:rsidRPr="002B0223">
        <w:t xml:space="preserve"> formulēt) skaidri. Citādi amatpersonas </w:t>
      </w:r>
      <w:proofErr w:type="spellStart"/>
      <w:r w:rsidR="00EA4C44" w:rsidRPr="002B0223">
        <w:t>izplūdošo</w:t>
      </w:r>
      <w:proofErr w:type="spellEnd"/>
      <w:r w:rsidR="00EA4C44" w:rsidRPr="002B0223">
        <w:t xml:space="preserve"> normu traktēs pēc savas iegribas kā ienāks prātā.</w:t>
      </w:r>
    </w:p>
    <w:p w14:paraId="07614428" w14:textId="77777777" w:rsidR="00EA4C44" w:rsidRPr="002B0223" w:rsidRDefault="00EA4C44">
      <w:r w:rsidRPr="002B0223">
        <w:t xml:space="preserve">7) 93.p. Absurds, prettiesisks un </w:t>
      </w:r>
      <w:proofErr w:type="spellStart"/>
      <w:r w:rsidRPr="002B0223">
        <w:t>anohronisks</w:t>
      </w:r>
      <w:proofErr w:type="spellEnd"/>
      <w:r w:rsidRPr="002B0223">
        <w:t xml:space="preserve"> punkts. Par minēto ir vairāki lēmumi un spriedumi, kā nacionālajā tā arī starptautiskajā likumā. </w:t>
      </w:r>
    </w:p>
    <w:p w14:paraId="6D0484B5" w14:textId="77777777" w:rsidR="00EA4C44" w:rsidRPr="002B0223" w:rsidRDefault="00EA4C44">
      <w:r w:rsidRPr="002B0223">
        <w:t>Apkopojot iepriekš izklāstīto lūdzu Jūs:</w:t>
      </w:r>
    </w:p>
    <w:p w14:paraId="67C75C84" w14:textId="77777777" w:rsidR="00EA4C44" w:rsidRPr="002B0223" w:rsidRDefault="00EA4C44">
      <w:r w:rsidRPr="002B0223">
        <w:t>1) pieņemt iesniegumu skatīšanai pēc būtības (un ņemt vērā pie noteikumu izstrādes</w:t>
      </w:r>
    </w:p>
    <w:p w14:paraId="715D1A1B" w14:textId="6D8A7DE0" w:rsidR="00253352" w:rsidRPr="002B0223" w:rsidRDefault="00EA4C44">
      <w:r w:rsidRPr="002B0223">
        <w:t>2) sniegt man rakstisku, motivētu atbildi.</w:t>
      </w:r>
      <w:r w:rsidR="00253352" w:rsidRPr="002B0223">
        <w:t>"</w:t>
      </w:r>
    </w:p>
    <w:p w14:paraId="750BFBD9" w14:textId="67C9AF3D" w:rsidR="00C507F1" w:rsidRPr="002B0223" w:rsidRDefault="00C507F1"/>
    <w:p w14:paraId="37C5AE48" w14:textId="0B71F66D" w:rsidR="00C507F1" w:rsidRPr="002B0223" w:rsidRDefault="00C507F1">
      <w:r w:rsidRPr="002B0223">
        <w:rPr>
          <w:b/>
        </w:rPr>
        <w:lastRenderedPageBreak/>
        <w:t>Fizisk</w:t>
      </w:r>
      <w:r w:rsidR="00153379" w:rsidRPr="002B0223">
        <w:rPr>
          <w:b/>
        </w:rPr>
        <w:t>ā</w:t>
      </w:r>
      <w:r w:rsidRPr="002B0223">
        <w:rPr>
          <w:b/>
        </w:rPr>
        <w:t xml:space="preserve">s personas 2023. gada 16. septembra viedokļa pilns teksts: </w:t>
      </w:r>
      <w:r w:rsidRPr="002B0223">
        <w:t>"Saņēmu informāciju, ka šobrīd tiek veikta MK noteikumu – "</w:t>
      </w:r>
      <w:proofErr w:type="spellStart"/>
      <w:r w:rsidRPr="002B0223">
        <w:t>IeV</w:t>
      </w:r>
      <w:proofErr w:type="spellEnd"/>
      <w:r w:rsidRPr="002B0223">
        <w:t xml:space="preserve"> iekšējās kārtības noteikumi" izstrāde, kā arī notiek tā sabiedriskā apspriešana. Izpētot iepriekš minēto projektu vēlos vērs Jūsu uzmanību uz sekojošo:</w:t>
      </w:r>
    </w:p>
    <w:p w14:paraId="7AF5D0C2" w14:textId="77777777" w:rsidR="00604523" w:rsidRPr="002B0223" w:rsidRDefault="00C507F1">
      <w:r w:rsidRPr="002B0223">
        <w:t>1) 36.p. 2. daļa (punkts) – ieslodzītajiem tiek plānots aizliegt lietot spēļu konsoles ar bezvadu tīkla (net.) iespējām.</w:t>
      </w:r>
      <w:r w:rsidR="00604523" w:rsidRPr="002B0223">
        <w:t xml:space="preserve"> Kopš 2005. gada visām XBOX un </w:t>
      </w:r>
      <w:proofErr w:type="spellStart"/>
      <w:r w:rsidR="00604523" w:rsidRPr="002B0223">
        <w:t>Sony</w:t>
      </w:r>
      <w:proofErr w:type="spellEnd"/>
      <w:r w:rsidR="00604523" w:rsidRPr="002B0223">
        <w:t xml:space="preserve"> </w:t>
      </w:r>
      <w:proofErr w:type="spellStart"/>
      <w:r w:rsidR="00604523" w:rsidRPr="002B0223">
        <w:t>Playstation</w:t>
      </w:r>
      <w:proofErr w:type="spellEnd"/>
      <w:r w:rsidR="00604523" w:rsidRPr="002B0223">
        <w:t xml:space="preserve">, u.c. spēļu konsolēm ir bezvadu sakaru modeļi, kuri </w:t>
      </w:r>
      <w:proofErr w:type="spellStart"/>
      <w:r w:rsidR="00604523" w:rsidRPr="002B0223">
        <w:t>p'ēdējās</w:t>
      </w:r>
      <w:proofErr w:type="spellEnd"/>
      <w:r w:rsidR="00604523" w:rsidRPr="002B0223">
        <w:t xml:space="preserve"> paaudzes konsolēs ir sistēmas integrālā sastāvdaļa, kas t.sk. spēļu kontroliera (</w:t>
      </w:r>
      <w:proofErr w:type="spellStart"/>
      <w:r w:rsidR="00604523" w:rsidRPr="002B0223">
        <w:t>džoistika</w:t>
      </w:r>
      <w:proofErr w:type="spellEnd"/>
      <w:r w:rsidR="00604523" w:rsidRPr="002B0223">
        <w:t>) darbību nodrošina un kuru nav iespējams izņemt neatgriezeniski nebojājot konsoli. Lai novērstu tiesību normu iztulkošanas neskaidrības (no administrācijas puses), nepieciešams iekļaut MK not. Projektā norādi, ka 36.2.p. minētais aizliegums neattiecās uz spēļu konsolēm, kas jau atrodas ieslodzīto lietošanā jaunā tiesiskā regulējuma spēkā stāšanās brīdī. Var minēt precedentu: – ar 18.06.2015. grozījumiem LSIK izslēdza 50.6. 3d. 3-o teikumu, bet notiesātajiem (ieslodzītajiem), kuriem grozījumu pieņemšanas brīdī tika piešķirtas izslēgtajā pantā minētās tiesības ar grozījumiem 33.p. tika atļauts turpināt tās izmantot.</w:t>
      </w:r>
    </w:p>
    <w:p w14:paraId="38E15DF3" w14:textId="77777777" w:rsidR="00C07FCD" w:rsidRPr="002B0223" w:rsidRDefault="00604523">
      <w:r w:rsidRPr="002B0223">
        <w:t xml:space="preserve">2) 20.p. ir absurds. Ieslodzītie lielākoties ir fiziski aktīvi, t.i. sporto u.t.t. un nepieciešamība mazgāt veļu ir būtiska. Lai ievērotu minētā MK not. 18. p., norādīto veļu jāmazgā (t.i. jānodrošina iespēju) vismaz divas reizes nedēļā (vismaz sporta drēbes un apakšveļu ar zeķēm). Ievērības cienīgs fakts ka karstais ūdens Rīgas Centrālcietumā pieejams tikai dušas telpā. Ievērības cienīgs fakts ka nevienam ieslodzītajam LR cietumos nav pieejama (izmantošanai) pirts. Respektīvi vārds "pirts" </w:t>
      </w:r>
      <w:r w:rsidR="00C07FCD" w:rsidRPr="002B0223">
        <w:t>(jēdziens 19.p.) uzskatāms kā ņirgāšanās (pazemošana) par ieslodzīto personu. Ir tikai dušas un tā arī nepieciešams norādīt.</w:t>
      </w:r>
    </w:p>
    <w:p w14:paraId="00A5AA1A" w14:textId="77777777" w:rsidR="00C07FCD" w:rsidRPr="002B0223" w:rsidRDefault="00C07FCD">
      <w:r w:rsidRPr="002B0223">
        <w:t>3) 21.p. – Absurds, jo naktīs sekcijās (dzīvojamās telpās) nāk virsnieki un respektīvi tiek pārtraukts 8-ņu stundu miegs, kas rada ciešanas.</w:t>
      </w:r>
    </w:p>
    <w:p w14:paraId="7485A898" w14:textId="77777777" w:rsidR="00C07FCD" w:rsidRPr="002B0223" w:rsidRDefault="00C07FCD">
      <w:r w:rsidRPr="002B0223">
        <w:t>4) 36.8.; 36.9.; 36.12. – Lai ievērotu Jūsu norādīto 18jā p. (par higiēnu) minētajām ierīcēm ir jābūt bez maksas. Citādi sanāk, lai ievērotu noteikumus ieslodzītajiem vēl pašam jāmaksā, bet ja nav līdzekļu, tad tiks sodīts, jo nebūs iespējams ievērot higiēnas prasības. Absurds un cilvēka cieņas, goda aizskaršana.</w:t>
      </w:r>
    </w:p>
    <w:p w14:paraId="590A8220" w14:textId="77777777" w:rsidR="00C07FCD" w:rsidRPr="002B0223" w:rsidRDefault="00C07FCD">
      <w:r w:rsidRPr="002B0223">
        <w:t xml:space="preserve">5) 36.7. – Attiecībā par mazajām austiņām. No dzirdes veselības viedokļa šis variants ir viskaitīgākais. Kādēļ tā? – "Skaņa neaizplūst nekur ārpus auss, bet gan iet tieši auss ejā, atsitās pret </w:t>
      </w:r>
      <w:proofErr w:type="spellStart"/>
      <w:r w:rsidRPr="002B0223">
        <w:t>bungplēvīti</w:t>
      </w:r>
      <w:proofErr w:type="spellEnd"/>
      <w:r w:rsidRPr="002B0223">
        <w:t xml:space="preserve">, ievibrē </w:t>
      </w:r>
      <w:proofErr w:type="spellStart"/>
      <w:r w:rsidRPr="002B0223">
        <w:t>bungplēvīti</w:t>
      </w:r>
      <w:proofErr w:type="spellEnd"/>
      <w:r w:rsidRPr="002B0223">
        <w:t xml:space="preserve">, un vibrācija aiziet līdz iekšējai ausij. Savukārt, ja lieto lielās austiņas, ko uzliek virsū uz ausīm, ir pierādīts, ka tas rada mazāku bojājumu. Tas tādēļ, ka daļa no skaņas nenonāk auss ejā, bet aizplūst </w:t>
      </w:r>
      <w:proofErr w:type="spellStart"/>
      <w:r w:rsidRPr="002B0223">
        <w:t>ārpuss</w:t>
      </w:r>
      <w:proofErr w:type="spellEnd"/>
      <w:r w:rsidRPr="002B0223">
        <w:t xml:space="preserve"> auss". Atsaucoties uz pētījumiem, speciālisti norāda, ka tie varētu būt ap deviņiem decibeliem (BKUS </w:t>
      </w:r>
      <w:proofErr w:type="spellStart"/>
      <w:r w:rsidRPr="002B0223">
        <w:t>otorinola</w:t>
      </w:r>
      <w:proofErr w:type="spellEnd"/>
      <w:r w:rsidRPr="002B0223">
        <w:t xml:space="preserve"> </w:t>
      </w:r>
      <w:proofErr w:type="spellStart"/>
      <w:r w:rsidRPr="002B0223">
        <w:t>ringologs</w:t>
      </w:r>
      <w:proofErr w:type="spellEnd"/>
      <w:r w:rsidRPr="002B0223">
        <w:t xml:space="preserve"> Kristaps Dambergs).</w:t>
      </w:r>
    </w:p>
    <w:p w14:paraId="3F54974B" w14:textId="6D2E32FA" w:rsidR="00C507F1" w:rsidRPr="002B0223" w:rsidRDefault="00C07FCD">
      <w:r w:rsidRPr="002B0223">
        <w:t xml:space="preserve">6) 84.p. – Saskaņā ar Eiropas un starptautisko likumdošanu u.t.t. </w:t>
      </w:r>
      <w:proofErr w:type="spellStart"/>
      <w:r w:rsidRPr="002B0223">
        <w:t>neviss</w:t>
      </w:r>
      <w:proofErr w:type="spellEnd"/>
      <w:r w:rsidRPr="002B0223">
        <w:t xml:space="preserve"> vienkārši pieaicina ārstniecības personu, bet tieši tā (</w:t>
      </w:r>
      <w:proofErr w:type="spellStart"/>
      <w:r w:rsidRPr="002B0223">
        <w:t>med.pers</w:t>
      </w:r>
      <w:proofErr w:type="spellEnd"/>
      <w:r w:rsidRPr="002B0223">
        <w:t xml:space="preserve">.) arī veic personas ķermeņa dobumu, protēžu, u.t.t. apskati (pārmeklēšanu). Respektīvi nepieciešams precīzi, </w:t>
      </w:r>
      <w:r w:rsidRPr="002B0223">
        <w:lastRenderedPageBreak/>
        <w:t>nepārprotami un skaidri (nevis izplūstoši) izklāstīt normas (t.i. formulēt skaidri). Citādi amatpersonas izplū</w:t>
      </w:r>
      <w:r w:rsidR="00BD4CB2" w:rsidRPr="002B0223">
        <w:t>dušo normu traktēs pēc savas iegribas kā ienāks prātā.</w:t>
      </w:r>
    </w:p>
    <w:p w14:paraId="20668C1F" w14:textId="11897881" w:rsidR="00BD4CB2" w:rsidRPr="002B0223" w:rsidRDefault="00BD4CB2">
      <w:r w:rsidRPr="002B0223">
        <w:t xml:space="preserve">7) 93.p. – Absurds, prettiesisks un </w:t>
      </w:r>
      <w:proofErr w:type="spellStart"/>
      <w:r w:rsidRPr="002B0223">
        <w:t>anahronisks</w:t>
      </w:r>
      <w:proofErr w:type="spellEnd"/>
      <w:r w:rsidRPr="002B0223">
        <w:t xml:space="preserve"> punkts. Par minēto ir vairāki lēmumi un spriedumi, kā nacionālajā tā arī starptautiskajā līmenī.</w:t>
      </w:r>
    </w:p>
    <w:p w14:paraId="61E0A50F" w14:textId="3E59B1E6" w:rsidR="00BD4CB2" w:rsidRPr="002B0223" w:rsidRDefault="00BD4CB2">
      <w:r w:rsidRPr="002B0223">
        <w:t>Apkopojot iepriekš izklāstīto lūdzu Jūs:</w:t>
      </w:r>
    </w:p>
    <w:p w14:paraId="120A93FB" w14:textId="68328250" w:rsidR="00BD4CB2" w:rsidRPr="002B0223" w:rsidRDefault="00BD4CB2">
      <w:r w:rsidRPr="002B0223">
        <w:t>1) pieņemt iesniegumu skatīšanai pēc būtības (un ņemt vērā pie noteikumu izstrādes)</w:t>
      </w:r>
    </w:p>
    <w:p w14:paraId="3D5CC4F0" w14:textId="3642C084" w:rsidR="00BD4CB2" w:rsidRPr="002B0223" w:rsidRDefault="00BD4CB2">
      <w:r w:rsidRPr="002B0223">
        <w:t>2) sniegt man rakstisku motivētu atbildi."</w:t>
      </w:r>
    </w:p>
    <w:p w14:paraId="3A05E17E" w14:textId="6F703BDE" w:rsidR="00BD4CB2" w:rsidRPr="002B0223" w:rsidRDefault="00BD4CB2"/>
    <w:p w14:paraId="3FB5B7E6" w14:textId="7240E556" w:rsidR="00153379" w:rsidRPr="002B0223" w:rsidRDefault="00153379">
      <w:r w:rsidRPr="002B0223">
        <w:rPr>
          <w:b/>
        </w:rPr>
        <w:t xml:space="preserve">Fiziskās personas 2023. gada 17. septembra viedokļa pilns teksts: </w:t>
      </w:r>
      <w:r w:rsidR="00B7420A" w:rsidRPr="002B0223">
        <w:t xml:space="preserve">"Ir saņemta informācija, ka līdz 22.09.2023. notiek publiskā apspriešana likumprojektam – Ministru kabineta noteikumi "Brīvības atņemšanas iestādes iekšējās kārtības noteikumi". Sabiedrības pārstāvji tiek lūgti savus viedokļus/ iebildumus un priekšlikumus/ sūtīt Jūlijai </w:t>
      </w:r>
      <w:proofErr w:type="spellStart"/>
      <w:r w:rsidR="00B7420A" w:rsidRPr="002B0223">
        <w:t>Hatilovai</w:t>
      </w:r>
      <w:proofErr w:type="spellEnd"/>
      <w:r w:rsidR="00B7420A" w:rsidRPr="002B0223">
        <w:t xml:space="preserve"> uz Ieslodzījuma vietu pārvaldi. Ievērojot sabiedrības līdzdalību un novērtējot likumprojekta Juridisko kvalitāti, pilnībā piekrītu šādam izstrādātajam likumprojektam – lai tas tā arī tiktu pieņemts un realizēts darbībā. Šāda veida spēļu konsules ar bezvadu sakaru funkcijām ir jāizņem no ieslodzījuma vietām, kā arī pilnībā jāaizliedz turpmāk piegādāt/ saņemt ieslodzītajiem lietošanā. Šāda izstrādāta </w:t>
      </w:r>
      <w:r w:rsidR="00602B9F" w:rsidRPr="002B0223">
        <w:t xml:space="preserve">likumprojekta pieņemšana veicinātu un novestu ieslodzītos pie </w:t>
      </w:r>
      <w:proofErr w:type="spellStart"/>
      <w:r w:rsidR="00602B9F" w:rsidRPr="002B0223">
        <w:t>resocializācijas</w:t>
      </w:r>
      <w:proofErr w:type="spellEnd"/>
      <w:r w:rsidR="00602B9F" w:rsidRPr="002B0223">
        <w:t xml:space="preserve"> mērķa sasniegšanas soda izciešanas periodā. Jo patlaban, labi ja 20% soda izciešanas periodā ir sev mainījuši uz labo pusi. Ar šīm konsulēm tiek intensīvi izmantots internet, kas liedz ieslodzītam īsti apdomāties kādēļ </w:t>
      </w:r>
      <w:proofErr w:type="spellStart"/>
      <w:r w:rsidR="00602B9F" w:rsidRPr="002B0223">
        <w:t>ta</w:t>
      </w:r>
      <w:proofErr w:type="spellEnd"/>
      <w:r w:rsidR="00602B9F" w:rsidRPr="002B0223">
        <w:t xml:space="preserve"> viņš īsti ir ieslodzījumā. Šīs konsules ar bezvadu sakaru funkcijām ļauj ieslodzītiem turpināt nelikumīgas darbības, ļauj skatīties ieslodzījuma vietā neatļautas vietnes, filmas utt. Lūdzu ņemt vērā, ka sabiedrība arī vēlas, lai ieslodzītie atbrīvojoties būtu </w:t>
      </w:r>
      <w:proofErr w:type="spellStart"/>
      <w:r w:rsidR="00602B9F" w:rsidRPr="002B0223">
        <w:t>likumpaklausīgi</w:t>
      </w:r>
      <w:proofErr w:type="spellEnd"/>
      <w:r w:rsidR="00602B9F" w:rsidRPr="002B0223">
        <w:t xml:space="preserve">, </w:t>
      </w:r>
      <w:proofErr w:type="spellStart"/>
      <w:r w:rsidR="00602B9F" w:rsidRPr="002B0223">
        <w:t>resocializējušies</w:t>
      </w:r>
      <w:proofErr w:type="spellEnd"/>
      <w:r w:rsidR="00602B9F" w:rsidRPr="002B0223">
        <w:t xml:space="preserve"> utt. Šo konsuļu izņemšana un aizliegšana nekādā ziņa nepasliktinātu ieslodzīto dzīvi ieslodzījumā, bet gan liks aizdomāties par </w:t>
      </w:r>
      <w:proofErr w:type="spellStart"/>
      <w:r w:rsidR="00602B9F" w:rsidRPr="002B0223">
        <w:t>resocializācijas</w:t>
      </w:r>
      <w:proofErr w:type="spellEnd"/>
      <w:r w:rsidR="00602B9F" w:rsidRPr="002B0223">
        <w:t xml:space="preserve"> pasākumiem un nodarbībām, jo patlaban ar šo bezvadu sakaru konsulēm – pievēršanās </w:t>
      </w:r>
      <w:proofErr w:type="spellStart"/>
      <w:r w:rsidR="00602B9F" w:rsidRPr="002B0223">
        <w:t>resocializācijai</w:t>
      </w:r>
      <w:proofErr w:type="spellEnd"/>
      <w:r w:rsidR="00602B9F" w:rsidRPr="002B0223">
        <w:t xml:space="preserve"> ir nosacīta. Līdz ar to, ņemot vērā augstāk minēto, viennozīmīgi šāda likumprojekta pieņemšana/ īstenošana būtu labs ieguvums ieslodzītiem, lai </w:t>
      </w:r>
      <w:r w:rsidR="006F08AD" w:rsidRPr="002B0223">
        <w:t>izciešamā soda mērķis būtu rezultatīvs.</w:t>
      </w:r>
      <w:r w:rsidR="00B7420A" w:rsidRPr="002B0223">
        <w:t>"</w:t>
      </w:r>
    </w:p>
    <w:p w14:paraId="3EAB12F2" w14:textId="4402ADBF" w:rsidR="006F08AD" w:rsidRPr="002B0223" w:rsidRDefault="006F08AD"/>
    <w:p w14:paraId="5DC949EA" w14:textId="77777777" w:rsidR="002D4DAB" w:rsidRPr="002B0223" w:rsidRDefault="006F08AD">
      <w:r w:rsidRPr="002B0223">
        <w:rPr>
          <w:b/>
        </w:rPr>
        <w:t xml:space="preserve">Fiziskās personas 2023. gada 18. septembra viedokļa pilns teksts: </w:t>
      </w:r>
      <w:r w:rsidRPr="002B0223">
        <w:t xml:space="preserve">"Esmu saņēmis informāciju par to, ka Tieslietu ministrijā Andas Smiltēnas kundzes un Ieslodzījuma vietu pārvaldes amatpersonas Jūlijas </w:t>
      </w:r>
      <w:proofErr w:type="spellStart"/>
      <w:r w:rsidRPr="002B0223">
        <w:t>Hatilovas</w:t>
      </w:r>
      <w:proofErr w:type="spellEnd"/>
      <w:r w:rsidRPr="002B0223">
        <w:t xml:space="preserve"> </w:t>
      </w:r>
      <w:proofErr w:type="spellStart"/>
      <w:r w:rsidRPr="002B0223">
        <w:t>kudzes</w:t>
      </w:r>
      <w:proofErr w:type="spellEnd"/>
      <w:r w:rsidRPr="002B0223">
        <w:t xml:space="preserve"> lietvedībā, šobrīd tiek veikta likumprojekta "MK noteikumi: Ieslodzījuma vietu iekšējās kārtības noteikumi" izstrāde, kā arī notiek tā sabiedriskā apspriešana. Izpētot iepriekš minēto projektu, vēlos vērst Jūsu uzmanību vairākiem praktiskajiem aspektiem, kas netika ņemts vērā likumprojekta izstrādāšanas procesā. </w:t>
      </w:r>
    </w:p>
    <w:p w14:paraId="3096A4A7" w14:textId="77777777" w:rsidR="002D4DAB" w:rsidRPr="002B0223" w:rsidRDefault="006F08AD">
      <w:r w:rsidRPr="002B0223">
        <w:lastRenderedPageBreak/>
        <w:t xml:space="preserve">Saskaņā ar likumprojekta 36.p. 2.pkt., ieslodzītajiem tiek plānots aizliegt lietot spēļu konsoles ar bezvadu sakaru funkcijām. Tomēr faktiskā situācija ir tāda, ka jau kopš 2005. gada absolūti visām </w:t>
      </w:r>
      <w:proofErr w:type="spellStart"/>
      <w:r w:rsidRPr="002B0223">
        <w:t>xbox</w:t>
      </w:r>
      <w:proofErr w:type="spellEnd"/>
      <w:r w:rsidRPr="002B0223">
        <w:t xml:space="preserve"> un </w:t>
      </w:r>
      <w:proofErr w:type="spellStart"/>
      <w:r w:rsidRPr="002B0223">
        <w:t>playstation</w:t>
      </w:r>
      <w:proofErr w:type="spellEnd"/>
      <w:r w:rsidRPr="002B0223">
        <w:t xml:space="preserve"> spēļu konsolēm ir bezvadu sakaru modulis, kas pēdējās paaudzes konsolēs ir sistēmas pamatplates integrālā sastāvdaļa, kas tai skaitā nodrošina spēļu kontrolieru (</w:t>
      </w:r>
      <w:proofErr w:type="spellStart"/>
      <w:r w:rsidRPr="002B0223">
        <w:t>džoistiku</w:t>
      </w:r>
      <w:proofErr w:type="spellEnd"/>
      <w:r w:rsidRPr="002B0223">
        <w:t xml:space="preserve">) darbību un kuru nav iespējams izņemt, neatgriezeniski nebojājot konsoli. Līdz ar to, 99% Latvijas cietumos esošajām personām piederošo spēļu konsoļu a </w:t>
      </w:r>
      <w:proofErr w:type="spellStart"/>
      <w:r w:rsidRPr="002B0223">
        <w:t>priori</w:t>
      </w:r>
      <w:proofErr w:type="spellEnd"/>
      <w:r w:rsidRPr="002B0223">
        <w:t xml:space="preserve"> neatbilst jaunajam tiesiskajam regulējumam, kas varētu novest pie zaudējumu kompensācijas pieprasījuma no valsts, kādu 3000 ieslodzīto labā, aptuveni 1,5 miljonu eiro apmērā, nemaz nerunājot par papildus noslog</w:t>
      </w:r>
      <w:r w:rsidR="002D4DAB" w:rsidRPr="002B0223">
        <w:t xml:space="preserve">ojumu tiesās. Eiropas Savienības un Latvijas Republikas tiesību tradīcijās ietilpstošs un Administratīvā procesa likuma 10. pantā ietverts tiesiskās paļāvības princips aizsargāt to ieslodzīto tiesības, kuriem atļauts cietumā lietot spēļu konsoli tika piešķirta pirms jaunā tiesiskā regulējuma spēkā stāšanās. Tomēr, lai novērstu iespējamās tiesību normu iztulkošanas neskaidrības, lūdzu Jūs rasts iespēju iekļaut likumprojektā norādi, ka 36.p. 2.pkt. minētais aizliegums neattiecās uz spēļu konsolēm, kas jau atrodas ieslodzīto lietošanā jauna tiesiskā regulējuma spēkā stāšanās brīdī. Lūdzu Jūs ņemt vērā faktu, ka LR Sodu izpildes tiesībās jau pastāv </w:t>
      </w:r>
      <w:proofErr w:type="spellStart"/>
      <w:r w:rsidR="002D4DAB" w:rsidRPr="002B0223">
        <w:t>ide.ntisks</w:t>
      </w:r>
      <w:proofErr w:type="spellEnd"/>
      <w:r w:rsidR="002D4DAB" w:rsidRPr="002B0223">
        <w:t xml:space="preserve"> precedents: ar 18.06.2015. grozījumiem Sodu izpildes kodeksā izslēdzot 50.6.3.d. 3. teikumu, tiem ieslodzītajiem, kuriem grozījumu stāšanas brīdī tika piešķirtas izslēgtajā pantā minētās tiesības, ar grozījumiem 33.p., tika atļauts turpināt tās izlietot.</w:t>
      </w:r>
    </w:p>
    <w:p w14:paraId="6301692E" w14:textId="77777777" w:rsidR="002D4DAB" w:rsidRPr="002B0223" w:rsidRDefault="002D4DAB">
      <w:r w:rsidRPr="002B0223">
        <w:t xml:space="preserve">Attiecībā par mazajām austiņām – 36.7. – no dzirdes veselības viedokļa šis variants ir viskaitīgākais. Kādēļ tā? – skaņa neizplūst nekur ārpus auss, bet gan iet tieši auss ejā, atsitas pret </w:t>
      </w:r>
      <w:proofErr w:type="spellStart"/>
      <w:r w:rsidRPr="002B0223">
        <w:t>bungplēvīti</w:t>
      </w:r>
      <w:proofErr w:type="spellEnd"/>
      <w:r w:rsidRPr="002B0223">
        <w:t xml:space="preserve">, ievibrē </w:t>
      </w:r>
      <w:proofErr w:type="spellStart"/>
      <w:r w:rsidRPr="002B0223">
        <w:t>bungplēvīti</w:t>
      </w:r>
      <w:proofErr w:type="spellEnd"/>
      <w:r w:rsidRPr="002B0223">
        <w:t>, un vibrācija aiziet līdz iekšējai ausij. Savukārt, ja lieto lielās austiņas, ko uzliek virsū uz ausīm, ir pierādīts, ka tās rada mazāk bojājumu.</w:t>
      </w:r>
    </w:p>
    <w:p w14:paraId="35D05E71" w14:textId="74C979A7" w:rsidR="006F08AD" w:rsidRPr="006F08AD" w:rsidRDefault="002D4DAB">
      <w:r w:rsidRPr="002B0223">
        <w:t>Līdz ar to, lūdzu rast iespēju iekļaut likumprojektā minimālos televizora izmērus, kuri ir viegli pieejami katrā veikalā.</w:t>
      </w:r>
      <w:r w:rsidR="006F08AD" w:rsidRPr="002B0223">
        <w:t>"</w:t>
      </w:r>
    </w:p>
    <w:sectPr w:rsidR="006F08AD" w:rsidRPr="006F08AD">
      <w:headerReference w:type="even" r:id="rId10"/>
      <w:headerReference w:type="default" r:id="rId11"/>
      <w:footerReference w:type="even" r:id="rId12"/>
      <w:footerReference w:type="default" r:id="rId13"/>
      <w:headerReference w:type="first" r:id="rId14"/>
      <w:footerReference w:type="first" r:id="rId15"/>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399FB4" w14:textId="77777777" w:rsidR="00EA4F63" w:rsidRDefault="00EA4F63">
      <w:r>
        <w:separator/>
      </w:r>
    </w:p>
  </w:endnote>
  <w:endnote w:type="continuationSeparator" w:id="0">
    <w:p w14:paraId="1EB0A7EA" w14:textId="77777777" w:rsidR="00EA4F63" w:rsidRDefault="00EA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292C20" w14:textId="77777777" w:rsidR="00F77B86" w:rsidRDefault="00F77B86">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94B47" w14:textId="77777777" w:rsidR="00A12074" w:rsidRDefault="00FB5105">
    <w:pPr>
      <w:jc w:val="right"/>
    </w:pPr>
    <w:r>
      <w:rPr>
        <w:sz w:val="24"/>
        <w:szCs w:val="24"/>
      </w:rPr>
      <w:fldChar w:fldCharType="begin"/>
    </w:r>
    <w:r>
      <w:rPr>
        <w:sz w:val="24"/>
        <w:szCs w:val="24"/>
      </w:rPr>
      <w:instrText>PAGE</w:instrText>
    </w:r>
    <w:r>
      <w:rPr>
        <w:sz w:val="24"/>
        <w:szCs w:val="24"/>
      </w:rPr>
      <w:fldChar w:fldCharType="separate"/>
    </w:r>
    <w:r w:rsidR="001F3C8C">
      <w:rPr>
        <w:noProof/>
        <w:sz w:val="24"/>
        <w:szCs w:val="24"/>
      </w:rPr>
      <w:t>2</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44608" w14:textId="77777777" w:rsidR="00FD22AF" w:rsidRDefault="00FB5105">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EF4ADE" w14:textId="77777777" w:rsidR="00EA4F63" w:rsidRDefault="00EA4F63">
      <w:r>
        <w:separator/>
      </w:r>
    </w:p>
  </w:footnote>
  <w:footnote w:type="continuationSeparator" w:id="0">
    <w:p w14:paraId="7F17F5B2" w14:textId="77777777" w:rsidR="00EA4F63" w:rsidRDefault="00EA4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A735B" w14:textId="77777777" w:rsidR="00F77B86" w:rsidRDefault="00F77B86">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354C4" w14:textId="77777777" w:rsidR="00A12074" w:rsidRDefault="00FB5105">
    <w:pPr>
      <w:pStyle w:val="Galvene"/>
      <w:contextualSpacing w:val="0"/>
    </w:pPr>
    <w:r>
      <w:t>Viedokļu pārskats 23-TA-1386</w:t>
    </w:r>
    <w:r>
      <w:br/>
      <w:t>Izdrukāts 27.11.2023. 13.19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47F05D" w14:textId="77777777" w:rsidR="00A12074" w:rsidRDefault="00FB5105">
    <w:pPr>
      <w:pStyle w:val="Galvene"/>
      <w:contextualSpacing w:val="0"/>
    </w:pPr>
    <w:r>
      <w:t>Viedokļu pārskats 23-TA-1</w:t>
    </w:r>
    <w:bookmarkStart w:id="0" w:name="_GoBack"/>
    <w:r>
      <w:t>38</w:t>
    </w:r>
    <w:bookmarkEnd w:id="0"/>
    <w:r>
      <w:t>6</w:t>
    </w:r>
    <w:r>
      <w:br/>
      <w:t>Izdrukāts 27.11.2023. 13.19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074"/>
    <w:rsid w:val="00017DBC"/>
    <w:rsid w:val="0002388D"/>
    <w:rsid w:val="0004217C"/>
    <w:rsid w:val="000834BB"/>
    <w:rsid w:val="00091BF3"/>
    <w:rsid w:val="000A2E1B"/>
    <w:rsid w:val="000D2010"/>
    <w:rsid w:val="000E7DFA"/>
    <w:rsid w:val="00153379"/>
    <w:rsid w:val="00156A4D"/>
    <w:rsid w:val="00167389"/>
    <w:rsid w:val="00182D0E"/>
    <w:rsid w:val="00191FE1"/>
    <w:rsid w:val="001A6ED9"/>
    <w:rsid w:val="001D3AA3"/>
    <w:rsid w:val="001F3C8C"/>
    <w:rsid w:val="00245CE2"/>
    <w:rsid w:val="00253352"/>
    <w:rsid w:val="00263602"/>
    <w:rsid w:val="002B0223"/>
    <w:rsid w:val="002D4DAB"/>
    <w:rsid w:val="002F5786"/>
    <w:rsid w:val="003245C7"/>
    <w:rsid w:val="00397B43"/>
    <w:rsid w:val="003B6B82"/>
    <w:rsid w:val="0042009F"/>
    <w:rsid w:val="00462908"/>
    <w:rsid w:val="0046718F"/>
    <w:rsid w:val="0047049E"/>
    <w:rsid w:val="004C2FBF"/>
    <w:rsid w:val="004E449E"/>
    <w:rsid w:val="004E5F03"/>
    <w:rsid w:val="005261F0"/>
    <w:rsid w:val="00526D0C"/>
    <w:rsid w:val="0056199F"/>
    <w:rsid w:val="005822AD"/>
    <w:rsid w:val="00594247"/>
    <w:rsid w:val="00595CF9"/>
    <w:rsid w:val="005B40CC"/>
    <w:rsid w:val="00602B9F"/>
    <w:rsid w:val="0060360F"/>
    <w:rsid w:val="00604523"/>
    <w:rsid w:val="006112D1"/>
    <w:rsid w:val="006337B5"/>
    <w:rsid w:val="00636964"/>
    <w:rsid w:val="00671EFB"/>
    <w:rsid w:val="006F08AD"/>
    <w:rsid w:val="00727A68"/>
    <w:rsid w:val="00762650"/>
    <w:rsid w:val="00776805"/>
    <w:rsid w:val="00800AB9"/>
    <w:rsid w:val="00902436"/>
    <w:rsid w:val="009B1870"/>
    <w:rsid w:val="009D0431"/>
    <w:rsid w:val="00A101CA"/>
    <w:rsid w:val="00A12074"/>
    <w:rsid w:val="00A17E7A"/>
    <w:rsid w:val="00A315CE"/>
    <w:rsid w:val="00AB14ED"/>
    <w:rsid w:val="00AD23EE"/>
    <w:rsid w:val="00AD4752"/>
    <w:rsid w:val="00AE3C19"/>
    <w:rsid w:val="00AF61F1"/>
    <w:rsid w:val="00B059E6"/>
    <w:rsid w:val="00B329BE"/>
    <w:rsid w:val="00B450E6"/>
    <w:rsid w:val="00B7420A"/>
    <w:rsid w:val="00B82840"/>
    <w:rsid w:val="00BD4CB2"/>
    <w:rsid w:val="00BE42DB"/>
    <w:rsid w:val="00C01145"/>
    <w:rsid w:val="00C07FCD"/>
    <w:rsid w:val="00C369DB"/>
    <w:rsid w:val="00C507F1"/>
    <w:rsid w:val="00C8013B"/>
    <w:rsid w:val="00CC1F24"/>
    <w:rsid w:val="00D277B7"/>
    <w:rsid w:val="00D56150"/>
    <w:rsid w:val="00D80BE4"/>
    <w:rsid w:val="00DA131A"/>
    <w:rsid w:val="00DA5877"/>
    <w:rsid w:val="00DC6F5C"/>
    <w:rsid w:val="00DE542D"/>
    <w:rsid w:val="00DE6FBB"/>
    <w:rsid w:val="00E07B60"/>
    <w:rsid w:val="00E94EC4"/>
    <w:rsid w:val="00EA4C44"/>
    <w:rsid w:val="00EA4F63"/>
    <w:rsid w:val="00EE5EFA"/>
    <w:rsid w:val="00F0658A"/>
    <w:rsid w:val="00F472AC"/>
    <w:rsid w:val="00F742C5"/>
    <w:rsid w:val="00F77B86"/>
    <w:rsid w:val="00F81E72"/>
    <w:rsid w:val="00FB5105"/>
    <w:rsid w:val="00FC4822"/>
    <w:rsid w:val="00FD22AF"/>
    <w:rsid w:val="00FE79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69608"/>
  <w15:docId w15:val="{3E8054C4-2409-4419-A26C-D5270F93A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526D0C"/>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table" w:styleId="Reatabula">
    <w:name w:val="Table Grid"/>
    <w:basedOn w:val="Parastatabula"/>
    <w:uiPriority w:val="39"/>
    <w:rsid w:val="001F3C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semiHidden/>
    <w:unhideWhenUsed/>
    <w:rsid w:val="004E449E"/>
    <w:pPr>
      <w:spacing w:before="100" w:beforeAutospacing="1" w:after="100" w:afterAutospacing="1"/>
      <w:jc w:val="left"/>
    </w:pPr>
    <w:rPr>
      <w:color w:val="auto"/>
      <w:sz w:val="24"/>
      <w:szCs w:val="24"/>
    </w:rPr>
  </w:style>
  <w:style w:type="character" w:styleId="Hipersaite">
    <w:name w:val="Hyperlink"/>
    <w:basedOn w:val="Noklusjumarindkopasfonts"/>
    <w:uiPriority w:val="99"/>
    <w:unhideWhenUsed/>
    <w:rsid w:val="004E449E"/>
    <w:rPr>
      <w:color w:val="0563C1" w:themeColor="hyperlink"/>
      <w:u w:val="single"/>
    </w:rPr>
  </w:style>
  <w:style w:type="character" w:styleId="Neatrisintapieminana">
    <w:name w:val="Unresolved Mention"/>
    <w:basedOn w:val="Noklusjumarindkopasfonts"/>
    <w:uiPriority w:val="99"/>
    <w:semiHidden/>
    <w:unhideWhenUsed/>
    <w:rsid w:val="004E449E"/>
    <w:rPr>
      <w:color w:val="605E5C"/>
      <w:shd w:val="clear" w:color="auto" w:fill="E1DFDD"/>
    </w:rPr>
  </w:style>
  <w:style w:type="character" w:styleId="Izmantotahipersaite">
    <w:name w:val="FollowedHyperlink"/>
    <w:basedOn w:val="Noklusjumarindkopasfonts"/>
    <w:uiPriority w:val="99"/>
    <w:semiHidden/>
    <w:unhideWhenUsed/>
    <w:rsid w:val="004C2FBF"/>
    <w:rPr>
      <w:color w:val="954F72" w:themeColor="followedHyperlink"/>
      <w:u w:val="single"/>
    </w:rPr>
  </w:style>
  <w:style w:type="character" w:styleId="Komentraatsauce">
    <w:name w:val="annotation reference"/>
    <w:basedOn w:val="Noklusjumarindkopasfonts"/>
    <w:uiPriority w:val="99"/>
    <w:semiHidden/>
    <w:unhideWhenUsed/>
    <w:rsid w:val="00595CF9"/>
    <w:rPr>
      <w:sz w:val="16"/>
      <w:szCs w:val="16"/>
    </w:rPr>
  </w:style>
  <w:style w:type="paragraph" w:styleId="Komentrateksts">
    <w:name w:val="annotation text"/>
    <w:basedOn w:val="Parasts"/>
    <w:link w:val="KomentratekstsRakstz"/>
    <w:uiPriority w:val="99"/>
    <w:semiHidden/>
    <w:unhideWhenUsed/>
    <w:rsid w:val="00595CF9"/>
    <w:rPr>
      <w:sz w:val="20"/>
    </w:rPr>
  </w:style>
  <w:style w:type="character" w:customStyle="1" w:styleId="KomentratekstsRakstz">
    <w:name w:val="Komentāra teksts Rakstz."/>
    <w:basedOn w:val="Noklusjumarindkopasfonts"/>
    <w:link w:val="Komentrateksts"/>
    <w:uiPriority w:val="99"/>
    <w:semiHidden/>
    <w:rsid w:val="00595CF9"/>
    <w:rPr>
      <w:sz w:val="20"/>
    </w:rPr>
  </w:style>
  <w:style w:type="paragraph" w:styleId="Komentratma">
    <w:name w:val="annotation subject"/>
    <w:basedOn w:val="Komentrateksts"/>
    <w:next w:val="Komentrateksts"/>
    <w:link w:val="KomentratmaRakstz"/>
    <w:uiPriority w:val="99"/>
    <w:semiHidden/>
    <w:unhideWhenUsed/>
    <w:rsid w:val="00595CF9"/>
    <w:rPr>
      <w:b/>
      <w:bCs/>
    </w:rPr>
  </w:style>
  <w:style w:type="character" w:customStyle="1" w:styleId="KomentratmaRakstz">
    <w:name w:val="Komentāra tēma Rakstz."/>
    <w:basedOn w:val="KomentratekstsRakstz"/>
    <w:link w:val="Komentratma"/>
    <w:uiPriority w:val="99"/>
    <w:semiHidden/>
    <w:rsid w:val="00595CF9"/>
    <w:rPr>
      <w:b/>
      <w:bCs/>
      <w:sz w:val="20"/>
    </w:rPr>
  </w:style>
  <w:style w:type="paragraph" w:styleId="Balonteksts">
    <w:name w:val="Balloon Text"/>
    <w:basedOn w:val="Parasts"/>
    <w:link w:val="BalontekstsRakstz"/>
    <w:uiPriority w:val="99"/>
    <w:semiHidden/>
    <w:unhideWhenUsed/>
    <w:rsid w:val="00595CF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95CF9"/>
    <w:rPr>
      <w:rFonts w:ascii="Segoe UI" w:hAnsi="Segoe UI" w:cs="Segoe UI"/>
      <w:sz w:val="18"/>
      <w:szCs w:val="18"/>
    </w:rPr>
  </w:style>
  <w:style w:type="paragraph" w:styleId="Kjene">
    <w:name w:val="footer"/>
    <w:basedOn w:val="Parasts"/>
    <w:link w:val="KjeneRakstz"/>
    <w:uiPriority w:val="99"/>
    <w:unhideWhenUsed/>
    <w:rsid w:val="00F77B86"/>
    <w:pPr>
      <w:tabs>
        <w:tab w:val="center" w:pos="4153"/>
        <w:tab w:val="right" w:pos="8306"/>
      </w:tabs>
    </w:pPr>
  </w:style>
  <w:style w:type="character" w:customStyle="1" w:styleId="KjeneRakstz">
    <w:name w:val="Kājene Rakstz."/>
    <w:basedOn w:val="Noklusjumarindkopasfonts"/>
    <w:link w:val="Kjene"/>
    <w:uiPriority w:val="99"/>
    <w:rsid w:val="00F77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726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f7b9bd2-6d38-4475-93e8-2e6df22378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910E9424D86443AD8428DAE4785E2A" ma:contentTypeVersion="18" ma:contentTypeDescription="Create a new document." ma:contentTypeScope="" ma:versionID="bf000eba66868e3ebf4c929d7a69a6a2">
  <xsd:schema xmlns:xsd="http://www.w3.org/2001/XMLSchema" xmlns:xs="http://www.w3.org/2001/XMLSchema" xmlns:p="http://schemas.microsoft.com/office/2006/metadata/properties" xmlns:ns3="9f7b9bd2-6d38-4475-93e8-2e6df22378f9" xmlns:ns4="369c3b68-3a09-4714-88b9-375ad9b9c865" targetNamespace="http://schemas.microsoft.com/office/2006/metadata/properties" ma:root="true" ma:fieldsID="eff6bfbcc1f708a745aecd163b44f905" ns3:_="" ns4:_="">
    <xsd:import namespace="9f7b9bd2-6d38-4475-93e8-2e6df22378f9"/>
    <xsd:import namespace="369c3b68-3a09-4714-88b9-375ad9b9c8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9bd2-6d38-4475-93e8-2e6df2237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9c3b68-3a09-4714-88b9-375ad9b9c8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413E2-2F8B-4143-A434-74EE8D49A5D0}">
  <ds:schemaRefs>
    <ds:schemaRef ds:uri="9f7b9bd2-6d38-4475-93e8-2e6df22378f9"/>
    <ds:schemaRef ds:uri="http://purl.org/dc/dcmityp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369c3b68-3a09-4714-88b9-375ad9b9c865"/>
    <ds:schemaRef ds:uri="http://www.w3.org/XML/1998/namespace"/>
  </ds:schemaRefs>
</ds:datastoreItem>
</file>

<file path=customXml/itemProps2.xml><?xml version="1.0" encoding="utf-8"?>
<ds:datastoreItem xmlns:ds="http://schemas.openxmlformats.org/officeDocument/2006/customXml" ds:itemID="{D4CC78DD-F615-44C2-ADB2-2B6186CD0B4D}">
  <ds:schemaRefs>
    <ds:schemaRef ds:uri="http://schemas.microsoft.com/sharepoint/v3/contenttype/forms"/>
  </ds:schemaRefs>
</ds:datastoreItem>
</file>

<file path=customXml/itemProps3.xml><?xml version="1.0" encoding="utf-8"?>
<ds:datastoreItem xmlns:ds="http://schemas.openxmlformats.org/officeDocument/2006/customXml" ds:itemID="{BD4B9ADB-C4DC-4FC3-A00D-4BC0A2306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9bd2-6d38-4475-93e8-2e6df22378f9"/>
    <ds:schemaRef ds:uri="369c3b68-3a09-4714-88b9-375ad9b9c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FB45A1-1C51-4231-8A7D-E50FE26C1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49</Pages>
  <Words>49680</Words>
  <Characters>28319</Characters>
  <Application>Microsoft Office Word</Application>
  <DocSecurity>0</DocSecurity>
  <Lines>235</Lines>
  <Paragraphs>155</Paragraphs>
  <ScaleCrop>false</ScaleCrop>
  <HeadingPairs>
    <vt:vector size="2" baseType="variant">
      <vt:variant>
        <vt:lpstr>Nosaukums</vt:lpstr>
      </vt:variant>
      <vt:variant>
        <vt:i4>1</vt:i4>
      </vt:variant>
    </vt:vector>
  </HeadingPairs>
  <TitlesOfParts>
    <vt:vector size="1" baseType="lpstr">
      <vt:lpstr>viedoklu_parskats_23-TA-1386.docx</vt:lpstr>
    </vt:vector>
  </TitlesOfParts>
  <Company>Tieslietu Sektors</Company>
  <LinksUpToDate>false</LinksUpToDate>
  <CharactersWithSpaces>77844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viedoklu_parskats_23-TA-1386.docx</dc:title>
  <dc:creator>Jūlija Paudrupe-Paudere</dc:creator>
  <cp:lastModifiedBy>Jūlija Paudrupe-Paudere</cp:lastModifiedBy>
  <cp:revision>3</cp:revision>
  <dcterms:created xsi:type="dcterms:W3CDTF">2024-10-03T10:50:00Z</dcterms:created>
  <dcterms:modified xsi:type="dcterms:W3CDTF">2024-10-03T10:58:00Z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0x010100D3910E9424D86443AD8428DAE4785E2A</vt:lpwstr>
  </property>
</Properties>
</file>