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25-TA-1180: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2023. gada 18. aprīļa noteikumos Nr. 197 "Atbalsta piešķiršanas kārtība Eiropas Lauksaimniecības fonda lauku attīstībai platībatkarīgo un dzīvniekatkarīgo saistību īstenošanai"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(01.01.2025.)</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- 11.08.2025.)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anotācijas 3.sadaļas punktā “Cita informācija” papildināt ar skaidrojumu, ka noteikumu projekta 2.punktā ietvertais grozījums atbalsta likmēs, kas paredz konvencionālajām saimniecībām palielināt atbalsta likmi agrovides intervencei "Biškopības vienību apsaimniekošana apputeksnēšanas vajadzībām" no pašreizējiem 30 </w:t>
            </w:r>
            <w:r w:rsidR="00000000" w:rsidRPr="00000000" w:rsidDel="00000000">
              <w:rPr>
                <w:i w:val="1"/>
                <w:rtl w:val="0"/>
              </w:rPr>
              <w:t xml:space="preserve">euro </w:t>
            </w:r>
            <w:r w:rsidR="00000000" w:rsidRPr="00000000" w:rsidDel="00000000">
              <w:rPr>
                <w:rtl w:val="0"/>
              </w:rPr>
              <w:t xml:space="preserve">par hektāru līdz 35 </w:t>
            </w:r>
            <w:r w:rsidR="00000000" w:rsidRPr="00000000" w:rsidDel="00000000">
              <w:rPr>
                <w:i w:val="1"/>
                <w:rtl w:val="0"/>
              </w:rPr>
              <w:t xml:space="preserve">euro </w:t>
            </w:r>
            <w:r w:rsidR="00000000" w:rsidRPr="00000000" w:rsidDel="00000000">
              <w:rPr>
                <w:rtl w:val="0"/>
              </w:rPr>
              <w:t xml:space="preserve">par hektāru, tiks nodrošināts esošā Latvijas Kopējās lauksaimniecības politikas stratēģiskā plāna 2023.–2027. gadam kompensāciju pasākumiem apstiprinātā publiskā finansējuma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precizēta, iekļaujot skaidrojumu.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- 11.08.2025.)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projekta anotācijas 1.1. apakšsadaļā "Apraksts" sniegto informāciju, proti, ka projekts ir sagatavots, balstoties uz Latvijas Kopējās Lauksaimniecības politikas stratēģiskajā plānā 2023.–2027. gadam grozījumiem, kas atbilst </w:t>
            </w:r>
            <w:r w:rsidR="00000000" w:rsidRPr="00000000" w:rsidDel="00000000">
              <w:rPr>
                <w:i w:val="1"/>
                <w:rtl w:val="0"/>
              </w:rPr>
              <w:t xml:space="preserve">Eiropas Parlamenta un Padomes 2021. gada 2. decembra Regulai (ES) 2021/2115, ar ko izveido noteikumus par atbalstu stratēģiskajiem plāniem, kuri dalībvalstīm jāizstrādā saskaņā ar kopējo lauksaimniecības politiku (KLP stratēģiskie plāni) un kurus finansē no Eiropas Lauksaimniecības garantiju fonda (ELGF) un no Eiropas Lauksaimniecības fonda lauku attīstībai (ELFLA), un ar ko atceļ Regulas (ES) Nr. 1305/2013 un (ES) Nr. 1307/2013</w:t>
            </w:r>
            <w:r w:rsidR="00000000" w:rsidRPr="00000000" w:rsidDel="00000000">
              <w:rPr>
                <w:rtl w:val="0"/>
              </w:rPr>
              <w:t xml:space="preserve"> (turpmāk - Regula 2021/2115), aicinām izvērtēt nepieciešamību aizpildīt anotācijas 5. sadaļu, skaidrojot Regulas 2021/2115 prasību ieviešanu projektā (vai skaidrojot projekta atbilstību šai regulai).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25-TA-1180</w:t>
    </w:r>
    <w:r>
      <w:br/>
    </w:r>
    <w:r w:rsidR="00000000" w:rsidRPr="00000000" w:rsidDel="00000000">
      <w:rPr>
        <w:rtl w:val="0"/>
      </w:rPr>
      <w:t xml:space="preserve">13.08.2025. 08.32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25-TA-1180</w:t>
    </w:r>
    <w:r>
      <w:br/>
    </w:r>
    <w:r w:rsidR="00000000" w:rsidRPr="00000000" w:rsidDel="00000000">
      <w:rPr>
        <w:rtl w:val="0"/>
      </w:rPr>
      <w:t xml:space="preserve">13.08.2025. 08.32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Izziņa_25-TA-1180.docx</dc:title>
</cp:coreProperties>
</file>

<file path=docProps/custom.xml><?xml version="1.0" encoding="utf-8"?>
<Properties xmlns="http://schemas.openxmlformats.org/officeDocument/2006/custom-properties" xmlns:vt="http://schemas.openxmlformats.org/officeDocument/2006/docPropsVTypes"/>
</file>